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68F1" w14:textId="7D766A1F" w:rsidR="009770B8" w:rsidRPr="00F52884" w:rsidRDefault="009770B8" w:rsidP="009770B8">
      <w:pPr>
        <w:rPr>
          <w:szCs w:val="24"/>
        </w:rPr>
      </w:pPr>
    </w:p>
    <w:p w14:paraId="347EFD1A"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rPr>
      </w:pPr>
    </w:p>
    <w:p w14:paraId="06C099AD"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rPr>
      </w:pPr>
    </w:p>
    <w:p w14:paraId="25D44369"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rPr>
      </w:pPr>
    </w:p>
    <w:p w14:paraId="5B2AEA82"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rPr>
      </w:pPr>
    </w:p>
    <w:p w14:paraId="1873757D"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rPr>
      </w:pPr>
    </w:p>
    <w:p w14:paraId="367D6942" w14:textId="49EFDDEC" w:rsidR="009770B8" w:rsidRPr="00B9228E"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lang w:val="fr-CA"/>
        </w:rPr>
      </w:pPr>
      <w:r w:rsidRPr="00B9228E">
        <w:rPr>
          <w:rFonts w:ascii="Arial" w:eastAsia="Times New Roman" w:hAnsi="Arial" w:cs="Arial"/>
          <w:szCs w:val="23"/>
          <w:lang w:val="fr-CA"/>
        </w:rPr>
        <w:t xml:space="preserve">   </w:t>
      </w:r>
    </w:p>
    <w:p w14:paraId="043BCA65" w14:textId="77777777" w:rsidR="009770B8" w:rsidRPr="00B9228E"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b/>
          <w:bCs/>
          <w:szCs w:val="23"/>
          <w:lang w:val="fr-CA"/>
        </w:rPr>
      </w:pPr>
    </w:p>
    <w:p w14:paraId="79EDF8E5" w14:textId="77777777" w:rsidR="009770B8" w:rsidRPr="00F52884" w:rsidRDefault="009770B8" w:rsidP="009770B8">
      <w:pPr>
        <w:jc w:val="center"/>
        <w:rPr>
          <w:rFonts w:cstheme="minorHAnsi"/>
          <w:b/>
          <w:sz w:val="44"/>
          <w:szCs w:val="44"/>
          <w:lang w:val="fr-CA"/>
        </w:rPr>
      </w:pPr>
      <w:r w:rsidRPr="00F52884">
        <w:rPr>
          <w:rFonts w:cstheme="minorHAnsi"/>
          <w:b/>
          <w:bCs/>
          <w:sz w:val="44"/>
          <w:szCs w:val="44"/>
          <w:lang w:val="fr-CA"/>
        </w:rPr>
        <w:t>ACCORD DE LIBRE-ÉCHANGE CANADIEN</w:t>
      </w:r>
    </w:p>
    <w:p w14:paraId="4092179E"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b/>
          <w:bCs/>
          <w:sz w:val="44"/>
          <w:szCs w:val="44"/>
          <w:lang w:val="fr-CA"/>
        </w:rPr>
      </w:pPr>
    </w:p>
    <w:p w14:paraId="4BD3812F" w14:textId="77777777" w:rsidR="009770B8" w:rsidRPr="00F52884" w:rsidRDefault="009770B8" w:rsidP="009770B8">
      <w:pPr>
        <w:jc w:val="center"/>
        <w:rPr>
          <w:rFonts w:ascii="Arial" w:hAnsi="Arial" w:cs="Arial"/>
          <w:sz w:val="44"/>
          <w:szCs w:val="44"/>
          <w:lang w:val="fr-CA"/>
        </w:rPr>
      </w:pPr>
      <w:r w:rsidRPr="00F52884">
        <w:rPr>
          <w:rFonts w:ascii="Arial" w:hAnsi="Arial" w:cs="Arial"/>
          <w:b/>
          <w:bCs/>
          <w:sz w:val="44"/>
          <w:szCs w:val="44"/>
          <w:lang w:val="fr-CA"/>
        </w:rPr>
        <w:t>Codification administrative</w:t>
      </w:r>
    </w:p>
    <w:p w14:paraId="17485009"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 w:val="44"/>
          <w:szCs w:val="44"/>
          <w:lang w:val="fr-CA"/>
        </w:rPr>
      </w:pPr>
    </w:p>
    <w:p w14:paraId="4C3338FE"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 w:val="44"/>
          <w:szCs w:val="44"/>
          <w:lang w:val="fr-CA"/>
        </w:rPr>
      </w:pPr>
    </w:p>
    <w:p w14:paraId="641E4C4D"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079118F8" w14:textId="77777777" w:rsidR="005031A2" w:rsidRPr="00732D8A" w:rsidRDefault="005031A2"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noProof/>
          <w:szCs w:val="23"/>
          <w:lang w:val="fr-CA"/>
        </w:rPr>
      </w:pPr>
    </w:p>
    <w:p w14:paraId="08DCC9D2" w14:textId="6F757186" w:rsidR="009770B8" w:rsidRPr="00F52884" w:rsidRDefault="005031A2" w:rsidP="00CB6194">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rPr>
      </w:pPr>
      <w:r w:rsidRPr="00F52884">
        <w:rPr>
          <w:rFonts w:ascii="Arial" w:eastAsia="Times New Roman" w:hAnsi="Arial" w:cs="Arial"/>
          <w:noProof/>
          <w:szCs w:val="23"/>
          <w:lang w:val="en-US"/>
        </w:rPr>
        <w:drawing>
          <wp:inline distT="0" distB="0" distL="0" distR="0" wp14:anchorId="6CC58B90" wp14:editId="461CAD2E">
            <wp:extent cx="5943600" cy="303959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 logo.jpg"/>
                    <pic:cNvPicPr/>
                  </pic:nvPicPr>
                  <pic:blipFill rotWithShape="1">
                    <a:blip r:embed="rId11">
                      <a:extLst>
                        <a:ext uri="{28A0092B-C50C-407E-A947-70E740481C1C}">
                          <a14:useLocalDpi xmlns:a14="http://schemas.microsoft.com/office/drawing/2010/main" val="0"/>
                        </a:ext>
                      </a:extLst>
                    </a:blip>
                    <a:srcRect r="51469" b="55328"/>
                    <a:stretch/>
                  </pic:blipFill>
                  <pic:spPr bwMode="auto">
                    <a:xfrm>
                      <a:off x="0" y="0"/>
                      <a:ext cx="5952442" cy="3044114"/>
                    </a:xfrm>
                    <a:prstGeom prst="rect">
                      <a:avLst/>
                    </a:prstGeom>
                    <a:ln>
                      <a:noFill/>
                    </a:ln>
                    <a:extLst>
                      <a:ext uri="{53640926-AAD7-44D8-BBD7-CCE9431645EC}">
                        <a14:shadowObscured xmlns:a14="http://schemas.microsoft.com/office/drawing/2010/main"/>
                      </a:ext>
                    </a:extLst>
                  </pic:spPr>
                </pic:pic>
              </a:graphicData>
            </a:graphic>
          </wp:inline>
        </w:drawing>
      </w:r>
      <w:r w:rsidR="009770B8" w:rsidRPr="00F52884">
        <w:rPr>
          <w:rFonts w:ascii="Arial" w:eastAsia="Times New Roman" w:hAnsi="Arial" w:cs="Arial"/>
          <w:szCs w:val="23"/>
        </w:rPr>
        <w:br w:type="textWrapping" w:clear="all"/>
      </w:r>
    </w:p>
    <w:p w14:paraId="19373D6E"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rPr>
      </w:pPr>
    </w:p>
    <w:p w14:paraId="773C6B04"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rPr>
      </w:pPr>
    </w:p>
    <w:p w14:paraId="63E27249"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rPr>
      </w:pPr>
    </w:p>
    <w:p w14:paraId="014741DA" w14:textId="7BC4447E" w:rsidR="009770B8" w:rsidRPr="00732D8A" w:rsidRDefault="009A780E"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szCs w:val="23"/>
          <w:lang w:val="fr-CA"/>
        </w:rPr>
      </w:pPr>
      <w:r>
        <w:rPr>
          <w:rFonts w:ascii="Arial" w:eastAsia="Times New Roman" w:hAnsi="Arial" w:cs="Arial"/>
          <w:b/>
          <w:sz w:val="44"/>
          <w:szCs w:val="44"/>
          <w:lang w:val="fr-CA"/>
        </w:rPr>
        <w:t xml:space="preserve">Le </w:t>
      </w:r>
      <w:r w:rsidR="00AD6574">
        <w:rPr>
          <w:rFonts w:ascii="Arial" w:eastAsia="Times New Roman" w:hAnsi="Arial" w:cs="Arial"/>
          <w:b/>
          <w:sz w:val="44"/>
          <w:szCs w:val="44"/>
          <w:lang w:val="fr-CA"/>
        </w:rPr>
        <w:t>16</w:t>
      </w:r>
      <w:r>
        <w:rPr>
          <w:rFonts w:ascii="Arial" w:eastAsia="Times New Roman" w:hAnsi="Arial" w:cs="Arial"/>
          <w:b/>
          <w:sz w:val="44"/>
          <w:szCs w:val="44"/>
          <w:lang w:val="fr-CA"/>
        </w:rPr>
        <w:t xml:space="preserve"> janvier 2024</w:t>
      </w:r>
    </w:p>
    <w:p w14:paraId="5E2A25B5" w14:textId="2DD5C8B3" w:rsidR="009770B8" w:rsidRPr="00F52884" w:rsidRDefault="009770B8">
      <w:pPr>
        <w:rPr>
          <w:sz w:val="22"/>
          <w:lang w:val="fr-CA"/>
        </w:rPr>
      </w:pPr>
    </w:p>
    <w:p w14:paraId="7D814354" w14:textId="77777777" w:rsidR="005F3F6E" w:rsidRPr="00F52884" w:rsidRDefault="005F3F6E">
      <w:pPr>
        <w:rPr>
          <w:sz w:val="22"/>
          <w:lang w:val="fr-CA"/>
        </w:rPr>
      </w:pPr>
    </w:p>
    <w:p w14:paraId="11F56C3F" w14:textId="77777777" w:rsidR="005F3F6E" w:rsidRPr="00F52884" w:rsidRDefault="005F3F6E">
      <w:pPr>
        <w:rPr>
          <w:sz w:val="22"/>
          <w:lang w:val="fr-CA"/>
        </w:rPr>
      </w:pPr>
    </w:p>
    <w:p w14:paraId="0F46580C" w14:textId="77777777" w:rsidR="005F3F6E" w:rsidRPr="00F52884" w:rsidRDefault="005F3F6E">
      <w:pPr>
        <w:rPr>
          <w:sz w:val="22"/>
          <w:lang w:val="fr-CA"/>
        </w:rPr>
      </w:pPr>
    </w:p>
    <w:p w14:paraId="18AC8FD1" w14:textId="77777777" w:rsidR="005F3F6E" w:rsidRPr="00F52884" w:rsidRDefault="005F3F6E">
      <w:pPr>
        <w:rPr>
          <w:sz w:val="22"/>
          <w:lang w:val="fr-CA"/>
        </w:rPr>
      </w:pPr>
    </w:p>
    <w:p w14:paraId="2F15F508" w14:textId="77777777" w:rsidR="005F3F6E" w:rsidRPr="00F52884" w:rsidRDefault="005F3F6E">
      <w:pPr>
        <w:rPr>
          <w:sz w:val="22"/>
          <w:lang w:val="fr-CA"/>
        </w:rPr>
      </w:pPr>
    </w:p>
    <w:p w14:paraId="7865FEE8" w14:textId="77777777" w:rsidR="005F3F6E" w:rsidRPr="00F52884" w:rsidRDefault="005F3F6E">
      <w:pPr>
        <w:rPr>
          <w:sz w:val="22"/>
          <w:lang w:val="fr-CA"/>
        </w:rPr>
      </w:pPr>
    </w:p>
    <w:p w14:paraId="7BF103A9" w14:textId="77777777" w:rsidR="005F3F6E" w:rsidRPr="00F52884" w:rsidRDefault="005F3F6E">
      <w:pPr>
        <w:rPr>
          <w:sz w:val="22"/>
          <w:lang w:val="fr-CA"/>
        </w:rPr>
      </w:pPr>
    </w:p>
    <w:p w14:paraId="6826747C" w14:textId="77777777" w:rsidR="005F3F6E" w:rsidRPr="00F52884" w:rsidRDefault="005F3F6E" w:rsidP="005F3F6E">
      <w:pPr>
        <w:jc w:val="center"/>
        <w:rPr>
          <w:sz w:val="22"/>
          <w:lang w:val="fr-CA"/>
        </w:rPr>
      </w:pPr>
    </w:p>
    <w:p w14:paraId="1721E0FC" w14:textId="77777777" w:rsidR="009770B8" w:rsidRPr="00F52884" w:rsidRDefault="009770B8">
      <w:pPr>
        <w:rPr>
          <w:rFonts w:cstheme="minorHAnsi"/>
          <w:szCs w:val="23"/>
          <w:highlight w:val="yellow"/>
          <w:lang w:val="fr-CA"/>
        </w:rPr>
      </w:pPr>
      <w:r w:rsidRPr="00F52884">
        <w:rPr>
          <w:rFonts w:cstheme="minorHAnsi"/>
          <w:szCs w:val="23"/>
          <w:highlight w:val="yellow"/>
          <w:lang w:val="fr-CA"/>
        </w:rPr>
        <w:br w:type="page"/>
      </w:r>
    </w:p>
    <w:p w14:paraId="031C2651"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69F693AA"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338BE157"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18508566"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641A55C5"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61595DDA"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3C7254A1"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09257590"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7D1BDD51"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4"/>
          <w:lang w:val="fr-CA"/>
        </w:rPr>
      </w:pPr>
    </w:p>
    <w:p w14:paraId="31065B9F"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5EFFDDE0" w14:textId="77777777" w:rsidR="009770B8" w:rsidRPr="00F52884" w:rsidRDefault="009770B8" w:rsidP="009770B8">
      <w:pPr>
        <w:jc w:val="center"/>
        <w:rPr>
          <w:rFonts w:cstheme="minorHAnsi"/>
          <w:b/>
          <w:sz w:val="44"/>
          <w:szCs w:val="44"/>
          <w:lang w:val="fr-CA"/>
        </w:rPr>
      </w:pPr>
      <w:r w:rsidRPr="00F52884">
        <w:rPr>
          <w:rFonts w:cstheme="minorHAnsi"/>
          <w:b/>
          <w:bCs/>
          <w:sz w:val="44"/>
          <w:szCs w:val="44"/>
          <w:lang w:val="fr-CA"/>
        </w:rPr>
        <w:t>ACCORD DE LIBRE-ÉCHANGE CANADIEN</w:t>
      </w:r>
    </w:p>
    <w:p w14:paraId="7AC1CF1A"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center"/>
        <w:rPr>
          <w:rFonts w:ascii="Arial" w:eastAsia="Times New Roman" w:hAnsi="Arial" w:cs="Arial"/>
          <w:b/>
          <w:bCs/>
          <w:sz w:val="44"/>
          <w:szCs w:val="44"/>
          <w:lang w:val="fr-CA"/>
        </w:rPr>
      </w:pPr>
    </w:p>
    <w:p w14:paraId="625379B0" w14:textId="77777777" w:rsidR="009770B8" w:rsidRPr="00F52884" w:rsidRDefault="009770B8" w:rsidP="009770B8">
      <w:pPr>
        <w:jc w:val="center"/>
        <w:rPr>
          <w:rFonts w:ascii="Arial" w:hAnsi="Arial" w:cs="Arial"/>
          <w:sz w:val="44"/>
          <w:szCs w:val="44"/>
          <w:lang w:val="fr-CA"/>
        </w:rPr>
      </w:pPr>
      <w:r w:rsidRPr="00F52884">
        <w:rPr>
          <w:rFonts w:ascii="Arial" w:hAnsi="Arial" w:cs="Arial"/>
          <w:b/>
          <w:bCs/>
          <w:sz w:val="44"/>
          <w:szCs w:val="44"/>
          <w:lang w:val="fr-CA"/>
        </w:rPr>
        <w:t>Codification administrative</w:t>
      </w:r>
    </w:p>
    <w:p w14:paraId="5848CC73" w14:textId="77777777" w:rsidR="009770B8" w:rsidRPr="00F52884"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7BD84E3C"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343E5AAB"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57292A29"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61435124"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6E8CC1A5"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28EDC28A"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444CFBAE"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586009FE"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776C2F8F"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0C697C6F"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45D76EFD"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74C9B061"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78807C96"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7438705D"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343B92F3" w14:textId="77777777" w:rsidR="009770B8" w:rsidRPr="00732D8A" w:rsidRDefault="009770B8" w:rsidP="009770B8">
      <w:pPr>
        <w:tabs>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 w:val="left" w:pos="11088"/>
        </w:tabs>
        <w:autoSpaceDE w:val="0"/>
        <w:autoSpaceDN w:val="0"/>
        <w:adjustRightInd w:val="0"/>
        <w:rPr>
          <w:rFonts w:ascii="Arial" w:eastAsia="Times New Roman" w:hAnsi="Arial" w:cs="Arial"/>
          <w:szCs w:val="23"/>
          <w:lang w:val="fr-CA"/>
        </w:rPr>
      </w:pPr>
    </w:p>
    <w:p w14:paraId="6C815528" w14:textId="77777777" w:rsidR="009770B8" w:rsidRPr="00732D8A" w:rsidRDefault="009770B8" w:rsidP="009770B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4032" w:firstLine="2304"/>
        <w:rPr>
          <w:rFonts w:ascii="Arial" w:eastAsia="Times New Roman" w:hAnsi="Arial" w:cs="Arial"/>
          <w:szCs w:val="23"/>
          <w:lang w:val="fr-CA"/>
        </w:rPr>
      </w:pPr>
    </w:p>
    <w:p w14:paraId="38ACDA6A" w14:textId="77777777" w:rsidR="009770B8" w:rsidRPr="00732D8A" w:rsidRDefault="009770B8" w:rsidP="009770B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4032" w:firstLine="2304"/>
        <w:rPr>
          <w:rFonts w:ascii="Arial" w:eastAsia="Times New Roman" w:hAnsi="Arial" w:cs="Arial"/>
          <w:szCs w:val="23"/>
          <w:lang w:val="fr-CA"/>
        </w:rPr>
      </w:pPr>
    </w:p>
    <w:p w14:paraId="5A43EA26" w14:textId="77777777" w:rsidR="009770B8" w:rsidRPr="00732D8A" w:rsidRDefault="009770B8" w:rsidP="009770B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4032" w:firstLine="2304"/>
        <w:rPr>
          <w:rFonts w:ascii="Arial" w:eastAsia="Times New Roman" w:hAnsi="Arial" w:cs="Arial"/>
          <w:szCs w:val="23"/>
          <w:lang w:val="fr-CA"/>
        </w:rPr>
      </w:pPr>
    </w:p>
    <w:p w14:paraId="63ADB687" w14:textId="77777777" w:rsidR="009770B8" w:rsidRPr="00F52884" w:rsidRDefault="009770B8" w:rsidP="009770B8">
      <w:pPr>
        <w:ind w:left="5184" w:firstLine="36"/>
        <w:rPr>
          <w:rFonts w:ascii="Arial" w:hAnsi="Arial" w:cs="Arial"/>
          <w:bCs/>
          <w:szCs w:val="23"/>
          <w:lang w:val="fr-CA"/>
        </w:rPr>
      </w:pPr>
      <w:r w:rsidRPr="00F52884">
        <w:rPr>
          <w:rFonts w:ascii="Arial" w:hAnsi="Arial" w:cs="Arial"/>
          <w:bCs/>
          <w:szCs w:val="23"/>
          <w:lang w:val="fr-CA"/>
        </w:rPr>
        <w:t>Communiquer avec :</w:t>
      </w:r>
    </w:p>
    <w:p w14:paraId="1A403911" w14:textId="77777777" w:rsidR="009770B8" w:rsidRPr="00F52884" w:rsidRDefault="009770B8" w:rsidP="009770B8">
      <w:pPr>
        <w:ind w:left="5184"/>
        <w:rPr>
          <w:rFonts w:ascii="Arial" w:hAnsi="Arial" w:cs="Arial"/>
          <w:bCs/>
          <w:szCs w:val="23"/>
          <w:lang w:val="fr-CA"/>
        </w:rPr>
      </w:pPr>
    </w:p>
    <w:p w14:paraId="2CD9FF11" w14:textId="77777777" w:rsidR="009770B8" w:rsidRPr="00F52884" w:rsidRDefault="009770B8" w:rsidP="009770B8">
      <w:pPr>
        <w:ind w:left="2304" w:firstLine="2916"/>
        <w:rPr>
          <w:rFonts w:ascii="Arial" w:hAnsi="Arial" w:cs="Arial"/>
          <w:szCs w:val="23"/>
          <w:lang w:val="fr-CA"/>
        </w:rPr>
      </w:pPr>
      <w:r w:rsidRPr="00F52884">
        <w:rPr>
          <w:rFonts w:ascii="Arial" w:hAnsi="Arial" w:cs="Arial"/>
          <w:szCs w:val="23"/>
          <w:lang w:val="fr-CA"/>
        </w:rPr>
        <w:t>Secrétariat du commerce intérieur</w:t>
      </w:r>
    </w:p>
    <w:p w14:paraId="421B0A5D" w14:textId="35CE865F" w:rsidR="009770B8" w:rsidRPr="00732D8A" w:rsidRDefault="009770B8" w:rsidP="009770B8">
      <w:pPr>
        <w:ind w:left="2304" w:firstLine="2916"/>
        <w:rPr>
          <w:rFonts w:ascii="Arial" w:hAnsi="Arial" w:cs="Arial"/>
          <w:szCs w:val="23"/>
          <w:lang w:val="fr-CA"/>
        </w:rPr>
      </w:pPr>
      <w:r w:rsidRPr="00732D8A">
        <w:rPr>
          <w:rFonts w:ascii="Arial" w:hAnsi="Arial" w:cs="Arial"/>
          <w:szCs w:val="23"/>
          <w:lang w:val="fr-CA"/>
        </w:rPr>
        <w:t xml:space="preserve">Pièce </w:t>
      </w:r>
      <w:r w:rsidR="00801826" w:rsidRPr="00732D8A">
        <w:rPr>
          <w:rFonts w:ascii="Arial" w:hAnsi="Arial" w:cs="Arial"/>
          <w:szCs w:val="23"/>
          <w:lang w:val="fr-CA"/>
        </w:rPr>
        <w:t>101</w:t>
      </w:r>
      <w:r w:rsidRPr="00732D8A">
        <w:rPr>
          <w:rFonts w:ascii="Arial" w:hAnsi="Arial" w:cs="Arial"/>
          <w:szCs w:val="23"/>
          <w:lang w:val="fr-CA"/>
        </w:rPr>
        <w:t xml:space="preserve">, </w:t>
      </w:r>
      <w:r w:rsidR="00801826" w:rsidRPr="00732D8A">
        <w:rPr>
          <w:rFonts w:ascii="Arial" w:hAnsi="Arial" w:cs="Arial"/>
          <w:szCs w:val="23"/>
          <w:lang w:val="fr-CA"/>
        </w:rPr>
        <w:t>605</w:t>
      </w:r>
      <w:r w:rsidRPr="00732D8A">
        <w:rPr>
          <w:rFonts w:ascii="Arial" w:hAnsi="Arial" w:cs="Arial"/>
          <w:szCs w:val="23"/>
          <w:lang w:val="fr-CA"/>
        </w:rPr>
        <w:t xml:space="preserve">, </w:t>
      </w:r>
      <w:r w:rsidR="00801826" w:rsidRPr="00732D8A">
        <w:rPr>
          <w:rFonts w:ascii="Arial" w:hAnsi="Arial" w:cs="Arial"/>
          <w:szCs w:val="23"/>
          <w:lang w:val="fr-CA"/>
        </w:rPr>
        <w:t>Rue Des Meurons</w:t>
      </w:r>
    </w:p>
    <w:p w14:paraId="22696DCD" w14:textId="540042D2" w:rsidR="009770B8" w:rsidRPr="00732D8A" w:rsidRDefault="009770B8" w:rsidP="009770B8">
      <w:pPr>
        <w:ind w:left="2304" w:firstLine="2916"/>
        <w:rPr>
          <w:rFonts w:ascii="Arial" w:hAnsi="Arial" w:cs="Arial"/>
          <w:szCs w:val="23"/>
          <w:lang w:val="fr-CA"/>
        </w:rPr>
      </w:pPr>
      <w:r w:rsidRPr="00732D8A">
        <w:rPr>
          <w:rFonts w:ascii="Arial" w:hAnsi="Arial" w:cs="Arial"/>
          <w:szCs w:val="23"/>
          <w:lang w:val="fr-CA"/>
        </w:rPr>
        <w:t xml:space="preserve">Winnipeg (Manitoba) </w:t>
      </w:r>
      <w:r w:rsidR="00801826" w:rsidRPr="00732D8A">
        <w:rPr>
          <w:rFonts w:ascii="Arial" w:hAnsi="Arial" w:cs="Arial"/>
          <w:szCs w:val="23"/>
          <w:lang w:val="fr-CA"/>
        </w:rPr>
        <w:t>R2H 2R1</w:t>
      </w:r>
    </w:p>
    <w:p w14:paraId="41A6070C" w14:textId="010CD323" w:rsidR="009770B8" w:rsidRPr="00592D28" w:rsidRDefault="009770B8" w:rsidP="009770B8">
      <w:pPr>
        <w:tabs>
          <w:tab w:val="left" w:pos="-1440"/>
        </w:tabs>
        <w:ind w:left="6624" w:hanging="1404"/>
        <w:rPr>
          <w:rFonts w:ascii="Arial" w:hAnsi="Arial" w:cs="Arial"/>
          <w:szCs w:val="23"/>
          <w:lang w:val="en-US"/>
        </w:rPr>
      </w:pPr>
      <w:proofErr w:type="spellStart"/>
      <w:proofErr w:type="gramStart"/>
      <w:r w:rsidRPr="00592D28">
        <w:rPr>
          <w:rFonts w:ascii="Arial" w:hAnsi="Arial" w:cs="Arial"/>
          <w:szCs w:val="23"/>
          <w:lang w:val="en-US"/>
        </w:rPr>
        <w:t>Tél</w:t>
      </w:r>
      <w:proofErr w:type="spellEnd"/>
      <w:r w:rsidRPr="00592D28">
        <w:rPr>
          <w:rFonts w:ascii="Arial" w:hAnsi="Arial" w:cs="Arial"/>
          <w:szCs w:val="23"/>
          <w:lang w:val="en-US"/>
        </w:rPr>
        <w:t xml:space="preserve"> :</w:t>
      </w:r>
      <w:proofErr w:type="gramEnd"/>
      <w:r w:rsidRPr="00592D28">
        <w:rPr>
          <w:rFonts w:ascii="Arial" w:hAnsi="Arial" w:cs="Arial"/>
          <w:szCs w:val="23"/>
          <w:lang w:val="en-US"/>
        </w:rPr>
        <w:t xml:space="preserve"> (204) 987-8094</w:t>
      </w:r>
    </w:p>
    <w:p w14:paraId="1F560AEF" w14:textId="640C98D0" w:rsidR="009770B8" w:rsidRPr="00592D28" w:rsidRDefault="009770B8" w:rsidP="009770B8">
      <w:pPr>
        <w:autoSpaceDE w:val="0"/>
        <w:autoSpaceDN w:val="0"/>
        <w:adjustRightInd w:val="0"/>
        <w:ind w:left="4032" w:firstLine="1188"/>
        <w:rPr>
          <w:rFonts w:ascii="Arial" w:eastAsia="Times New Roman" w:hAnsi="Arial" w:cs="Arial"/>
          <w:szCs w:val="23"/>
          <w:lang w:val="en-US"/>
        </w:rPr>
      </w:pPr>
      <w:r w:rsidRPr="00592D28">
        <w:rPr>
          <w:rFonts w:ascii="Arial" w:eastAsia="Times New Roman" w:hAnsi="Arial" w:cs="Arial"/>
          <w:szCs w:val="23"/>
          <w:lang w:val="en-US"/>
        </w:rPr>
        <w:t xml:space="preserve">Site </w:t>
      </w:r>
      <w:proofErr w:type="gramStart"/>
      <w:r w:rsidRPr="00592D28">
        <w:rPr>
          <w:rFonts w:ascii="Arial" w:eastAsia="Times New Roman" w:hAnsi="Arial" w:cs="Arial"/>
          <w:szCs w:val="23"/>
          <w:lang w:val="en-US"/>
        </w:rPr>
        <w:t>Web :</w:t>
      </w:r>
      <w:proofErr w:type="gramEnd"/>
      <w:r w:rsidRPr="00592D28">
        <w:rPr>
          <w:rFonts w:ascii="Arial" w:eastAsia="Times New Roman" w:hAnsi="Arial" w:cs="Arial"/>
          <w:szCs w:val="23"/>
          <w:lang w:val="en-US"/>
        </w:rPr>
        <w:t xml:space="preserve"> </w:t>
      </w:r>
      <w:hyperlink r:id="rId12" w:history="1">
        <w:r w:rsidR="00592D28" w:rsidRPr="00592D28">
          <w:rPr>
            <w:rStyle w:val="Hyperlink"/>
            <w:rFonts w:ascii="Arial" w:eastAsia="Times New Roman" w:hAnsi="Arial" w:cs="Arial"/>
            <w:szCs w:val="23"/>
            <w:lang w:val="en-US"/>
          </w:rPr>
          <w:t>www.cfta-alec.ca</w:t>
        </w:r>
      </w:hyperlink>
    </w:p>
    <w:p w14:paraId="002B5AA8" w14:textId="507A7D44" w:rsidR="00C22EBB" w:rsidRPr="00B9228E" w:rsidRDefault="009770B8" w:rsidP="009770B8">
      <w:pPr>
        <w:tabs>
          <w:tab w:val="left" w:pos="1296"/>
          <w:tab w:val="left" w:pos="1872"/>
          <w:tab w:val="left" w:pos="2448"/>
          <w:tab w:val="left" w:pos="3024"/>
          <w:tab w:val="left" w:pos="3600"/>
          <w:tab w:val="left" w:pos="4176"/>
          <w:tab w:val="left" w:pos="4752"/>
          <w:tab w:val="left" w:pos="5328"/>
          <w:tab w:val="left" w:pos="5904"/>
          <w:tab w:val="left" w:pos="6300"/>
          <w:tab w:val="left" w:pos="6480"/>
          <w:tab w:val="left" w:pos="7056"/>
          <w:tab w:val="left" w:pos="7632"/>
          <w:tab w:val="left" w:pos="8208"/>
          <w:tab w:val="left" w:pos="8784"/>
          <w:tab w:val="left" w:pos="9360"/>
          <w:tab w:val="left" w:pos="9936"/>
          <w:tab w:val="left" w:pos="10512"/>
          <w:tab w:val="left" w:pos="11088"/>
        </w:tabs>
        <w:autoSpaceDE w:val="0"/>
        <w:autoSpaceDN w:val="0"/>
        <w:adjustRightInd w:val="0"/>
        <w:jc w:val="both"/>
        <w:rPr>
          <w:rFonts w:ascii="Arial" w:eastAsia="Times New Roman" w:hAnsi="Arial" w:cs="Arial"/>
          <w:sz w:val="28"/>
          <w:szCs w:val="28"/>
          <w:lang w:val="fr-CA"/>
        </w:rPr>
      </w:pPr>
      <w:r w:rsidRPr="00B9228E">
        <w:rPr>
          <w:rFonts w:ascii="Arial" w:eastAsia="Times New Roman" w:hAnsi="Arial" w:cs="Arial"/>
          <w:sz w:val="28"/>
          <w:szCs w:val="28"/>
          <w:lang w:val="fr-CA"/>
        </w:rPr>
        <w:t>ISBN ###-#-######-##-#</w:t>
      </w:r>
    </w:p>
    <w:p w14:paraId="6852A78F" w14:textId="5DA920BF" w:rsidR="009770B8" w:rsidRPr="00F52884" w:rsidRDefault="009770B8">
      <w:pPr>
        <w:rPr>
          <w:rFonts w:cstheme="minorHAnsi"/>
          <w:szCs w:val="23"/>
          <w:lang w:val="fr-CA"/>
        </w:rPr>
      </w:pPr>
      <w:r w:rsidRPr="00F52884">
        <w:rPr>
          <w:rFonts w:cstheme="minorHAnsi"/>
          <w:szCs w:val="23"/>
          <w:lang w:val="fr-CA"/>
        </w:rPr>
        <w:br w:type="page"/>
      </w:r>
    </w:p>
    <w:p w14:paraId="3C5A1E2C" w14:textId="390BCDFD" w:rsidR="005F3F6E" w:rsidRPr="00F52884" w:rsidRDefault="005F3F6E" w:rsidP="005F3F6E">
      <w:pPr>
        <w:jc w:val="center"/>
        <w:rPr>
          <w:rFonts w:cstheme="minorHAnsi"/>
          <w:szCs w:val="23"/>
          <w:lang w:val="fr-CA"/>
        </w:rPr>
      </w:pPr>
    </w:p>
    <w:p w14:paraId="14EA3D34" w14:textId="76C4FB09" w:rsidR="00C22EBB" w:rsidRPr="00F52884" w:rsidRDefault="00C22EBB" w:rsidP="005F3F6E">
      <w:pPr>
        <w:jc w:val="center"/>
        <w:rPr>
          <w:rFonts w:cstheme="minorHAnsi"/>
          <w:szCs w:val="23"/>
          <w:lang w:val="fr-CA"/>
        </w:rPr>
      </w:pPr>
    </w:p>
    <w:p w14:paraId="7DDF791C" w14:textId="37A714A4" w:rsidR="00C22EBB" w:rsidRPr="00F52884" w:rsidRDefault="00C22EBB" w:rsidP="005F3F6E">
      <w:pPr>
        <w:jc w:val="center"/>
        <w:rPr>
          <w:rFonts w:cstheme="minorHAnsi"/>
          <w:szCs w:val="23"/>
          <w:lang w:val="fr-CA"/>
        </w:rPr>
      </w:pPr>
    </w:p>
    <w:p w14:paraId="1FCFB11F" w14:textId="69D709F4" w:rsidR="00C22EBB" w:rsidRPr="00F52884" w:rsidRDefault="00C22EBB" w:rsidP="005F3F6E">
      <w:pPr>
        <w:jc w:val="center"/>
        <w:rPr>
          <w:rFonts w:cstheme="minorHAnsi"/>
          <w:szCs w:val="23"/>
          <w:lang w:val="fr-CA"/>
        </w:rPr>
      </w:pPr>
    </w:p>
    <w:p w14:paraId="79A5B672" w14:textId="409EC3BB" w:rsidR="00C22EBB" w:rsidRPr="00F52884" w:rsidRDefault="00C22EBB" w:rsidP="005F3F6E">
      <w:pPr>
        <w:jc w:val="center"/>
        <w:rPr>
          <w:rFonts w:cstheme="minorHAnsi"/>
          <w:szCs w:val="23"/>
          <w:lang w:val="fr-CA"/>
        </w:rPr>
      </w:pPr>
    </w:p>
    <w:p w14:paraId="25C7B653" w14:textId="73469C53" w:rsidR="00C22EBB" w:rsidRPr="00F52884" w:rsidRDefault="00C22EBB" w:rsidP="005F3F6E">
      <w:pPr>
        <w:jc w:val="center"/>
        <w:rPr>
          <w:rFonts w:cstheme="minorHAnsi"/>
          <w:szCs w:val="23"/>
          <w:lang w:val="fr-CA"/>
        </w:rPr>
      </w:pPr>
    </w:p>
    <w:p w14:paraId="76E80400" w14:textId="4E8BC321" w:rsidR="00C22EBB" w:rsidRPr="00F52884" w:rsidRDefault="00C22EBB" w:rsidP="005F3F6E">
      <w:pPr>
        <w:jc w:val="center"/>
        <w:rPr>
          <w:rFonts w:cstheme="minorHAnsi"/>
          <w:szCs w:val="23"/>
          <w:lang w:val="fr-CA"/>
        </w:rPr>
      </w:pPr>
    </w:p>
    <w:p w14:paraId="62C9B183" w14:textId="767C718E" w:rsidR="00C22EBB" w:rsidRPr="00F52884" w:rsidRDefault="00C22EBB" w:rsidP="005F3F6E">
      <w:pPr>
        <w:jc w:val="center"/>
        <w:rPr>
          <w:rFonts w:cstheme="minorHAnsi"/>
          <w:szCs w:val="23"/>
          <w:lang w:val="fr-CA"/>
        </w:rPr>
      </w:pPr>
    </w:p>
    <w:p w14:paraId="1F1D4DF9" w14:textId="0A5B3119" w:rsidR="00C22EBB" w:rsidRPr="00F52884" w:rsidRDefault="00C22EBB" w:rsidP="005F3F6E">
      <w:pPr>
        <w:jc w:val="center"/>
        <w:rPr>
          <w:rFonts w:cstheme="minorHAnsi"/>
          <w:szCs w:val="23"/>
          <w:lang w:val="fr-CA"/>
        </w:rPr>
      </w:pPr>
    </w:p>
    <w:p w14:paraId="67773F1B" w14:textId="083C502E" w:rsidR="00C22EBB" w:rsidRPr="00F52884" w:rsidRDefault="00C22EBB" w:rsidP="005F3F6E">
      <w:pPr>
        <w:jc w:val="center"/>
        <w:rPr>
          <w:rFonts w:cstheme="minorHAnsi"/>
          <w:szCs w:val="23"/>
          <w:lang w:val="fr-CA"/>
        </w:rPr>
      </w:pPr>
    </w:p>
    <w:p w14:paraId="0CDCAF3C" w14:textId="0F77779A" w:rsidR="00C22EBB" w:rsidRPr="00F52884" w:rsidRDefault="00C22EBB" w:rsidP="005F3F6E">
      <w:pPr>
        <w:jc w:val="center"/>
        <w:rPr>
          <w:rFonts w:cstheme="minorHAnsi"/>
          <w:szCs w:val="23"/>
          <w:lang w:val="fr-CA"/>
        </w:rPr>
      </w:pPr>
    </w:p>
    <w:p w14:paraId="75340291" w14:textId="57B2481D" w:rsidR="00C22EBB" w:rsidRPr="00F52884" w:rsidRDefault="00C22EBB" w:rsidP="005F3F6E">
      <w:pPr>
        <w:jc w:val="center"/>
        <w:rPr>
          <w:rFonts w:cstheme="minorHAnsi"/>
          <w:szCs w:val="23"/>
          <w:lang w:val="fr-CA"/>
        </w:rPr>
      </w:pPr>
    </w:p>
    <w:p w14:paraId="6D856B9B" w14:textId="1C130E1D" w:rsidR="00C22EBB" w:rsidRPr="00F52884" w:rsidRDefault="00C22EBB" w:rsidP="005F3F6E">
      <w:pPr>
        <w:jc w:val="center"/>
        <w:rPr>
          <w:rFonts w:cstheme="minorHAnsi"/>
          <w:szCs w:val="23"/>
          <w:lang w:val="fr-CA"/>
        </w:rPr>
      </w:pPr>
    </w:p>
    <w:p w14:paraId="221135F2" w14:textId="7CD99397" w:rsidR="00C22EBB" w:rsidRPr="00F52884" w:rsidRDefault="00C22EBB" w:rsidP="005F3F6E">
      <w:pPr>
        <w:jc w:val="center"/>
        <w:rPr>
          <w:rFonts w:cstheme="minorHAnsi"/>
          <w:szCs w:val="23"/>
          <w:lang w:val="fr-CA"/>
        </w:rPr>
      </w:pPr>
    </w:p>
    <w:p w14:paraId="4200104D" w14:textId="57E6FC16" w:rsidR="00C22EBB" w:rsidRPr="00F52884" w:rsidRDefault="00C22EBB" w:rsidP="005F3F6E">
      <w:pPr>
        <w:jc w:val="center"/>
        <w:rPr>
          <w:rFonts w:cstheme="minorHAnsi"/>
          <w:szCs w:val="23"/>
          <w:lang w:val="fr-CA"/>
        </w:rPr>
      </w:pPr>
    </w:p>
    <w:p w14:paraId="5361C6BC" w14:textId="70BE8554" w:rsidR="00C22EBB" w:rsidRPr="00F52884" w:rsidRDefault="00C22EBB" w:rsidP="005F3F6E">
      <w:pPr>
        <w:jc w:val="center"/>
        <w:rPr>
          <w:rFonts w:cstheme="minorHAnsi"/>
          <w:szCs w:val="23"/>
          <w:lang w:val="fr-CA"/>
        </w:rPr>
      </w:pPr>
    </w:p>
    <w:p w14:paraId="580DE89E" w14:textId="1DFCAE85" w:rsidR="00C22EBB" w:rsidRPr="00F52884" w:rsidRDefault="00C22EBB" w:rsidP="005F3F6E">
      <w:pPr>
        <w:jc w:val="center"/>
        <w:rPr>
          <w:rFonts w:cstheme="minorHAnsi"/>
          <w:szCs w:val="23"/>
          <w:lang w:val="fr-CA"/>
        </w:rPr>
      </w:pPr>
    </w:p>
    <w:p w14:paraId="01BFEC8D" w14:textId="3166E9BC" w:rsidR="00C22EBB" w:rsidRPr="00F52884" w:rsidRDefault="00C22EBB" w:rsidP="005F3F6E">
      <w:pPr>
        <w:jc w:val="center"/>
        <w:rPr>
          <w:rFonts w:cstheme="minorHAnsi"/>
          <w:szCs w:val="23"/>
          <w:lang w:val="fr-CA"/>
        </w:rPr>
      </w:pPr>
    </w:p>
    <w:p w14:paraId="5421A9F0" w14:textId="459CE80A" w:rsidR="00C22EBB" w:rsidRPr="00F52884" w:rsidRDefault="00C22EBB" w:rsidP="005F3F6E">
      <w:pPr>
        <w:jc w:val="center"/>
        <w:rPr>
          <w:rFonts w:cstheme="minorHAnsi"/>
          <w:szCs w:val="23"/>
          <w:lang w:val="fr-CA"/>
        </w:rPr>
      </w:pPr>
    </w:p>
    <w:p w14:paraId="2F7EA55F" w14:textId="20083582" w:rsidR="00C22EBB" w:rsidRPr="00F52884" w:rsidRDefault="00C22EBB" w:rsidP="005F3F6E">
      <w:pPr>
        <w:jc w:val="center"/>
        <w:rPr>
          <w:rFonts w:cstheme="minorHAnsi"/>
          <w:szCs w:val="23"/>
          <w:lang w:val="fr-CA"/>
        </w:rPr>
      </w:pPr>
    </w:p>
    <w:p w14:paraId="75F990AB" w14:textId="2FDCA314" w:rsidR="00C22EBB" w:rsidRPr="00F52884" w:rsidRDefault="00C22EBB" w:rsidP="005F3F6E">
      <w:pPr>
        <w:jc w:val="center"/>
        <w:rPr>
          <w:rFonts w:cstheme="minorHAnsi"/>
          <w:szCs w:val="23"/>
          <w:lang w:val="fr-CA"/>
        </w:rPr>
      </w:pPr>
    </w:p>
    <w:p w14:paraId="3E6901CA" w14:textId="3A3ED488" w:rsidR="00C22EBB" w:rsidRPr="00F52884" w:rsidRDefault="00C22EBB" w:rsidP="005F3F6E">
      <w:pPr>
        <w:jc w:val="center"/>
        <w:rPr>
          <w:rFonts w:cstheme="minorHAnsi"/>
          <w:szCs w:val="23"/>
          <w:lang w:val="fr-CA"/>
        </w:rPr>
      </w:pPr>
    </w:p>
    <w:p w14:paraId="176C45C4" w14:textId="108FF179" w:rsidR="00C22EBB" w:rsidRPr="00F52884" w:rsidRDefault="00C22EBB" w:rsidP="005F3F6E">
      <w:pPr>
        <w:jc w:val="center"/>
        <w:rPr>
          <w:rFonts w:cstheme="minorHAnsi"/>
          <w:szCs w:val="23"/>
          <w:lang w:val="fr-CA"/>
        </w:rPr>
      </w:pPr>
    </w:p>
    <w:p w14:paraId="7D2F7B3B" w14:textId="662C72C1" w:rsidR="00C22EBB" w:rsidRPr="00F52884" w:rsidRDefault="00C22EBB" w:rsidP="005F3F6E">
      <w:pPr>
        <w:jc w:val="center"/>
        <w:rPr>
          <w:rFonts w:cstheme="minorHAnsi"/>
          <w:szCs w:val="23"/>
          <w:lang w:val="fr-CA"/>
        </w:rPr>
      </w:pPr>
    </w:p>
    <w:p w14:paraId="523B3559" w14:textId="125E59F8" w:rsidR="00C22EBB" w:rsidRPr="00F52884" w:rsidRDefault="00C22EBB" w:rsidP="005F3F6E">
      <w:pPr>
        <w:jc w:val="center"/>
        <w:rPr>
          <w:rFonts w:cstheme="minorHAnsi"/>
          <w:szCs w:val="23"/>
          <w:lang w:val="fr-CA"/>
        </w:rPr>
      </w:pPr>
    </w:p>
    <w:p w14:paraId="48AE3378" w14:textId="07000AE4" w:rsidR="00C22EBB" w:rsidRPr="00F52884" w:rsidRDefault="00C22EBB" w:rsidP="005F3F6E">
      <w:pPr>
        <w:jc w:val="center"/>
        <w:rPr>
          <w:rFonts w:cstheme="minorHAnsi"/>
          <w:szCs w:val="23"/>
          <w:lang w:val="fr-CA"/>
        </w:rPr>
      </w:pPr>
    </w:p>
    <w:p w14:paraId="27AE6E53" w14:textId="41917C76" w:rsidR="00C22EBB" w:rsidRPr="00F52884" w:rsidRDefault="00C22EBB" w:rsidP="005F3F6E">
      <w:pPr>
        <w:jc w:val="center"/>
        <w:rPr>
          <w:rFonts w:cstheme="minorHAnsi"/>
          <w:szCs w:val="23"/>
          <w:lang w:val="fr-CA"/>
        </w:rPr>
      </w:pPr>
    </w:p>
    <w:p w14:paraId="056087D3" w14:textId="060565F9" w:rsidR="007D5668" w:rsidRDefault="007D5668">
      <w:pPr>
        <w:rPr>
          <w:rFonts w:cstheme="minorHAnsi"/>
          <w:szCs w:val="23"/>
          <w:lang w:val="fr-CA"/>
        </w:rPr>
      </w:pPr>
      <w:r>
        <w:rPr>
          <w:rFonts w:cstheme="minorHAnsi"/>
          <w:szCs w:val="23"/>
          <w:lang w:val="fr-CA"/>
        </w:rPr>
        <w:br w:type="page"/>
      </w:r>
    </w:p>
    <w:p w14:paraId="20F20BFD" w14:textId="77777777" w:rsidR="007D5668" w:rsidRDefault="007D5668" w:rsidP="007D5668">
      <w:pPr>
        <w:jc w:val="center"/>
        <w:rPr>
          <w:rFonts w:cstheme="minorHAnsi"/>
          <w:szCs w:val="23"/>
          <w:lang w:val="fr-CA"/>
        </w:rPr>
      </w:pPr>
    </w:p>
    <w:p w14:paraId="4A37971D" w14:textId="77777777" w:rsidR="007D5668" w:rsidRDefault="007D5668" w:rsidP="007D5668">
      <w:pPr>
        <w:jc w:val="center"/>
        <w:rPr>
          <w:rFonts w:cstheme="minorHAnsi"/>
          <w:szCs w:val="23"/>
          <w:lang w:val="fr-CA"/>
        </w:rPr>
      </w:pPr>
    </w:p>
    <w:p w14:paraId="75434BE4" w14:textId="77777777" w:rsidR="007D5668" w:rsidRDefault="007D5668" w:rsidP="007D5668">
      <w:pPr>
        <w:jc w:val="center"/>
        <w:rPr>
          <w:rFonts w:ascii="Arial" w:hAnsi="Arial" w:cs="Arial"/>
          <w:b/>
          <w:bCs/>
          <w:szCs w:val="23"/>
          <w:lang w:val="fr-CA"/>
        </w:rPr>
      </w:pPr>
    </w:p>
    <w:p w14:paraId="2DB10A25" w14:textId="77777777" w:rsidR="007D5668" w:rsidRDefault="007D5668" w:rsidP="007D5668">
      <w:pPr>
        <w:jc w:val="center"/>
        <w:rPr>
          <w:rFonts w:ascii="Arial" w:hAnsi="Arial" w:cs="Arial"/>
          <w:b/>
          <w:bCs/>
          <w:szCs w:val="23"/>
          <w:lang w:val="fr-CA"/>
        </w:rPr>
      </w:pPr>
    </w:p>
    <w:p w14:paraId="5198FB79" w14:textId="31C3556D" w:rsidR="007D5668" w:rsidRPr="00AA172E" w:rsidRDefault="007D5668" w:rsidP="007D5668">
      <w:pPr>
        <w:jc w:val="center"/>
        <w:rPr>
          <w:rFonts w:ascii="Arial" w:hAnsi="Arial" w:cs="Arial"/>
          <w:szCs w:val="23"/>
          <w:lang w:val="fr-CA"/>
        </w:rPr>
      </w:pPr>
      <w:r w:rsidRPr="00AA172E">
        <w:rPr>
          <w:rFonts w:ascii="Arial" w:hAnsi="Arial" w:cs="Arial"/>
          <w:b/>
          <w:bCs/>
          <w:szCs w:val="23"/>
          <w:lang w:val="fr-CA"/>
        </w:rPr>
        <w:t>AVANT-PROPOS</w:t>
      </w:r>
    </w:p>
    <w:p w14:paraId="3A14B772" w14:textId="77777777" w:rsidR="007D5668" w:rsidRDefault="007D5668" w:rsidP="007D5668">
      <w:pPr>
        <w:rPr>
          <w:rFonts w:ascii="Arial" w:hAnsi="Arial" w:cs="Arial"/>
          <w:szCs w:val="23"/>
          <w:lang w:val="fr-CA"/>
        </w:rPr>
      </w:pPr>
    </w:p>
    <w:p w14:paraId="47CE732B" w14:textId="77777777" w:rsidR="007D5668" w:rsidRDefault="007D5668" w:rsidP="007D5668">
      <w:pPr>
        <w:rPr>
          <w:rFonts w:ascii="Arial" w:hAnsi="Arial" w:cs="Arial"/>
          <w:szCs w:val="23"/>
          <w:lang w:val="fr-CA"/>
        </w:rPr>
      </w:pPr>
    </w:p>
    <w:p w14:paraId="562521E5" w14:textId="14DD7819" w:rsidR="007D5668" w:rsidRPr="0076020B" w:rsidRDefault="007D5668" w:rsidP="007D5668">
      <w:pPr>
        <w:ind w:left="-284"/>
        <w:rPr>
          <w:rFonts w:ascii="Arial" w:hAnsi="Arial" w:cs="Arial"/>
          <w:szCs w:val="23"/>
          <w:lang w:val="fr-CA"/>
        </w:rPr>
      </w:pPr>
      <w:r w:rsidRPr="0076020B">
        <w:rPr>
          <w:rFonts w:ascii="Arial" w:hAnsi="Arial" w:cs="Arial"/>
          <w:szCs w:val="23"/>
          <w:lang w:val="fr-CA"/>
        </w:rPr>
        <w:t xml:space="preserve">La présente codification administrative réunit le texte original de </w:t>
      </w:r>
      <w:r w:rsidRPr="00F8171A">
        <w:rPr>
          <w:rFonts w:ascii="Arial" w:hAnsi="Arial" w:cs="Arial"/>
          <w:szCs w:val="23"/>
          <w:lang w:val="fr-CA"/>
        </w:rPr>
        <w:t>l’</w:t>
      </w:r>
      <w:r w:rsidRPr="00F8171A">
        <w:rPr>
          <w:rFonts w:ascii="Arial" w:hAnsi="Arial" w:cs="Arial"/>
          <w:b/>
          <w:bCs/>
          <w:iCs/>
          <w:szCs w:val="23"/>
          <w:lang w:val="fr-CA"/>
        </w:rPr>
        <w:t xml:space="preserve">Accord </w:t>
      </w:r>
      <w:r>
        <w:rPr>
          <w:rFonts w:ascii="Arial" w:hAnsi="Arial" w:cs="Arial"/>
          <w:b/>
          <w:bCs/>
          <w:iCs/>
          <w:szCs w:val="23"/>
          <w:lang w:val="fr-CA"/>
        </w:rPr>
        <w:t xml:space="preserve">de Libre-Échange Canadien </w:t>
      </w:r>
      <w:r w:rsidRPr="0076020B">
        <w:rPr>
          <w:rFonts w:ascii="Arial" w:hAnsi="Arial" w:cs="Arial"/>
          <w:szCs w:val="23"/>
          <w:lang w:val="fr-CA"/>
        </w:rPr>
        <w:t>(</w:t>
      </w:r>
      <w:r>
        <w:rPr>
          <w:rFonts w:ascii="Arial" w:hAnsi="Arial" w:cs="Arial"/>
          <w:szCs w:val="23"/>
          <w:lang w:val="fr-CA"/>
        </w:rPr>
        <w:t>2017</w:t>
      </w:r>
      <w:r w:rsidRPr="0076020B">
        <w:rPr>
          <w:rFonts w:ascii="Arial" w:hAnsi="Arial" w:cs="Arial"/>
          <w:szCs w:val="23"/>
          <w:lang w:val="fr-CA"/>
        </w:rPr>
        <w:t xml:space="preserve">) avec tous les </w:t>
      </w:r>
      <w:r w:rsidRPr="00F8171A">
        <w:rPr>
          <w:rFonts w:ascii="Arial" w:hAnsi="Arial" w:cs="Arial"/>
          <w:b/>
          <w:bCs/>
          <w:iCs/>
          <w:szCs w:val="23"/>
          <w:lang w:val="fr-CA"/>
        </w:rPr>
        <w:t>protocoles de modification</w:t>
      </w:r>
      <w:r w:rsidRPr="0076020B">
        <w:rPr>
          <w:rFonts w:ascii="Arial" w:hAnsi="Arial" w:cs="Arial"/>
          <w:szCs w:val="23"/>
          <w:lang w:val="fr-CA"/>
        </w:rPr>
        <w:t xml:space="preserve"> qui ont été adoptés depuis la signature de l’Accord.</w:t>
      </w:r>
    </w:p>
    <w:p w14:paraId="69922FE5" w14:textId="77777777" w:rsidR="007D5668" w:rsidRPr="0076020B" w:rsidRDefault="007D5668" w:rsidP="007D5668">
      <w:pPr>
        <w:rPr>
          <w:rFonts w:ascii="Arial" w:hAnsi="Arial" w:cs="Arial"/>
          <w:szCs w:val="23"/>
          <w:lang w:val="fr-CA"/>
        </w:rPr>
      </w:pPr>
    </w:p>
    <w:tbl>
      <w:tblPr>
        <w:tblW w:w="10080" w:type="dxa"/>
        <w:jc w:val="center"/>
        <w:tblLayout w:type="fixed"/>
        <w:tblCellMar>
          <w:left w:w="96" w:type="dxa"/>
          <w:right w:w="96" w:type="dxa"/>
        </w:tblCellMar>
        <w:tblLook w:val="0000" w:firstRow="0" w:lastRow="0" w:firstColumn="0" w:lastColumn="0" w:noHBand="0" w:noVBand="0"/>
      </w:tblPr>
      <w:tblGrid>
        <w:gridCol w:w="7020"/>
        <w:gridCol w:w="3060"/>
      </w:tblGrid>
      <w:tr w:rsidR="007D5668" w14:paraId="4E33290C" w14:textId="77777777" w:rsidTr="009A780E">
        <w:trPr>
          <w:trHeight w:val="469"/>
          <w:jc w:val="center"/>
        </w:trPr>
        <w:tc>
          <w:tcPr>
            <w:tcW w:w="7020" w:type="dxa"/>
            <w:vAlign w:val="center"/>
          </w:tcPr>
          <w:p w14:paraId="28445F00" w14:textId="77777777" w:rsidR="007D5668" w:rsidRDefault="007D5668" w:rsidP="009458B4">
            <w:pPr>
              <w:spacing w:before="120" w:after="120"/>
              <w:rPr>
                <w:rFonts w:ascii="Arial" w:hAnsi="Arial" w:cs="Arial"/>
                <w:szCs w:val="23"/>
                <w:lang w:val="fr-CA"/>
              </w:rPr>
            </w:pPr>
            <w:r>
              <w:rPr>
                <w:rFonts w:ascii="Arial" w:hAnsi="Arial" w:cs="Arial"/>
                <w:b/>
                <w:bCs/>
                <w:szCs w:val="23"/>
                <w:lang w:val="fr-CA"/>
              </w:rPr>
              <w:t>Texte</w:t>
            </w:r>
          </w:p>
        </w:tc>
        <w:tc>
          <w:tcPr>
            <w:tcW w:w="3060" w:type="dxa"/>
            <w:vAlign w:val="center"/>
          </w:tcPr>
          <w:p w14:paraId="61FD51AC" w14:textId="77777777" w:rsidR="007D5668" w:rsidRDefault="007D5668" w:rsidP="009458B4">
            <w:pPr>
              <w:spacing w:before="120" w:after="120"/>
              <w:rPr>
                <w:rFonts w:ascii="Arial" w:hAnsi="Arial" w:cs="Arial"/>
                <w:b/>
                <w:szCs w:val="23"/>
                <w:lang w:val="fr-CA"/>
              </w:rPr>
            </w:pPr>
            <w:r>
              <w:rPr>
                <w:rFonts w:ascii="Arial" w:hAnsi="Arial" w:cs="Arial"/>
                <w:b/>
                <w:szCs w:val="23"/>
                <w:lang w:val="fr-CA"/>
              </w:rPr>
              <w:t>Date d’entrée en vigueur</w:t>
            </w:r>
          </w:p>
        </w:tc>
      </w:tr>
      <w:tr w:rsidR="007D5668" w14:paraId="634A413E" w14:textId="77777777" w:rsidTr="009A780E">
        <w:trPr>
          <w:jc w:val="center"/>
        </w:trPr>
        <w:tc>
          <w:tcPr>
            <w:tcW w:w="7020" w:type="dxa"/>
            <w:vAlign w:val="center"/>
          </w:tcPr>
          <w:p w14:paraId="1BBA8AFA" w14:textId="38A797E3" w:rsidR="007D5668" w:rsidRPr="00376BB1" w:rsidRDefault="007D5668" w:rsidP="009458B4">
            <w:pPr>
              <w:spacing w:before="120" w:after="120"/>
              <w:rPr>
                <w:rFonts w:ascii="Arial" w:hAnsi="Arial" w:cs="Arial"/>
                <w:iCs/>
                <w:szCs w:val="23"/>
                <w:lang w:val="fr-CA"/>
              </w:rPr>
            </w:pPr>
            <w:r w:rsidRPr="00376BB1">
              <w:rPr>
                <w:rFonts w:ascii="Arial" w:hAnsi="Arial" w:cs="Arial"/>
                <w:iCs/>
                <w:szCs w:val="23"/>
                <w:lang w:val="fr-CA"/>
              </w:rPr>
              <w:t xml:space="preserve">Accord </w:t>
            </w:r>
            <w:r w:rsidR="00122D42">
              <w:rPr>
                <w:rFonts w:ascii="Arial" w:hAnsi="Arial" w:cs="Arial"/>
                <w:iCs/>
                <w:szCs w:val="23"/>
                <w:lang w:val="fr-CA"/>
              </w:rPr>
              <w:t>de Libre-Échange Canadien</w:t>
            </w:r>
          </w:p>
        </w:tc>
        <w:tc>
          <w:tcPr>
            <w:tcW w:w="3060" w:type="dxa"/>
            <w:vAlign w:val="center"/>
          </w:tcPr>
          <w:p w14:paraId="5E725596" w14:textId="6AA3252E" w:rsidR="007D5668" w:rsidRDefault="007D5668" w:rsidP="009458B4">
            <w:pPr>
              <w:spacing w:before="120" w:after="120"/>
              <w:rPr>
                <w:rFonts w:ascii="Arial" w:hAnsi="Arial" w:cs="Arial"/>
                <w:szCs w:val="23"/>
                <w:lang w:val="fr-CA"/>
              </w:rPr>
            </w:pPr>
            <w:r>
              <w:rPr>
                <w:rFonts w:ascii="Arial" w:hAnsi="Arial" w:cs="Arial"/>
                <w:szCs w:val="23"/>
                <w:lang w:val="fr-CA"/>
              </w:rPr>
              <w:t>1</w:t>
            </w:r>
            <w:r>
              <w:rPr>
                <w:rFonts w:ascii="Arial" w:hAnsi="Arial" w:cs="Arial"/>
                <w:szCs w:val="23"/>
                <w:vertAlign w:val="superscript"/>
                <w:lang w:val="fr-CA"/>
              </w:rPr>
              <w:t>er</w:t>
            </w:r>
            <w:r>
              <w:rPr>
                <w:rFonts w:ascii="Arial" w:hAnsi="Arial" w:cs="Arial"/>
                <w:szCs w:val="23"/>
                <w:lang w:val="fr-CA"/>
              </w:rPr>
              <w:t xml:space="preserve"> juillet 2017</w:t>
            </w:r>
          </w:p>
        </w:tc>
      </w:tr>
      <w:tr w:rsidR="007D5668" w14:paraId="3DBF7E80" w14:textId="77777777" w:rsidTr="009A780E">
        <w:trPr>
          <w:jc w:val="center"/>
        </w:trPr>
        <w:tc>
          <w:tcPr>
            <w:tcW w:w="7020" w:type="dxa"/>
            <w:vAlign w:val="center"/>
          </w:tcPr>
          <w:p w14:paraId="32B5DAFD" w14:textId="77777777" w:rsidR="007D5668" w:rsidRPr="00376BB1" w:rsidRDefault="007D5668" w:rsidP="009458B4">
            <w:pPr>
              <w:spacing w:before="120" w:after="120"/>
              <w:rPr>
                <w:rFonts w:ascii="Arial" w:hAnsi="Arial" w:cs="Arial"/>
                <w:iCs/>
                <w:szCs w:val="23"/>
                <w:lang w:val="fr-CA"/>
              </w:rPr>
            </w:pPr>
            <w:r w:rsidRPr="00376BB1">
              <w:rPr>
                <w:rFonts w:ascii="Arial" w:hAnsi="Arial" w:cs="Arial"/>
                <w:iCs/>
                <w:szCs w:val="23"/>
                <w:lang w:val="fr-CA"/>
              </w:rPr>
              <w:t>Premier protocole de modification</w:t>
            </w:r>
          </w:p>
        </w:tc>
        <w:tc>
          <w:tcPr>
            <w:tcW w:w="3060" w:type="dxa"/>
            <w:vAlign w:val="center"/>
          </w:tcPr>
          <w:p w14:paraId="059EF23B" w14:textId="5257ABF7" w:rsidR="007D5668" w:rsidRDefault="007D5668" w:rsidP="009458B4">
            <w:pPr>
              <w:spacing w:before="120" w:after="120"/>
              <w:rPr>
                <w:rFonts w:ascii="Arial" w:hAnsi="Arial" w:cs="Arial"/>
                <w:szCs w:val="23"/>
                <w:lang w:val="fr-CA"/>
              </w:rPr>
            </w:pPr>
            <w:r>
              <w:rPr>
                <w:rFonts w:ascii="Arial" w:hAnsi="Arial" w:cs="Arial"/>
                <w:szCs w:val="23"/>
                <w:lang w:val="fr-CA"/>
              </w:rPr>
              <w:t>10 décembre 2019</w:t>
            </w:r>
          </w:p>
        </w:tc>
      </w:tr>
      <w:tr w:rsidR="009A780E" w14:paraId="6B7C2522" w14:textId="77777777" w:rsidTr="009A780E">
        <w:trPr>
          <w:jc w:val="center"/>
        </w:trPr>
        <w:tc>
          <w:tcPr>
            <w:tcW w:w="7020" w:type="dxa"/>
            <w:vAlign w:val="center"/>
          </w:tcPr>
          <w:p w14:paraId="58E366BF" w14:textId="5A7B57E3" w:rsidR="009A780E" w:rsidRPr="00376BB1" w:rsidRDefault="009A780E" w:rsidP="00085DAA">
            <w:pPr>
              <w:spacing w:before="120" w:after="120"/>
              <w:rPr>
                <w:rFonts w:ascii="Arial" w:hAnsi="Arial" w:cs="Arial"/>
                <w:iCs/>
                <w:szCs w:val="23"/>
                <w:lang w:val="fr-CA"/>
              </w:rPr>
            </w:pPr>
            <w:r>
              <w:rPr>
                <w:rFonts w:ascii="Arial" w:hAnsi="Arial" w:cs="Arial"/>
                <w:iCs/>
                <w:szCs w:val="23"/>
                <w:lang w:val="fr-CA"/>
              </w:rPr>
              <w:t>Deuxième</w:t>
            </w:r>
            <w:r w:rsidRPr="00376BB1">
              <w:rPr>
                <w:rFonts w:ascii="Arial" w:hAnsi="Arial" w:cs="Arial"/>
                <w:iCs/>
                <w:szCs w:val="23"/>
                <w:lang w:val="fr-CA"/>
              </w:rPr>
              <w:t xml:space="preserve"> protocole de modification</w:t>
            </w:r>
          </w:p>
        </w:tc>
        <w:tc>
          <w:tcPr>
            <w:tcW w:w="3060" w:type="dxa"/>
            <w:vAlign w:val="center"/>
          </w:tcPr>
          <w:p w14:paraId="26E99EC1" w14:textId="157AA0C7" w:rsidR="009A780E" w:rsidRDefault="00AD6574" w:rsidP="00085DAA">
            <w:pPr>
              <w:spacing w:before="120" w:after="120"/>
              <w:rPr>
                <w:rFonts w:ascii="Arial" w:hAnsi="Arial" w:cs="Arial"/>
                <w:szCs w:val="23"/>
                <w:lang w:val="fr-CA"/>
              </w:rPr>
            </w:pPr>
            <w:r>
              <w:rPr>
                <w:rFonts w:ascii="Arial" w:hAnsi="Arial" w:cs="Arial"/>
                <w:szCs w:val="23"/>
                <w:lang w:val="fr-CA"/>
              </w:rPr>
              <w:t>16</w:t>
            </w:r>
            <w:r w:rsidR="009A780E">
              <w:rPr>
                <w:rFonts w:ascii="Arial" w:hAnsi="Arial" w:cs="Arial"/>
                <w:szCs w:val="23"/>
                <w:lang w:val="fr-CA"/>
              </w:rPr>
              <w:t xml:space="preserve"> janvier 2024</w:t>
            </w:r>
          </w:p>
        </w:tc>
      </w:tr>
    </w:tbl>
    <w:p w14:paraId="1825BF6D" w14:textId="7664CFC2" w:rsidR="007D5668" w:rsidRDefault="007D5668">
      <w:pPr>
        <w:rPr>
          <w:rFonts w:cstheme="minorHAnsi"/>
          <w:szCs w:val="23"/>
          <w:lang w:val="fr-CA"/>
        </w:rPr>
      </w:pPr>
    </w:p>
    <w:p w14:paraId="1B900662" w14:textId="4BBB0F06" w:rsidR="007D5668" w:rsidRDefault="007D5668">
      <w:pPr>
        <w:rPr>
          <w:rFonts w:cstheme="minorHAnsi"/>
          <w:szCs w:val="23"/>
          <w:lang w:val="fr-CA"/>
        </w:rPr>
      </w:pPr>
      <w:r>
        <w:rPr>
          <w:rFonts w:cstheme="minorHAnsi"/>
          <w:szCs w:val="23"/>
          <w:lang w:val="fr-CA"/>
        </w:rPr>
        <w:br w:type="page"/>
      </w:r>
    </w:p>
    <w:p w14:paraId="623C2AA0" w14:textId="77777777" w:rsidR="00C22EBB" w:rsidRPr="00F52884" w:rsidRDefault="00C22EBB" w:rsidP="005F3F6E">
      <w:pPr>
        <w:jc w:val="center"/>
        <w:rPr>
          <w:rFonts w:cstheme="minorHAnsi"/>
          <w:szCs w:val="23"/>
          <w:lang w:val="fr-CA"/>
        </w:rPr>
      </w:pPr>
    </w:p>
    <w:p w14:paraId="5511D600" w14:textId="01B80C7C" w:rsidR="00C22EBB" w:rsidRPr="00F52884" w:rsidRDefault="00C22EBB" w:rsidP="005F3F6E">
      <w:pPr>
        <w:jc w:val="center"/>
        <w:rPr>
          <w:rFonts w:cstheme="minorHAnsi"/>
          <w:szCs w:val="23"/>
          <w:lang w:val="fr-CA"/>
        </w:rPr>
      </w:pPr>
    </w:p>
    <w:p w14:paraId="2CBF041C" w14:textId="77777777" w:rsidR="00C22EBB" w:rsidRPr="00F52884" w:rsidRDefault="00C22EBB" w:rsidP="005F3F6E">
      <w:pPr>
        <w:jc w:val="center"/>
        <w:rPr>
          <w:rFonts w:cstheme="minorHAnsi"/>
          <w:szCs w:val="23"/>
          <w:lang w:val="fr-CA"/>
        </w:rPr>
        <w:sectPr w:rsidR="00C22EBB" w:rsidRPr="00F52884" w:rsidSect="00925DBB">
          <w:headerReference w:type="default" r:id="rId13"/>
          <w:pgSz w:w="12240" w:h="15840"/>
          <w:pgMar w:top="1440" w:right="1440" w:bottom="1440" w:left="1440" w:header="708" w:footer="708" w:gutter="0"/>
          <w:cols w:space="708"/>
          <w:docGrid w:linePitch="360"/>
        </w:sectPr>
      </w:pPr>
    </w:p>
    <w:p w14:paraId="4CBE892E" w14:textId="02611989" w:rsidR="0034636D" w:rsidRPr="00F52884" w:rsidRDefault="00703FD9" w:rsidP="00DE0349">
      <w:pPr>
        <w:jc w:val="center"/>
        <w:rPr>
          <w:rFonts w:cstheme="minorHAnsi"/>
          <w:b/>
          <w:szCs w:val="23"/>
          <w:lang w:val="fr-CA"/>
        </w:rPr>
      </w:pPr>
      <w:r w:rsidRPr="00F52884">
        <w:rPr>
          <w:rFonts w:cstheme="minorHAnsi"/>
          <w:b/>
          <w:bCs/>
          <w:szCs w:val="23"/>
          <w:lang w:val="fr-CA"/>
        </w:rPr>
        <w:lastRenderedPageBreak/>
        <w:t>Table des matières</w:t>
      </w:r>
    </w:p>
    <w:p w14:paraId="44A18A5E" w14:textId="77777777" w:rsidR="0034636D" w:rsidRPr="00F52884" w:rsidRDefault="0034636D" w:rsidP="006819E6">
      <w:pPr>
        <w:jc w:val="right"/>
        <w:rPr>
          <w:rFonts w:cstheme="minorHAnsi"/>
          <w:b/>
          <w:szCs w:val="23"/>
          <w:lang w:val="fr-CA"/>
        </w:rPr>
      </w:pP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r>
      <w:r w:rsidRPr="00F52884">
        <w:rPr>
          <w:rFonts w:cstheme="minorHAnsi"/>
          <w:szCs w:val="23"/>
          <w:lang w:val="fr-CA"/>
        </w:rPr>
        <w:tab/>
        <w:t xml:space="preserve">             </w:t>
      </w:r>
      <w:r w:rsidRPr="00F52884">
        <w:rPr>
          <w:rFonts w:cstheme="minorHAnsi"/>
          <w:b/>
          <w:bCs/>
          <w:szCs w:val="23"/>
          <w:lang w:val="fr-CA"/>
        </w:rPr>
        <w:t>Page</w:t>
      </w:r>
    </w:p>
    <w:p w14:paraId="72892579" w14:textId="61F3EA2D" w:rsidR="00B305A0" w:rsidRDefault="0034636D">
      <w:pPr>
        <w:pStyle w:val="TOC2"/>
        <w:rPr>
          <w:rFonts w:eastAsiaTheme="minorEastAsia" w:cstheme="minorBidi"/>
          <w:b w:val="0"/>
          <w:bCs w:val="0"/>
          <w:noProof/>
          <w:kern w:val="2"/>
          <w:sz w:val="24"/>
          <w:szCs w:val="24"/>
          <w:lang w:eastAsia="en-CA"/>
          <w14:ligatures w14:val="standardContextual"/>
        </w:rPr>
      </w:pPr>
      <w:r w:rsidRPr="00F52884">
        <w:rPr>
          <w:szCs w:val="23"/>
          <w:lang w:val="fr-CA"/>
        </w:rPr>
        <w:fldChar w:fldCharType="begin"/>
      </w:r>
      <w:r w:rsidRPr="00F52884">
        <w:rPr>
          <w:szCs w:val="23"/>
          <w:lang w:val="fr-CA"/>
        </w:rPr>
        <w:instrText xml:space="preserve"> TOC \o "1-3" \h \z \u </w:instrText>
      </w:r>
      <w:r w:rsidRPr="00F52884">
        <w:rPr>
          <w:szCs w:val="23"/>
          <w:lang w:val="fr-CA"/>
        </w:rPr>
        <w:fldChar w:fldCharType="separate"/>
      </w:r>
      <w:hyperlink w:anchor="_Toc156311746" w:history="1">
        <w:r w:rsidR="00B305A0" w:rsidRPr="00180B20">
          <w:rPr>
            <w:rStyle w:val="Hyperlink"/>
            <w:rFonts w:eastAsia="Times New Roman"/>
            <w:noProof/>
            <w:lang w:val="fr-CA"/>
          </w:rPr>
          <w:t>Préambule</w:t>
        </w:r>
        <w:r w:rsidR="00B305A0">
          <w:rPr>
            <w:noProof/>
            <w:webHidden/>
          </w:rPr>
          <w:tab/>
        </w:r>
        <w:r w:rsidR="00B305A0">
          <w:rPr>
            <w:noProof/>
            <w:webHidden/>
          </w:rPr>
          <w:fldChar w:fldCharType="begin"/>
        </w:r>
        <w:r w:rsidR="00B305A0">
          <w:rPr>
            <w:noProof/>
            <w:webHidden/>
          </w:rPr>
          <w:instrText xml:space="preserve"> PAGEREF _Toc156311746 \h </w:instrText>
        </w:r>
        <w:r w:rsidR="00B305A0">
          <w:rPr>
            <w:noProof/>
            <w:webHidden/>
          </w:rPr>
        </w:r>
        <w:r w:rsidR="00B305A0">
          <w:rPr>
            <w:noProof/>
            <w:webHidden/>
          </w:rPr>
          <w:fldChar w:fldCharType="separate"/>
        </w:r>
        <w:r w:rsidR="001A56FE">
          <w:rPr>
            <w:noProof/>
            <w:webHidden/>
          </w:rPr>
          <w:t>1</w:t>
        </w:r>
        <w:r w:rsidR="00B305A0">
          <w:rPr>
            <w:noProof/>
            <w:webHidden/>
          </w:rPr>
          <w:fldChar w:fldCharType="end"/>
        </w:r>
      </w:hyperlink>
    </w:p>
    <w:p w14:paraId="126F8766" w14:textId="2D0D80BB"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47" w:history="1">
        <w:r w:rsidRPr="00180B20">
          <w:rPr>
            <w:rStyle w:val="Hyperlink"/>
            <w:noProof/>
            <w:lang w:val="fr-CA"/>
          </w:rPr>
          <w:t>PARTIE I – Dispositions initiales</w:t>
        </w:r>
        <w:r>
          <w:rPr>
            <w:noProof/>
            <w:webHidden/>
          </w:rPr>
          <w:tab/>
        </w:r>
        <w:r>
          <w:rPr>
            <w:noProof/>
            <w:webHidden/>
          </w:rPr>
          <w:fldChar w:fldCharType="begin"/>
        </w:r>
        <w:r>
          <w:rPr>
            <w:noProof/>
            <w:webHidden/>
          </w:rPr>
          <w:instrText xml:space="preserve"> PAGEREF _Toc156311747 \h </w:instrText>
        </w:r>
        <w:r>
          <w:rPr>
            <w:noProof/>
            <w:webHidden/>
          </w:rPr>
        </w:r>
        <w:r>
          <w:rPr>
            <w:noProof/>
            <w:webHidden/>
          </w:rPr>
          <w:fldChar w:fldCharType="separate"/>
        </w:r>
        <w:r w:rsidR="001A56FE">
          <w:rPr>
            <w:noProof/>
            <w:webHidden/>
          </w:rPr>
          <w:t>2</w:t>
        </w:r>
        <w:r>
          <w:rPr>
            <w:noProof/>
            <w:webHidden/>
          </w:rPr>
          <w:fldChar w:fldCharType="end"/>
        </w:r>
      </w:hyperlink>
    </w:p>
    <w:p w14:paraId="5BAA1205" w14:textId="6139EBF9"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48" w:history="1">
        <w:r w:rsidRPr="00180B20">
          <w:rPr>
            <w:rStyle w:val="Hyperlink"/>
            <w:noProof/>
            <w:lang w:val="fr-CA"/>
          </w:rPr>
          <w:t>Chapitre premier – Dispositions initiales</w:t>
        </w:r>
        <w:r>
          <w:rPr>
            <w:noProof/>
            <w:webHidden/>
          </w:rPr>
          <w:tab/>
        </w:r>
        <w:r>
          <w:rPr>
            <w:noProof/>
            <w:webHidden/>
          </w:rPr>
          <w:fldChar w:fldCharType="begin"/>
        </w:r>
        <w:r>
          <w:rPr>
            <w:noProof/>
            <w:webHidden/>
          </w:rPr>
          <w:instrText xml:space="preserve"> PAGEREF _Toc156311748 \h </w:instrText>
        </w:r>
        <w:r>
          <w:rPr>
            <w:noProof/>
            <w:webHidden/>
          </w:rPr>
        </w:r>
        <w:r>
          <w:rPr>
            <w:noProof/>
            <w:webHidden/>
          </w:rPr>
          <w:fldChar w:fldCharType="separate"/>
        </w:r>
        <w:r w:rsidR="001A56FE">
          <w:rPr>
            <w:noProof/>
            <w:webHidden/>
          </w:rPr>
          <w:t>2</w:t>
        </w:r>
        <w:r>
          <w:rPr>
            <w:noProof/>
            <w:webHidden/>
          </w:rPr>
          <w:fldChar w:fldCharType="end"/>
        </w:r>
      </w:hyperlink>
    </w:p>
    <w:p w14:paraId="26822BF9" w14:textId="5E0CE8B1"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49" w:history="1">
        <w:r w:rsidRPr="00180B20">
          <w:rPr>
            <w:rStyle w:val="Hyperlink"/>
            <w:rFonts w:ascii="Arial" w:eastAsia="Times New Roman" w:hAnsi="Arial" w:cs="Arial"/>
            <w:noProof/>
            <w:lang w:val="fr-CA"/>
          </w:rPr>
          <w:t>PARTIE II – RÈGLES GÉNÉRALES</w:t>
        </w:r>
        <w:r>
          <w:rPr>
            <w:noProof/>
            <w:webHidden/>
          </w:rPr>
          <w:tab/>
        </w:r>
        <w:r>
          <w:rPr>
            <w:noProof/>
            <w:webHidden/>
          </w:rPr>
          <w:fldChar w:fldCharType="begin"/>
        </w:r>
        <w:r>
          <w:rPr>
            <w:noProof/>
            <w:webHidden/>
          </w:rPr>
          <w:instrText xml:space="preserve"> PAGEREF _Toc156311749 \h </w:instrText>
        </w:r>
        <w:r>
          <w:rPr>
            <w:noProof/>
            <w:webHidden/>
          </w:rPr>
        </w:r>
        <w:r>
          <w:rPr>
            <w:noProof/>
            <w:webHidden/>
          </w:rPr>
          <w:fldChar w:fldCharType="separate"/>
        </w:r>
        <w:r w:rsidR="001A56FE">
          <w:rPr>
            <w:noProof/>
            <w:webHidden/>
          </w:rPr>
          <w:t>4</w:t>
        </w:r>
        <w:r>
          <w:rPr>
            <w:noProof/>
            <w:webHidden/>
          </w:rPr>
          <w:fldChar w:fldCharType="end"/>
        </w:r>
      </w:hyperlink>
    </w:p>
    <w:p w14:paraId="6ADDC758" w14:textId="4A37E5A9"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50" w:history="1">
        <w:r w:rsidRPr="00180B20">
          <w:rPr>
            <w:rStyle w:val="Hyperlink"/>
            <w:rFonts w:ascii="Arial" w:eastAsia="Times New Roman" w:hAnsi="Arial" w:cs="Arial"/>
            <w:noProof/>
            <w:lang w:val="fr-CA"/>
          </w:rPr>
          <w:t>Chapitre Deux – Règles générales</w:t>
        </w:r>
        <w:r>
          <w:rPr>
            <w:noProof/>
            <w:webHidden/>
          </w:rPr>
          <w:tab/>
        </w:r>
        <w:r>
          <w:rPr>
            <w:noProof/>
            <w:webHidden/>
          </w:rPr>
          <w:fldChar w:fldCharType="begin"/>
        </w:r>
        <w:r>
          <w:rPr>
            <w:noProof/>
            <w:webHidden/>
          </w:rPr>
          <w:instrText xml:space="preserve"> PAGEREF _Toc156311750 \h </w:instrText>
        </w:r>
        <w:r>
          <w:rPr>
            <w:noProof/>
            <w:webHidden/>
          </w:rPr>
        </w:r>
        <w:r>
          <w:rPr>
            <w:noProof/>
            <w:webHidden/>
          </w:rPr>
          <w:fldChar w:fldCharType="separate"/>
        </w:r>
        <w:r w:rsidR="001A56FE">
          <w:rPr>
            <w:noProof/>
            <w:webHidden/>
          </w:rPr>
          <w:t>4</w:t>
        </w:r>
        <w:r>
          <w:rPr>
            <w:noProof/>
            <w:webHidden/>
          </w:rPr>
          <w:fldChar w:fldCharType="end"/>
        </w:r>
      </w:hyperlink>
    </w:p>
    <w:p w14:paraId="59357DA4" w14:textId="08706BA5"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51" w:history="1">
        <w:r w:rsidRPr="00180B20">
          <w:rPr>
            <w:rStyle w:val="Hyperlink"/>
            <w:rFonts w:eastAsia="Times New Roman" w:cstheme="minorHAnsi"/>
            <w:noProof/>
            <w:lang w:val="fr-CA"/>
          </w:rPr>
          <w:t>PARTIE III – RÈGLES SPÉCIFIQUES</w:t>
        </w:r>
        <w:r>
          <w:rPr>
            <w:noProof/>
            <w:webHidden/>
          </w:rPr>
          <w:tab/>
        </w:r>
        <w:r>
          <w:rPr>
            <w:noProof/>
            <w:webHidden/>
          </w:rPr>
          <w:fldChar w:fldCharType="begin"/>
        </w:r>
        <w:r>
          <w:rPr>
            <w:noProof/>
            <w:webHidden/>
          </w:rPr>
          <w:instrText xml:space="preserve"> PAGEREF _Toc156311751 \h </w:instrText>
        </w:r>
        <w:r>
          <w:rPr>
            <w:noProof/>
            <w:webHidden/>
          </w:rPr>
        </w:r>
        <w:r>
          <w:rPr>
            <w:noProof/>
            <w:webHidden/>
          </w:rPr>
          <w:fldChar w:fldCharType="separate"/>
        </w:r>
        <w:r w:rsidR="001A56FE">
          <w:rPr>
            <w:noProof/>
            <w:webHidden/>
          </w:rPr>
          <w:t>7</w:t>
        </w:r>
        <w:r>
          <w:rPr>
            <w:noProof/>
            <w:webHidden/>
          </w:rPr>
          <w:fldChar w:fldCharType="end"/>
        </w:r>
      </w:hyperlink>
    </w:p>
    <w:p w14:paraId="7421F463" w14:textId="7923C22E"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52" w:history="1">
        <w:r w:rsidRPr="00180B20">
          <w:rPr>
            <w:rStyle w:val="Hyperlink"/>
            <w:rFonts w:eastAsia="Times New Roman"/>
            <w:noProof/>
            <w:lang w:val="fr-CA"/>
          </w:rPr>
          <w:t>Chapitre Trois – Dispositions particulières</w:t>
        </w:r>
        <w:r>
          <w:rPr>
            <w:noProof/>
            <w:webHidden/>
          </w:rPr>
          <w:tab/>
        </w:r>
        <w:r>
          <w:rPr>
            <w:noProof/>
            <w:webHidden/>
          </w:rPr>
          <w:fldChar w:fldCharType="begin"/>
        </w:r>
        <w:r>
          <w:rPr>
            <w:noProof/>
            <w:webHidden/>
          </w:rPr>
          <w:instrText xml:space="preserve"> PAGEREF _Toc156311752 \h </w:instrText>
        </w:r>
        <w:r>
          <w:rPr>
            <w:noProof/>
            <w:webHidden/>
          </w:rPr>
        </w:r>
        <w:r>
          <w:rPr>
            <w:noProof/>
            <w:webHidden/>
          </w:rPr>
          <w:fldChar w:fldCharType="separate"/>
        </w:r>
        <w:r w:rsidR="001A56FE">
          <w:rPr>
            <w:noProof/>
            <w:webHidden/>
          </w:rPr>
          <w:t>7</w:t>
        </w:r>
        <w:r>
          <w:rPr>
            <w:noProof/>
            <w:webHidden/>
          </w:rPr>
          <w:fldChar w:fldCharType="end"/>
        </w:r>
      </w:hyperlink>
    </w:p>
    <w:p w14:paraId="55A964D0" w14:textId="24951F85" w:rsidR="00B305A0" w:rsidRDefault="00B305A0">
      <w:pPr>
        <w:pStyle w:val="TOC3"/>
        <w:tabs>
          <w:tab w:val="left" w:pos="1200"/>
        </w:tabs>
        <w:rPr>
          <w:rFonts w:eastAsiaTheme="minorEastAsia" w:cstheme="minorBidi"/>
          <w:kern w:val="2"/>
          <w:sz w:val="24"/>
          <w:szCs w:val="24"/>
          <w:lang w:val="en-CA" w:eastAsia="en-CA"/>
          <w14:ligatures w14:val="standardContextual"/>
        </w:rPr>
      </w:pPr>
      <w:hyperlink w:anchor="_Toc156311753" w:history="1">
        <w:r w:rsidRPr="00180B20">
          <w:rPr>
            <w:rStyle w:val="Hyperlink"/>
          </w:rPr>
          <w:t xml:space="preserve">PARTIE A : </w:t>
        </w:r>
        <w:r>
          <w:rPr>
            <w:rFonts w:eastAsiaTheme="minorEastAsia" w:cstheme="minorBidi"/>
            <w:kern w:val="2"/>
            <w:sz w:val="24"/>
            <w:szCs w:val="24"/>
            <w:lang w:val="en-CA" w:eastAsia="en-CA"/>
            <w14:ligatures w14:val="standardContextual"/>
          </w:rPr>
          <w:tab/>
        </w:r>
        <w:r w:rsidRPr="00180B20">
          <w:rPr>
            <w:rStyle w:val="Hyperlink"/>
          </w:rPr>
          <w:t xml:space="preserve"> Produits</w:t>
        </w:r>
        <w:r>
          <w:rPr>
            <w:webHidden/>
          </w:rPr>
          <w:tab/>
        </w:r>
        <w:r>
          <w:rPr>
            <w:webHidden/>
          </w:rPr>
          <w:fldChar w:fldCharType="begin"/>
        </w:r>
        <w:r>
          <w:rPr>
            <w:webHidden/>
          </w:rPr>
          <w:instrText xml:space="preserve"> PAGEREF _Toc156311753 \h </w:instrText>
        </w:r>
        <w:r>
          <w:rPr>
            <w:webHidden/>
          </w:rPr>
        </w:r>
        <w:r>
          <w:rPr>
            <w:webHidden/>
          </w:rPr>
          <w:fldChar w:fldCharType="separate"/>
        </w:r>
        <w:r w:rsidR="001A56FE">
          <w:rPr>
            <w:webHidden/>
          </w:rPr>
          <w:t>8</w:t>
        </w:r>
        <w:r>
          <w:rPr>
            <w:webHidden/>
          </w:rPr>
          <w:fldChar w:fldCharType="end"/>
        </w:r>
      </w:hyperlink>
    </w:p>
    <w:p w14:paraId="5E8D5A4D" w14:textId="40570C3F" w:rsidR="00B305A0" w:rsidRDefault="00B305A0">
      <w:pPr>
        <w:pStyle w:val="TOC3"/>
        <w:tabs>
          <w:tab w:val="left" w:pos="1200"/>
        </w:tabs>
        <w:rPr>
          <w:rFonts w:eastAsiaTheme="minorEastAsia" w:cstheme="minorBidi"/>
          <w:kern w:val="2"/>
          <w:sz w:val="24"/>
          <w:szCs w:val="24"/>
          <w:lang w:val="en-CA" w:eastAsia="en-CA"/>
          <w14:ligatures w14:val="standardContextual"/>
        </w:rPr>
      </w:pPr>
      <w:hyperlink w:anchor="_Toc156311754" w:history="1">
        <w:r w:rsidRPr="00180B20">
          <w:rPr>
            <w:rStyle w:val="Hyperlink"/>
          </w:rPr>
          <w:t>PARTIE B :</w:t>
        </w:r>
        <w:r>
          <w:rPr>
            <w:rFonts w:eastAsiaTheme="minorEastAsia" w:cstheme="minorBidi"/>
            <w:kern w:val="2"/>
            <w:sz w:val="24"/>
            <w:szCs w:val="24"/>
            <w:lang w:val="en-CA" w:eastAsia="en-CA"/>
            <w14:ligatures w14:val="standardContextual"/>
          </w:rPr>
          <w:tab/>
        </w:r>
        <w:r w:rsidRPr="00180B20">
          <w:rPr>
            <w:rStyle w:val="Hyperlink"/>
          </w:rPr>
          <w:t xml:space="preserve"> Services</w:t>
        </w:r>
        <w:r>
          <w:rPr>
            <w:webHidden/>
          </w:rPr>
          <w:tab/>
        </w:r>
        <w:r>
          <w:rPr>
            <w:webHidden/>
          </w:rPr>
          <w:fldChar w:fldCharType="begin"/>
        </w:r>
        <w:r>
          <w:rPr>
            <w:webHidden/>
          </w:rPr>
          <w:instrText xml:space="preserve"> PAGEREF _Toc156311754 \h </w:instrText>
        </w:r>
        <w:r>
          <w:rPr>
            <w:webHidden/>
          </w:rPr>
        </w:r>
        <w:r>
          <w:rPr>
            <w:webHidden/>
          </w:rPr>
          <w:fldChar w:fldCharType="separate"/>
        </w:r>
        <w:r w:rsidR="001A56FE">
          <w:rPr>
            <w:webHidden/>
          </w:rPr>
          <w:t>12</w:t>
        </w:r>
        <w:r>
          <w:rPr>
            <w:webHidden/>
          </w:rPr>
          <w:fldChar w:fldCharType="end"/>
        </w:r>
      </w:hyperlink>
    </w:p>
    <w:p w14:paraId="6FCE1489" w14:textId="7BABD3AC" w:rsidR="00B305A0" w:rsidRDefault="00B305A0">
      <w:pPr>
        <w:pStyle w:val="TOC3"/>
        <w:tabs>
          <w:tab w:val="left" w:pos="1200"/>
        </w:tabs>
        <w:rPr>
          <w:rFonts w:eastAsiaTheme="minorEastAsia" w:cstheme="minorBidi"/>
          <w:kern w:val="2"/>
          <w:sz w:val="24"/>
          <w:szCs w:val="24"/>
          <w:lang w:val="en-CA" w:eastAsia="en-CA"/>
          <w14:ligatures w14:val="standardContextual"/>
        </w:rPr>
      </w:pPr>
      <w:hyperlink w:anchor="_Toc156311755" w:history="1">
        <w:r w:rsidRPr="00180B20">
          <w:rPr>
            <w:rStyle w:val="Hyperlink"/>
          </w:rPr>
          <w:t xml:space="preserve">PARTIE C : </w:t>
        </w:r>
        <w:r>
          <w:rPr>
            <w:rFonts w:eastAsiaTheme="minorEastAsia" w:cstheme="minorBidi"/>
            <w:kern w:val="2"/>
            <w:sz w:val="24"/>
            <w:szCs w:val="24"/>
            <w:lang w:val="en-CA" w:eastAsia="en-CA"/>
            <w14:ligatures w14:val="standardContextual"/>
          </w:rPr>
          <w:tab/>
        </w:r>
        <w:r w:rsidRPr="00180B20">
          <w:rPr>
            <w:rStyle w:val="Hyperlink"/>
          </w:rPr>
          <w:t xml:space="preserve"> Investissement</w:t>
        </w:r>
        <w:r>
          <w:rPr>
            <w:webHidden/>
          </w:rPr>
          <w:tab/>
        </w:r>
        <w:r>
          <w:rPr>
            <w:webHidden/>
          </w:rPr>
          <w:fldChar w:fldCharType="begin"/>
        </w:r>
        <w:r>
          <w:rPr>
            <w:webHidden/>
          </w:rPr>
          <w:instrText xml:space="preserve"> PAGEREF _Toc156311755 \h </w:instrText>
        </w:r>
        <w:r>
          <w:rPr>
            <w:webHidden/>
          </w:rPr>
        </w:r>
        <w:r>
          <w:rPr>
            <w:webHidden/>
          </w:rPr>
          <w:fldChar w:fldCharType="separate"/>
        </w:r>
        <w:r w:rsidR="001A56FE">
          <w:rPr>
            <w:webHidden/>
          </w:rPr>
          <w:t>15</w:t>
        </w:r>
        <w:r>
          <w:rPr>
            <w:webHidden/>
          </w:rPr>
          <w:fldChar w:fldCharType="end"/>
        </w:r>
      </w:hyperlink>
    </w:p>
    <w:p w14:paraId="4FF6C06F" w14:textId="1B174D46" w:rsidR="00B305A0" w:rsidRDefault="00B305A0">
      <w:pPr>
        <w:pStyle w:val="TOC3"/>
        <w:tabs>
          <w:tab w:val="left" w:pos="1200"/>
        </w:tabs>
        <w:rPr>
          <w:rFonts w:eastAsiaTheme="minorEastAsia" w:cstheme="minorBidi"/>
          <w:kern w:val="2"/>
          <w:sz w:val="24"/>
          <w:szCs w:val="24"/>
          <w:lang w:val="en-CA" w:eastAsia="en-CA"/>
          <w14:ligatures w14:val="standardContextual"/>
        </w:rPr>
      </w:pPr>
      <w:hyperlink w:anchor="_Toc156311756" w:history="1">
        <w:r w:rsidRPr="00180B20">
          <w:rPr>
            <w:rStyle w:val="Hyperlink"/>
          </w:rPr>
          <w:t xml:space="preserve">PARTIE D : </w:t>
        </w:r>
        <w:r>
          <w:rPr>
            <w:rFonts w:eastAsiaTheme="minorEastAsia" w:cstheme="minorBidi"/>
            <w:kern w:val="2"/>
            <w:sz w:val="24"/>
            <w:szCs w:val="24"/>
            <w:lang w:val="en-CA" w:eastAsia="en-CA"/>
            <w14:ligatures w14:val="standardContextual"/>
          </w:rPr>
          <w:tab/>
        </w:r>
        <w:r w:rsidRPr="00180B20">
          <w:rPr>
            <w:rStyle w:val="Hyperlink"/>
          </w:rPr>
          <w:t xml:space="preserve"> Monopoles et entreprises publiques — Activités commerciales</w:t>
        </w:r>
        <w:r>
          <w:rPr>
            <w:webHidden/>
          </w:rPr>
          <w:tab/>
        </w:r>
        <w:r>
          <w:rPr>
            <w:webHidden/>
          </w:rPr>
          <w:fldChar w:fldCharType="begin"/>
        </w:r>
        <w:r>
          <w:rPr>
            <w:webHidden/>
          </w:rPr>
          <w:instrText xml:space="preserve"> PAGEREF _Toc156311756 \h </w:instrText>
        </w:r>
        <w:r>
          <w:rPr>
            <w:webHidden/>
          </w:rPr>
        </w:r>
        <w:r>
          <w:rPr>
            <w:webHidden/>
          </w:rPr>
          <w:fldChar w:fldCharType="separate"/>
        </w:r>
        <w:r w:rsidR="001A56FE">
          <w:rPr>
            <w:webHidden/>
          </w:rPr>
          <w:t>18</w:t>
        </w:r>
        <w:r>
          <w:rPr>
            <w:webHidden/>
          </w:rPr>
          <w:fldChar w:fldCharType="end"/>
        </w:r>
      </w:hyperlink>
    </w:p>
    <w:p w14:paraId="4841351F" w14:textId="51B505DF" w:rsidR="00B305A0" w:rsidRDefault="00B305A0">
      <w:pPr>
        <w:pStyle w:val="TOC3"/>
        <w:tabs>
          <w:tab w:val="left" w:pos="1200"/>
        </w:tabs>
        <w:rPr>
          <w:rFonts w:eastAsiaTheme="minorEastAsia" w:cstheme="minorBidi"/>
          <w:kern w:val="2"/>
          <w:sz w:val="24"/>
          <w:szCs w:val="24"/>
          <w:lang w:val="en-CA" w:eastAsia="en-CA"/>
          <w14:ligatures w14:val="standardContextual"/>
        </w:rPr>
      </w:pPr>
      <w:hyperlink w:anchor="_Toc156311757" w:history="1">
        <w:r w:rsidRPr="00180B20">
          <w:rPr>
            <w:rStyle w:val="Hyperlink"/>
          </w:rPr>
          <w:t xml:space="preserve">PARTIE E : </w:t>
        </w:r>
        <w:r>
          <w:rPr>
            <w:rFonts w:eastAsiaTheme="minorEastAsia" w:cstheme="minorBidi"/>
            <w:kern w:val="2"/>
            <w:sz w:val="24"/>
            <w:szCs w:val="24"/>
            <w:lang w:val="en-CA" w:eastAsia="en-CA"/>
            <w14:ligatures w14:val="standardContextual"/>
          </w:rPr>
          <w:tab/>
        </w:r>
        <w:r w:rsidRPr="00180B20">
          <w:rPr>
            <w:rStyle w:val="Hyperlink"/>
          </w:rPr>
          <w:t xml:space="preserve"> Stimulants</w:t>
        </w:r>
        <w:r>
          <w:rPr>
            <w:webHidden/>
          </w:rPr>
          <w:tab/>
        </w:r>
        <w:r>
          <w:rPr>
            <w:webHidden/>
          </w:rPr>
          <w:fldChar w:fldCharType="begin"/>
        </w:r>
        <w:r>
          <w:rPr>
            <w:webHidden/>
          </w:rPr>
          <w:instrText xml:space="preserve"> PAGEREF _Toc156311757 \h </w:instrText>
        </w:r>
        <w:r>
          <w:rPr>
            <w:webHidden/>
          </w:rPr>
        </w:r>
        <w:r>
          <w:rPr>
            <w:webHidden/>
          </w:rPr>
          <w:fldChar w:fldCharType="separate"/>
        </w:r>
        <w:r w:rsidR="001A56FE">
          <w:rPr>
            <w:webHidden/>
          </w:rPr>
          <w:t>20</w:t>
        </w:r>
        <w:r>
          <w:rPr>
            <w:webHidden/>
          </w:rPr>
          <w:fldChar w:fldCharType="end"/>
        </w:r>
      </w:hyperlink>
    </w:p>
    <w:p w14:paraId="089FB517" w14:textId="62A65E2E"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58" w:history="1">
        <w:r w:rsidRPr="00180B20">
          <w:rPr>
            <w:rStyle w:val="Hyperlink"/>
            <w:noProof/>
            <w:lang w:val="fr-CA"/>
          </w:rPr>
          <w:t>Chapitre Quatre – Notification, conciliation et coopération en matière de réglementation</w:t>
        </w:r>
        <w:r>
          <w:rPr>
            <w:noProof/>
            <w:webHidden/>
          </w:rPr>
          <w:tab/>
        </w:r>
        <w:r>
          <w:rPr>
            <w:noProof/>
            <w:webHidden/>
          </w:rPr>
          <w:fldChar w:fldCharType="begin"/>
        </w:r>
        <w:r>
          <w:rPr>
            <w:noProof/>
            <w:webHidden/>
          </w:rPr>
          <w:instrText xml:space="preserve"> PAGEREF _Toc156311758 \h </w:instrText>
        </w:r>
        <w:r>
          <w:rPr>
            <w:noProof/>
            <w:webHidden/>
          </w:rPr>
        </w:r>
        <w:r>
          <w:rPr>
            <w:noProof/>
            <w:webHidden/>
          </w:rPr>
          <w:fldChar w:fldCharType="separate"/>
        </w:r>
        <w:r w:rsidR="001A56FE">
          <w:rPr>
            <w:noProof/>
            <w:webHidden/>
          </w:rPr>
          <w:t>30</w:t>
        </w:r>
        <w:r>
          <w:rPr>
            <w:noProof/>
            <w:webHidden/>
          </w:rPr>
          <w:fldChar w:fldCharType="end"/>
        </w:r>
      </w:hyperlink>
    </w:p>
    <w:p w14:paraId="71F2EA20" w14:textId="4D61BA89"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59" w:history="1">
        <w:r w:rsidRPr="00180B20">
          <w:rPr>
            <w:rStyle w:val="Hyperlink"/>
            <w:noProof/>
            <w:lang w:val="fr-CA"/>
          </w:rPr>
          <w:t>Chapitre Cinq – Marchés publics</w:t>
        </w:r>
        <w:r>
          <w:rPr>
            <w:noProof/>
            <w:webHidden/>
          </w:rPr>
          <w:tab/>
        </w:r>
        <w:r>
          <w:rPr>
            <w:noProof/>
            <w:webHidden/>
          </w:rPr>
          <w:fldChar w:fldCharType="begin"/>
        </w:r>
        <w:r>
          <w:rPr>
            <w:noProof/>
            <w:webHidden/>
          </w:rPr>
          <w:instrText xml:space="preserve"> PAGEREF _Toc156311759 \h </w:instrText>
        </w:r>
        <w:r>
          <w:rPr>
            <w:noProof/>
            <w:webHidden/>
          </w:rPr>
        </w:r>
        <w:r>
          <w:rPr>
            <w:noProof/>
            <w:webHidden/>
          </w:rPr>
          <w:fldChar w:fldCharType="separate"/>
        </w:r>
        <w:r w:rsidR="001A56FE">
          <w:rPr>
            <w:noProof/>
            <w:webHidden/>
          </w:rPr>
          <w:t>36</w:t>
        </w:r>
        <w:r>
          <w:rPr>
            <w:noProof/>
            <w:webHidden/>
          </w:rPr>
          <w:fldChar w:fldCharType="end"/>
        </w:r>
      </w:hyperlink>
    </w:p>
    <w:p w14:paraId="0F0CC55D" w14:textId="19894FE8" w:rsidR="00B305A0" w:rsidRDefault="00B305A0">
      <w:pPr>
        <w:pStyle w:val="TOC3"/>
        <w:rPr>
          <w:rFonts w:eastAsiaTheme="minorEastAsia" w:cstheme="minorBidi"/>
          <w:kern w:val="2"/>
          <w:sz w:val="24"/>
          <w:szCs w:val="24"/>
          <w:lang w:val="en-CA" w:eastAsia="en-CA"/>
          <w14:ligatures w14:val="standardContextual"/>
        </w:rPr>
      </w:pPr>
      <w:hyperlink w:anchor="_Toc156311760" w:history="1">
        <w:r w:rsidRPr="00180B20">
          <w:rPr>
            <w:rStyle w:val="Hyperlink"/>
          </w:rPr>
          <w:t>Liste du Canada</w:t>
        </w:r>
        <w:r>
          <w:rPr>
            <w:webHidden/>
          </w:rPr>
          <w:tab/>
        </w:r>
        <w:r>
          <w:rPr>
            <w:webHidden/>
          </w:rPr>
          <w:fldChar w:fldCharType="begin"/>
        </w:r>
        <w:r>
          <w:rPr>
            <w:webHidden/>
          </w:rPr>
          <w:instrText xml:space="preserve"> PAGEREF _Toc156311760 \h </w:instrText>
        </w:r>
        <w:r>
          <w:rPr>
            <w:webHidden/>
          </w:rPr>
        </w:r>
        <w:r>
          <w:rPr>
            <w:webHidden/>
          </w:rPr>
          <w:fldChar w:fldCharType="separate"/>
        </w:r>
        <w:r w:rsidR="001A56FE">
          <w:rPr>
            <w:webHidden/>
          </w:rPr>
          <w:t>61</w:t>
        </w:r>
        <w:r>
          <w:rPr>
            <w:webHidden/>
          </w:rPr>
          <w:fldChar w:fldCharType="end"/>
        </w:r>
      </w:hyperlink>
    </w:p>
    <w:p w14:paraId="77FC3E73" w14:textId="650BBC72" w:rsidR="00B305A0" w:rsidRDefault="00B305A0">
      <w:pPr>
        <w:pStyle w:val="TOC3"/>
        <w:rPr>
          <w:rFonts w:eastAsiaTheme="minorEastAsia" w:cstheme="minorBidi"/>
          <w:kern w:val="2"/>
          <w:sz w:val="24"/>
          <w:szCs w:val="24"/>
          <w:lang w:val="en-CA" w:eastAsia="en-CA"/>
          <w14:ligatures w14:val="standardContextual"/>
        </w:rPr>
      </w:pPr>
      <w:hyperlink w:anchor="_Toc156311761" w:history="1">
        <w:r w:rsidRPr="00180B20">
          <w:rPr>
            <w:rStyle w:val="Hyperlink"/>
          </w:rPr>
          <w:t>Liste de l’Ontario</w:t>
        </w:r>
        <w:r>
          <w:rPr>
            <w:webHidden/>
          </w:rPr>
          <w:tab/>
        </w:r>
        <w:r>
          <w:rPr>
            <w:webHidden/>
          </w:rPr>
          <w:fldChar w:fldCharType="begin"/>
        </w:r>
        <w:r>
          <w:rPr>
            <w:webHidden/>
          </w:rPr>
          <w:instrText xml:space="preserve"> PAGEREF _Toc156311761 \h </w:instrText>
        </w:r>
        <w:r>
          <w:rPr>
            <w:webHidden/>
          </w:rPr>
        </w:r>
        <w:r>
          <w:rPr>
            <w:webHidden/>
          </w:rPr>
          <w:fldChar w:fldCharType="separate"/>
        </w:r>
        <w:r w:rsidR="001A56FE">
          <w:rPr>
            <w:webHidden/>
          </w:rPr>
          <w:t>64</w:t>
        </w:r>
        <w:r>
          <w:rPr>
            <w:webHidden/>
          </w:rPr>
          <w:fldChar w:fldCharType="end"/>
        </w:r>
      </w:hyperlink>
    </w:p>
    <w:p w14:paraId="22F4AE6D" w14:textId="2FCE2099" w:rsidR="00B305A0" w:rsidRDefault="00B305A0">
      <w:pPr>
        <w:pStyle w:val="TOC3"/>
        <w:rPr>
          <w:rFonts w:eastAsiaTheme="minorEastAsia" w:cstheme="minorBidi"/>
          <w:kern w:val="2"/>
          <w:sz w:val="24"/>
          <w:szCs w:val="24"/>
          <w:lang w:val="en-CA" w:eastAsia="en-CA"/>
          <w14:ligatures w14:val="standardContextual"/>
        </w:rPr>
      </w:pPr>
      <w:hyperlink w:anchor="_Toc156311762" w:history="1">
        <w:r w:rsidRPr="00180B20">
          <w:rPr>
            <w:rStyle w:val="Hyperlink"/>
          </w:rPr>
          <w:t>Liste du Québec</w:t>
        </w:r>
        <w:r>
          <w:rPr>
            <w:webHidden/>
          </w:rPr>
          <w:tab/>
        </w:r>
        <w:r>
          <w:rPr>
            <w:webHidden/>
          </w:rPr>
          <w:fldChar w:fldCharType="begin"/>
        </w:r>
        <w:r>
          <w:rPr>
            <w:webHidden/>
          </w:rPr>
          <w:instrText xml:space="preserve"> PAGEREF _Toc156311762 \h </w:instrText>
        </w:r>
        <w:r>
          <w:rPr>
            <w:webHidden/>
          </w:rPr>
        </w:r>
        <w:r>
          <w:rPr>
            <w:webHidden/>
          </w:rPr>
          <w:fldChar w:fldCharType="separate"/>
        </w:r>
        <w:r w:rsidR="001A56FE">
          <w:rPr>
            <w:webHidden/>
          </w:rPr>
          <w:t>65</w:t>
        </w:r>
        <w:r>
          <w:rPr>
            <w:webHidden/>
          </w:rPr>
          <w:fldChar w:fldCharType="end"/>
        </w:r>
      </w:hyperlink>
    </w:p>
    <w:p w14:paraId="1FD44DC3" w14:textId="5BAA9C96" w:rsidR="00B305A0" w:rsidRDefault="00B305A0">
      <w:pPr>
        <w:pStyle w:val="TOC3"/>
        <w:rPr>
          <w:rFonts w:eastAsiaTheme="minorEastAsia" w:cstheme="minorBidi"/>
          <w:kern w:val="2"/>
          <w:sz w:val="24"/>
          <w:szCs w:val="24"/>
          <w:lang w:val="en-CA" w:eastAsia="en-CA"/>
          <w14:ligatures w14:val="standardContextual"/>
        </w:rPr>
      </w:pPr>
      <w:hyperlink w:anchor="_Toc156311763" w:history="1">
        <w:r w:rsidRPr="00180B20">
          <w:rPr>
            <w:rStyle w:val="Hyperlink"/>
          </w:rPr>
          <w:t>Liste de la Nouvelle-Écosse</w:t>
        </w:r>
        <w:r>
          <w:rPr>
            <w:webHidden/>
          </w:rPr>
          <w:tab/>
        </w:r>
        <w:r>
          <w:rPr>
            <w:webHidden/>
          </w:rPr>
          <w:fldChar w:fldCharType="begin"/>
        </w:r>
        <w:r>
          <w:rPr>
            <w:webHidden/>
          </w:rPr>
          <w:instrText xml:space="preserve"> PAGEREF _Toc156311763 \h </w:instrText>
        </w:r>
        <w:r>
          <w:rPr>
            <w:webHidden/>
          </w:rPr>
        </w:r>
        <w:r>
          <w:rPr>
            <w:webHidden/>
          </w:rPr>
          <w:fldChar w:fldCharType="separate"/>
        </w:r>
        <w:r w:rsidR="001A56FE">
          <w:rPr>
            <w:webHidden/>
          </w:rPr>
          <w:t>67</w:t>
        </w:r>
        <w:r>
          <w:rPr>
            <w:webHidden/>
          </w:rPr>
          <w:fldChar w:fldCharType="end"/>
        </w:r>
      </w:hyperlink>
    </w:p>
    <w:p w14:paraId="2EB7F43A" w14:textId="0C64368E" w:rsidR="00B305A0" w:rsidRDefault="00B305A0">
      <w:pPr>
        <w:pStyle w:val="TOC3"/>
        <w:rPr>
          <w:rFonts w:eastAsiaTheme="minorEastAsia" w:cstheme="minorBidi"/>
          <w:kern w:val="2"/>
          <w:sz w:val="24"/>
          <w:szCs w:val="24"/>
          <w:lang w:val="en-CA" w:eastAsia="en-CA"/>
          <w14:ligatures w14:val="standardContextual"/>
        </w:rPr>
      </w:pPr>
      <w:hyperlink w:anchor="_Toc156311764" w:history="1">
        <w:r w:rsidRPr="00180B20">
          <w:rPr>
            <w:rStyle w:val="Hyperlink"/>
          </w:rPr>
          <w:t>Liste du Nouveau-Brunswick</w:t>
        </w:r>
        <w:r>
          <w:rPr>
            <w:webHidden/>
          </w:rPr>
          <w:tab/>
        </w:r>
        <w:r>
          <w:rPr>
            <w:webHidden/>
          </w:rPr>
          <w:fldChar w:fldCharType="begin"/>
        </w:r>
        <w:r>
          <w:rPr>
            <w:webHidden/>
          </w:rPr>
          <w:instrText xml:space="preserve"> PAGEREF _Toc156311764 \h </w:instrText>
        </w:r>
        <w:r>
          <w:rPr>
            <w:webHidden/>
          </w:rPr>
        </w:r>
        <w:r>
          <w:rPr>
            <w:webHidden/>
          </w:rPr>
          <w:fldChar w:fldCharType="separate"/>
        </w:r>
        <w:r w:rsidR="001A56FE">
          <w:rPr>
            <w:webHidden/>
          </w:rPr>
          <w:t>69</w:t>
        </w:r>
        <w:r>
          <w:rPr>
            <w:webHidden/>
          </w:rPr>
          <w:fldChar w:fldCharType="end"/>
        </w:r>
      </w:hyperlink>
    </w:p>
    <w:p w14:paraId="62212C5C" w14:textId="04F04D10" w:rsidR="00B305A0" w:rsidRDefault="00B305A0">
      <w:pPr>
        <w:pStyle w:val="TOC3"/>
        <w:rPr>
          <w:rFonts w:eastAsiaTheme="minorEastAsia" w:cstheme="minorBidi"/>
          <w:kern w:val="2"/>
          <w:sz w:val="24"/>
          <w:szCs w:val="24"/>
          <w:lang w:val="en-CA" w:eastAsia="en-CA"/>
          <w14:ligatures w14:val="standardContextual"/>
        </w:rPr>
      </w:pPr>
      <w:hyperlink w:anchor="_Toc156311765" w:history="1">
        <w:r w:rsidRPr="00180B20">
          <w:rPr>
            <w:rStyle w:val="Hyperlink"/>
          </w:rPr>
          <w:t>Liste du Manitoba</w:t>
        </w:r>
        <w:r>
          <w:rPr>
            <w:webHidden/>
          </w:rPr>
          <w:tab/>
        </w:r>
        <w:r>
          <w:rPr>
            <w:webHidden/>
          </w:rPr>
          <w:fldChar w:fldCharType="begin"/>
        </w:r>
        <w:r>
          <w:rPr>
            <w:webHidden/>
          </w:rPr>
          <w:instrText xml:space="preserve"> PAGEREF _Toc156311765 \h </w:instrText>
        </w:r>
        <w:r>
          <w:rPr>
            <w:webHidden/>
          </w:rPr>
        </w:r>
        <w:r>
          <w:rPr>
            <w:webHidden/>
          </w:rPr>
          <w:fldChar w:fldCharType="separate"/>
        </w:r>
        <w:r w:rsidR="001A56FE">
          <w:rPr>
            <w:webHidden/>
          </w:rPr>
          <w:t>72</w:t>
        </w:r>
        <w:r>
          <w:rPr>
            <w:webHidden/>
          </w:rPr>
          <w:fldChar w:fldCharType="end"/>
        </w:r>
      </w:hyperlink>
    </w:p>
    <w:p w14:paraId="2DAFB6B7" w14:textId="6928BA0E" w:rsidR="00B305A0" w:rsidRDefault="00B305A0">
      <w:pPr>
        <w:pStyle w:val="TOC3"/>
        <w:rPr>
          <w:rFonts w:eastAsiaTheme="minorEastAsia" w:cstheme="minorBidi"/>
          <w:kern w:val="2"/>
          <w:sz w:val="24"/>
          <w:szCs w:val="24"/>
          <w:lang w:val="en-CA" w:eastAsia="en-CA"/>
          <w14:ligatures w14:val="standardContextual"/>
        </w:rPr>
      </w:pPr>
      <w:hyperlink w:anchor="_Toc156311766" w:history="1">
        <w:r w:rsidRPr="00180B20">
          <w:rPr>
            <w:rStyle w:val="Hyperlink"/>
          </w:rPr>
          <w:t>Liste de la Colombie-Britannique</w:t>
        </w:r>
        <w:r>
          <w:rPr>
            <w:webHidden/>
          </w:rPr>
          <w:tab/>
        </w:r>
        <w:r>
          <w:rPr>
            <w:webHidden/>
          </w:rPr>
          <w:fldChar w:fldCharType="begin"/>
        </w:r>
        <w:r>
          <w:rPr>
            <w:webHidden/>
          </w:rPr>
          <w:instrText xml:space="preserve"> PAGEREF _Toc156311766 \h </w:instrText>
        </w:r>
        <w:r>
          <w:rPr>
            <w:webHidden/>
          </w:rPr>
        </w:r>
        <w:r>
          <w:rPr>
            <w:webHidden/>
          </w:rPr>
          <w:fldChar w:fldCharType="separate"/>
        </w:r>
        <w:r w:rsidR="001A56FE">
          <w:rPr>
            <w:webHidden/>
          </w:rPr>
          <w:t>73</w:t>
        </w:r>
        <w:r>
          <w:rPr>
            <w:webHidden/>
          </w:rPr>
          <w:fldChar w:fldCharType="end"/>
        </w:r>
      </w:hyperlink>
    </w:p>
    <w:p w14:paraId="49015688" w14:textId="11183B4A" w:rsidR="00B305A0" w:rsidRDefault="00B305A0">
      <w:pPr>
        <w:pStyle w:val="TOC3"/>
        <w:rPr>
          <w:rFonts w:eastAsiaTheme="minorEastAsia" w:cstheme="minorBidi"/>
          <w:kern w:val="2"/>
          <w:sz w:val="24"/>
          <w:szCs w:val="24"/>
          <w:lang w:val="en-CA" w:eastAsia="en-CA"/>
          <w14:ligatures w14:val="standardContextual"/>
        </w:rPr>
      </w:pPr>
      <w:hyperlink w:anchor="_Toc156311767" w:history="1">
        <w:r w:rsidRPr="00180B20">
          <w:rPr>
            <w:rStyle w:val="Hyperlink"/>
          </w:rPr>
          <w:t>Liste de l’Île-du-Prince-Édouard</w:t>
        </w:r>
        <w:r>
          <w:rPr>
            <w:webHidden/>
          </w:rPr>
          <w:tab/>
        </w:r>
        <w:r>
          <w:rPr>
            <w:webHidden/>
          </w:rPr>
          <w:fldChar w:fldCharType="begin"/>
        </w:r>
        <w:r>
          <w:rPr>
            <w:webHidden/>
          </w:rPr>
          <w:instrText xml:space="preserve"> PAGEREF _Toc156311767 \h </w:instrText>
        </w:r>
        <w:r>
          <w:rPr>
            <w:webHidden/>
          </w:rPr>
        </w:r>
        <w:r>
          <w:rPr>
            <w:webHidden/>
          </w:rPr>
          <w:fldChar w:fldCharType="separate"/>
        </w:r>
        <w:r w:rsidR="001A56FE">
          <w:rPr>
            <w:webHidden/>
          </w:rPr>
          <w:t>74</w:t>
        </w:r>
        <w:r>
          <w:rPr>
            <w:webHidden/>
          </w:rPr>
          <w:fldChar w:fldCharType="end"/>
        </w:r>
      </w:hyperlink>
    </w:p>
    <w:p w14:paraId="53618742" w14:textId="4F1112F0" w:rsidR="00B305A0" w:rsidRDefault="00B305A0">
      <w:pPr>
        <w:pStyle w:val="TOC3"/>
        <w:rPr>
          <w:rFonts w:eastAsiaTheme="minorEastAsia" w:cstheme="minorBidi"/>
          <w:kern w:val="2"/>
          <w:sz w:val="24"/>
          <w:szCs w:val="24"/>
          <w:lang w:val="en-CA" w:eastAsia="en-CA"/>
          <w14:ligatures w14:val="standardContextual"/>
        </w:rPr>
      </w:pPr>
      <w:hyperlink w:anchor="_Toc156311768" w:history="1">
        <w:r w:rsidRPr="00180B20">
          <w:rPr>
            <w:rStyle w:val="Hyperlink"/>
          </w:rPr>
          <w:t>Liste de la Saskatchewan</w:t>
        </w:r>
        <w:r>
          <w:rPr>
            <w:webHidden/>
          </w:rPr>
          <w:tab/>
        </w:r>
        <w:r>
          <w:rPr>
            <w:webHidden/>
          </w:rPr>
          <w:fldChar w:fldCharType="begin"/>
        </w:r>
        <w:r>
          <w:rPr>
            <w:webHidden/>
          </w:rPr>
          <w:instrText xml:space="preserve"> PAGEREF _Toc156311768 \h </w:instrText>
        </w:r>
        <w:r>
          <w:rPr>
            <w:webHidden/>
          </w:rPr>
        </w:r>
        <w:r>
          <w:rPr>
            <w:webHidden/>
          </w:rPr>
          <w:fldChar w:fldCharType="separate"/>
        </w:r>
        <w:r w:rsidR="001A56FE">
          <w:rPr>
            <w:webHidden/>
          </w:rPr>
          <w:t>76</w:t>
        </w:r>
        <w:r>
          <w:rPr>
            <w:webHidden/>
          </w:rPr>
          <w:fldChar w:fldCharType="end"/>
        </w:r>
      </w:hyperlink>
    </w:p>
    <w:p w14:paraId="5F8EBF5F" w14:textId="598655EF" w:rsidR="00B305A0" w:rsidRDefault="00B305A0">
      <w:pPr>
        <w:pStyle w:val="TOC3"/>
        <w:rPr>
          <w:rFonts w:eastAsiaTheme="minorEastAsia" w:cstheme="minorBidi"/>
          <w:kern w:val="2"/>
          <w:sz w:val="24"/>
          <w:szCs w:val="24"/>
          <w:lang w:val="en-CA" w:eastAsia="en-CA"/>
          <w14:ligatures w14:val="standardContextual"/>
        </w:rPr>
      </w:pPr>
      <w:hyperlink w:anchor="_Toc156311769" w:history="1">
        <w:r w:rsidRPr="00180B20">
          <w:rPr>
            <w:rStyle w:val="Hyperlink"/>
          </w:rPr>
          <w:t>Liste de l’Alberta</w:t>
        </w:r>
        <w:r>
          <w:rPr>
            <w:webHidden/>
          </w:rPr>
          <w:tab/>
        </w:r>
        <w:r>
          <w:rPr>
            <w:webHidden/>
          </w:rPr>
          <w:fldChar w:fldCharType="begin"/>
        </w:r>
        <w:r>
          <w:rPr>
            <w:webHidden/>
          </w:rPr>
          <w:instrText xml:space="preserve"> PAGEREF _Toc156311769 \h </w:instrText>
        </w:r>
        <w:r>
          <w:rPr>
            <w:webHidden/>
          </w:rPr>
        </w:r>
        <w:r>
          <w:rPr>
            <w:webHidden/>
          </w:rPr>
          <w:fldChar w:fldCharType="separate"/>
        </w:r>
        <w:r w:rsidR="001A56FE">
          <w:rPr>
            <w:webHidden/>
          </w:rPr>
          <w:t>77</w:t>
        </w:r>
        <w:r>
          <w:rPr>
            <w:webHidden/>
          </w:rPr>
          <w:fldChar w:fldCharType="end"/>
        </w:r>
      </w:hyperlink>
    </w:p>
    <w:p w14:paraId="02509BE6" w14:textId="1B09DF3D" w:rsidR="00B305A0" w:rsidRDefault="00B305A0">
      <w:pPr>
        <w:pStyle w:val="TOC3"/>
        <w:rPr>
          <w:rFonts w:eastAsiaTheme="minorEastAsia" w:cstheme="minorBidi"/>
          <w:kern w:val="2"/>
          <w:sz w:val="24"/>
          <w:szCs w:val="24"/>
          <w:lang w:val="en-CA" w:eastAsia="en-CA"/>
          <w14:ligatures w14:val="standardContextual"/>
        </w:rPr>
      </w:pPr>
      <w:hyperlink w:anchor="_Toc156311770" w:history="1">
        <w:r w:rsidRPr="00180B20">
          <w:rPr>
            <w:rStyle w:val="Hyperlink"/>
          </w:rPr>
          <w:t>Liste de Terre-Neuve-et-Labrador</w:t>
        </w:r>
        <w:r>
          <w:rPr>
            <w:webHidden/>
          </w:rPr>
          <w:tab/>
        </w:r>
        <w:r>
          <w:rPr>
            <w:webHidden/>
          </w:rPr>
          <w:fldChar w:fldCharType="begin"/>
        </w:r>
        <w:r>
          <w:rPr>
            <w:webHidden/>
          </w:rPr>
          <w:instrText xml:space="preserve"> PAGEREF _Toc156311770 \h </w:instrText>
        </w:r>
        <w:r>
          <w:rPr>
            <w:webHidden/>
          </w:rPr>
        </w:r>
        <w:r>
          <w:rPr>
            <w:webHidden/>
          </w:rPr>
          <w:fldChar w:fldCharType="separate"/>
        </w:r>
        <w:r w:rsidR="001A56FE">
          <w:rPr>
            <w:webHidden/>
          </w:rPr>
          <w:t>78</w:t>
        </w:r>
        <w:r>
          <w:rPr>
            <w:webHidden/>
          </w:rPr>
          <w:fldChar w:fldCharType="end"/>
        </w:r>
      </w:hyperlink>
    </w:p>
    <w:p w14:paraId="697967BF" w14:textId="160269A6" w:rsidR="00B305A0" w:rsidRDefault="00B305A0">
      <w:pPr>
        <w:pStyle w:val="TOC3"/>
        <w:rPr>
          <w:rFonts w:eastAsiaTheme="minorEastAsia" w:cstheme="minorBidi"/>
          <w:kern w:val="2"/>
          <w:sz w:val="24"/>
          <w:szCs w:val="24"/>
          <w:lang w:val="en-CA" w:eastAsia="en-CA"/>
          <w14:ligatures w14:val="standardContextual"/>
        </w:rPr>
      </w:pPr>
      <w:hyperlink w:anchor="_Toc156311771" w:history="1">
        <w:r w:rsidRPr="00180B20">
          <w:rPr>
            <w:rStyle w:val="Hyperlink"/>
          </w:rPr>
          <w:t>Liste du Yukon</w:t>
        </w:r>
        <w:r>
          <w:rPr>
            <w:webHidden/>
          </w:rPr>
          <w:tab/>
        </w:r>
        <w:r>
          <w:rPr>
            <w:webHidden/>
          </w:rPr>
          <w:fldChar w:fldCharType="begin"/>
        </w:r>
        <w:r>
          <w:rPr>
            <w:webHidden/>
          </w:rPr>
          <w:instrText xml:space="preserve"> PAGEREF _Toc156311771 \h </w:instrText>
        </w:r>
        <w:r>
          <w:rPr>
            <w:webHidden/>
          </w:rPr>
        </w:r>
        <w:r>
          <w:rPr>
            <w:webHidden/>
          </w:rPr>
          <w:fldChar w:fldCharType="separate"/>
        </w:r>
        <w:r w:rsidR="001A56FE">
          <w:rPr>
            <w:webHidden/>
          </w:rPr>
          <w:t>80</w:t>
        </w:r>
        <w:r>
          <w:rPr>
            <w:webHidden/>
          </w:rPr>
          <w:fldChar w:fldCharType="end"/>
        </w:r>
      </w:hyperlink>
    </w:p>
    <w:p w14:paraId="718DF622" w14:textId="71E46423" w:rsidR="00B305A0" w:rsidRDefault="00B305A0">
      <w:pPr>
        <w:pStyle w:val="TOC3"/>
        <w:rPr>
          <w:rFonts w:eastAsiaTheme="minorEastAsia" w:cstheme="minorBidi"/>
          <w:kern w:val="2"/>
          <w:sz w:val="24"/>
          <w:szCs w:val="24"/>
          <w:lang w:val="en-CA" w:eastAsia="en-CA"/>
          <w14:ligatures w14:val="standardContextual"/>
        </w:rPr>
      </w:pPr>
      <w:hyperlink w:anchor="_Toc156311772" w:history="1">
        <w:r w:rsidRPr="00180B20">
          <w:rPr>
            <w:rStyle w:val="Hyperlink"/>
          </w:rPr>
          <w:t>Liste des Territoires du Nord-Ouest</w:t>
        </w:r>
        <w:r>
          <w:rPr>
            <w:webHidden/>
          </w:rPr>
          <w:tab/>
        </w:r>
        <w:r>
          <w:rPr>
            <w:webHidden/>
          </w:rPr>
          <w:fldChar w:fldCharType="begin"/>
        </w:r>
        <w:r>
          <w:rPr>
            <w:webHidden/>
          </w:rPr>
          <w:instrText xml:space="preserve"> PAGEREF _Toc156311772 \h </w:instrText>
        </w:r>
        <w:r>
          <w:rPr>
            <w:webHidden/>
          </w:rPr>
        </w:r>
        <w:r>
          <w:rPr>
            <w:webHidden/>
          </w:rPr>
          <w:fldChar w:fldCharType="separate"/>
        </w:r>
        <w:r w:rsidR="001A56FE">
          <w:rPr>
            <w:webHidden/>
          </w:rPr>
          <w:t>82</w:t>
        </w:r>
        <w:r>
          <w:rPr>
            <w:webHidden/>
          </w:rPr>
          <w:fldChar w:fldCharType="end"/>
        </w:r>
      </w:hyperlink>
    </w:p>
    <w:p w14:paraId="6E286ED5" w14:textId="493FB4BE" w:rsidR="00B305A0" w:rsidRDefault="00B305A0">
      <w:pPr>
        <w:pStyle w:val="TOC3"/>
        <w:rPr>
          <w:rFonts w:eastAsiaTheme="minorEastAsia" w:cstheme="minorBidi"/>
          <w:kern w:val="2"/>
          <w:sz w:val="24"/>
          <w:szCs w:val="24"/>
          <w:lang w:val="en-CA" w:eastAsia="en-CA"/>
          <w14:ligatures w14:val="standardContextual"/>
        </w:rPr>
      </w:pPr>
      <w:hyperlink w:anchor="_Toc156311773" w:history="1">
        <w:r w:rsidRPr="00180B20">
          <w:rPr>
            <w:rStyle w:val="Hyperlink"/>
          </w:rPr>
          <w:t>Liste du Nunavut</w:t>
        </w:r>
        <w:r>
          <w:rPr>
            <w:webHidden/>
          </w:rPr>
          <w:tab/>
        </w:r>
        <w:r>
          <w:rPr>
            <w:webHidden/>
          </w:rPr>
          <w:fldChar w:fldCharType="begin"/>
        </w:r>
        <w:r>
          <w:rPr>
            <w:webHidden/>
          </w:rPr>
          <w:instrText xml:space="preserve"> PAGEREF _Toc156311773 \h </w:instrText>
        </w:r>
        <w:r>
          <w:rPr>
            <w:webHidden/>
          </w:rPr>
        </w:r>
        <w:r>
          <w:rPr>
            <w:webHidden/>
          </w:rPr>
          <w:fldChar w:fldCharType="separate"/>
        </w:r>
        <w:r w:rsidR="001A56FE">
          <w:rPr>
            <w:webHidden/>
          </w:rPr>
          <w:t>84</w:t>
        </w:r>
        <w:r>
          <w:rPr>
            <w:webHidden/>
          </w:rPr>
          <w:fldChar w:fldCharType="end"/>
        </w:r>
      </w:hyperlink>
    </w:p>
    <w:p w14:paraId="2030E495" w14:textId="72D7A75C"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74" w:history="1">
        <w:r w:rsidRPr="00180B20">
          <w:rPr>
            <w:rStyle w:val="Hyperlink"/>
            <w:rFonts w:ascii="Arial" w:eastAsia="SimHei" w:hAnsi="Arial" w:cs="Arial"/>
            <w:noProof/>
            <w:lang w:val="fr-CA"/>
          </w:rPr>
          <w:t>Chapitre Six – Protection de l’environnement</w:t>
        </w:r>
        <w:r>
          <w:rPr>
            <w:noProof/>
            <w:webHidden/>
          </w:rPr>
          <w:tab/>
        </w:r>
        <w:r>
          <w:rPr>
            <w:noProof/>
            <w:webHidden/>
          </w:rPr>
          <w:fldChar w:fldCharType="begin"/>
        </w:r>
        <w:r>
          <w:rPr>
            <w:noProof/>
            <w:webHidden/>
          </w:rPr>
          <w:instrText xml:space="preserve"> PAGEREF _Toc156311774 \h </w:instrText>
        </w:r>
        <w:r>
          <w:rPr>
            <w:noProof/>
            <w:webHidden/>
          </w:rPr>
        </w:r>
        <w:r>
          <w:rPr>
            <w:noProof/>
            <w:webHidden/>
          </w:rPr>
          <w:fldChar w:fldCharType="separate"/>
        </w:r>
        <w:r w:rsidR="001A56FE">
          <w:rPr>
            <w:noProof/>
            <w:webHidden/>
          </w:rPr>
          <w:t>86</w:t>
        </w:r>
        <w:r>
          <w:rPr>
            <w:noProof/>
            <w:webHidden/>
          </w:rPr>
          <w:fldChar w:fldCharType="end"/>
        </w:r>
      </w:hyperlink>
    </w:p>
    <w:p w14:paraId="0EBDDDB5" w14:textId="65817041"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75" w:history="1">
        <w:r w:rsidRPr="00180B20">
          <w:rPr>
            <w:rStyle w:val="Hyperlink"/>
            <w:rFonts w:ascii="Arial" w:eastAsia="SimHei" w:hAnsi="Arial" w:cs="Arial"/>
            <w:noProof/>
            <w:lang w:val="fr-CA"/>
          </w:rPr>
          <w:t>Chapitre Sept – Mobilité de la main-d’œuvre</w:t>
        </w:r>
        <w:r>
          <w:rPr>
            <w:noProof/>
            <w:webHidden/>
          </w:rPr>
          <w:tab/>
        </w:r>
        <w:r>
          <w:rPr>
            <w:noProof/>
            <w:webHidden/>
          </w:rPr>
          <w:fldChar w:fldCharType="begin"/>
        </w:r>
        <w:r>
          <w:rPr>
            <w:noProof/>
            <w:webHidden/>
          </w:rPr>
          <w:instrText xml:space="preserve"> PAGEREF _Toc156311775 \h </w:instrText>
        </w:r>
        <w:r>
          <w:rPr>
            <w:noProof/>
            <w:webHidden/>
          </w:rPr>
        </w:r>
        <w:r>
          <w:rPr>
            <w:noProof/>
            <w:webHidden/>
          </w:rPr>
          <w:fldChar w:fldCharType="separate"/>
        </w:r>
        <w:r w:rsidR="001A56FE">
          <w:rPr>
            <w:noProof/>
            <w:webHidden/>
          </w:rPr>
          <w:t>88</w:t>
        </w:r>
        <w:r>
          <w:rPr>
            <w:noProof/>
            <w:webHidden/>
          </w:rPr>
          <w:fldChar w:fldCharType="end"/>
        </w:r>
      </w:hyperlink>
    </w:p>
    <w:p w14:paraId="24EF175C" w14:textId="2485DFD5"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76" w:history="1">
        <w:r w:rsidRPr="00180B20">
          <w:rPr>
            <w:rStyle w:val="Hyperlink"/>
            <w:rFonts w:ascii="Arial" w:eastAsia="Times New Roman" w:hAnsi="Arial" w:cs="Arial"/>
            <w:noProof/>
            <w:lang w:val="fr-CA"/>
          </w:rPr>
          <w:t>PARTIE IV – EXCEPTIONS</w:t>
        </w:r>
        <w:r>
          <w:rPr>
            <w:noProof/>
            <w:webHidden/>
          </w:rPr>
          <w:tab/>
        </w:r>
        <w:r>
          <w:rPr>
            <w:noProof/>
            <w:webHidden/>
          </w:rPr>
          <w:fldChar w:fldCharType="begin"/>
        </w:r>
        <w:r>
          <w:rPr>
            <w:noProof/>
            <w:webHidden/>
          </w:rPr>
          <w:instrText xml:space="preserve"> PAGEREF _Toc156311776 \h </w:instrText>
        </w:r>
        <w:r>
          <w:rPr>
            <w:noProof/>
            <w:webHidden/>
          </w:rPr>
        </w:r>
        <w:r>
          <w:rPr>
            <w:noProof/>
            <w:webHidden/>
          </w:rPr>
          <w:fldChar w:fldCharType="separate"/>
        </w:r>
        <w:r w:rsidR="001A56FE">
          <w:rPr>
            <w:noProof/>
            <w:webHidden/>
          </w:rPr>
          <w:t>95</w:t>
        </w:r>
        <w:r>
          <w:rPr>
            <w:noProof/>
            <w:webHidden/>
          </w:rPr>
          <w:fldChar w:fldCharType="end"/>
        </w:r>
      </w:hyperlink>
    </w:p>
    <w:p w14:paraId="035FFD84" w14:textId="0175D39E"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77" w:history="1">
        <w:r w:rsidRPr="00180B20">
          <w:rPr>
            <w:rStyle w:val="Hyperlink"/>
            <w:rFonts w:ascii="Arial" w:eastAsia="Times New Roman" w:hAnsi="Arial" w:cs="Arial"/>
            <w:noProof/>
            <w:lang w:val="fr-CA"/>
          </w:rPr>
          <w:t>Chapitre Huit – Exceptions générales</w:t>
        </w:r>
        <w:r>
          <w:rPr>
            <w:noProof/>
            <w:webHidden/>
          </w:rPr>
          <w:tab/>
        </w:r>
        <w:r>
          <w:rPr>
            <w:noProof/>
            <w:webHidden/>
          </w:rPr>
          <w:fldChar w:fldCharType="begin"/>
        </w:r>
        <w:r>
          <w:rPr>
            <w:noProof/>
            <w:webHidden/>
          </w:rPr>
          <w:instrText xml:space="preserve"> PAGEREF _Toc156311777 \h </w:instrText>
        </w:r>
        <w:r>
          <w:rPr>
            <w:noProof/>
            <w:webHidden/>
          </w:rPr>
        </w:r>
        <w:r>
          <w:rPr>
            <w:noProof/>
            <w:webHidden/>
          </w:rPr>
          <w:fldChar w:fldCharType="separate"/>
        </w:r>
        <w:r w:rsidR="001A56FE">
          <w:rPr>
            <w:noProof/>
            <w:webHidden/>
          </w:rPr>
          <w:t>95</w:t>
        </w:r>
        <w:r>
          <w:rPr>
            <w:noProof/>
            <w:webHidden/>
          </w:rPr>
          <w:fldChar w:fldCharType="end"/>
        </w:r>
      </w:hyperlink>
    </w:p>
    <w:p w14:paraId="148D634F" w14:textId="6C8492D5"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78" w:history="1">
        <w:r w:rsidRPr="00180B20">
          <w:rPr>
            <w:rStyle w:val="Hyperlink"/>
            <w:noProof/>
            <w:lang w:val="fr-CA"/>
          </w:rPr>
          <w:t>Chapitre Neuf – Exceptions propres aux Parties</w:t>
        </w:r>
        <w:r>
          <w:rPr>
            <w:noProof/>
            <w:webHidden/>
          </w:rPr>
          <w:tab/>
        </w:r>
        <w:r>
          <w:rPr>
            <w:noProof/>
            <w:webHidden/>
          </w:rPr>
          <w:fldChar w:fldCharType="begin"/>
        </w:r>
        <w:r>
          <w:rPr>
            <w:noProof/>
            <w:webHidden/>
          </w:rPr>
          <w:instrText xml:space="preserve"> PAGEREF _Toc156311778 \h </w:instrText>
        </w:r>
        <w:r>
          <w:rPr>
            <w:noProof/>
            <w:webHidden/>
          </w:rPr>
        </w:r>
        <w:r>
          <w:rPr>
            <w:noProof/>
            <w:webHidden/>
          </w:rPr>
          <w:fldChar w:fldCharType="separate"/>
        </w:r>
        <w:r w:rsidR="001A56FE">
          <w:rPr>
            <w:noProof/>
            <w:webHidden/>
          </w:rPr>
          <w:t>100</w:t>
        </w:r>
        <w:r>
          <w:rPr>
            <w:noProof/>
            <w:webHidden/>
          </w:rPr>
          <w:fldChar w:fldCharType="end"/>
        </w:r>
      </w:hyperlink>
    </w:p>
    <w:p w14:paraId="0F278393" w14:textId="22FA07A9"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79" w:history="1">
        <w:r w:rsidRPr="00180B20">
          <w:rPr>
            <w:rStyle w:val="Hyperlink"/>
            <w:noProof/>
            <w:lang w:val="fr-CA"/>
          </w:rPr>
          <w:t>PARTIE V – DISPOSITIONS INSTITUTIONNELLES, ADMINISTRATIVES ET FINALES</w:t>
        </w:r>
        <w:r>
          <w:rPr>
            <w:noProof/>
            <w:webHidden/>
          </w:rPr>
          <w:tab/>
        </w:r>
        <w:r>
          <w:rPr>
            <w:noProof/>
            <w:webHidden/>
          </w:rPr>
          <w:fldChar w:fldCharType="begin"/>
        </w:r>
        <w:r>
          <w:rPr>
            <w:noProof/>
            <w:webHidden/>
          </w:rPr>
          <w:instrText xml:space="preserve"> PAGEREF _Toc156311779 \h </w:instrText>
        </w:r>
        <w:r>
          <w:rPr>
            <w:noProof/>
            <w:webHidden/>
          </w:rPr>
        </w:r>
        <w:r>
          <w:rPr>
            <w:noProof/>
            <w:webHidden/>
          </w:rPr>
          <w:fldChar w:fldCharType="separate"/>
        </w:r>
        <w:r w:rsidR="001A56FE">
          <w:rPr>
            <w:noProof/>
            <w:webHidden/>
          </w:rPr>
          <w:t>104</w:t>
        </w:r>
        <w:r>
          <w:rPr>
            <w:noProof/>
            <w:webHidden/>
          </w:rPr>
          <w:fldChar w:fldCharType="end"/>
        </w:r>
      </w:hyperlink>
    </w:p>
    <w:p w14:paraId="79EF68E1" w14:textId="66FD5FE9"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80" w:history="1">
        <w:r w:rsidRPr="00180B20">
          <w:rPr>
            <w:rStyle w:val="Hyperlink"/>
            <w:noProof/>
            <w:lang w:val="fr-CA"/>
          </w:rPr>
          <w:t>Chapitre Dix – Règlement des différends</w:t>
        </w:r>
        <w:r>
          <w:rPr>
            <w:noProof/>
            <w:webHidden/>
          </w:rPr>
          <w:tab/>
        </w:r>
        <w:r>
          <w:rPr>
            <w:noProof/>
            <w:webHidden/>
          </w:rPr>
          <w:fldChar w:fldCharType="begin"/>
        </w:r>
        <w:r>
          <w:rPr>
            <w:noProof/>
            <w:webHidden/>
          </w:rPr>
          <w:instrText xml:space="preserve"> PAGEREF _Toc156311780 \h </w:instrText>
        </w:r>
        <w:r>
          <w:rPr>
            <w:noProof/>
            <w:webHidden/>
          </w:rPr>
        </w:r>
        <w:r>
          <w:rPr>
            <w:noProof/>
            <w:webHidden/>
          </w:rPr>
          <w:fldChar w:fldCharType="separate"/>
        </w:r>
        <w:r w:rsidR="001A56FE">
          <w:rPr>
            <w:noProof/>
            <w:webHidden/>
          </w:rPr>
          <w:t>104</w:t>
        </w:r>
        <w:r>
          <w:rPr>
            <w:noProof/>
            <w:webHidden/>
          </w:rPr>
          <w:fldChar w:fldCharType="end"/>
        </w:r>
      </w:hyperlink>
    </w:p>
    <w:p w14:paraId="70976EB4" w14:textId="61535E51"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81" w:history="1">
        <w:r w:rsidRPr="00180B20">
          <w:rPr>
            <w:rStyle w:val="Hyperlink"/>
            <w:noProof/>
            <w:lang w:val="fr-CA"/>
          </w:rPr>
          <w:t>Chapitre Onze – Dispositions institutionnelles</w:t>
        </w:r>
        <w:r>
          <w:rPr>
            <w:noProof/>
            <w:webHidden/>
          </w:rPr>
          <w:tab/>
        </w:r>
        <w:r>
          <w:rPr>
            <w:noProof/>
            <w:webHidden/>
          </w:rPr>
          <w:fldChar w:fldCharType="begin"/>
        </w:r>
        <w:r>
          <w:rPr>
            <w:noProof/>
            <w:webHidden/>
          </w:rPr>
          <w:instrText xml:space="preserve"> PAGEREF _Toc156311781 \h </w:instrText>
        </w:r>
        <w:r>
          <w:rPr>
            <w:noProof/>
            <w:webHidden/>
          </w:rPr>
        </w:r>
        <w:r>
          <w:rPr>
            <w:noProof/>
            <w:webHidden/>
          </w:rPr>
          <w:fldChar w:fldCharType="separate"/>
        </w:r>
        <w:r w:rsidR="001A56FE">
          <w:rPr>
            <w:noProof/>
            <w:webHidden/>
          </w:rPr>
          <w:t>186</w:t>
        </w:r>
        <w:r>
          <w:rPr>
            <w:noProof/>
            <w:webHidden/>
          </w:rPr>
          <w:fldChar w:fldCharType="end"/>
        </w:r>
      </w:hyperlink>
    </w:p>
    <w:p w14:paraId="7C7EF00A" w14:textId="469B7F70"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82" w:history="1">
        <w:r w:rsidRPr="00180B20">
          <w:rPr>
            <w:rStyle w:val="Hyperlink"/>
            <w:noProof/>
            <w:lang w:val="fr-CA"/>
          </w:rPr>
          <w:t>Chapitre Douze – Dispositions finales</w:t>
        </w:r>
        <w:r>
          <w:rPr>
            <w:noProof/>
            <w:webHidden/>
          </w:rPr>
          <w:tab/>
        </w:r>
        <w:r>
          <w:rPr>
            <w:noProof/>
            <w:webHidden/>
          </w:rPr>
          <w:fldChar w:fldCharType="begin"/>
        </w:r>
        <w:r>
          <w:rPr>
            <w:noProof/>
            <w:webHidden/>
          </w:rPr>
          <w:instrText xml:space="preserve"> PAGEREF _Toc156311782 \h </w:instrText>
        </w:r>
        <w:r>
          <w:rPr>
            <w:noProof/>
            <w:webHidden/>
          </w:rPr>
        </w:r>
        <w:r>
          <w:rPr>
            <w:noProof/>
            <w:webHidden/>
          </w:rPr>
          <w:fldChar w:fldCharType="separate"/>
        </w:r>
        <w:r w:rsidR="001A56FE">
          <w:rPr>
            <w:noProof/>
            <w:webHidden/>
          </w:rPr>
          <w:t>191</w:t>
        </w:r>
        <w:r>
          <w:rPr>
            <w:noProof/>
            <w:webHidden/>
          </w:rPr>
          <w:fldChar w:fldCharType="end"/>
        </w:r>
      </w:hyperlink>
    </w:p>
    <w:p w14:paraId="2CCBAB31" w14:textId="580166C4"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83" w:history="1">
        <w:r w:rsidRPr="00180B20">
          <w:rPr>
            <w:rStyle w:val="Hyperlink"/>
            <w:rFonts w:cstheme="minorHAnsi"/>
            <w:noProof/>
            <w:lang w:val="fr-CA"/>
          </w:rPr>
          <w:t>PARTIE VI – DÉFINITIONS</w:t>
        </w:r>
        <w:r>
          <w:rPr>
            <w:noProof/>
            <w:webHidden/>
          </w:rPr>
          <w:tab/>
        </w:r>
        <w:r>
          <w:rPr>
            <w:noProof/>
            <w:webHidden/>
          </w:rPr>
          <w:fldChar w:fldCharType="begin"/>
        </w:r>
        <w:r>
          <w:rPr>
            <w:noProof/>
            <w:webHidden/>
          </w:rPr>
          <w:instrText xml:space="preserve"> PAGEREF _Toc156311783 \h </w:instrText>
        </w:r>
        <w:r>
          <w:rPr>
            <w:noProof/>
            <w:webHidden/>
          </w:rPr>
        </w:r>
        <w:r>
          <w:rPr>
            <w:noProof/>
            <w:webHidden/>
          </w:rPr>
          <w:fldChar w:fldCharType="separate"/>
        </w:r>
        <w:r w:rsidR="001A56FE">
          <w:rPr>
            <w:noProof/>
            <w:webHidden/>
          </w:rPr>
          <w:t>200</w:t>
        </w:r>
        <w:r>
          <w:rPr>
            <w:noProof/>
            <w:webHidden/>
          </w:rPr>
          <w:fldChar w:fldCharType="end"/>
        </w:r>
      </w:hyperlink>
    </w:p>
    <w:p w14:paraId="1C733E82" w14:textId="7C2DA10A"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84" w:history="1">
        <w:r w:rsidRPr="00180B20">
          <w:rPr>
            <w:rStyle w:val="Hyperlink"/>
            <w:noProof/>
            <w:lang w:val="fr-CA"/>
          </w:rPr>
          <w:t>Chapitre Treize – Définitions</w:t>
        </w:r>
        <w:r>
          <w:rPr>
            <w:noProof/>
            <w:webHidden/>
          </w:rPr>
          <w:tab/>
        </w:r>
        <w:r>
          <w:rPr>
            <w:noProof/>
            <w:webHidden/>
          </w:rPr>
          <w:fldChar w:fldCharType="begin"/>
        </w:r>
        <w:r>
          <w:rPr>
            <w:noProof/>
            <w:webHidden/>
          </w:rPr>
          <w:instrText xml:space="preserve"> PAGEREF _Toc156311784 \h </w:instrText>
        </w:r>
        <w:r>
          <w:rPr>
            <w:noProof/>
            <w:webHidden/>
          </w:rPr>
        </w:r>
        <w:r>
          <w:rPr>
            <w:noProof/>
            <w:webHidden/>
          </w:rPr>
          <w:fldChar w:fldCharType="separate"/>
        </w:r>
        <w:r w:rsidR="001A56FE">
          <w:rPr>
            <w:noProof/>
            <w:webHidden/>
          </w:rPr>
          <w:t>200</w:t>
        </w:r>
        <w:r>
          <w:rPr>
            <w:noProof/>
            <w:webHidden/>
          </w:rPr>
          <w:fldChar w:fldCharType="end"/>
        </w:r>
      </w:hyperlink>
    </w:p>
    <w:p w14:paraId="0C31D48D" w14:textId="6551AB9B" w:rsidR="00B305A0" w:rsidRDefault="00B305A0">
      <w:pPr>
        <w:pStyle w:val="TOC1"/>
        <w:rPr>
          <w:rFonts w:asciiTheme="minorHAnsi" w:eastAsiaTheme="minorEastAsia" w:hAnsiTheme="minorHAnsi" w:cstheme="minorBidi"/>
          <w:b w:val="0"/>
          <w:bCs w:val="0"/>
          <w:caps w:val="0"/>
          <w:noProof/>
          <w:kern w:val="2"/>
          <w:sz w:val="24"/>
          <w:lang w:eastAsia="en-CA"/>
          <w14:ligatures w14:val="standardContextual"/>
        </w:rPr>
      </w:pPr>
      <w:hyperlink w:anchor="_Toc156311785" w:history="1">
        <w:r w:rsidRPr="00180B20">
          <w:rPr>
            <w:rStyle w:val="Hyperlink"/>
            <w:rFonts w:cstheme="minorHAnsi"/>
            <w:noProof/>
            <w:lang w:val="fr-CA"/>
          </w:rPr>
          <w:t>PARTIE VII – LISTES DES PARTIES</w:t>
        </w:r>
        <w:r>
          <w:rPr>
            <w:noProof/>
            <w:webHidden/>
          </w:rPr>
          <w:tab/>
        </w:r>
        <w:r>
          <w:rPr>
            <w:noProof/>
            <w:webHidden/>
          </w:rPr>
          <w:fldChar w:fldCharType="begin"/>
        </w:r>
        <w:r>
          <w:rPr>
            <w:noProof/>
            <w:webHidden/>
          </w:rPr>
          <w:instrText xml:space="preserve"> PAGEREF _Toc156311785 \h </w:instrText>
        </w:r>
        <w:r>
          <w:rPr>
            <w:noProof/>
            <w:webHidden/>
          </w:rPr>
        </w:r>
        <w:r>
          <w:rPr>
            <w:noProof/>
            <w:webHidden/>
          </w:rPr>
          <w:fldChar w:fldCharType="separate"/>
        </w:r>
        <w:r w:rsidR="001A56FE">
          <w:rPr>
            <w:noProof/>
            <w:webHidden/>
          </w:rPr>
          <w:t>212</w:t>
        </w:r>
        <w:r>
          <w:rPr>
            <w:noProof/>
            <w:webHidden/>
          </w:rPr>
          <w:fldChar w:fldCharType="end"/>
        </w:r>
      </w:hyperlink>
    </w:p>
    <w:p w14:paraId="6EB3D819" w14:textId="44F90BA0"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786" w:history="1">
        <w:r w:rsidRPr="00180B20">
          <w:rPr>
            <w:rStyle w:val="Hyperlink"/>
            <w:rFonts w:eastAsia="Times New Roman"/>
            <w:noProof/>
            <w:lang w:val="fr-CA"/>
          </w:rPr>
          <w:t>ANNEXE I : Exceptions au regard des mesures existantes</w:t>
        </w:r>
        <w:r>
          <w:rPr>
            <w:noProof/>
            <w:webHidden/>
          </w:rPr>
          <w:tab/>
        </w:r>
        <w:r>
          <w:rPr>
            <w:noProof/>
            <w:webHidden/>
          </w:rPr>
          <w:fldChar w:fldCharType="begin"/>
        </w:r>
        <w:r>
          <w:rPr>
            <w:noProof/>
            <w:webHidden/>
          </w:rPr>
          <w:instrText xml:space="preserve"> PAGEREF _Toc156311786 \h </w:instrText>
        </w:r>
        <w:r>
          <w:rPr>
            <w:noProof/>
            <w:webHidden/>
          </w:rPr>
        </w:r>
        <w:r>
          <w:rPr>
            <w:noProof/>
            <w:webHidden/>
          </w:rPr>
          <w:fldChar w:fldCharType="separate"/>
        </w:r>
        <w:r w:rsidR="001A56FE">
          <w:rPr>
            <w:noProof/>
            <w:webHidden/>
          </w:rPr>
          <w:t>212</w:t>
        </w:r>
        <w:r>
          <w:rPr>
            <w:noProof/>
            <w:webHidden/>
          </w:rPr>
          <w:fldChar w:fldCharType="end"/>
        </w:r>
      </w:hyperlink>
    </w:p>
    <w:p w14:paraId="04761DBD" w14:textId="274B2DE3" w:rsidR="00B305A0" w:rsidRDefault="00B305A0">
      <w:pPr>
        <w:pStyle w:val="TOC3"/>
        <w:rPr>
          <w:rFonts w:eastAsiaTheme="minorEastAsia" w:cstheme="minorBidi"/>
          <w:kern w:val="2"/>
          <w:sz w:val="24"/>
          <w:szCs w:val="24"/>
          <w:lang w:val="en-CA" w:eastAsia="en-CA"/>
          <w14:ligatures w14:val="standardContextual"/>
        </w:rPr>
      </w:pPr>
      <w:hyperlink w:anchor="_Toc156311787" w:history="1">
        <w:r w:rsidRPr="00180B20">
          <w:rPr>
            <w:rStyle w:val="Hyperlink"/>
          </w:rPr>
          <w:t>Liste du Canada</w:t>
        </w:r>
        <w:r>
          <w:rPr>
            <w:webHidden/>
          </w:rPr>
          <w:tab/>
        </w:r>
        <w:r>
          <w:rPr>
            <w:webHidden/>
          </w:rPr>
          <w:fldChar w:fldCharType="begin"/>
        </w:r>
        <w:r>
          <w:rPr>
            <w:webHidden/>
          </w:rPr>
          <w:instrText xml:space="preserve"> PAGEREF _Toc156311787 \h </w:instrText>
        </w:r>
        <w:r>
          <w:rPr>
            <w:webHidden/>
          </w:rPr>
        </w:r>
        <w:r>
          <w:rPr>
            <w:webHidden/>
          </w:rPr>
          <w:fldChar w:fldCharType="separate"/>
        </w:r>
        <w:r w:rsidR="001A56FE">
          <w:rPr>
            <w:webHidden/>
          </w:rPr>
          <w:t>212</w:t>
        </w:r>
        <w:r>
          <w:rPr>
            <w:webHidden/>
          </w:rPr>
          <w:fldChar w:fldCharType="end"/>
        </w:r>
      </w:hyperlink>
    </w:p>
    <w:p w14:paraId="425F8971" w14:textId="5D6F3BB7" w:rsidR="00B305A0" w:rsidRDefault="00B305A0">
      <w:pPr>
        <w:pStyle w:val="TOC3"/>
        <w:rPr>
          <w:rFonts w:eastAsiaTheme="minorEastAsia" w:cstheme="minorBidi"/>
          <w:kern w:val="2"/>
          <w:sz w:val="24"/>
          <w:szCs w:val="24"/>
          <w:lang w:val="en-CA" w:eastAsia="en-CA"/>
          <w14:ligatures w14:val="standardContextual"/>
        </w:rPr>
      </w:pPr>
      <w:hyperlink w:anchor="_Toc156311788" w:history="1">
        <w:r w:rsidRPr="00180B20">
          <w:rPr>
            <w:rStyle w:val="Hyperlink"/>
          </w:rPr>
          <w:t>Liste de l’Ontario</w:t>
        </w:r>
        <w:r>
          <w:rPr>
            <w:webHidden/>
          </w:rPr>
          <w:tab/>
        </w:r>
        <w:r>
          <w:rPr>
            <w:webHidden/>
          </w:rPr>
          <w:fldChar w:fldCharType="begin"/>
        </w:r>
        <w:r>
          <w:rPr>
            <w:webHidden/>
          </w:rPr>
          <w:instrText xml:space="preserve"> PAGEREF _Toc156311788 \h </w:instrText>
        </w:r>
        <w:r>
          <w:rPr>
            <w:webHidden/>
          </w:rPr>
        </w:r>
        <w:r>
          <w:rPr>
            <w:webHidden/>
          </w:rPr>
          <w:fldChar w:fldCharType="separate"/>
        </w:r>
        <w:r w:rsidR="001A56FE">
          <w:rPr>
            <w:webHidden/>
          </w:rPr>
          <w:t>222</w:t>
        </w:r>
        <w:r>
          <w:rPr>
            <w:webHidden/>
          </w:rPr>
          <w:fldChar w:fldCharType="end"/>
        </w:r>
      </w:hyperlink>
    </w:p>
    <w:p w14:paraId="66288D37" w14:textId="72846226" w:rsidR="00B305A0" w:rsidRDefault="00B305A0">
      <w:pPr>
        <w:pStyle w:val="TOC3"/>
        <w:rPr>
          <w:rFonts w:eastAsiaTheme="minorEastAsia" w:cstheme="minorBidi"/>
          <w:kern w:val="2"/>
          <w:sz w:val="24"/>
          <w:szCs w:val="24"/>
          <w:lang w:val="en-CA" w:eastAsia="en-CA"/>
          <w14:ligatures w14:val="standardContextual"/>
        </w:rPr>
      </w:pPr>
      <w:hyperlink w:anchor="_Toc156311789" w:history="1">
        <w:r w:rsidRPr="00180B20">
          <w:rPr>
            <w:rStyle w:val="Hyperlink"/>
          </w:rPr>
          <w:t>Liste du Québec</w:t>
        </w:r>
        <w:r>
          <w:rPr>
            <w:webHidden/>
          </w:rPr>
          <w:tab/>
        </w:r>
        <w:r>
          <w:rPr>
            <w:webHidden/>
          </w:rPr>
          <w:fldChar w:fldCharType="begin"/>
        </w:r>
        <w:r>
          <w:rPr>
            <w:webHidden/>
          </w:rPr>
          <w:instrText xml:space="preserve"> PAGEREF _Toc156311789 \h </w:instrText>
        </w:r>
        <w:r>
          <w:rPr>
            <w:webHidden/>
          </w:rPr>
        </w:r>
        <w:r>
          <w:rPr>
            <w:webHidden/>
          </w:rPr>
          <w:fldChar w:fldCharType="separate"/>
        </w:r>
        <w:r w:rsidR="001A56FE">
          <w:rPr>
            <w:webHidden/>
          </w:rPr>
          <w:t>232</w:t>
        </w:r>
        <w:r>
          <w:rPr>
            <w:webHidden/>
          </w:rPr>
          <w:fldChar w:fldCharType="end"/>
        </w:r>
      </w:hyperlink>
    </w:p>
    <w:p w14:paraId="3CBE56AA" w14:textId="79EB0D5A" w:rsidR="00B305A0" w:rsidRDefault="00B305A0">
      <w:pPr>
        <w:pStyle w:val="TOC3"/>
        <w:rPr>
          <w:rFonts w:eastAsiaTheme="minorEastAsia" w:cstheme="minorBidi"/>
          <w:kern w:val="2"/>
          <w:sz w:val="24"/>
          <w:szCs w:val="24"/>
          <w:lang w:val="en-CA" w:eastAsia="en-CA"/>
          <w14:ligatures w14:val="standardContextual"/>
        </w:rPr>
      </w:pPr>
      <w:hyperlink w:anchor="_Toc156311790" w:history="1">
        <w:r w:rsidRPr="00180B20">
          <w:rPr>
            <w:rStyle w:val="Hyperlink"/>
          </w:rPr>
          <w:t>Liste de la Nouvelle-Écosse</w:t>
        </w:r>
        <w:r>
          <w:rPr>
            <w:webHidden/>
          </w:rPr>
          <w:tab/>
        </w:r>
        <w:r>
          <w:rPr>
            <w:webHidden/>
          </w:rPr>
          <w:fldChar w:fldCharType="begin"/>
        </w:r>
        <w:r>
          <w:rPr>
            <w:webHidden/>
          </w:rPr>
          <w:instrText xml:space="preserve"> PAGEREF _Toc156311790 \h </w:instrText>
        </w:r>
        <w:r>
          <w:rPr>
            <w:webHidden/>
          </w:rPr>
        </w:r>
        <w:r>
          <w:rPr>
            <w:webHidden/>
          </w:rPr>
          <w:fldChar w:fldCharType="separate"/>
        </w:r>
        <w:r w:rsidR="001A56FE">
          <w:rPr>
            <w:webHidden/>
          </w:rPr>
          <w:t>243</w:t>
        </w:r>
        <w:r>
          <w:rPr>
            <w:webHidden/>
          </w:rPr>
          <w:fldChar w:fldCharType="end"/>
        </w:r>
      </w:hyperlink>
    </w:p>
    <w:p w14:paraId="6D0F8FDF" w14:textId="5684F3ED" w:rsidR="00B305A0" w:rsidRDefault="00B305A0">
      <w:pPr>
        <w:pStyle w:val="TOC3"/>
        <w:rPr>
          <w:rFonts w:eastAsiaTheme="minorEastAsia" w:cstheme="minorBidi"/>
          <w:kern w:val="2"/>
          <w:sz w:val="24"/>
          <w:szCs w:val="24"/>
          <w:lang w:val="en-CA" w:eastAsia="en-CA"/>
          <w14:ligatures w14:val="standardContextual"/>
        </w:rPr>
      </w:pPr>
      <w:hyperlink w:anchor="_Toc156311791" w:history="1">
        <w:r w:rsidRPr="00180B20">
          <w:rPr>
            <w:rStyle w:val="Hyperlink"/>
          </w:rPr>
          <w:t>Liste du Nouveau-Brunswick</w:t>
        </w:r>
        <w:r>
          <w:rPr>
            <w:webHidden/>
          </w:rPr>
          <w:tab/>
        </w:r>
        <w:r>
          <w:rPr>
            <w:webHidden/>
          </w:rPr>
          <w:fldChar w:fldCharType="begin"/>
        </w:r>
        <w:r>
          <w:rPr>
            <w:webHidden/>
          </w:rPr>
          <w:instrText xml:space="preserve"> PAGEREF _Toc156311791 \h </w:instrText>
        </w:r>
        <w:r>
          <w:rPr>
            <w:webHidden/>
          </w:rPr>
        </w:r>
        <w:r>
          <w:rPr>
            <w:webHidden/>
          </w:rPr>
          <w:fldChar w:fldCharType="separate"/>
        </w:r>
        <w:r w:rsidR="001A56FE">
          <w:rPr>
            <w:webHidden/>
          </w:rPr>
          <w:t>250</w:t>
        </w:r>
        <w:r>
          <w:rPr>
            <w:webHidden/>
          </w:rPr>
          <w:fldChar w:fldCharType="end"/>
        </w:r>
      </w:hyperlink>
    </w:p>
    <w:p w14:paraId="090F4F3B" w14:textId="0C9C79E3" w:rsidR="00B305A0" w:rsidRDefault="00B305A0">
      <w:pPr>
        <w:pStyle w:val="TOC3"/>
        <w:rPr>
          <w:rFonts w:eastAsiaTheme="minorEastAsia" w:cstheme="minorBidi"/>
          <w:kern w:val="2"/>
          <w:sz w:val="24"/>
          <w:szCs w:val="24"/>
          <w:lang w:val="en-CA" w:eastAsia="en-CA"/>
          <w14:ligatures w14:val="standardContextual"/>
        </w:rPr>
      </w:pPr>
      <w:hyperlink w:anchor="_Toc156311792" w:history="1">
        <w:r w:rsidRPr="00180B20">
          <w:rPr>
            <w:rStyle w:val="Hyperlink"/>
          </w:rPr>
          <w:t>Liste du Manitoba</w:t>
        </w:r>
        <w:r>
          <w:rPr>
            <w:webHidden/>
          </w:rPr>
          <w:tab/>
        </w:r>
        <w:r>
          <w:rPr>
            <w:webHidden/>
          </w:rPr>
          <w:fldChar w:fldCharType="begin"/>
        </w:r>
        <w:r>
          <w:rPr>
            <w:webHidden/>
          </w:rPr>
          <w:instrText xml:space="preserve"> PAGEREF _Toc156311792 \h </w:instrText>
        </w:r>
        <w:r>
          <w:rPr>
            <w:webHidden/>
          </w:rPr>
        </w:r>
        <w:r>
          <w:rPr>
            <w:webHidden/>
          </w:rPr>
          <w:fldChar w:fldCharType="separate"/>
        </w:r>
        <w:r w:rsidR="001A56FE">
          <w:rPr>
            <w:webHidden/>
          </w:rPr>
          <w:t>253</w:t>
        </w:r>
        <w:r>
          <w:rPr>
            <w:webHidden/>
          </w:rPr>
          <w:fldChar w:fldCharType="end"/>
        </w:r>
      </w:hyperlink>
    </w:p>
    <w:p w14:paraId="2B5F4F98" w14:textId="207D28F4" w:rsidR="00B305A0" w:rsidRDefault="00B305A0">
      <w:pPr>
        <w:pStyle w:val="TOC3"/>
        <w:rPr>
          <w:rFonts w:eastAsiaTheme="minorEastAsia" w:cstheme="minorBidi"/>
          <w:kern w:val="2"/>
          <w:sz w:val="24"/>
          <w:szCs w:val="24"/>
          <w:lang w:val="en-CA" w:eastAsia="en-CA"/>
          <w14:ligatures w14:val="standardContextual"/>
        </w:rPr>
      </w:pPr>
      <w:hyperlink w:anchor="_Toc156311793" w:history="1">
        <w:r w:rsidRPr="00180B20">
          <w:rPr>
            <w:rStyle w:val="Hyperlink"/>
          </w:rPr>
          <w:t>Liste de la Colombie-Britannique</w:t>
        </w:r>
        <w:r>
          <w:rPr>
            <w:webHidden/>
          </w:rPr>
          <w:tab/>
        </w:r>
        <w:r>
          <w:rPr>
            <w:webHidden/>
          </w:rPr>
          <w:fldChar w:fldCharType="begin"/>
        </w:r>
        <w:r>
          <w:rPr>
            <w:webHidden/>
          </w:rPr>
          <w:instrText xml:space="preserve"> PAGEREF _Toc156311793 \h </w:instrText>
        </w:r>
        <w:r>
          <w:rPr>
            <w:webHidden/>
          </w:rPr>
        </w:r>
        <w:r>
          <w:rPr>
            <w:webHidden/>
          </w:rPr>
          <w:fldChar w:fldCharType="separate"/>
        </w:r>
        <w:r w:rsidR="001A56FE">
          <w:rPr>
            <w:webHidden/>
          </w:rPr>
          <w:t>257</w:t>
        </w:r>
        <w:r>
          <w:rPr>
            <w:webHidden/>
          </w:rPr>
          <w:fldChar w:fldCharType="end"/>
        </w:r>
      </w:hyperlink>
    </w:p>
    <w:p w14:paraId="027D46CD" w14:textId="0FDAEA0B" w:rsidR="00B305A0" w:rsidRDefault="00B305A0">
      <w:pPr>
        <w:pStyle w:val="TOC3"/>
        <w:rPr>
          <w:rFonts w:eastAsiaTheme="minorEastAsia" w:cstheme="minorBidi"/>
          <w:kern w:val="2"/>
          <w:sz w:val="24"/>
          <w:szCs w:val="24"/>
          <w:lang w:val="en-CA" w:eastAsia="en-CA"/>
          <w14:ligatures w14:val="standardContextual"/>
        </w:rPr>
      </w:pPr>
      <w:hyperlink w:anchor="_Toc156311794" w:history="1">
        <w:r w:rsidRPr="00180B20">
          <w:rPr>
            <w:rStyle w:val="Hyperlink"/>
          </w:rPr>
          <w:t>Liste de l’Île-du-Prince-Édouard</w:t>
        </w:r>
        <w:r>
          <w:rPr>
            <w:webHidden/>
          </w:rPr>
          <w:tab/>
        </w:r>
        <w:r>
          <w:rPr>
            <w:webHidden/>
          </w:rPr>
          <w:fldChar w:fldCharType="begin"/>
        </w:r>
        <w:r>
          <w:rPr>
            <w:webHidden/>
          </w:rPr>
          <w:instrText xml:space="preserve"> PAGEREF _Toc156311794 \h </w:instrText>
        </w:r>
        <w:r>
          <w:rPr>
            <w:webHidden/>
          </w:rPr>
        </w:r>
        <w:r>
          <w:rPr>
            <w:webHidden/>
          </w:rPr>
          <w:fldChar w:fldCharType="separate"/>
        </w:r>
        <w:r w:rsidR="001A56FE">
          <w:rPr>
            <w:webHidden/>
          </w:rPr>
          <w:t>262</w:t>
        </w:r>
        <w:r>
          <w:rPr>
            <w:webHidden/>
          </w:rPr>
          <w:fldChar w:fldCharType="end"/>
        </w:r>
      </w:hyperlink>
    </w:p>
    <w:p w14:paraId="1B11CC04" w14:textId="39F52E32" w:rsidR="00B305A0" w:rsidRDefault="00B305A0">
      <w:pPr>
        <w:pStyle w:val="TOC3"/>
        <w:rPr>
          <w:rFonts w:eastAsiaTheme="minorEastAsia" w:cstheme="minorBidi"/>
          <w:kern w:val="2"/>
          <w:sz w:val="24"/>
          <w:szCs w:val="24"/>
          <w:lang w:val="en-CA" w:eastAsia="en-CA"/>
          <w14:ligatures w14:val="standardContextual"/>
        </w:rPr>
      </w:pPr>
      <w:hyperlink w:anchor="_Toc156311795" w:history="1">
        <w:r w:rsidRPr="00180B20">
          <w:rPr>
            <w:rStyle w:val="Hyperlink"/>
          </w:rPr>
          <w:t>Liste de la Saskatchewan</w:t>
        </w:r>
        <w:r>
          <w:rPr>
            <w:webHidden/>
          </w:rPr>
          <w:tab/>
        </w:r>
        <w:r>
          <w:rPr>
            <w:webHidden/>
          </w:rPr>
          <w:fldChar w:fldCharType="begin"/>
        </w:r>
        <w:r>
          <w:rPr>
            <w:webHidden/>
          </w:rPr>
          <w:instrText xml:space="preserve"> PAGEREF _Toc156311795 \h </w:instrText>
        </w:r>
        <w:r>
          <w:rPr>
            <w:webHidden/>
          </w:rPr>
        </w:r>
        <w:r>
          <w:rPr>
            <w:webHidden/>
          </w:rPr>
          <w:fldChar w:fldCharType="separate"/>
        </w:r>
        <w:r w:rsidR="001A56FE">
          <w:rPr>
            <w:webHidden/>
          </w:rPr>
          <w:t>269</w:t>
        </w:r>
        <w:r>
          <w:rPr>
            <w:webHidden/>
          </w:rPr>
          <w:fldChar w:fldCharType="end"/>
        </w:r>
      </w:hyperlink>
    </w:p>
    <w:p w14:paraId="14CC6902" w14:textId="4D0F0D00" w:rsidR="00B305A0" w:rsidRDefault="00B305A0">
      <w:pPr>
        <w:pStyle w:val="TOC3"/>
        <w:rPr>
          <w:rFonts w:eastAsiaTheme="minorEastAsia" w:cstheme="minorBidi"/>
          <w:kern w:val="2"/>
          <w:sz w:val="24"/>
          <w:szCs w:val="24"/>
          <w:lang w:val="en-CA" w:eastAsia="en-CA"/>
          <w14:ligatures w14:val="standardContextual"/>
        </w:rPr>
      </w:pPr>
      <w:hyperlink w:anchor="_Toc156311796" w:history="1">
        <w:r w:rsidRPr="00180B20">
          <w:rPr>
            <w:rStyle w:val="Hyperlink"/>
          </w:rPr>
          <w:t>Liste de l’Alberta</w:t>
        </w:r>
        <w:r>
          <w:rPr>
            <w:webHidden/>
          </w:rPr>
          <w:tab/>
        </w:r>
        <w:r>
          <w:rPr>
            <w:webHidden/>
          </w:rPr>
          <w:fldChar w:fldCharType="begin"/>
        </w:r>
        <w:r>
          <w:rPr>
            <w:webHidden/>
          </w:rPr>
          <w:instrText xml:space="preserve"> PAGEREF _Toc156311796 \h </w:instrText>
        </w:r>
        <w:r>
          <w:rPr>
            <w:webHidden/>
          </w:rPr>
        </w:r>
        <w:r>
          <w:rPr>
            <w:webHidden/>
          </w:rPr>
          <w:fldChar w:fldCharType="separate"/>
        </w:r>
        <w:r w:rsidR="001A56FE">
          <w:rPr>
            <w:webHidden/>
          </w:rPr>
          <w:t>273</w:t>
        </w:r>
        <w:r>
          <w:rPr>
            <w:webHidden/>
          </w:rPr>
          <w:fldChar w:fldCharType="end"/>
        </w:r>
      </w:hyperlink>
    </w:p>
    <w:p w14:paraId="00E53B03" w14:textId="2835CB3E" w:rsidR="00B305A0" w:rsidRDefault="00B305A0">
      <w:pPr>
        <w:pStyle w:val="TOC3"/>
        <w:rPr>
          <w:rFonts w:eastAsiaTheme="minorEastAsia" w:cstheme="minorBidi"/>
          <w:kern w:val="2"/>
          <w:sz w:val="24"/>
          <w:szCs w:val="24"/>
          <w:lang w:val="en-CA" w:eastAsia="en-CA"/>
          <w14:ligatures w14:val="standardContextual"/>
        </w:rPr>
      </w:pPr>
      <w:hyperlink w:anchor="_Toc156311797" w:history="1">
        <w:r w:rsidRPr="00180B20">
          <w:rPr>
            <w:rStyle w:val="Hyperlink"/>
          </w:rPr>
          <w:t>Liste de Terre-Neuve-et-Labrador</w:t>
        </w:r>
        <w:r>
          <w:rPr>
            <w:webHidden/>
          </w:rPr>
          <w:tab/>
        </w:r>
        <w:r>
          <w:rPr>
            <w:webHidden/>
          </w:rPr>
          <w:fldChar w:fldCharType="begin"/>
        </w:r>
        <w:r>
          <w:rPr>
            <w:webHidden/>
          </w:rPr>
          <w:instrText xml:space="preserve"> PAGEREF _Toc156311797 \h </w:instrText>
        </w:r>
        <w:r>
          <w:rPr>
            <w:webHidden/>
          </w:rPr>
        </w:r>
        <w:r>
          <w:rPr>
            <w:webHidden/>
          </w:rPr>
          <w:fldChar w:fldCharType="separate"/>
        </w:r>
        <w:r w:rsidR="001A56FE">
          <w:rPr>
            <w:webHidden/>
          </w:rPr>
          <w:t>275</w:t>
        </w:r>
        <w:r>
          <w:rPr>
            <w:webHidden/>
          </w:rPr>
          <w:fldChar w:fldCharType="end"/>
        </w:r>
      </w:hyperlink>
    </w:p>
    <w:p w14:paraId="751587ED" w14:textId="7903BF2E" w:rsidR="00B305A0" w:rsidRDefault="00B305A0">
      <w:pPr>
        <w:pStyle w:val="TOC3"/>
        <w:rPr>
          <w:rFonts w:eastAsiaTheme="minorEastAsia" w:cstheme="minorBidi"/>
          <w:kern w:val="2"/>
          <w:sz w:val="24"/>
          <w:szCs w:val="24"/>
          <w:lang w:val="en-CA" w:eastAsia="en-CA"/>
          <w14:ligatures w14:val="standardContextual"/>
        </w:rPr>
      </w:pPr>
      <w:hyperlink w:anchor="_Toc156311798" w:history="1">
        <w:r w:rsidRPr="00180B20">
          <w:rPr>
            <w:rStyle w:val="Hyperlink"/>
          </w:rPr>
          <w:t>Liste du Yukon</w:t>
        </w:r>
        <w:r>
          <w:rPr>
            <w:webHidden/>
          </w:rPr>
          <w:tab/>
        </w:r>
        <w:r>
          <w:rPr>
            <w:webHidden/>
          </w:rPr>
          <w:fldChar w:fldCharType="begin"/>
        </w:r>
        <w:r>
          <w:rPr>
            <w:webHidden/>
          </w:rPr>
          <w:instrText xml:space="preserve"> PAGEREF _Toc156311798 \h </w:instrText>
        </w:r>
        <w:r>
          <w:rPr>
            <w:webHidden/>
          </w:rPr>
        </w:r>
        <w:r>
          <w:rPr>
            <w:webHidden/>
          </w:rPr>
          <w:fldChar w:fldCharType="separate"/>
        </w:r>
        <w:r w:rsidR="001A56FE">
          <w:rPr>
            <w:webHidden/>
          </w:rPr>
          <w:t>283</w:t>
        </w:r>
        <w:r>
          <w:rPr>
            <w:webHidden/>
          </w:rPr>
          <w:fldChar w:fldCharType="end"/>
        </w:r>
      </w:hyperlink>
    </w:p>
    <w:p w14:paraId="560C84E3" w14:textId="2BC309F3" w:rsidR="00B305A0" w:rsidRDefault="00B305A0">
      <w:pPr>
        <w:pStyle w:val="TOC3"/>
        <w:rPr>
          <w:rFonts w:eastAsiaTheme="minorEastAsia" w:cstheme="minorBidi"/>
          <w:kern w:val="2"/>
          <w:sz w:val="24"/>
          <w:szCs w:val="24"/>
          <w:lang w:val="en-CA" w:eastAsia="en-CA"/>
          <w14:ligatures w14:val="standardContextual"/>
        </w:rPr>
      </w:pPr>
      <w:hyperlink w:anchor="_Toc156311799" w:history="1">
        <w:r w:rsidRPr="00180B20">
          <w:rPr>
            <w:rStyle w:val="Hyperlink"/>
          </w:rPr>
          <w:t>Liste des Territoires du Nord-Ouest</w:t>
        </w:r>
        <w:r>
          <w:rPr>
            <w:webHidden/>
          </w:rPr>
          <w:tab/>
        </w:r>
        <w:r>
          <w:rPr>
            <w:webHidden/>
          </w:rPr>
          <w:fldChar w:fldCharType="begin"/>
        </w:r>
        <w:r>
          <w:rPr>
            <w:webHidden/>
          </w:rPr>
          <w:instrText xml:space="preserve"> PAGEREF _Toc156311799 \h </w:instrText>
        </w:r>
        <w:r>
          <w:rPr>
            <w:webHidden/>
          </w:rPr>
        </w:r>
        <w:r>
          <w:rPr>
            <w:webHidden/>
          </w:rPr>
          <w:fldChar w:fldCharType="separate"/>
        </w:r>
        <w:r w:rsidR="001A56FE">
          <w:rPr>
            <w:webHidden/>
          </w:rPr>
          <w:t>291</w:t>
        </w:r>
        <w:r>
          <w:rPr>
            <w:webHidden/>
          </w:rPr>
          <w:fldChar w:fldCharType="end"/>
        </w:r>
      </w:hyperlink>
    </w:p>
    <w:p w14:paraId="3952CC29" w14:textId="5A7790DB" w:rsidR="00B305A0" w:rsidRDefault="00B305A0">
      <w:pPr>
        <w:pStyle w:val="TOC3"/>
        <w:rPr>
          <w:rFonts w:eastAsiaTheme="minorEastAsia" w:cstheme="minorBidi"/>
          <w:kern w:val="2"/>
          <w:sz w:val="24"/>
          <w:szCs w:val="24"/>
          <w:lang w:val="en-CA" w:eastAsia="en-CA"/>
          <w14:ligatures w14:val="standardContextual"/>
        </w:rPr>
      </w:pPr>
      <w:hyperlink w:anchor="_Toc156311800" w:history="1">
        <w:r w:rsidRPr="00180B20">
          <w:rPr>
            <w:rStyle w:val="Hyperlink"/>
          </w:rPr>
          <w:t>Liste du Nunavut</w:t>
        </w:r>
        <w:r>
          <w:rPr>
            <w:webHidden/>
          </w:rPr>
          <w:tab/>
        </w:r>
        <w:r>
          <w:rPr>
            <w:webHidden/>
          </w:rPr>
          <w:fldChar w:fldCharType="begin"/>
        </w:r>
        <w:r>
          <w:rPr>
            <w:webHidden/>
          </w:rPr>
          <w:instrText xml:space="preserve"> PAGEREF _Toc156311800 \h </w:instrText>
        </w:r>
        <w:r>
          <w:rPr>
            <w:webHidden/>
          </w:rPr>
        </w:r>
        <w:r>
          <w:rPr>
            <w:webHidden/>
          </w:rPr>
          <w:fldChar w:fldCharType="separate"/>
        </w:r>
        <w:r w:rsidR="001A56FE">
          <w:rPr>
            <w:webHidden/>
          </w:rPr>
          <w:t>292</w:t>
        </w:r>
        <w:r>
          <w:rPr>
            <w:webHidden/>
          </w:rPr>
          <w:fldChar w:fldCharType="end"/>
        </w:r>
      </w:hyperlink>
    </w:p>
    <w:p w14:paraId="386F169D" w14:textId="030B1E47" w:rsidR="00B305A0" w:rsidRDefault="00B305A0">
      <w:pPr>
        <w:pStyle w:val="TOC2"/>
        <w:rPr>
          <w:rFonts w:eastAsiaTheme="minorEastAsia" w:cstheme="minorBidi"/>
          <w:b w:val="0"/>
          <w:bCs w:val="0"/>
          <w:noProof/>
          <w:kern w:val="2"/>
          <w:sz w:val="24"/>
          <w:szCs w:val="24"/>
          <w:lang w:eastAsia="en-CA"/>
          <w14:ligatures w14:val="standardContextual"/>
        </w:rPr>
      </w:pPr>
      <w:hyperlink w:anchor="_Toc156311801" w:history="1">
        <w:r w:rsidRPr="00180B20">
          <w:rPr>
            <w:rStyle w:val="Hyperlink"/>
            <w:rFonts w:ascii="Arial" w:hAnsi="Arial" w:cs="Arial"/>
            <w:noProof/>
            <w:lang w:val="fr-FR"/>
          </w:rPr>
          <w:t>ANNEXE II: Exceptions au regard des mesures futures</w:t>
        </w:r>
        <w:r>
          <w:rPr>
            <w:noProof/>
            <w:webHidden/>
          </w:rPr>
          <w:tab/>
        </w:r>
        <w:r>
          <w:rPr>
            <w:noProof/>
            <w:webHidden/>
          </w:rPr>
          <w:fldChar w:fldCharType="begin"/>
        </w:r>
        <w:r>
          <w:rPr>
            <w:noProof/>
            <w:webHidden/>
          </w:rPr>
          <w:instrText xml:space="preserve"> PAGEREF _Toc156311801 \h </w:instrText>
        </w:r>
        <w:r>
          <w:rPr>
            <w:noProof/>
            <w:webHidden/>
          </w:rPr>
        </w:r>
        <w:r>
          <w:rPr>
            <w:noProof/>
            <w:webHidden/>
          </w:rPr>
          <w:fldChar w:fldCharType="separate"/>
        </w:r>
        <w:r w:rsidR="001A56FE">
          <w:rPr>
            <w:noProof/>
            <w:webHidden/>
          </w:rPr>
          <w:t>293</w:t>
        </w:r>
        <w:r>
          <w:rPr>
            <w:noProof/>
            <w:webHidden/>
          </w:rPr>
          <w:fldChar w:fldCharType="end"/>
        </w:r>
      </w:hyperlink>
    </w:p>
    <w:p w14:paraId="18C35716" w14:textId="63C118B9" w:rsidR="00B305A0" w:rsidRDefault="00B305A0">
      <w:pPr>
        <w:pStyle w:val="TOC3"/>
        <w:rPr>
          <w:rFonts w:eastAsiaTheme="minorEastAsia" w:cstheme="minorBidi"/>
          <w:kern w:val="2"/>
          <w:sz w:val="24"/>
          <w:szCs w:val="24"/>
          <w:lang w:val="en-CA" w:eastAsia="en-CA"/>
          <w14:ligatures w14:val="standardContextual"/>
        </w:rPr>
      </w:pPr>
      <w:hyperlink w:anchor="_Toc156311802" w:history="1">
        <w:r w:rsidRPr="00180B20">
          <w:rPr>
            <w:rStyle w:val="Hyperlink"/>
          </w:rPr>
          <w:t>Liste du Canada</w:t>
        </w:r>
        <w:r>
          <w:rPr>
            <w:webHidden/>
          </w:rPr>
          <w:tab/>
        </w:r>
        <w:r>
          <w:rPr>
            <w:webHidden/>
          </w:rPr>
          <w:fldChar w:fldCharType="begin"/>
        </w:r>
        <w:r>
          <w:rPr>
            <w:webHidden/>
          </w:rPr>
          <w:instrText xml:space="preserve"> PAGEREF _Toc156311802 \h </w:instrText>
        </w:r>
        <w:r>
          <w:rPr>
            <w:webHidden/>
          </w:rPr>
        </w:r>
        <w:r>
          <w:rPr>
            <w:webHidden/>
          </w:rPr>
          <w:fldChar w:fldCharType="separate"/>
        </w:r>
        <w:r w:rsidR="001A56FE">
          <w:rPr>
            <w:webHidden/>
          </w:rPr>
          <w:t>293</w:t>
        </w:r>
        <w:r>
          <w:rPr>
            <w:webHidden/>
          </w:rPr>
          <w:fldChar w:fldCharType="end"/>
        </w:r>
      </w:hyperlink>
    </w:p>
    <w:p w14:paraId="18F09680" w14:textId="4A2DE34C" w:rsidR="00B305A0" w:rsidRDefault="00B305A0">
      <w:pPr>
        <w:pStyle w:val="TOC3"/>
        <w:rPr>
          <w:rFonts w:eastAsiaTheme="minorEastAsia" w:cstheme="minorBidi"/>
          <w:kern w:val="2"/>
          <w:sz w:val="24"/>
          <w:szCs w:val="24"/>
          <w:lang w:val="en-CA" w:eastAsia="en-CA"/>
          <w14:ligatures w14:val="standardContextual"/>
        </w:rPr>
      </w:pPr>
      <w:hyperlink w:anchor="_Toc156311803" w:history="1">
        <w:r w:rsidRPr="00180B20">
          <w:rPr>
            <w:rStyle w:val="Hyperlink"/>
          </w:rPr>
          <w:t>Liste de l’Ontario</w:t>
        </w:r>
        <w:r>
          <w:rPr>
            <w:webHidden/>
          </w:rPr>
          <w:tab/>
        </w:r>
        <w:r>
          <w:rPr>
            <w:webHidden/>
          </w:rPr>
          <w:fldChar w:fldCharType="begin"/>
        </w:r>
        <w:r>
          <w:rPr>
            <w:webHidden/>
          </w:rPr>
          <w:instrText xml:space="preserve"> PAGEREF _Toc156311803 \h </w:instrText>
        </w:r>
        <w:r>
          <w:rPr>
            <w:webHidden/>
          </w:rPr>
        </w:r>
        <w:r>
          <w:rPr>
            <w:webHidden/>
          </w:rPr>
          <w:fldChar w:fldCharType="separate"/>
        </w:r>
        <w:r w:rsidR="001A56FE">
          <w:rPr>
            <w:webHidden/>
          </w:rPr>
          <w:t>299</w:t>
        </w:r>
        <w:r>
          <w:rPr>
            <w:webHidden/>
          </w:rPr>
          <w:fldChar w:fldCharType="end"/>
        </w:r>
      </w:hyperlink>
    </w:p>
    <w:p w14:paraId="60CA661E" w14:textId="055C8231" w:rsidR="00B305A0" w:rsidRDefault="00B305A0">
      <w:pPr>
        <w:pStyle w:val="TOC3"/>
        <w:rPr>
          <w:rFonts w:eastAsiaTheme="minorEastAsia" w:cstheme="minorBidi"/>
          <w:kern w:val="2"/>
          <w:sz w:val="24"/>
          <w:szCs w:val="24"/>
          <w:lang w:val="en-CA" w:eastAsia="en-CA"/>
          <w14:ligatures w14:val="standardContextual"/>
        </w:rPr>
      </w:pPr>
      <w:hyperlink w:anchor="_Toc156311804" w:history="1">
        <w:r w:rsidRPr="00180B20">
          <w:rPr>
            <w:rStyle w:val="Hyperlink"/>
            <w:lang w:val="fr-FR"/>
          </w:rPr>
          <w:t>Liste du Québec</w:t>
        </w:r>
        <w:r>
          <w:rPr>
            <w:webHidden/>
          </w:rPr>
          <w:tab/>
        </w:r>
        <w:r>
          <w:rPr>
            <w:webHidden/>
          </w:rPr>
          <w:fldChar w:fldCharType="begin"/>
        </w:r>
        <w:r>
          <w:rPr>
            <w:webHidden/>
          </w:rPr>
          <w:instrText xml:space="preserve"> PAGEREF _Toc156311804 \h </w:instrText>
        </w:r>
        <w:r>
          <w:rPr>
            <w:webHidden/>
          </w:rPr>
        </w:r>
        <w:r>
          <w:rPr>
            <w:webHidden/>
          </w:rPr>
          <w:fldChar w:fldCharType="separate"/>
        </w:r>
        <w:r w:rsidR="001A56FE">
          <w:rPr>
            <w:webHidden/>
          </w:rPr>
          <w:t>301</w:t>
        </w:r>
        <w:r>
          <w:rPr>
            <w:webHidden/>
          </w:rPr>
          <w:fldChar w:fldCharType="end"/>
        </w:r>
      </w:hyperlink>
    </w:p>
    <w:p w14:paraId="4FBC80E3" w14:textId="6B5B3DED" w:rsidR="00B305A0" w:rsidRDefault="00B305A0">
      <w:pPr>
        <w:pStyle w:val="TOC3"/>
        <w:rPr>
          <w:rFonts w:eastAsiaTheme="minorEastAsia" w:cstheme="minorBidi"/>
          <w:kern w:val="2"/>
          <w:sz w:val="24"/>
          <w:szCs w:val="24"/>
          <w:lang w:val="en-CA" w:eastAsia="en-CA"/>
          <w14:ligatures w14:val="standardContextual"/>
        </w:rPr>
      </w:pPr>
      <w:hyperlink w:anchor="_Toc156311805" w:history="1">
        <w:r w:rsidRPr="00180B20">
          <w:rPr>
            <w:rStyle w:val="Hyperlink"/>
            <w:lang w:val="fr-FR"/>
          </w:rPr>
          <w:t>Liste de la Nouvelle-Écosse</w:t>
        </w:r>
        <w:r>
          <w:rPr>
            <w:webHidden/>
          </w:rPr>
          <w:tab/>
        </w:r>
        <w:r>
          <w:rPr>
            <w:webHidden/>
          </w:rPr>
          <w:fldChar w:fldCharType="begin"/>
        </w:r>
        <w:r>
          <w:rPr>
            <w:webHidden/>
          </w:rPr>
          <w:instrText xml:space="preserve"> PAGEREF _Toc156311805 \h </w:instrText>
        </w:r>
        <w:r>
          <w:rPr>
            <w:webHidden/>
          </w:rPr>
        </w:r>
        <w:r>
          <w:rPr>
            <w:webHidden/>
          </w:rPr>
          <w:fldChar w:fldCharType="separate"/>
        </w:r>
        <w:r w:rsidR="001A56FE">
          <w:rPr>
            <w:webHidden/>
          </w:rPr>
          <w:t>307</w:t>
        </w:r>
        <w:r>
          <w:rPr>
            <w:webHidden/>
          </w:rPr>
          <w:fldChar w:fldCharType="end"/>
        </w:r>
      </w:hyperlink>
    </w:p>
    <w:p w14:paraId="0DA96533" w14:textId="5866BB71" w:rsidR="00B305A0" w:rsidRDefault="00B305A0">
      <w:pPr>
        <w:pStyle w:val="TOC3"/>
        <w:rPr>
          <w:rFonts w:eastAsiaTheme="minorEastAsia" w:cstheme="minorBidi"/>
          <w:kern w:val="2"/>
          <w:sz w:val="24"/>
          <w:szCs w:val="24"/>
          <w:lang w:val="en-CA" w:eastAsia="en-CA"/>
          <w14:ligatures w14:val="standardContextual"/>
        </w:rPr>
      </w:pPr>
      <w:hyperlink w:anchor="_Toc156311806" w:history="1">
        <w:r w:rsidRPr="00180B20">
          <w:rPr>
            <w:rStyle w:val="Hyperlink"/>
          </w:rPr>
          <w:t>Liste du Nouveau-Brunswick</w:t>
        </w:r>
        <w:r>
          <w:rPr>
            <w:webHidden/>
          </w:rPr>
          <w:tab/>
        </w:r>
        <w:r>
          <w:rPr>
            <w:webHidden/>
          </w:rPr>
          <w:fldChar w:fldCharType="begin"/>
        </w:r>
        <w:r>
          <w:rPr>
            <w:webHidden/>
          </w:rPr>
          <w:instrText xml:space="preserve"> PAGEREF _Toc156311806 \h </w:instrText>
        </w:r>
        <w:r>
          <w:rPr>
            <w:webHidden/>
          </w:rPr>
        </w:r>
        <w:r>
          <w:rPr>
            <w:webHidden/>
          </w:rPr>
          <w:fldChar w:fldCharType="separate"/>
        </w:r>
        <w:r w:rsidR="001A56FE">
          <w:rPr>
            <w:webHidden/>
          </w:rPr>
          <w:t>310</w:t>
        </w:r>
        <w:r>
          <w:rPr>
            <w:webHidden/>
          </w:rPr>
          <w:fldChar w:fldCharType="end"/>
        </w:r>
      </w:hyperlink>
    </w:p>
    <w:p w14:paraId="369C1C1C" w14:textId="2AC0E574" w:rsidR="00B305A0" w:rsidRDefault="00B305A0">
      <w:pPr>
        <w:pStyle w:val="TOC3"/>
        <w:rPr>
          <w:rFonts w:eastAsiaTheme="minorEastAsia" w:cstheme="minorBidi"/>
          <w:kern w:val="2"/>
          <w:sz w:val="24"/>
          <w:szCs w:val="24"/>
          <w:lang w:val="en-CA" w:eastAsia="en-CA"/>
          <w14:ligatures w14:val="standardContextual"/>
        </w:rPr>
      </w:pPr>
      <w:hyperlink w:anchor="_Toc156311807" w:history="1">
        <w:r w:rsidRPr="00180B20">
          <w:rPr>
            <w:rStyle w:val="Hyperlink"/>
          </w:rPr>
          <w:t>Liste du Manitoba</w:t>
        </w:r>
        <w:r>
          <w:rPr>
            <w:webHidden/>
          </w:rPr>
          <w:tab/>
        </w:r>
        <w:r>
          <w:rPr>
            <w:webHidden/>
          </w:rPr>
          <w:fldChar w:fldCharType="begin"/>
        </w:r>
        <w:r>
          <w:rPr>
            <w:webHidden/>
          </w:rPr>
          <w:instrText xml:space="preserve"> PAGEREF _Toc156311807 \h </w:instrText>
        </w:r>
        <w:r>
          <w:rPr>
            <w:webHidden/>
          </w:rPr>
        </w:r>
        <w:r>
          <w:rPr>
            <w:webHidden/>
          </w:rPr>
          <w:fldChar w:fldCharType="separate"/>
        </w:r>
        <w:r w:rsidR="001A56FE">
          <w:rPr>
            <w:webHidden/>
          </w:rPr>
          <w:t>314</w:t>
        </w:r>
        <w:r>
          <w:rPr>
            <w:webHidden/>
          </w:rPr>
          <w:fldChar w:fldCharType="end"/>
        </w:r>
      </w:hyperlink>
    </w:p>
    <w:p w14:paraId="1DEF3C0F" w14:textId="441C1165" w:rsidR="00B305A0" w:rsidRDefault="00B305A0">
      <w:pPr>
        <w:pStyle w:val="TOC3"/>
        <w:rPr>
          <w:rFonts w:eastAsiaTheme="minorEastAsia" w:cstheme="minorBidi"/>
          <w:kern w:val="2"/>
          <w:sz w:val="24"/>
          <w:szCs w:val="24"/>
          <w:lang w:val="en-CA" w:eastAsia="en-CA"/>
          <w14:ligatures w14:val="standardContextual"/>
        </w:rPr>
      </w:pPr>
      <w:hyperlink w:anchor="_Toc156311808" w:history="1">
        <w:r w:rsidRPr="00180B20">
          <w:rPr>
            <w:rStyle w:val="Hyperlink"/>
            <w:b/>
            <w:bCs/>
          </w:rPr>
          <w:t>Liste de la Colombie-Britannique</w:t>
        </w:r>
        <w:r>
          <w:rPr>
            <w:webHidden/>
          </w:rPr>
          <w:tab/>
        </w:r>
        <w:r>
          <w:rPr>
            <w:webHidden/>
          </w:rPr>
          <w:fldChar w:fldCharType="begin"/>
        </w:r>
        <w:r>
          <w:rPr>
            <w:webHidden/>
          </w:rPr>
          <w:instrText xml:space="preserve"> PAGEREF _Toc156311808 \h </w:instrText>
        </w:r>
        <w:r>
          <w:rPr>
            <w:webHidden/>
          </w:rPr>
        </w:r>
        <w:r>
          <w:rPr>
            <w:webHidden/>
          </w:rPr>
          <w:fldChar w:fldCharType="separate"/>
        </w:r>
        <w:r w:rsidR="001A56FE">
          <w:rPr>
            <w:webHidden/>
          </w:rPr>
          <w:t>316</w:t>
        </w:r>
        <w:r>
          <w:rPr>
            <w:webHidden/>
          </w:rPr>
          <w:fldChar w:fldCharType="end"/>
        </w:r>
      </w:hyperlink>
    </w:p>
    <w:p w14:paraId="7DDFD5C6" w14:textId="7D4A1813" w:rsidR="00B305A0" w:rsidRDefault="00B305A0">
      <w:pPr>
        <w:pStyle w:val="TOC3"/>
        <w:rPr>
          <w:rFonts w:eastAsiaTheme="minorEastAsia" w:cstheme="minorBidi"/>
          <w:kern w:val="2"/>
          <w:sz w:val="24"/>
          <w:szCs w:val="24"/>
          <w:lang w:val="en-CA" w:eastAsia="en-CA"/>
          <w14:ligatures w14:val="standardContextual"/>
        </w:rPr>
      </w:pPr>
      <w:hyperlink w:anchor="_Toc156311809" w:history="1">
        <w:r w:rsidRPr="00180B20">
          <w:rPr>
            <w:rStyle w:val="Hyperlink"/>
          </w:rPr>
          <w:t>Liste de l’Île-du-Prince-Édouard</w:t>
        </w:r>
        <w:r>
          <w:rPr>
            <w:webHidden/>
          </w:rPr>
          <w:tab/>
        </w:r>
        <w:r>
          <w:rPr>
            <w:webHidden/>
          </w:rPr>
          <w:fldChar w:fldCharType="begin"/>
        </w:r>
        <w:r>
          <w:rPr>
            <w:webHidden/>
          </w:rPr>
          <w:instrText xml:space="preserve"> PAGEREF _Toc156311809 \h </w:instrText>
        </w:r>
        <w:r>
          <w:rPr>
            <w:webHidden/>
          </w:rPr>
        </w:r>
        <w:r>
          <w:rPr>
            <w:webHidden/>
          </w:rPr>
          <w:fldChar w:fldCharType="separate"/>
        </w:r>
        <w:r w:rsidR="001A56FE">
          <w:rPr>
            <w:webHidden/>
          </w:rPr>
          <w:t>321</w:t>
        </w:r>
        <w:r>
          <w:rPr>
            <w:webHidden/>
          </w:rPr>
          <w:fldChar w:fldCharType="end"/>
        </w:r>
      </w:hyperlink>
    </w:p>
    <w:p w14:paraId="0F191454" w14:textId="44DC4B55" w:rsidR="00B305A0" w:rsidRDefault="00B305A0">
      <w:pPr>
        <w:pStyle w:val="TOC3"/>
        <w:rPr>
          <w:rFonts w:eastAsiaTheme="minorEastAsia" w:cstheme="minorBidi"/>
          <w:kern w:val="2"/>
          <w:sz w:val="24"/>
          <w:szCs w:val="24"/>
          <w:lang w:val="en-CA" w:eastAsia="en-CA"/>
          <w14:ligatures w14:val="standardContextual"/>
        </w:rPr>
      </w:pPr>
      <w:hyperlink w:anchor="_Toc156311810" w:history="1">
        <w:r w:rsidRPr="00180B20">
          <w:rPr>
            <w:rStyle w:val="Hyperlink"/>
          </w:rPr>
          <w:t>Liste de la Saskatchewan</w:t>
        </w:r>
        <w:r>
          <w:rPr>
            <w:webHidden/>
          </w:rPr>
          <w:tab/>
        </w:r>
        <w:r>
          <w:rPr>
            <w:webHidden/>
          </w:rPr>
          <w:fldChar w:fldCharType="begin"/>
        </w:r>
        <w:r>
          <w:rPr>
            <w:webHidden/>
          </w:rPr>
          <w:instrText xml:space="preserve"> PAGEREF _Toc156311810 \h </w:instrText>
        </w:r>
        <w:r>
          <w:rPr>
            <w:webHidden/>
          </w:rPr>
        </w:r>
        <w:r>
          <w:rPr>
            <w:webHidden/>
          </w:rPr>
          <w:fldChar w:fldCharType="separate"/>
        </w:r>
        <w:r w:rsidR="001A56FE">
          <w:rPr>
            <w:webHidden/>
          </w:rPr>
          <w:t>324</w:t>
        </w:r>
        <w:r>
          <w:rPr>
            <w:webHidden/>
          </w:rPr>
          <w:fldChar w:fldCharType="end"/>
        </w:r>
      </w:hyperlink>
    </w:p>
    <w:p w14:paraId="502D96AF" w14:textId="67FCB1CD" w:rsidR="00B305A0" w:rsidRDefault="00B305A0">
      <w:pPr>
        <w:pStyle w:val="TOC3"/>
        <w:rPr>
          <w:rFonts w:eastAsiaTheme="minorEastAsia" w:cstheme="minorBidi"/>
          <w:kern w:val="2"/>
          <w:sz w:val="24"/>
          <w:szCs w:val="24"/>
          <w:lang w:val="en-CA" w:eastAsia="en-CA"/>
          <w14:ligatures w14:val="standardContextual"/>
        </w:rPr>
      </w:pPr>
      <w:hyperlink w:anchor="_Toc156311811" w:history="1">
        <w:r w:rsidRPr="00180B20">
          <w:rPr>
            <w:rStyle w:val="Hyperlink"/>
          </w:rPr>
          <w:t>Liste de l’Alberta</w:t>
        </w:r>
        <w:r>
          <w:rPr>
            <w:webHidden/>
          </w:rPr>
          <w:tab/>
        </w:r>
        <w:r>
          <w:rPr>
            <w:webHidden/>
          </w:rPr>
          <w:fldChar w:fldCharType="begin"/>
        </w:r>
        <w:r>
          <w:rPr>
            <w:webHidden/>
          </w:rPr>
          <w:instrText xml:space="preserve"> PAGEREF _Toc156311811 \h </w:instrText>
        </w:r>
        <w:r>
          <w:rPr>
            <w:webHidden/>
          </w:rPr>
        </w:r>
        <w:r>
          <w:rPr>
            <w:webHidden/>
          </w:rPr>
          <w:fldChar w:fldCharType="separate"/>
        </w:r>
        <w:r w:rsidR="001A56FE">
          <w:rPr>
            <w:webHidden/>
          </w:rPr>
          <w:t>326</w:t>
        </w:r>
        <w:r>
          <w:rPr>
            <w:webHidden/>
          </w:rPr>
          <w:fldChar w:fldCharType="end"/>
        </w:r>
      </w:hyperlink>
    </w:p>
    <w:p w14:paraId="7FFA8BF1" w14:textId="35C964EF" w:rsidR="00B305A0" w:rsidRPr="00B305A0" w:rsidRDefault="00B305A0">
      <w:pPr>
        <w:pStyle w:val="TOC3"/>
        <w:rPr>
          <w:rFonts w:eastAsiaTheme="minorEastAsia" w:cstheme="minorBidi"/>
          <w:b/>
          <w:bCs/>
          <w:kern w:val="2"/>
          <w:sz w:val="24"/>
          <w:szCs w:val="24"/>
          <w:lang w:val="en-CA" w:eastAsia="en-CA"/>
          <w14:ligatures w14:val="standardContextual"/>
        </w:rPr>
      </w:pPr>
      <w:hyperlink w:anchor="_Toc156311812" w:history="1">
        <w:r w:rsidRPr="00B305A0">
          <w:rPr>
            <w:rStyle w:val="Hyperlink"/>
            <w:b/>
            <w:bCs/>
          </w:rPr>
          <w:t>Liste de Terre-Neuve-et-Labrador</w:t>
        </w:r>
        <w:r w:rsidRPr="00B305A0">
          <w:rPr>
            <w:b/>
            <w:bCs/>
            <w:webHidden/>
          </w:rPr>
          <w:tab/>
        </w:r>
        <w:r w:rsidRPr="00B305A0">
          <w:rPr>
            <w:b/>
            <w:bCs/>
            <w:webHidden/>
          </w:rPr>
          <w:fldChar w:fldCharType="begin"/>
        </w:r>
        <w:r w:rsidRPr="00B305A0">
          <w:rPr>
            <w:b/>
            <w:bCs/>
            <w:webHidden/>
          </w:rPr>
          <w:instrText xml:space="preserve"> PAGEREF _Toc156311812 \h </w:instrText>
        </w:r>
        <w:r w:rsidRPr="00B305A0">
          <w:rPr>
            <w:b/>
            <w:bCs/>
            <w:webHidden/>
          </w:rPr>
        </w:r>
        <w:r w:rsidRPr="00B305A0">
          <w:rPr>
            <w:b/>
            <w:bCs/>
            <w:webHidden/>
          </w:rPr>
          <w:fldChar w:fldCharType="separate"/>
        </w:r>
        <w:r w:rsidR="001A56FE">
          <w:rPr>
            <w:b/>
            <w:bCs/>
            <w:webHidden/>
          </w:rPr>
          <w:t>330</w:t>
        </w:r>
        <w:r w:rsidRPr="00B305A0">
          <w:rPr>
            <w:b/>
            <w:bCs/>
            <w:webHidden/>
          </w:rPr>
          <w:fldChar w:fldCharType="end"/>
        </w:r>
      </w:hyperlink>
    </w:p>
    <w:p w14:paraId="49D78A9F" w14:textId="374C1C3D" w:rsidR="00B305A0" w:rsidRDefault="00B305A0">
      <w:pPr>
        <w:pStyle w:val="TOC3"/>
        <w:rPr>
          <w:rFonts w:eastAsiaTheme="minorEastAsia" w:cstheme="minorBidi"/>
          <w:kern w:val="2"/>
          <w:sz w:val="24"/>
          <w:szCs w:val="24"/>
          <w:lang w:val="en-CA" w:eastAsia="en-CA"/>
          <w14:ligatures w14:val="standardContextual"/>
        </w:rPr>
      </w:pPr>
      <w:hyperlink w:anchor="_Toc156311813" w:history="1">
        <w:r w:rsidRPr="00180B20">
          <w:rPr>
            <w:rStyle w:val="Hyperlink"/>
          </w:rPr>
          <w:t>Liste du Yukon</w:t>
        </w:r>
        <w:r>
          <w:rPr>
            <w:webHidden/>
          </w:rPr>
          <w:tab/>
        </w:r>
        <w:r>
          <w:rPr>
            <w:webHidden/>
          </w:rPr>
          <w:fldChar w:fldCharType="begin"/>
        </w:r>
        <w:r>
          <w:rPr>
            <w:webHidden/>
          </w:rPr>
          <w:instrText xml:space="preserve"> PAGEREF _Toc156311813 \h </w:instrText>
        </w:r>
        <w:r>
          <w:rPr>
            <w:webHidden/>
          </w:rPr>
        </w:r>
        <w:r>
          <w:rPr>
            <w:webHidden/>
          </w:rPr>
          <w:fldChar w:fldCharType="separate"/>
        </w:r>
        <w:r w:rsidR="001A56FE">
          <w:rPr>
            <w:webHidden/>
          </w:rPr>
          <w:t>335</w:t>
        </w:r>
        <w:r>
          <w:rPr>
            <w:webHidden/>
          </w:rPr>
          <w:fldChar w:fldCharType="end"/>
        </w:r>
      </w:hyperlink>
    </w:p>
    <w:p w14:paraId="6CEDC928" w14:textId="328E51CE" w:rsidR="00B305A0" w:rsidRDefault="00B305A0">
      <w:pPr>
        <w:pStyle w:val="TOC3"/>
        <w:rPr>
          <w:rFonts w:eastAsiaTheme="minorEastAsia" w:cstheme="minorBidi"/>
          <w:kern w:val="2"/>
          <w:sz w:val="24"/>
          <w:szCs w:val="24"/>
          <w:lang w:val="en-CA" w:eastAsia="en-CA"/>
          <w14:ligatures w14:val="standardContextual"/>
        </w:rPr>
      </w:pPr>
      <w:hyperlink w:anchor="_Toc156311814" w:history="1">
        <w:r w:rsidRPr="00180B20">
          <w:rPr>
            <w:rStyle w:val="Hyperlink"/>
          </w:rPr>
          <w:t>Liste des Territoires du Nord-Ouest</w:t>
        </w:r>
        <w:r>
          <w:rPr>
            <w:webHidden/>
          </w:rPr>
          <w:tab/>
        </w:r>
        <w:r>
          <w:rPr>
            <w:webHidden/>
          </w:rPr>
          <w:fldChar w:fldCharType="begin"/>
        </w:r>
        <w:r>
          <w:rPr>
            <w:webHidden/>
          </w:rPr>
          <w:instrText xml:space="preserve"> PAGEREF _Toc156311814 \h </w:instrText>
        </w:r>
        <w:r>
          <w:rPr>
            <w:webHidden/>
          </w:rPr>
        </w:r>
        <w:r>
          <w:rPr>
            <w:webHidden/>
          </w:rPr>
          <w:fldChar w:fldCharType="separate"/>
        </w:r>
        <w:r w:rsidR="001A56FE">
          <w:rPr>
            <w:webHidden/>
          </w:rPr>
          <w:t>341</w:t>
        </w:r>
        <w:r>
          <w:rPr>
            <w:webHidden/>
          </w:rPr>
          <w:fldChar w:fldCharType="end"/>
        </w:r>
      </w:hyperlink>
    </w:p>
    <w:p w14:paraId="794AE3BC" w14:textId="29FFEE3A" w:rsidR="00B305A0" w:rsidRDefault="00B305A0">
      <w:pPr>
        <w:pStyle w:val="TOC3"/>
        <w:rPr>
          <w:rFonts w:eastAsiaTheme="minorEastAsia" w:cstheme="minorBidi"/>
          <w:kern w:val="2"/>
          <w:sz w:val="24"/>
          <w:szCs w:val="24"/>
          <w:lang w:val="en-CA" w:eastAsia="en-CA"/>
          <w14:ligatures w14:val="standardContextual"/>
        </w:rPr>
      </w:pPr>
      <w:hyperlink w:anchor="_Toc156311815" w:history="1">
        <w:r w:rsidRPr="00180B20">
          <w:rPr>
            <w:rStyle w:val="Hyperlink"/>
          </w:rPr>
          <w:t>Liste du Nunavut</w:t>
        </w:r>
        <w:r>
          <w:rPr>
            <w:webHidden/>
          </w:rPr>
          <w:tab/>
        </w:r>
        <w:r>
          <w:rPr>
            <w:webHidden/>
          </w:rPr>
          <w:fldChar w:fldCharType="begin"/>
        </w:r>
        <w:r>
          <w:rPr>
            <w:webHidden/>
          </w:rPr>
          <w:instrText xml:space="preserve"> PAGEREF _Toc156311815 \h </w:instrText>
        </w:r>
        <w:r>
          <w:rPr>
            <w:webHidden/>
          </w:rPr>
        </w:r>
        <w:r>
          <w:rPr>
            <w:webHidden/>
          </w:rPr>
          <w:fldChar w:fldCharType="separate"/>
        </w:r>
        <w:r w:rsidR="001A56FE">
          <w:rPr>
            <w:webHidden/>
          </w:rPr>
          <w:t>347</w:t>
        </w:r>
        <w:r>
          <w:rPr>
            <w:webHidden/>
          </w:rPr>
          <w:fldChar w:fldCharType="end"/>
        </w:r>
      </w:hyperlink>
    </w:p>
    <w:p w14:paraId="7647963D" w14:textId="490FAC31" w:rsidR="00A02F28" w:rsidRPr="00F52884" w:rsidRDefault="0034636D" w:rsidP="0034636D">
      <w:pPr>
        <w:rPr>
          <w:rFonts w:cstheme="minorHAnsi"/>
          <w:szCs w:val="23"/>
          <w:lang w:val="fr-CA"/>
        </w:rPr>
      </w:pPr>
      <w:r w:rsidRPr="00F52884">
        <w:rPr>
          <w:rFonts w:cstheme="minorHAnsi"/>
          <w:szCs w:val="23"/>
          <w:lang w:val="fr-CA"/>
        </w:rPr>
        <w:fldChar w:fldCharType="end"/>
      </w:r>
    </w:p>
    <w:p w14:paraId="335B9F4B" w14:textId="4CD9DF83" w:rsidR="005F4555" w:rsidRPr="00F52884" w:rsidRDefault="005F4555">
      <w:pPr>
        <w:rPr>
          <w:rFonts w:cstheme="minorHAnsi"/>
          <w:b/>
          <w:bCs/>
          <w:szCs w:val="23"/>
          <w:lang w:val="fr-CA"/>
        </w:rPr>
      </w:pPr>
    </w:p>
    <w:p w14:paraId="181C6EA6" w14:textId="77777777" w:rsidR="00C22EBB" w:rsidRPr="00F52884" w:rsidRDefault="0034636D" w:rsidP="0034636D">
      <w:pPr>
        <w:rPr>
          <w:rFonts w:cstheme="minorHAnsi"/>
          <w:szCs w:val="23"/>
          <w:lang w:val="fr-CA"/>
        </w:rPr>
        <w:sectPr w:rsidR="00C22EBB" w:rsidRPr="00F52884" w:rsidSect="00C22EBB">
          <w:headerReference w:type="even" r:id="rId14"/>
          <w:headerReference w:type="default" r:id="rId15"/>
          <w:headerReference w:type="first" r:id="rId16"/>
          <w:pgSz w:w="12240" w:h="15840"/>
          <w:pgMar w:top="1440" w:right="1440" w:bottom="1440" w:left="1440" w:header="708" w:footer="708" w:gutter="0"/>
          <w:pgNumType w:fmt="lowerRoman" w:start="1"/>
          <w:cols w:space="708"/>
          <w:docGrid w:linePitch="360"/>
        </w:sectPr>
      </w:pPr>
      <w:r w:rsidRPr="00F52884">
        <w:rPr>
          <w:rFonts w:cstheme="minorHAnsi"/>
          <w:szCs w:val="23"/>
          <w:lang w:val="fr-CA"/>
        </w:rPr>
        <w:br w:type="page"/>
      </w:r>
    </w:p>
    <w:p w14:paraId="763D52BB" w14:textId="77777777" w:rsidR="00AA05B4" w:rsidRPr="00F52884" w:rsidRDefault="00AA05B4" w:rsidP="000C25A3">
      <w:pPr>
        <w:pStyle w:val="Heading2"/>
        <w:spacing w:before="0"/>
        <w:jc w:val="center"/>
        <w:rPr>
          <w:rFonts w:asciiTheme="minorHAnsi" w:eastAsia="Times New Roman" w:hAnsiTheme="minorHAnsi" w:cstheme="minorHAnsi"/>
          <w:sz w:val="24"/>
          <w:szCs w:val="24"/>
          <w:lang w:val="fr-CA"/>
        </w:rPr>
      </w:pPr>
      <w:bookmarkStart w:id="0" w:name="_Toc156311746"/>
      <w:r w:rsidRPr="00F52884">
        <w:rPr>
          <w:rFonts w:asciiTheme="minorHAnsi" w:eastAsia="Times New Roman" w:hAnsiTheme="minorHAnsi" w:cstheme="minorHAnsi"/>
          <w:sz w:val="24"/>
          <w:szCs w:val="24"/>
          <w:lang w:val="fr-CA"/>
        </w:rPr>
        <w:lastRenderedPageBreak/>
        <w:t>Préambule</w:t>
      </w:r>
      <w:bookmarkEnd w:id="0"/>
    </w:p>
    <w:p w14:paraId="299BB5FD"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55A16DAC" w14:textId="1A2C9C91"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szCs w:val="23"/>
          <w:lang w:val="fr-CA"/>
        </w:rPr>
        <w:t>Les gouvernements du Canada, de l’Ontario, du Québec, de la Nouvelle-Écosse, du Nouveau-Brunswick, du Manitoba, de la Colombie-Britannique, de l’Île-du-Prince-Édouard, de la Saskatchewan, de l’Alberta, de Terre-Neuve-et-Labrador, des Territoires du Nord-Ouest, du Yukon et du Nunavut,</w:t>
      </w:r>
    </w:p>
    <w:p w14:paraId="2CF93341"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6F30214C"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b/>
          <w:bCs/>
          <w:szCs w:val="23"/>
          <w:lang w:val="fr-CA"/>
        </w:rPr>
        <w:t>AYANT RÉSOLU </w:t>
      </w:r>
      <w:r w:rsidRPr="00F52884">
        <w:rPr>
          <w:rFonts w:eastAsia="Times New Roman" w:cstheme="minorHAnsi"/>
          <w:szCs w:val="23"/>
          <w:lang w:val="fr-CA"/>
        </w:rPr>
        <w:t>:</w:t>
      </w:r>
    </w:p>
    <w:p w14:paraId="247A54E6"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0417D1CD" w14:textId="7579A08D"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DE PROMOUVOIR</w:t>
      </w:r>
      <w:r w:rsidRPr="00F52884">
        <w:rPr>
          <w:rFonts w:eastAsia="Times New Roman" w:cstheme="minorHAnsi"/>
          <w:szCs w:val="23"/>
          <w:lang w:val="fr-CA"/>
        </w:rPr>
        <w:t xml:space="preserve"> un marché intérieur ouvert, </w:t>
      </w:r>
      <w:r w:rsidR="0046525F" w:rsidRPr="00F52884">
        <w:rPr>
          <w:rFonts w:eastAsia="Times New Roman" w:cstheme="minorHAnsi"/>
          <w:szCs w:val="23"/>
          <w:lang w:val="fr-CA"/>
        </w:rPr>
        <w:t xml:space="preserve">efficient </w:t>
      </w:r>
      <w:r w:rsidRPr="00F52884">
        <w:rPr>
          <w:rFonts w:eastAsia="Times New Roman" w:cstheme="minorHAnsi"/>
          <w:szCs w:val="23"/>
          <w:lang w:val="fr-CA"/>
        </w:rPr>
        <w:t>et stable, propice à la création d’emplois, à la croissance économique et à la stabilité à long terme</w:t>
      </w:r>
      <w:r w:rsidR="0046525F" w:rsidRPr="00F52884">
        <w:rPr>
          <w:rFonts w:eastAsia="Times New Roman" w:cstheme="minorHAnsi"/>
          <w:szCs w:val="23"/>
          <w:lang w:val="fr-CA"/>
        </w:rPr>
        <w:t>;</w:t>
      </w:r>
    </w:p>
    <w:p w14:paraId="20D85B93"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273DCF6D" w14:textId="5611276C"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DE RÉDUIRE ET D’ÉLIMINER</w:t>
      </w:r>
      <w:r w:rsidRPr="00F52884">
        <w:rPr>
          <w:rFonts w:eastAsia="Times New Roman" w:cstheme="minorHAnsi"/>
          <w:szCs w:val="23"/>
          <w:lang w:val="fr-CA"/>
        </w:rPr>
        <w:t>, dans la mesure du possible, les obstacles à la libre circulation des personnes, des produits, des services et des investissements à l’intérieur du Canada</w:t>
      </w:r>
      <w:r w:rsidR="0046525F" w:rsidRPr="00F52884">
        <w:rPr>
          <w:rFonts w:eastAsia="Times New Roman" w:cstheme="minorHAnsi"/>
          <w:szCs w:val="23"/>
          <w:lang w:val="fr-CA"/>
        </w:rPr>
        <w:t>;</w:t>
      </w:r>
    </w:p>
    <w:p w14:paraId="094B44D8"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279CC772" w14:textId="6B225125"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DE PROMOUVOIR</w:t>
      </w:r>
      <w:r w:rsidRPr="00F52884">
        <w:rPr>
          <w:rFonts w:eastAsia="Times New Roman" w:cstheme="minorHAnsi"/>
          <w:szCs w:val="23"/>
          <w:lang w:val="fr-CA"/>
        </w:rPr>
        <w:t xml:space="preserve"> l’égalité des chances, sur le plan économique, pour tous les Canadiens</w:t>
      </w:r>
      <w:r w:rsidR="0046525F" w:rsidRPr="00F52884">
        <w:rPr>
          <w:rFonts w:eastAsia="Times New Roman" w:cstheme="minorHAnsi"/>
          <w:szCs w:val="23"/>
          <w:lang w:val="fr-CA"/>
        </w:rPr>
        <w:t>;</w:t>
      </w:r>
    </w:p>
    <w:p w14:paraId="449C2400"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351DE7B2" w14:textId="1E8FDC66"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 xml:space="preserve">DE RENDRE </w:t>
      </w:r>
      <w:r w:rsidRPr="00F52884">
        <w:rPr>
          <w:rFonts w:eastAsia="Times New Roman" w:cstheme="minorHAnsi"/>
          <w:szCs w:val="23"/>
          <w:lang w:val="fr-CA"/>
        </w:rPr>
        <w:t>les entreprises canadiennes plus concurrentielles</w:t>
      </w:r>
      <w:r w:rsidR="0046525F" w:rsidRPr="00F52884">
        <w:rPr>
          <w:rFonts w:eastAsia="Times New Roman" w:cstheme="minorHAnsi"/>
          <w:szCs w:val="23"/>
          <w:lang w:val="fr-CA"/>
        </w:rPr>
        <w:t>;</w:t>
      </w:r>
    </w:p>
    <w:p w14:paraId="574E6D62"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76C71AA5" w14:textId="1667B62A"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DE PROMOUVOIR</w:t>
      </w:r>
      <w:r w:rsidRPr="00F52884">
        <w:rPr>
          <w:rFonts w:eastAsia="Times New Roman" w:cstheme="minorHAnsi"/>
          <w:szCs w:val="23"/>
          <w:lang w:val="fr-CA"/>
        </w:rPr>
        <w:t xml:space="preserve"> un développement durable</w:t>
      </w:r>
      <w:r w:rsidR="0046525F" w:rsidRPr="00F52884">
        <w:rPr>
          <w:rFonts w:eastAsia="Times New Roman" w:cstheme="minorHAnsi"/>
          <w:szCs w:val="23"/>
          <w:lang w:val="fr-CA"/>
        </w:rPr>
        <w:t xml:space="preserve"> et respectueux</w:t>
      </w:r>
      <w:r w:rsidRPr="00F52884">
        <w:rPr>
          <w:rFonts w:eastAsia="Times New Roman" w:cstheme="minorHAnsi"/>
          <w:szCs w:val="23"/>
          <w:lang w:val="fr-CA"/>
        </w:rPr>
        <w:t xml:space="preserve"> de l’environnement</w:t>
      </w:r>
      <w:r w:rsidR="0046525F" w:rsidRPr="00F52884">
        <w:rPr>
          <w:rFonts w:eastAsia="Times New Roman" w:cstheme="minorHAnsi"/>
          <w:szCs w:val="23"/>
          <w:lang w:val="fr-CA"/>
        </w:rPr>
        <w:t>;</w:t>
      </w:r>
    </w:p>
    <w:p w14:paraId="4F56282C"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3750001E" w14:textId="23C426C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DE SE CONSULTER</w:t>
      </w:r>
      <w:r w:rsidRPr="00F52884">
        <w:rPr>
          <w:rFonts w:eastAsia="Times New Roman" w:cstheme="minorHAnsi"/>
          <w:szCs w:val="23"/>
          <w:lang w:val="fr-CA"/>
        </w:rPr>
        <w:t xml:space="preserve"> sur les questions touchant </w:t>
      </w:r>
      <w:r w:rsidR="0046525F" w:rsidRPr="00F52884">
        <w:rPr>
          <w:rFonts w:eastAsia="Times New Roman" w:cstheme="minorHAnsi"/>
          <w:szCs w:val="23"/>
          <w:lang w:val="fr-CA"/>
        </w:rPr>
        <w:t xml:space="preserve">au </w:t>
      </w:r>
      <w:r w:rsidRPr="00F52884">
        <w:rPr>
          <w:rFonts w:eastAsia="Times New Roman" w:cstheme="minorHAnsi"/>
          <w:szCs w:val="23"/>
          <w:lang w:val="fr-CA"/>
        </w:rPr>
        <w:t xml:space="preserve">commerce, </w:t>
      </w:r>
      <w:r w:rsidR="0046525F" w:rsidRPr="00F52884">
        <w:rPr>
          <w:rFonts w:eastAsia="Times New Roman" w:cstheme="minorHAnsi"/>
          <w:szCs w:val="23"/>
          <w:lang w:val="fr-CA"/>
        </w:rPr>
        <w:t xml:space="preserve">à </w:t>
      </w:r>
      <w:r w:rsidRPr="00F52884">
        <w:rPr>
          <w:rFonts w:eastAsia="Times New Roman" w:cstheme="minorHAnsi"/>
          <w:szCs w:val="23"/>
          <w:lang w:val="fr-CA"/>
        </w:rPr>
        <w:t xml:space="preserve">l’investissement et </w:t>
      </w:r>
      <w:r w:rsidR="0046525F" w:rsidRPr="00F52884">
        <w:rPr>
          <w:rFonts w:eastAsia="Times New Roman" w:cstheme="minorHAnsi"/>
          <w:szCs w:val="23"/>
          <w:lang w:val="fr-CA"/>
        </w:rPr>
        <w:t xml:space="preserve">à </w:t>
      </w:r>
      <w:r w:rsidRPr="00F52884">
        <w:rPr>
          <w:rFonts w:eastAsia="Times New Roman" w:cstheme="minorHAnsi"/>
          <w:szCs w:val="23"/>
          <w:lang w:val="fr-CA"/>
        </w:rPr>
        <w:t>la mobilité de la main-d’œuvre à l’intérieur du Canada,</w:t>
      </w:r>
    </w:p>
    <w:p w14:paraId="13215A77"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p>
    <w:p w14:paraId="0198395D" w14:textId="371058A4"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szCs w:val="23"/>
          <w:lang w:val="fr-CA"/>
        </w:rPr>
        <w:t>ET</w:t>
      </w:r>
    </w:p>
    <w:p w14:paraId="47DD45C1"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0EC9D3F6" w14:textId="785AA671"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RECONNAISSANT</w:t>
      </w:r>
      <w:r w:rsidRPr="00F52884">
        <w:rPr>
          <w:rFonts w:eastAsia="Times New Roman" w:cstheme="minorHAnsi"/>
          <w:szCs w:val="23"/>
          <w:lang w:val="fr-CA"/>
        </w:rPr>
        <w:t xml:space="preserve"> la diversité des caractéristiques sociales, culturelles et économiques des </w:t>
      </w:r>
      <w:r w:rsidR="007A1C46" w:rsidRPr="00F52884">
        <w:rPr>
          <w:rFonts w:eastAsia="Times New Roman" w:cstheme="minorHAnsi"/>
          <w:szCs w:val="23"/>
          <w:lang w:val="fr-CA"/>
        </w:rPr>
        <w:t>Provinces</w:t>
      </w:r>
      <w:r w:rsidR="0046525F" w:rsidRPr="00F52884">
        <w:rPr>
          <w:rFonts w:eastAsia="Times New Roman" w:cstheme="minorHAnsi"/>
          <w:szCs w:val="23"/>
          <w:lang w:val="fr-CA"/>
        </w:rPr>
        <w:t xml:space="preserve">;  </w:t>
      </w:r>
    </w:p>
    <w:p w14:paraId="6FD530F2"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firstLine="1152"/>
        <w:rPr>
          <w:rFonts w:eastAsia="Times New Roman" w:cstheme="minorHAnsi"/>
          <w:szCs w:val="23"/>
          <w:lang w:val="fr-CA"/>
        </w:rPr>
      </w:pPr>
    </w:p>
    <w:p w14:paraId="60C3B709" w14:textId="2853A49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RESPECTANT</w:t>
      </w:r>
      <w:r w:rsidRPr="00F52884">
        <w:rPr>
          <w:rFonts w:eastAsia="Times New Roman" w:cstheme="minorHAnsi"/>
          <w:szCs w:val="23"/>
          <w:lang w:val="fr-CA"/>
        </w:rPr>
        <w:t xml:space="preserve"> les compétences législatives conférées au Parlement </w:t>
      </w:r>
      <w:r w:rsidR="0046525F" w:rsidRPr="00F52884">
        <w:rPr>
          <w:rFonts w:eastAsia="Times New Roman" w:cstheme="minorHAnsi"/>
          <w:szCs w:val="23"/>
          <w:lang w:val="fr-CA"/>
        </w:rPr>
        <w:t>du Canada</w:t>
      </w:r>
      <w:r w:rsidRPr="00F52884">
        <w:rPr>
          <w:rFonts w:eastAsia="Times New Roman" w:cstheme="minorHAnsi"/>
          <w:szCs w:val="23"/>
          <w:lang w:val="fr-CA"/>
        </w:rPr>
        <w:t xml:space="preserve"> et aux législatures provinciales par la Constitution du Canada</w:t>
      </w:r>
      <w:r w:rsidR="0046525F" w:rsidRPr="00F52884">
        <w:rPr>
          <w:rFonts w:eastAsia="Times New Roman" w:cstheme="minorHAnsi"/>
          <w:szCs w:val="23"/>
          <w:lang w:val="fr-CA"/>
        </w:rPr>
        <w:t xml:space="preserve">;  </w:t>
      </w:r>
    </w:p>
    <w:p w14:paraId="4F51CFAD"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p>
    <w:p w14:paraId="1098FFE9"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eastAsia="Times New Roman" w:cstheme="minorHAnsi"/>
          <w:szCs w:val="23"/>
          <w:lang w:val="fr-CA"/>
        </w:rPr>
      </w:pPr>
      <w:r w:rsidRPr="00F52884">
        <w:rPr>
          <w:rFonts w:eastAsia="Times New Roman" w:cstheme="minorHAnsi"/>
          <w:b/>
          <w:bCs/>
          <w:szCs w:val="23"/>
          <w:lang w:val="fr-CA"/>
        </w:rPr>
        <w:t>CONFIRMANT</w:t>
      </w:r>
      <w:r w:rsidRPr="00F52884">
        <w:rPr>
          <w:rFonts w:eastAsia="Times New Roman" w:cstheme="minorHAnsi"/>
          <w:szCs w:val="23"/>
          <w:lang w:val="fr-CA"/>
        </w:rPr>
        <w:t xml:space="preserve"> que le présent accord représente un équilibre mutuellement convenu des droits et des obligations des Parties,</w:t>
      </w:r>
    </w:p>
    <w:p w14:paraId="589E3BE0"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496BDCFC" w14:textId="3DE4448E" w:rsidR="00AA05B4" w:rsidRPr="00F52884" w:rsidRDefault="0046525F"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b/>
          <w:bCs/>
          <w:szCs w:val="23"/>
          <w:lang w:val="fr-CA"/>
        </w:rPr>
        <w:t>S</w:t>
      </w:r>
      <w:r w:rsidR="00AA05B4" w:rsidRPr="00F52884">
        <w:rPr>
          <w:rFonts w:eastAsia="Times New Roman" w:cstheme="minorHAnsi"/>
          <w:b/>
          <w:bCs/>
          <w:szCs w:val="23"/>
          <w:lang w:val="fr-CA"/>
        </w:rPr>
        <w:t>ONT CONVENU</w:t>
      </w:r>
      <w:r w:rsidRPr="00F52884">
        <w:rPr>
          <w:rFonts w:eastAsia="Times New Roman" w:cstheme="minorHAnsi"/>
          <w:b/>
          <w:bCs/>
          <w:szCs w:val="23"/>
          <w:lang w:val="fr-CA"/>
        </w:rPr>
        <w:t>S</w:t>
      </w:r>
      <w:r w:rsidR="00AA05B4" w:rsidRPr="00F52884">
        <w:rPr>
          <w:rFonts w:eastAsia="Times New Roman" w:cstheme="minorHAnsi"/>
          <w:szCs w:val="23"/>
          <w:lang w:val="fr-CA"/>
        </w:rPr>
        <w:t xml:space="preserve"> de ce qui suit :</w:t>
      </w:r>
    </w:p>
    <w:p w14:paraId="4A099CDE" w14:textId="77777777" w:rsidR="00AA05B4" w:rsidRPr="00F52884" w:rsidRDefault="00AA05B4">
      <w:pPr>
        <w:spacing w:after="200" w:line="276" w:lineRule="auto"/>
        <w:rPr>
          <w:rFonts w:eastAsiaTheme="majorEastAsia" w:cstheme="minorHAnsi"/>
          <w:b/>
          <w:bCs/>
          <w:szCs w:val="23"/>
          <w:lang w:val="fr-CA"/>
        </w:rPr>
      </w:pPr>
      <w:r w:rsidRPr="00F52884">
        <w:rPr>
          <w:rFonts w:cstheme="minorHAnsi"/>
          <w:szCs w:val="23"/>
          <w:lang w:val="fr-CA"/>
        </w:rPr>
        <w:br w:type="page"/>
      </w:r>
    </w:p>
    <w:p w14:paraId="384541A4" w14:textId="77777777" w:rsidR="00B46955" w:rsidRPr="00F52884" w:rsidRDefault="00B46955" w:rsidP="00B46955">
      <w:pPr>
        <w:pStyle w:val="Heading1"/>
        <w:jc w:val="center"/>
        <w:rPr>
          <w:sz w:val="24"/>
          <w:szCs w:val="24"/>
          <w:lang w:val="fr-CA"/>
        </w:rPr>
      </w:pPr>
      <w:bookmarkStart w:id="1" w:name="_Toc471907441"/>
      <w:bookmarkStart w:id="2" w:name="_Toc471907440"/>
      <w:bookmarkStart w:id="3" w:name="_Toc156311747"/>
      <w:bookmarkEnd w:id="1"/>
      <w:r w:rsidRPr="00F52884">
        <w:rPr>
          <w:sz w:val="24"/>
          <w:szCs w:val="24"/>
          <w:lang w:val="fr-CA"/>
        </w:rPr>
        <w:lastRenderedPageBreak/>
        <w:t>PARTIE I – Dispositions initiales</w:t>
      </w:r>
      <w:bookmarkEnd w:id="2"/>
      <w:bookmarkEnd w:id="3"/>
    </w:p>
    <w:p w14:paraId="53F3FAE8" w14:textId="77777777" w:rsidR="00B46955" w:rsidRPr="00F52884" w:rsidRDefault="00B46955" w:rsidP="00B46955">
      <w:pPr>
        <w:ind w:left="2160" w:firstLine="720"/>
        <w:jc w:val="center"/>
        <w:rPr>
          <w:rFonts w:ascii="Arial" w:hAnsi="Arial" w:cs="Arial"/>
          <w:sz w:val="24"/>
          <w:szCs w:val="24"/>
          <w:lang w:val="fr-CA"/>
        </w:rPr>
      </w:pPr>
    </w:p>
    <w:p w14:paraId="51ED7750" w14:textId="77777777" w:rsidR="00B46955" w:rsidRPr="00F52884" w:rsidRDefault="00B46955" w:rsidP="00B46955">
      <w:pPr>
        <w:ind w:left="2160" w:firstLine="720"/>
        <w:jc w:val="center"/>
        <w:rPr>
          <w:rFonts w:ascii="Arial" w:hAnsi="Arial" w:cs="Arial"/>
          <w:sz w:val="24"/>
          <w:szCs w:val="24"/>
          <w:lang w:val="fr-CA"/>
        </w:rPr>
      </w:pPr>
    </w:p>
    <w:p w14:paraId="1E071A85" w14:textId="2BDE0B2D" w:rsidR="00B46955" w:rsidRPr="00F52884" w:rsidRDefault="00B46955" w:rsidP="00B46955">
      <w:pPr>
        <w:pStyle w:val="Heading2"/>
        <w:spacing w:before="0"/>
        <w:jc w:val="center"/>
        <w:rPr>
          <w:sz w:val="24"/>
          <w:szCs w:val="24"/>
          <w:lang w:val="fr-CA"/>
        </w:rPr>
      </w:pPr>
      <w:bookmarkStart w:id="4" w:name="_Toc156311748"/>
      <w:r w:rsidRPr="00F52884">
        <w:rPr>
          <w:sz w:val="24"/>
          <w:szCs w:val="24"/>
          <w:lang w:val="fr-CA"/>
        </w:rPr>
        <w:t>Chapitre premier – Dispositions initiales</w:t>
      </w:r>
      <w:bookmarkEnd w:id="4"/>
    </w:p>
    <w:p w14:paraId="11912DB8" w14:textId="77777777" w:rsidR="00B46955" w:rsidRPr="00F52884" w:rsidRDefault="00B46955" w:rsidP="0015303D">
      <w:pPr>
        <w:jc w:val="center"/>
        <w:rPr>
          <w:rFonts w:ascii="Arial" w:hAnsi="Arial" w:cs="Arial"/>
          <w:b/>
          <w:szCs w:val="23"/>
          <w:lang w:val="fr-CA"/>
        </w:rPr>
      </w:pPr>
    </w:p>
    <w:p w14:paraId="0993B7AD" w14:textId="77777777" w:rsidR="00B46955" w:rsidRPr="00F52884" w:rsidRDefault="00B46955" w:rsidP="0015303D">
      <w:pPr>
        <w:jc w:val="center"/>
        <w:rPr>
          <w:rFonts w:ascii="Arial" w:hAnsi="Arial" w:cs="Arial"/>
          <w:b/>
          <w:szCs w:val="23"/>
          <w:lang w:val="fr-CA"/>
        </w:rPr>
      </w:pPr>
    </w:p>
    <w:p w14:paraId="02FA146F" w14:textId="020E31BC" w:rsidR="00B46955" w:rsidRPr="00F52884" w:rsidRDefault="00AD7BB1" w:rsidP="0015303D">
      <w:pPr>
        <w:jc w:val="center"/>
        <w:rPr>
          <w:rFonts w:ascii="Arial" w:hAnsi="Arial" w:cs="Arial"/>
          <w:b/>
          <w:szCs w:val="23"/>
          <w:lang w:val="fr-CA"/>
        </w:rPr>
      </w:pPr>
      <w:r w:rsidRPr="00F52884">
        <w:rPr>
          <w:rFonts w:ascii="Arial" w:hAnsi="Arial" w:cs="Arial"/>
          <w:b/>
          <w:bCs/>
          <w:szCs w:val="23"/>
          <w:lang w:val="fr-CA"/>
        </w:rPr>
        <w:t>Article 100 :</w:t>
      </w:r>
      <w:r w:rsidRPr="00F52884">
        <w:rPr>
          <w:rFonts w:ascii="Arial" w:hAnsi="Arial" w:cs="Arial"/>
          <w:szCs w:val="23"/>
          <w:lang w:val="fr-CA"/>
        </w:rPr>
        <w:tab/>
      </w:r>
      <w:r w:rsidRPr="00F52884">
        <w:rPr>
          <w:rFonts w:ascii="Arial" w:hAnsi="Arial" w:cs="Arial"/>
          <w:szCs w:val="23"/>
          <w:lang w:val="fr-CA"/>
        </w:rPr>
        <w:tab/>
      </w:r>
      <w:r w:rsidR="00B46955" w:rsidRPr="00F52884">
        <w:rPr>
          <w:rFonts w:ascii="Arial" w:hAnsi="Arial" w:cs="Arial"/>
          <w:b/>
          <w:bCs/>
          <w:szCs w:val="23"/>
          <w:lang w:val="fr-CA"/>
        </w:rPr>
        <w:t>Objectif</w:t>
      </w:r>
    </w:p>
    <w:p w14:paraId="4EEE9CB9" w14:textId="77777777" w:rsidR="00B46955" w:rsidRPr="00F52884" w:rsidRDefault="00B46955" w:rsidP="0015303D">
      <w:pPr>
        <w:ind w:firstLine="720"/>
        <w:rPr>
          <w:rFonts w:ascii="Arial" w:eastAsia="Times New Roman" w:hAnsi="Arial" w:cs="Arial"/>
          <w:szCs w:val="23"/>
          <w:lang w:val="fr-CA"/>
        </w:rPr>
      </w:pPr>
    </w:p>
    <w:p w14:paraId="32FF3A1B" w14:textId="78D6D28D" w:rsidR="00B46955" w:rsidRPr="00F52884" w:rsidRDefault="00B46955" w:rsidP="0015303D">
      <w:pPr>
        <w:ind w:firstLine="720"/>
        <w:rPr>
          <w:rFonts w:ascii="Arial" w:eastAsia="Times New Roman" w:hAnsi="Arial" w:cs="Arial"/>
          <w:szCs w:val="23"/>
          <w:lang w:val="fr-CA"/>
        </w:rPr>
      </w:pPr>
      <w:r w:rsidRPr="00F52884">
        <w:rPr>
          <w:rFonts w:ascii="Arial" w:eastAsia="Times New Roman" w:hAnsi="Arial" w:cs="Arial"/>
          <w:szCs w:val="23"/>
          <w:lang w:val="fr-CA"/>
        </w:rPr>
        <w:t>Les Parties souhaitent réduire et éliminer, dans la mesure du possible, les obstacles à la libre circulation des personnes, des produits, des services et des investissements à l’intérieur du Canada, et établir un marché intérieur ouvert, efficient et stable. Les Parties reconnaissent et conviennent que l’accroissement du commerce, de l’investissement et de la mobilité de la main</w:t>
      </w:r>
      <w:r w:rsidRPr="00F52884">
        <w:rPr>
          <w:rFonts w:ascii="Arial" w:eastAsia="Times New Roman" w:hAnsi="Arial" w:cs="Arial"/>
          <w:szCs w:val="23"/>
          <w:lang w:val="fr-CA"/>
        </w:rPr>
        <w:noBreakHyphen/>
        <w:t>d’œuvre à l’intérieur du Canada contribuerait à la réalisation de cet objectif.</w:t>
      </w:r>
    </w:p>
    <w:p w14:paraId="0464E093" w14:textId="77777777" w:rsidR="00B46955" w:rsidRPr="00F52884" w:rsidRDefault="00B46955" w:rsidP="0015303D">
      <w:pPr>
        <w:ind w:firstLine="720"/>
        <w:rPr>
          <w:rFonts w:ascii="Arial" w:eastAsia="Times New Roman" w:hAnsi="Arial" w:cs="Arial"/>
          <w:szCs w:val="23"/>
          <w:lang w:val="fr-CA"/>
        </w:rPr>
      </w:pPr>
    </w:p>
    <w:p w14:paraId="2D0814CF" w14:textId="0A74D230" w:rsidR="00B46955" w:rsidRPr="00F52884" w:rsidRDefault="00B46955" w:rsidP="0015303D">
      <w:pPr>
        <w:jc w:val="center"/>
        <w:rPr>
          <w:rFonts w:ascii="Arial" w:hAnsi="Arial" w:cs="Arial"/>
          <w:b/>
          <w:szCs w:val="23"/>
          <w:lang w:val="fr-CA"/>
        </w:rPr>
      </w:pPr>
      <w:r w:rsidRPr="00F52884">
        <w:rPr>
          <w:rFonts w:ascii="Arial" w:hAnsi="Arial" w:cs="Arial"/>
          <w:b/>
          <w:bCs/>
          <w:szCs w:val="23"/>
          <w:lang w:val="fr-CA"/>
        </w:rPr>
        <w:t xml:space="preserve">Article 101 : </w:t>
      </w:r>
      <w:r w:rsidRPr="00F52884">
        <w:rPr>
          <w:rFonts w:ascii="Arial" w:hAnsi="Arial" w:cs="Arial"/>
          <w:szCs w:val="23"/>
          <w:lang w:val="fr-CA"/>
        </w:rPr>
        <w:tab/>
      </w:r>
      <w:r w:rsidR="00AD7BB1" w:rsidRPr="00F52884">
        <w:rPr>
          <w:rFonts w:ascii="Arial" w:hAnsi="Arial" w:cs="Arial"/>
          <w:szCs w:val="23"/>
          <w:lang w:val="fr-CA"/>
        </w:rPr>
        <w:tab/>
      </w:r>
      <w:r w:rsidRPr="00F52884">
        <w:rPr>
          <w:rFonts w:ascii="Arial" w:hAnsi="Arial" w:cs="Arial"/>
          <w:b/>
          <w:bCs/>
          <w:szCs w:val="23"/>
          <w:lang w:val="fr-CA"/>
        </w:rPr>
        <w:t>Application</w:t>
      </w:r>
    </w:p>
    <w:p w14:paraId="2A1325E3" w14:textId="77777777" w:rsidR="00B46955" w:rsidRPr="00F52884" w:rsidRDefault="00B46955" w:rsidP="0015303D">
      <w:pPr>
        <w:jc w:val="center"/>
        <w:rPr>
          <w:rFonts w:ascii="Arial" w:hAnsi="Arial" w:cs="Arial"/>
          <w:b/>
          <w:szCs w:val="23"/>
          <w:lang w:val="fr-CA"/>
        </w:rPr>
      </w:pPr>
    </w:p>
    <w:p w14:paraId="3BA14364" w14:textId="2FB09FD3" w:rsidR="00B46955" w:rsidRPr="00F52884" w:rsidRDefault="00B46955" w:rsidP="0015303D">
      <w:pPr>
        <w:ind w:firstLine="720"/>
        <w:rPr>
          <w:rFonts w:ascii="Arial" w:eastAsia="Times New Roman" w:hAnsi="Arial" w:cs="Arial"/>
          <w:szCs w:val="23"/>
          <w:lang w:val="fr-CA"/>
        </w:rPr>
      </w:pPr>
      <w:r w:rsidRPr="00F52884">
        <w:rPr>
          <w:rFonts w:ascii="Arial" w:eastAsia="Times New Roman" w:hAnsi="Arial" w:cs="Arial"/>
          <w:szCs w:val="23"/>
          <w:lang w:val="fr-CA"/>
        </w:rPr>
        <w:t>Le présent accord s’applique au commerce, à l’investissement et à la mobilité de la main</w:t>
      </w:r>
      <w:r w:rsidRPr="00F52884">
        <w:rPr>
          <w:rFonts w:ascii="Arial" w:eastAsia="Times New Roman" w:hAnsi="Arial" w:cs="Arial"/>
          <w:szCs w:val="23"/>
          <w:lang w:val="fr-CA"/>
        </w:rPr>
        <w:noBreakHyphen/>
        <w:t>d’œuvre à l’intérieur du Canada.</w:t>
      </w:r>
    </w:p>
    <w:p w14:paraId="34A32992" w14:textId="77777777" w:rsidR="00B46955" w:rsidRPr="00F52884" w:rsidRDefault="00B46955" w:rsidP="0015303D">
      <w:pPr>
        <w:jc w:val="center"/>
        <w:rPr>
          <w:rFonts w:ascii="Arial" w:hAnsi="Arial" w:cs="Arial"/>
          <w:b/>
          <w:szCs w:val="23"/>
          <w:lang w:val="fr-CA"/>
        </w:rPr>
      </w:pPr>
    </w:p>
    <w:p w14:paraId="727EA27F" w14:textId="45E41A7A" w:rsidR="00B46955" w:rsidRPr="00F52884" w:rsidRDefault="00B46955" w:rsidP="0015303D">
      <w:pPr>
        <w:jc w:val="center"/>
        <w:rPr>
          <w:rFonts w:ascii="Arial" w:hAnsi="Arial" w:cs="Arial"/>
          <w:szCs w:val="23"/>
          <w:lang w:val="fr-CA"/>
        </w:rPr>
      </w:pPr>
      <w:r w:rsidRPr="00F52884">
        <w:rPr>
          <w:rFonts w:ascii="Arial" w:hAnsi="Arial" w:cs="Arial"/>
          <w:b/>
          <w:bCs/>
          <w:szCs w:val="23"/>
          <w:lang w:val="fr-CA"/>
        </w:rPr>
        <w:t xml:space="preserve">Article 102 : </w:t>
      </w:r>
      <w:r w:rsidRPr="00F52884">
        <w:rPr>
          <w:rFonts w:ascii="Arial" w:hAnsi="Arial" w:cs="Arial"/>
          <w:szCs w:val="23"/>
          <w:lang w:val="fr-CA"/>
        </w:rPr>
        <w:tab/>
      </w:r>
      <w:r w:rsidR="00AD7BB1" w:rsidRPr="00F52884">
        <w:rPr>
          <w:rFonts w:ascii="Arial" w:hAnsi="Arial" w:cs="Arial"/>
          <w:szCs w:val="23"/>
          <w:lang w:val="fr-CA"/>
        </w:rPr>
        <w:tab/>
      </w:r>
      <w:r w:rsidRPr="00F52884">
        <w:rPr>
          <w:rFonts w:ascii="Arial" w:hAnsi="Arial" w:cs="Arial"/>
          <w:b/>
          <w:bCs/>
          <w:szCs w:val="23"/>
          <w:lang w:val="fr-CA"/>
        </w:rPr>
        <w:t>Principes mutuellement convenus</w:t>
      </w:r>
    </w:p>
    <w:p w14:paraId="7F2CE7E1" w14:textId="77777777" w:rsidR="00B46955" w:rsidRPr="00F52884" w:rsidRDefault="00B46955" w:rsidP="0015303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78C8ABC7" w14:textId="77777777" w:rsidR="00B46955" w:rsidRPr="00F52884" w:rsidRDefault="00B46955" w:rsidP="0015303D">
      <w:pPr>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720" w:hanging="720"/>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Les Parties sont guidées par les principes suivants :</w:t>
      </w:r>
    </w:p>
    <w:p w14:paraId="4572FA09" w14:textId="77777777" w:rsidR="00B46955" w:rsidRPr="00F52884" w:rsidRDefault="00B46955" w:rsidP="0015303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66EF1823" w14:textId="25F0369F" w:rsidR="00B46955" w:rsidRPr="00F52884" w:rsidRDefault="00B46955" w:rsidP="00B46955">
      <w:pPr>
        <w:pStyle w:val="ListParagraph"/>
        <w:numPr>
          <w:ilvl w:val="0"/>
          <w:numId w:val="274"/>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la</w:t>
      </w:r>
      <w:proofErr w:type="gramEnd"/>
      <w:r w:rsidRPr="00F52884">
        <w:rPr>
          <w:rFonts w:ascii="Arial" w:eastAsia="Times New Roman" w:hAnsi="Arial" w:cs="Arial"/>
          <w:szCs w:val="23"/>
          <w:lang w:val="fr-CA"/>
        </w:rPr>
        <w:t xml:space="preserve"> nécessité d’éliminer les obstacles existants, d’éviter de nouveaux obstacles au commerce, à l’investissement et à la mobilité de la main-d’œuvre à l’intérieur du Canada, et de faciliter la libre circulation des personnes, des produits, des services et des investissements à l’intérieur du Canada;</w:t>
      </w:r>
    </w:p>
    <w:p w14:paraId="7D7DF3FE"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64064C16" w14:textId="77777777" w:rsidR="00B46955" w:rsidRPr="00F52884" w:rsidRDefault="00B46955" w:rsidP="00B46955">
      <w:pPr>
        <w:pStyle w:val="ListParagraph"/>
        <w:numPr>
          <w:ilvl w:val="0"/>
          <w:numId w:val="274"/>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la</w:t>
      </w:r>
      <w:proofErr w:type="gramEnd"/>
      <w:r w:rsidRPr="00F52884">
        <w:rPr>
          <w:rFonts w:ascii="Arial" w:eastAsia="Times New Roman" w:hAnsi="Arial" w:cs="Arial"/>
          <w:szCs w:val="23"/>
          <w:lang w:val="fr-CA"/>
        </w:rPr>
        <w:t xml:space="preserve"> nécessité d’assurer un traitement non discriminatoire des personnes, des produits, des services et des investissements, indépendamment de leur lieu d’origine au Canada;</w:t>
      </w:r>
    </w:p>
    <w:p w14:paraId="60A1C8B9"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399E4E27" w14:textId="5CD277E1" w:rsidR="00B46955" w:rsidRPr="00F52884" w:rsidRDefault="00B46955" w:rsidP="00B46955">
      <w:pPr>
        <w:pStyle w:val="ListParagraph"/>
        <w:numPr>
          <w:ilvl w:val="0"/>
          <w:numId w:val="274"/>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la</w:t>
      </w:r>
      <w:proofErr w:type="gramEnd"/>
      <w:r w:rsidRPr="00F52884">
        <w:rPr>
          <w:rFonts w:ascii="Arial" w:eastAsia="Times New Roman" w:hAnsi="Arial" w:cs="Arial"/>
          <w:szCs w:val="23"/>
          <w:lang w:val="fr-CA"/>
        </w:rPr>
        <w:t xml:space="preserve"> nécessité de concilier les normes professionnelles et les mesures réglementaires en vue d’assurer la libre circulation des personnes et de supprimer les obstacles au commerce et à l’investissement à l’intérieur du Canada.</w:t>
      </w:r>
    </w:p>
    <w:p w14:paraId="09290C0F" w14:textId="77777777" w:rsidR="00B46955" w:rsidRPr="00F52884" w:rsidRDefault="00B46955" w:rsidP="0015303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152" w:hanging="576"/>
        <w:rPr>
          <w:rFonts w:ascii="Arial" w:eastAsia="Times New Roman" w:hAnsi="Arial" w:cs="Arial"/>
          <w:szCs w:val="23"/>
          <w:lang w:val="fr-CA"/>
        </w:rPr>
      </w:pPr>
    </w:p>
    <w:p w14:paraId="06C03F6B" w14:textId="77777777" w:rsidR="00B46955" w:rsidRPr="00F52884" w:rsidRDefault="00B46955" w:rsidP="0015303D">
      <w:pPr>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 xml:space="preserve">2. </w:t>
      </w:r>
      <w:r w:rsidRPr="00F52884">
        <w:rPr>
          <w:rFonts w:ascii="Arial" w:eastAsia="Times New Roman" w:hAnsi="Arial" w:cs="Arial"/>
          <w:szCs w:val="23"/>
          <w:lang w:val="fr-CA"/>
        </w:rPr>
        <w:tab/>
        <w:t xml:space="preserve">Dans l’application des principes énoncés au paragraphe 1, les Parties reconnaissent : </w:t>
      </w:r>
    </w:p>
    <w:p w14:paraId="184DA68B" w14:textId="77777777" w:rsidR="00B46955" w:rsidRPr="00F52884" w:rsidRDefault="00B46955" w:rsidP="0015303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152" w:hanging="576"/>
        <w:rPr>
          <w:rFonts w:ascii="Arial" w:eastAsia="Times New Roman" w:hAnsi="Arial" w:cs="Arial"/>
          <w:szCs w:val="23"/>
          <w:lang w:val="fr-CA"/>
        </w:rPr>
      </w:pPr>
    </w:p>
    <w:p w14:paraId="75FADE96" w14:textId="7A6F24E6" w:rsidR="00B46955" w:rsidRPr="00F52884" w:rsidRDefault="00B46955" w:rsidP="00B46955">
      <w:pPr>
        <w:pStyle w:val="ListParagraph"/>
        <w:numPr>
          <w:ilvl w:val="0"/>
          <w:numId w:val="275"/>
        </w:numPr>
        <w:tabs>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que</w:t>
      </w:r>
      <w:proofErr w:type="gramEnd"/>
      <w:r w:rsidRPr="00F52884">
        <w:rPr>
          <w:rFonts w:ascii="Arial" w:eastAsia="Times New Roman" w:hAnsi="Arial" w:cs="Arial"/>
          <w:szCs w:val="23"/>
          <w:lang w:val="fr-CA"/>
        </w:rPr>
        <w:t xml:space="preserve"> le droit de réglementer constitue un attribut essentiel et fondamental d’un gouvernement, et que la décision d’une Partie de ne pas adopter ou maintenir une mesure particulière n’affecte pas le droit d’une autre Partie d’adopter ou de maintenir une telle mesure;</w:t>
      </w:r>
    </w:p>
    <w:p w14:paraId="343A1442"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3327F3E1" w14:textId="09776851" w:rsidR="00B46955" w:rsidRPr="00F52884" w:rsidRDefault="00B46955" w:rsidP="00B46955">
      <w:pPr>
        <w:pStyle w:val="ListParagraph"/>
        <w:numPr>
          <w:ilvl w:val="0"/>
          <w:numId w:val="275"/>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la</w:t>
      </w:r>
      <w:proofErr w:type="gramEnd"/>
      <w:r w:rsidRPr="00F52884">
        <w:rPr>
          <w:rFonts w:ascii="Arial" w:eastAsia="Times New Roman" w:hAnsi="Arial" w:cs="Arial"/>
          <w:szCs w:val="23"/>
          <w:lang w:val="fr-CA"/>
        </w:rPr>
        <w:t xml:space="preserve"> nécessité de préserver la latitude dont elles ont besoin pour réaliser des objectifs en matière de politique publique, tels ceux visant la santé publique, la </w:t>
      </w:r>
      <w:r w:rsidRPr="00F52884">
        <w:rPr>
          <w:rFonts w:ascii="Arial" w:eastAsia="Times New Roman" w:hAnsi="Arial" w:cs="Arial"/>
          <w:szCs w:val="23"/>
          <w:lang w:val="fr-CA"/>
        </w:rPr>
        <w:lastRenderedPageBreak/>
        <w:t>sécurité, la politique sociale, la protection de l’environnement, la protection des consommateurs, ou la promotion et la protection de la diversité culturelle;</w:t>
      </w:r>
    </w:p>
    <w:p w14:paraId="1EC3D8A8"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5A5B574F" w14:textId="53A3FD04" w:rsidR="00B46955" w:rsidRPr="00F52884" w:rsidRDefault="00B46955" w:rsidP="00B46955">
      <w:pPr>
        <w:pStyle w:val="ListParagraph"/>
        <w:numPr>
          <w:ilvl w:val="0"/>
          <w:numId w:val="275"/>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la</w:t>
      </w:r>
      <w:proofErr w:type="gramEnd"/>
      <w:r w:rsidRPr="00F52884">
        <w:rPr>
          <w:rFonts w:ascii="Arial" w:eastAsia="Times New Roman" w:hAnsi="Arial" w:cs="Arial"/>
          <w:szCs w:val="23"/>
          <w:lang w:val="fr-CA"/>
        </w:rPr>
        <w:t xml:space="preserve"> nécessité d’assurer une communication exhaustive de l’information, des lois, des règlements, des politiques et des pratiques susceptibles de faire obstacle à un marché intérieur ouvert, efficient et stable;</w:t>
      </w:r>
    </w:p>
    <w:p w14:paraId="7D3146F7"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667C66B1" w14:textId="77777777" w:rsidR="00B46955" w:rsidRPr="00F52884" w:rsidRDefault="00B46955" w:rsidP="00B46955">
      <w:pPr>
        <w:pStyle w:val="ListParagraph"/>
        <w:numPr>
          <w:ilvl w:val="0"/>
          <w:numId w:val="275"/>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hAnsi="Arial" w:cs="Arial"/>
          <w:szCs w:val="23"/>
          <w:lang w:val="fr-CA"/>
        </w:rPr>
        <w:t>la</w:t>
      </w:r>
      <w:proofErr w:type="gramEnd"/>
      <w:r w:rsidRPr="00F52884">
        <w:rPr>
          <w:rFonts w:ascii="Arial" w:hAnsi="Arial" w:cs="Arial"/>
          <w:szCs w:val="23"/>
          <w:lang w:val="fr-CA"/>
        </w:rPr>
        <w:t xml:space="preserve"> nécessité de prévoir des exceptions et des périodes de transition;</w:t>
      </w:r>
    </w:p>
    <w:p w14:paraId="4D7C82F8"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3CB948CC" w14:textId="4D4EAD61" w:rsidR="00B46955" w:rsidRPr="00F52884" w:rsidRDefault="00B46955" w:rsidP="00B46955">
      <w:pPr>
        <w:pStyle w:val="ListParagraph"/>
        <w:numPr>
          <w:ilvl w:val="0"/>
          <w:numId w:val="275"/>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que</w:t>
      </w:r>
      <w:proofErr w:type="gramEnd"/>
      <w:r w:rsidRPr="00F52884">
        <w:rPr>
          <w:rFonts w:ascii="Arial" w:eastAsia="Times New Roman" w:hAnsi="Arial" w:cs="Arial"/>
          <w:szCs w:val="23"/>
          <w:lang w:val="fr-CA"/>
        </w:rPr>
        <w:t xml:space="preserve"> les procédures de règlement des différends et des mécanismes de contrôle doivent être accessibles, crédibles et efficaces</w:t>
      </w:r>
      <w:r w:rsidR="00AF195B">
        <w:rPr>
          <w:rFonts w:ascii="Arial" w:eastAsia="Times New Roman" w:hAnsi="Arial" w:cs="Arial"/>
          <w:szCs w:val="23"/>
          <w:lang w:val="fr-CA"/>
        </w:rPr>
        <w:t xml:space="preserve">, et permettent d’agir </w:t>
      </w:r>
      <w:r w:rsidR="00AF195B" w:rsidRPr="00F52884">
        <w:rPr>
          <w:rFonts w:ascii="Arial" w:eastAsia="Times New Roman" w:hAnsi="Arial" w:cs="Arial"/>
          <w:szCs w:val="23"/>
          <w:lang w:val="fr-CA"/>
        </w:rPr>
        <w:t>en temps opportun</w:t>
      </w:r>
      <w:r w:rsidRPr="00F52884">
        <w:rPr>
          <w:rFonts w:ascii="Arial" w:eastAsia="Times New Roman" w:hAnsi="Arial" w:cs="Arial"/>
          <w:szCs w:val="23"/>
          <w:lang w:val="fr-CA"/>
        </w:rPr>
        <w:t>.</w:t>
      </w:r>
    </w:p>
    <w:p w14:paraId="2B2A98BF" w14:textId="77777777" w:rsidR="00B46955" w:rsidRPr="00F52884" w:rsidRDefault="00B46955" w:rsidP="0015303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576"/>
        <w:rPr>
          <w:rFonts w:ascii="Arial" w:eastAsia="Times New Roman" w:hAnsi="Arial" w:cs="Arial"/>
          <w:szCs w:val="23"/>
          <w:lang w:val="fr-CA"/>
        </w:rPr>
      </w:pPr>
    </w:p>
    <w:p w14:paraId="1C329AAD" w14:textId="586F981A" w:rsidR="00B46955" w:rsidRPr="00F52884" w:rsidRDefault="00B46955" w:rsidP="0015303D">
      <w:pPr>
        <w:jc w:val="center"/>
        <w:rPr>
          <w:rFonts w:ascii="Arial" w:eastAsia="Times New Roman" w:hAnsi="Arial" w:cs="Arial"/>
          <w:b/>
          <w:szCs w:val="23"/>
          <w:lang w:val="fr-CA"/>
        </w:rPr>
      </w:pPr>
      <w:bookmarkStart w:id="5" w:name="_Toc331669292"/>
      <w:r w:rsidRPr="00F52884">
        <w:rPr>
          <w:rFonts w:ascii="Arial" w:eastAsia="Times New Roman" w:hAnsi="Arial" w:cs="Arial"/>
          <w:b/>
          <w:bCs/>
          <w:szCs w:val="23"/>
          <w:lang w:val="fr-CA"/>
        </w:rPr>
        <w:t xml:space="preserve">Article 103 : </w:t>
      </w:r>
      <w:r w:rsidRPr="00F52884">
        <w:rPr>
          <w:rFonts w:ascii="Arial" w:eastAsia="Times New Roman" w:hAnsi="Arial" w:cs="Arial"/>
          <w:szCs w:val="23"/>
          <w:lang w:val="fr-CA"/>
        </w:rPr>
        <w:tab/>
      </w:r>
      <w:r w:rsidR="00AD7BB1" w:rsidRPr="00F52884">
        <w:rPr>
          <w:rFonts w:ascii="Arial" w:eastAsia="Times New Roman" w:hAnsi="Arial" w:cs="Arial"/>
          <w:szCs w:val="23"/>
          <w:lang w:val="fr-CA"/>
        </w:rPr>
        <w:tab/>
      </w:r>
      <w:r w:rsidRPr="00F52884">
        <w:rPr>
          <w:rFonts w:ascii="Arial" w:eastAsia="Times New Roman" w:hAnsi="Arial" w:cs="Arial"/>
          <w:b/>
          <w:bCs/>
          <w:szCs w:val="23"/>
          <w:lang w:val="fr-CA"/>
        </w:rPr>
        <w:t>Étendue des obligations</w:t>
      </w:r>
      <w:bookmarkEnd w:id="5"/>
    </w:p>
    <w:p w14:paraId="5C6496AB" w14:textId="77777777" w:rsidR="00B46955" w:rsidRPr="00F52884" w:rsidRDefault="00B46955" w:rsidP="0015303D">
      <w:pPr>
        <w:rPr>
          <w:rFonts w:ascii="Arial" w:eastAsia="Times New Roman" w:hAnsi="Arial" w:cs="Arial"/>
          <w:b/>
          <w:szCs w:val="23"/>
          <w:lang w:val="fr-CA"/>
        </w:rPr>
      </w:pPr>
    </w:p>
    <w:p w14:paraId="19F50453" w14:textId="2F8C40A3" w:rsidR="00B46955" w:rsidRPr="00F52884" w:rsidRDefault="00B46955" w:rsidP="00F52884">
      <w:pPr>
        <w:pStyle w:val="ListParagraph"/>
        <w:ind w:left="0" w:firstLine="708"/>
        <w:rPr>
          <w:rFonts w:ascii="Arial" w:eastAsia="Times New Roman" w:hAnsi="Arial" w:cs="Arial"/>
          <w:szCs w:val="23"/>
          <w:lang w:val="fr-CA"/>
        </w:rPr>
      </w:pPr>
      <w:r w:rsidRPr="00F52884">
        <w:rPr>
          <w:rFonts w:ascii="Arial" w:eastAsia="Times New Roman" w:hAnsi="Arial" w:cs="Arial"/>
          <w:szCs w:val="23"/>
          <w:lang w:val="fr-CA"/>
        </w:rPr>
        <w:t>Chaque Partie est responsable du respect du présent accord par :</w:t>
      </w:r>
    </w:p>
    <w:p w14:paraId="67B3B4B3" w14:textId="77777777" w:rsidR="00B46955" w:rsidRPr="00F52884" w:rsidRDefault="00B46955" w:rsidP="0015303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74281AFB" w14:textId="77777777" w:rsidR="00B46955" w:rsidRPr="00F52884" w:rsidRDefault="00B46955" w:rsidP="00B46955">
      <w:pPr>
        <w:pStyle w:val="ListParagraph"/>
        <w:numPr>
          <w:ilvl w:val="0"/>
          <w:numId w:val="276"/>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ses</w:t>
      </w:r>
      <w:proofErr w:type="gramEnd"/>
      <w:r w:rsidRPr="00F52884">
        <w:rPr>
          <w:rFonts w:ascii="Arial" w:eastAsia="Times New Roman" w:hAnsi="Arial" w:cs="Arial"/>
          <w:szCs w:val="23"/>
          <w:lang w:val="fr-CA"/>
        </w:rPr>
        <w:t xml:space="preserve"> ministères et organismes de même nature;</w:t>
      </w:r>
    </w:p>
    <w:p w14:paraId="419FF4DD"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3081887F" w14:textId="77777777" w:rsidR="00B46955" w:rsidRPr="00F52884" w:rsidRDefault="00B46955" w:rsidP="00B46955">
      <w:pPr>
        <w:pStyle w:val="ListParagraph"/>
        <w:numPr>
          <w:ilvl w:val="0"/>
          <w:numId w:val="276"/>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hAnsi="Arial" w:cs="Arial"/>
          <w:szCs w:val="23"/>
          <w:lang w:val="fr-CA"/>
        </w:rPr>
      </w:pPr>
      <w:proofErr w:type="gramStart"/>
      <w:r w:rsidRPr="00F52884">
        <w:rPr>
          <w:rFonts w:ascii="Arial" w:hAnsi="Arial" w:cs="Arial"/>
          <w:szCs w:val="23"/>
          <w:lang w:val="fr-CA"/>
        </w:rPr>
        <w:t>ses</w:t>
      </w:r>
      <w:proofErr w:type="gramEnd"/>
      <w:r w:rsidRPr="00F52884">
        <w:rPr>
          <w:rFonts w:ascii="Arial" w:hAnsi="Arial" w:cs="Arial"/>
          <w:szCs w:val="23"/>
          <w:lang w:val="fr-CA"/>
        </w:rPr>
        <w:t xml:space="preserve"> administrations régionales, locales, de district et autres formes d’administration municipale;</w:t>
      </w:r>
    </w:p>
    <w:p w14:paraId="745E2B2D" w14:textId="77777777" w:rsidR="00B46955" w:rsidRPr="00F52884" w:rsidRDefault="00B46955" w:rsidP="0015303D">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hAnsi="Arial" w:cs="Arial"/>
          <w:szCs w:val="23"/>
          <w:lang w:val="fr-CA"/>
        </w:rPr>
      </w:pPr>
    </w:p>
    <w:p w14:paraId="5BAB62A5" w14:textId="3298797E" w:rsidR="00B46955" w:rsidRPr="00F52884" w:rsidRDefault="00B46955" w:rsidP="00B46955">
      <w:pPr>
        <w:pStyle w:val="ListParagraph"/>
        <w:numPr>
          <w:ilvl w:val="0"/>
          <w:numId w:val="276"/>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hAnsi="Arial" w:cs="Arial"/>
          <w:szCs w:val="23"/>
          <w:lang w:val="fr-CA"/>
        </w:rPr>
      </w:pPr>
      <w:proofErr w:type="gramStart"/>
      <w:r w:rsidRPr="00F52884">
        <w:rPr>
          <w:rFonts w:ascii="Arial" w:hAnsi="Arial" w:cs="Arial"/>
          <w:szCs w:val="23"/>
          <w:lang w:val="fr-CA"/>
        </w:rPr>
        <w:t>ses</w:t>
      </w:r>
      <w:proofErr w:type="gramEnd"/>
      <w:r w:rsidRPr="00F52884">
        <w:rPr>
          <w:rFonts w:ascii="Arial" w:hAnsi="Arial" w:cs="Arial"/>
          <w:szCs w:val="23"/>
          <w:lang w:val="fr-CA"/>
        </w:rPr>
        <w:t xml:space="preserve"> autres entreprises et organismes gouvernementaux;</w:t>
      </w:r>
    </w:p>
    <w:p w14:paraId="58F4332D" w14:textId="77777777" w:rsidR="00B46955" w:rsidRPr="00F52884" w:rsidRDefault="00B46955" w:rsidP="0015303D">
      <w:pPr>
        <w:pStyle w:val="ListParagraph"/>
        <w:ind w:left="1440" w:hanging="720"/>
        <w:rPr>
          <w:rFonts w:ascii="Arial" w:eastAsia="Times New Roman" w:hAnsi="Arial" w:cs="Arial"/>
          <w:szCs w:val="23"/>
          <w:lang w:val="fr-CA"/>
        </w:rPr>
      </w:pPr>
    </w:p>
    <w:p w14:paraId="2B5C1A05" w14:textId="5E5E3F5F" w:rsidR="00B46955" w:rsidRPr="00F52884" w:rsidRDefault="00B46955" w:rsidP="00B46955">
      <w:pPr>
        <w:pStyle w:val="ListParagraph"/>
        <w:numPr>
          <w:ilvl w:val="0"/>
          <w:numId w:val="276"/>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hAnsi="Arial" w:cs="Arial"/>
          <w:szCs w:val="23"/>
          <w:lang w:val="fr-CA"/>
        </w:rPr>
      </w:pPr>
      <w:proofErr w:type="gramStart"/>
      <w:r w:rsidRPr="00F52884">
        <w:rPr>
          <w:rFonts w:ascii="Arial" w:eastAsia="Times New Roman" w:hAnsi="Arial" w:cs="Arial"/>
          <w:szCs w:val="23"/>
          <w:lang w:val="fr-CA"/>
        </w:rPr>
        <w:t>tout</w:t>
      </w:r>
      <w:proofErr w:type="gramEnd"/>
      <w:r w:rsidRPr="00F52884">
        <w:rPr>
          <w:rFonts w:ascii="Arial" w:eastAsia="Times New Roman" w:hAnsi="Arial" w:cs="Arial"/>
          <w:szCs w:val="23"/>
          <w:lang w:val="fr-CA"/>
        </w:rPr>
        <w:t xml:space="preserve"> monopole, tout organisme non gouvernemental ou toute entreprise non gouvernementale, lorsqu’ils exercent des pouvoirs réglementaires, administratifs ou autres pouvoirs gouvernementaux qui leur sont délégués par la Partie, y compris le pouvoir d’exproprier, de délivrer des licences, d’approuver des opérations commerciales ou d’imposer des contingents, des droits ou autres frais;</w:t>
      </w:r>
    </w:p>
    <w:p w14:paraId="075EEF09" w14:textId="77777777" w:rsidR="00B46955" w:rsidRPr="00F52884" w:rsidRDefault="00B46955" w:rsidP="0015303D">
      <w:pPr>
        <w:tabs>
          <w:tab w:val="left" w:pos="1530"/>
        </w:tabs>
        <w:ind w:left="1440" w:hanging="720"/>
        <w:rPr>
          <w:rFonts w:ascii="Arial" w:eastAsia="Times New Roman" w:hAnsi="Arial" w:cs="Arial"/>
          <w:szCs w:val="23"/>
          <w:lang w:val="fr-CA"/>
        </w:rPr>
      </w:pPr>
    </w:p>
    <w:p w14:paraId="6004EF1B" w14:textId="67D8D4F6" w:rsidR="00B46955" w:rsidRPr="00F52884" w:rsidRDefault="00B46955" w:rsidP="00B46955">
      <w:pPr>
        <w:pStyle w:val="ListParagraph"/>
        <w:numPr>
          <w:ilvl w:val="0"/>
          <w:numId w:val="276"/>
        </w:numPr>
        <w:tabs>
          <w:tab w:val="left" w:pos="1530"/>
        </w:tabs>
        <w:ind w:left="1440" w:hanging="720"/>
        <w:rPr>
          <w:rFonts w:ascii="Arial" w:eastAsia="Times New Roman" w:hAnsi="Arial" w:cs="Arial"/>
          <w:szCs w:val="23"/>
          <w:lang w:val="fr-CA"/>
        </w:rPr>
      </w:pPr>
      <w:proofErr w:type="gramStart"/>
      <w:r w:rsidRPr="00F52884">
        <w:rPr>
          <w:rFonts w:ascii="Arial" w:hAnsi="Arial" w:cs="Arial"/>
          <w:szCs w:val="23"/>
          <w:lang w:val="fr-CA"/>
        </w:rPr>
        <w:t>ses</w:t>
      </w:r>
      <w:proofErr w:type="gramEnd"/>
      <w:r w:rsidRPr="00F52884">
        <w:rPr>
          <w:rFonts w:ascii="Arial" w:hAnsi="Arial" w:cs="Arial"/>
          <w:szCs w:val="23"/>
          <w:lang w:val="fr-CA"/>
        </w:rPr>
        <w:t xml:space="preserve"> monopoles et entreprises publiques qui exercent des activités commerciales.</w:t>
      </w:r>
    </w:p>
    <w:p w14:paraId="3855B98C" w14:textId="77777777" w:rsidR="00B46955" w:rsidRPr="00F52884" w:rsidRDefault="00B46955" w:rsidP="0015303D">
      <w:pPr>
        <w:spacing w:after="200" w:line="276" w:lineRule="auto"/>
        <w:rPr>
          <w:rFonts w:ascii="Arial" w:eastAsia="Times New Roman" w:hAnsi="Arial" w:cs="Arial"/>
          <w:b/>
          <w:bCs/>
          <w:szCs w:val="23"/>
          <w:lang w:val="fr-CA"/>
        </w:rPr>
      </w:pPr>
    </w:p>
    <w:p w14:paraId="0E820621" w14:textId="77777777" w:rsidR="00546078" w:rsidRPr="00F52884" w:rsidRDefault="00546078" w:rsidP="00546078">
      <w:pPr>
        <w:spacing w:after="200" w:line="276" w:lineRule="auto"/>
        <w:rPr>
          <w:rFonts w:ascii="Arial" w:eastAsia="Times New Roman" w:hAnsi="Arial" w:cs="Arial"/>
          <w:b/>
          <w:bCs/>
          <w:szCs w:val="23"/>
          <w:lang w:val="fr-CA"/>
        </w:rPr>
      </w:pPr>
    </w:p>
    <w:p w14:paraId="20D30952" w14:textId="77777777" w:rsidR="00AA05B4" w:rsidRPr="00F52884" w:rsidRDefault="00AA05B4" w:rsidP="000C25A3">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170" w:hanging="450"/>
        <w:rPr>
          <w:rFonts w:eastAsia="Times New Roman" w:cstheme="minorHAnsi"/>
          <w:szCs w:val="23"/>
          <w:lang w:val="fr-CA"/>
        </w:rPr>
      </w:pPr>
    </w:p>
    <w:p w14:paraId="5B19512D" w14:textId="77777777" w:rsidR="00AA05B4" w:rsidRPr="00F52884" w:rsidRDefault="00AA05B4" w:rsidP="000C25A3">
      <w:pPr>
        <w:pStyle w:val="ListParagraph"/>
        <w:ind w:left="360"/>
        <w:rPr>
          <w:rFonts w:eastAsia="Times New Roman" w:cstheme="minorHAnsi"/>
          <w:szCs w:val="23"/>
          <w:lang w:val="fr-CA"/>
        </w:rPr>
      </w:pPr>
    </w:p>
    <w:p w14:paraId="754C02A3" w14:textId="77777777" w:rsidR="00AA05B4" w:rsidRPr="00F52884" w:rsidRDefault="00AA05B4" w:rsidP="000C25A3">
      <w:pPr>
        <w:pStyle w:val="ListParagraph"/>
        <w:ind w:left="360"/>
        <w:rPr>
          <w:rFonts w:eastAsia="Times New Roman" w:cstheme="minorHAnsi"/>
          <w:szCs w:val="23"/>
          <w:lang w:val="fr-CA"/>
        </w:rPr>
      </w:pPr>
    </w:p>
    <w:p w14:paraId="000E1883" w14:textId="77777777" w:rsidR="00AA05B4" w:rsidRPr="00F52884" w:rsidRDefault="00AA05B4" w:rsidP="000C25A3">
      <w:pPr>
        <w:rPr>
          <w:rFonts w:eastAsia="Times New Roman" w:cstheme="minorHAnsi"/>
          <w:szCs w:val="23"/>
          <w:lang w:val="fr-CA"/>
        </w:rPr>
      </w:pPr>
    </w:p>
    <w:p w14:paraId="37CEFF48" w14:textId="77777777" w:rsidR="00AA05B4" w:rsidRPr="00F52884" w:rsidRDefault="00AA05B4" w:rsidP="000C25A3">
      <w:pPr>
        <w:rPr>
          <w:rFonts w:eastAsia="Times New Roman" w:cstheme="minorHAnsi"/>
          <w:szCs w:val="23"/>
          <w:lang w:val="fr-CA"/>
        </w:rPr>
      </w:pPr>
    </w:p>
    <w:p w14:paraId="1B242EA6" w14:textId="77777777" w:rsidR="00AA05B4" w:rsidRPr="00F52884" w:rsidRDefault="00AA05B4" w:rsidP="000C25A3">
      <w:pPr>
        <w:rPr>
          <w:rFonts w:eastAsia="Times New Roman" w:cstheme="minorHAnsi"/>
          <w:szCs w:val="23"/>
          <w:lang w:val="fr-CA"/>
        </w:rPr>
      </w:pPr>
    </w:p>
    <w:p w14:paraId="20C1944A" w14:textId="77777777" w:rsidR="00B46955" w:rsidRPr="00F52884" w:rsidRDefault="00B46955">
      <w:pPr>
        <w:rPr>
          <w:rFonts w:ascii="Arial" w:eastAsia="Times New Roman" w:hAnsi="Arial" w:cs="Arial"/>
          <w:b/>
          <w:bCs/>
          <w:sz w:val="24"/>
          <w:szCs w:val="24"/>
          <w:lang w:val="fr-CA"/>
        </w:rPr>
      </w:pPr>
      <w:r w:rsidRPr="00F52884">
        <w:rPr>
          <w:rFonts w:ascii="Arial" w:eastAsia="Times New Roman" w:hAnsi="Arial" w:cs="Arial"/>
          <w:sz w:val="24"/>
          <w:szCs w:val="24"/>
          <w:lang w:val="fr-CA"/>
        </w:rPr>
        <w:br w:type="page"/>
      </w:r>
    </w:p>
    <w:p w14:paraId="43B41682" w14:textId="39AF9A5C" w:rsidR="00B46955" w:rsidRPr="00F52884" w:rsidRDefault="00B46955" w:rsidP="0015303D">
      <w:pPr>
        <w:pStyle w:val="Heading1"/>
        <w:spacing w:before="0"/>
        <w:jc w:val="center"/>
        <w:rPr>
          <w:rFonts w:ascii="Arial" w:eastAsia="Times New Roman" w:hAnsi="Arial" w:cs="Arial"/>
          <w:bCs w:val="0"/>
          <w:sz w:val="24"/>
          <w:szCs w:val="24"/>
          <w:lang w:val="fr-CA"/>
        </w:rPr>
      </w:pPr>
      <w:bookmarkStart w:id="6" w:name="_Toc156311749"/>
      <w:r w:rsidRPr="00F52884">
        <w:rPr>
          <w:rFonts w:ascii="Arial" w:eastAsia="Times New Roman" w:hAnsi="Arial" w:cs="Arial"/>
          <w:sz w:val="24"/>
          <w:szCs w:val="24"/>
          <w:lang w:val="fr-CA"/>
        </w:rPr>
        <w:lastRenderedPageBreak/>
        <w:t>PARTIE II – RÈGLES GÉNÉRALES</w:t>
      </w:r>
      <w:bookmarkEnd w:id="6"/>
    </w:p>
    <w:p w14:paraId="6ED047AD" w14:textId="77777777" w:rsidR="00B46955" w:rsidRPr="00F52884" w:rsidRDefault="00B46955" w:rsidP="0015303D">
      <w:pPr>
        <w:rPr>
          <w:rFonts w:ascii="Arial" w:hAnsi="Arial" w:cs="Arial"/>
          <w:sz w:val="24"/>
          <w:szCs w:val="24"/>
          <w:lang w:val="fr-CA"/>
        </w:rPr>
      </w:pPr>
    </w:p>
    <w:p w14:paraId="475A9881" w14:textId="77777777" w:rsidR="00B46955" w:rsidRPr="00F52884" w:rsidRDefault="00B46955" w:rsidP="0015303D">
      <w:pPr>
        <w:rPr>
          <w:rFonts w:ascii="Arial" w:hAnsi="Arial" w:cs="Arial"/>
          <w:sz w:val="24"/>
          <w:szCs w:val="24"/>
          <w:lang w:val="fr-CA"/>
        </w:rPr>
      </w:pPr>
    </w:p>
    <w:p w14:paraId="799972FD" w14:textId="046ED583" w:rsidR="00B46955" w:rsidRPr="00F52884" w:rsidRDefault="00B46955" w:rsidP="0015303D">
      <w:pPr>
        <w:pStyle w:val="Heading2"/>
        <w:spacing w:before="0"/>
        <w:jc w:val="center"/>
        <w:rPr>
          <w:rFonts w:ascii="Arial" w:eastAsia="Times New Roman" w:hAnsi="Arial" w:cs="Arial"/>
          <w:bCs w:val="0"/>
          <w:sz w:val="24"/>
          <w:szCs w:val="24"/>
          <w:lang w:val="fr-CA"/>
        </w:rPr>
      </w:pPr>
      <w:bookmarkStart w:id="7" w:name="_Toc471907442"/>
      <w:bookmarkStart w:id="8" w:name="_Toc156311750"/>
      <w:r w:rsidRPr="00F52884">
        <w:rPr>
          <w:rFonts w:ascii="Arial" w:eastAsia="Times New Roman" w:hAnsi="Arial" w:cs="Arial"/>
          <w:sz w:val="24"/>
          <w:szCs w:val="24"/>
          <w:lang w:val="fr-CA"/>
        </w:rPr>
        <w:t>Chapitre Deux – Règles générales</w:t>
      </w:r>
      <w:bookmarkEnd w:id="7"/>
      <w:bookmarkEnd w:id="8"/>
    </w:p>
    <w:p w14:paraId="0EDD43DB" w14:textId="77777777" w:rsidR="00B46955" w:rsidRPr="00F52884" w:rsidRDefault="00B46955" w:rsidP="0015303D">
      <w:pPr>
        <w:jc w:val="center"/>
        <w:rPr>
          <w:rFonts w:ascii="Arial" w:eastAsia="Times New Roman" w:hAnsi="Arial" w:cs="Arial"/>
          <w:bCs/>
          <w:szCs w:val="23"/>
          <w:lang w:val="fr-CA"/>
        </w:rPr>
      </w:pPr>
    </w:p>
    <w:p w14:paraId="5980EA6B" w14:textId="77777777" w:rsidR="00B46955" w:rsidRPr="00F52884" w:rsidRDefault="00B46955" w:rsidP="0015303D">
      <w:pPr>
        <w:jc w:val="center"/>
        <w:rPr>
          <w:rFonts w:ascii="Arial" w:eastAsia="Times New Roman" w:hAnsi="Arial" w:cs="Arial"/>
          <w:bCs/>
          <w:szCs w:val="23"/>
          <w:lang w:val="fr-CA"/>
        </w:rPr>
      </w:pPr>
    </w:p>
    <w:p w14:paraId="41ADFE1C" w14:textId="77777777" w:rsidR="00B46955" w:rsidRPr="00F52884" w:rsidRDefault="00B46955" w:rsidP="0015303D">
      <w:pPr>
        <w:tabs>
          <w:tab w:val="left" w:pos="1440"/>
          <w:tab w:val="left" w:pos="2160"/>
          <w:tab w:val="left" w:pos="3247"/>
        </w:tabs>
        <w:autoSpaceDE w:val="0"/>
        <w:autoSpaceDN w:val="0"/>
        <w:adjustRightInd w:val="0"/>
        <w:jc w:val="center"/>
        <w:rPr>
          <w:rFonts w:ascii="Arial" w:eastAsiaTheme="majorEastAsia" w:hAnsi="Arial" w:cs="Arial"/>
          <w:b/>
          <w:bCs/>
          <w:szCs w:val="23"/>
          <w:lang w:val="fr-CA"/>
        </w:rPr>
      </w:pPr>
      <w:r w:rsidRPr="00F52884">
        <w:rPr>
          <w:rFonts w:ascii="Arial" w:eastAsiaTheme="majorEastAsia" w:hAnsi="Arial" w:cs="Arial"/>
          <w:b/>
          <w:bCs/>
          <w:szCs w:val="23"/>
          <w:lang w:val="fr-CA"/>
        </w:rPr>
        <w:t>Article 200 :</w:t>
      </w:r>
      <w:r w:rsidRPr="00F52884">
        <w:rPr>
          <w:rFonts w:ascii="Arial" w:eastAsiaTheme="majorEastAsia" w:hAnsi="Arial" w:cs="Arial"/>
          <w:szCs w:val="23"/>
          <w:lang w:val="fr-CA"/>
        </w:rPr>
        <w:tab/>
      </w:r>
      <w:r w:rsidRPr="00F52884">
        <w:rPr>
          <w:rFonts w:ascii="Arial" w:eastAsiaTheme="majorEastAsia" w:hAnsi="Arial" w:cs="Arial"/>
          <w:szCs w:val="23"/>
          <w:lang w:val="fr-CA"/>
        </w:rPr>
        <w:tab/>
      </w:r>
      <w:r w:rsidRPr="00F52884">
        <w:rPr>
          <w:rFonts w:ascii="Arial" w:eastAsiaTheme="majorEastAsia" w:hAnsi="Arial" w:cs="Arial"/>
          <w:b/>
          <w:bCs/>
          <w:szCs w:val="23"/>
          <w:lang w:val="fr-CA"/>
        </w:rPr>
        <w:t>Application</w:t>
      </w:r>
    </w:p>
    <w:p w14:paraId="4AFA5FF2" w14:textId="77777777" w:rsidR="00B46955" w:rsidRPr="00F52884" w:rsidRDefault="00B46955" w:rsidP="0015303D">
      <w:pPr>
        <w:tabs>
          <w:tab w:val="left" w:pos="1440"/>
          <w:tab w:val="left" w:pos="2160"/>
          <w:tab w:val="left" w:pos="3247"/>
        </w:tabs>
        <w:autoSpaceDE w:val="0"/>
        <w:autoSpaceDN w:val="0"/>
        <w:adjustRightInd w:val="0"/>
        <w:jc w:val="center"/>
        <w:rPr>
          <w:rFonts w:ascii="Arial" w:eastAsiaTheme="majorEastAsia" w:hAnsi="Arial" w:cs="Arial"/>
          <w:b/>
          <w:bCs/>
          <w:szCs w:val="23"/>
          <w:lang w:val="fr-CA"/>
        </w:rPr>
      </w:pPr>
    </w:p>
    <w:p w14:paraId="023FB6B6" w14:textId="57616C4B" w:rsidR="00B46955" w:rsidRPr="00F52884" w:rsidRDefault="00B46955" w:rsidP="0015303D">
      <w:pPr>
        <w:pStyle w:val="ListParagraph"/>
        <w:tabs>
          <w:tab w:val="left" w:pos="720"/>
        </w:tabs>
        <w:autoSpaceDE w:val="0"/>
        <w:autoSpaceDN w:val="0"/>
        <w:adjustRightInd w:val="0"/>
        <w:ind w:left="0"/>
        <w:contextualSpacing w:val="0"/>
        <w:rPr>
          <w:rFonts w:ascii="Arial" w:eastAsiaTheme="majorEastAsia" w:hAnsi="Arial" w:cs="Arial"/>
          <w:bCs/>
          <w:szCs w:val="23"/>
          <w:lang w:val="fr-CA"/>
        </w:rPr>
      </w:pPr>
      <w:r w:rsidRPr="00F52884">
        <w:rPr>
          <w:rFonts w:ascii="Arial" w:hAnsi="Arial" w:cs="Arial"/>
          <w:szCs w:val="23"/>
          <w:lang w:val="fr-CA"/>
        </w:rPr>
        <w:t>1.</w:t>
      </w:r>
      <w:r w:rsidRPr="00F52884">
        <w:rPr>
          <w:rFonts w:ascii="Arial" w:hAnsi="Arial" w:cs="Arial"/>
          <w:szCs w:val="23"/>
          <w:lang w:val="fr-CA"/>
        </w:rPr>
        <w:tab/>
        <w:t>Sauf disposition contraire du présent accord, le présent chapitre s’applique à toute mesure d’une Partie concernant le commerce, l’investissement et la mobilité de la main-d’œuvre à l’intérieur du Canada.</w:t>
      </w:r>
    </w:p>
    <w:p w14:paraId="615117E4" w14:textId="77777777" w:rsidR="00B46955" w:rsidRPr="00F52884" w:rsidRDefault="00B46955" w:rsidP="0015303D">
      <w:pPr>
        <w:pStyle w:val="ListParagraph"/>
        <w:autoSpaceDE w:val="0"/>
        <w:autoSpaceDN w:val="0"/>
        <w:adjustRightInd w:val="0"/>
        <w:ind w:left="360"/>
        <w:contextualSpacing w:val="0"/>
        <w:rPr>
          <w:rFonts w:ascii="Arial" w:eastAsiaTheme="majorEastAsia" w:hAnsi="Arial" w:cs="Arial"/>
          <w:bCs/>
          <w:szCs w:val="23"/>
          <w:lang w:val="fr-CA"/>
        </w:rPr>
      </w:pPr>
    </w:p>
    <w:p w14:paraId="7F0E735F" w14:textId="7397D7FF" w:rsidR="00B46955" w:rsidRPr="00F52884" w:rsidRDefault="00B46955" w:rsidP="0015303D">
      <w:pPr>
        <w:pStyle w:val="ListParagraph"/>
        <w:autoSpaceDE w:val="0"/>
        <w:autoSpaceDN w:val="0"/>
        <w:adjustRightInd w:val="0"/>
        <w:ind w:left="0"/>
        <w:contextualSpacing w:val="0"/>
        <w:rPr>
          <w:rFonts w:ascii="Arial" w:eastAsiaTheme="majorEastAsia" w:hAnsi="Arial" w:cs="Arial"/>
          <w:bCs/>
          <w:szCs w:val="23"/>
          <w:lang w:val="fr-CA"/>
        </w:rPr>
      </w:pPr>
      <w:r w:rsidRPr="00F52884">
        <w:rPr>
          <w:rFonts w:ascii="Arial" w:eastAsiaTheme="majorEastAsia" w:hAnsi="Arial" w:cs="Arial"/>
          <w:bCs/>
          <w:szCs w:val="23"/>
          <w:lang w:val="fr-CA"/>
        </w:rPr>
        <w:t>2.</w:t>
      </w:r>
      <w:r w:rsidRPr="00F52884">
        <w:rPr>
          <w:rFonts w:ascii="Arial" w:eastAsiaTheme="majorEastAsia" w:hAnsi="Arial" w:cs="Arial"/>
          <w:bCs/>
          <w:szCs w:val="23"/>
          <w:lang w:val="fr-CA"/>
        </w:rPr>
        <w:tab/>
        <w:t xml:space="preserve">Le présent chapitre ne s’applique pas à l’acquisition, par une Partie, d’un produit ou </w:t>
      </w:r>
      <w:proofErr w:type="gramStart"/>
      <w:r w:rsidRPr="00F52884">
        <w:rPr>
          <w:rFonts w:ascii="Arial" w:eastAsiaTheme="majorEastAsia" w:hAnsi="Arial" w:cs="Arial"/>
          <w:bCs/>
          <w:szCs w:val="23"/>
          <w:lang w:val="fr-CA"/>
        </w:rPr>
        <w:t>d’un service achetés</w:t>
      </w:r>
      <w:proofErr w:type="gramEnd"/>
      <w:r w:rsidRPr="00F52884">
        <w:rPr>
          <w:rFonts w:ascii="Arial" w:eastAsiaTheme="majorEastAsia" w:hAnsi="Arial" w:cs="Arial"/>
          <w:bCs/>
          <w:szCs w:val="23"/>
          <w:lang w:val="fr-CA"/>
        </w:rPr>
        <w:t xml:space="preserve"> pour les besoins des pouvoirs publics et non pas pour être vendus ou revendus dans le commerce ou pour servir à la production ou à la fourniture d’un produit ou d’un service destinés à la vente ou à la revente dans le commerce, que cette acquisition constitue ou non un marché couvert au sens de l’article 504 (Champ d’application et portée).</w:t>
      </w:r>
    </w:p>
    <w:p w14:paraId="3A1D2AAD" w14:textId="77777777" w:rsidR="00B46955" w:rsidRPr="00F52884" w:rsidRDefault="00B46955" w:rsidP="0015303D">
      <w:pPr>
        <w:pStyle w:val="ListParagraph"/>
        <w:autoSpaceDE w:val="0"/>
        <w:autoSpaceDN w:val="0"/>
        <w:adjustRightInd w:val="0"/>
        <w:ind w:left="0"/>
        <w:contextualSpacing w:val="0"/>
        <w:rPr>
          <w:rFonts w:ascii="Arial" w:eastAsiaTheme="majorEastAsia" w:hAnsi="Arial" w:cs="Arial"/>
          <w:bCs/>
          <w:szCs w:val="23"/>
          <w:lang w:val="fr-CA"/>
        </w:rPr>
      </w:pPr>
    </w:p>
    <w:p w14:paraId="0BFB13B4" w14:textId="1229EBFB" w:rsidR="00B46955" w:rsidRPr="00F52884" w:rsidRDefault="00B46955" w:rsidP="0015303D">
      <w:pPr>
        <w:autoSpaceDE w:val="0"/>
        <w:autoSpaceDN w:val="0"/>
        <w:adjustRightInd w:val="0"/>
        <w:jc w:val="center"/>
        <w:rPr>
          <w:rFonts w:ascii="Arial" w:eastAsiaTheme="majorEastAsia" w:hAnsi="Arial" w:cs="Arial"/>
          <w:b/>
          <w:bCs/>
          <w:szCs w:val="23"/>
          <w:lang w:val="fr-CA"/>
        </w:rPr>
      </w:pPr>
      <w:r w:rsidRPr="00F52884">
        <w:rPr>
          <w:rFonts w:ascii="Arial" w:eastAsiaTheme="majorEastAsia" w:hAnsi="Arial" w:cs="Arial"/>
          <w:b/>
          <w:bCs/>
          <w:szCs w:val="23"/>
          <w:lang w:val="fr-CA"/>
        </w:rPr>
        <w:t xml:space="preserve">    Article 201 :</w:t>
      </w:r>
      <w:r w:rsidRPr="00F52884">
        <w:rPr>
          <w:rFonts w:ascii="Arial" w:eastAsiaTheme="majorEastAsia" w:hAnsi="Arial" w:cs="Arial"/>
          <w:szCs w:val="23"/>
          <w:lang w:val="fr-CA"/>
        </w:rPr>
        <w:tab/>
      </w:r>
      <w:r w:rsidRPr="00F52884">
        <w:rPr>
          <w:rFonts w:ascii="Arial" w:eastAsiaTheme="majorEastAsia" w:hAnsi="Arial" w:cs="Arial"/>
          <w:szCs w:val="23"/>
          <w:lang w:val="fr-CA"/>
        </w:rPr>
        <w:tab/>
      </w:r>
      <w:r w:rsidRPr="00F52884">
        <w:rPr>
          <w:rFonts w:ascii="Arial" w:eastAsiaTheme="majorEastAsia" w:hAnsi="Arial" w:cs="Arial"/>
          <w:b/>
          <w:szCs w:val="23"/>
          <w:lang w:val="fr-CA"/>
        </w:rPr>
        <w:t>Traitement n</w:t>
      </w:r>
      <w:r w:rsidRPr="00F52884">
        <w:rPr>
          <w:rFonts w:ascii="Arial" w:eastAsiaTheme="majorEastAsia" w:hAnsi="Arial" w:cs="Arial"/>
          <w:b/>
          <w:bCs/>
          <w:szCs w:val="23"/>
          <w:lang w:val="fr-CA"/>
        </w:rPr>
        <w:t>on</w:t>
      </w:r>
      <w:r w:rsidR="008E7DA9" w:rsidRPr="00F52884">
        <w:rPr>
          <w:rFonts w:ascii="Arial" w:eastAsiaTheme="majorEastAsia" w:hAnsi="Arial" w:cs="Arial"/>
          <w:b/>
          <w:bCs/>
          <w:szCs w:val="23"/>
          <w:lang w:val="fr-CA"/>
        </w:rPr>
        <w:t xml:space="preserve"> </w:t>
      </w:r>
      <w:r w:rsidRPr="00F52884">
        <w:rPr>
          <w:rFonts w:ascii="Arial" w:eastAsiaTheme="majorEastAsia" w:hAnsi="Arial" w:cs="Arial"/>
          <w:b/>
          <w:bCs/>
          <w:szCs w:val="23"/>
          <w:lang w:val="fr-CA"/>
        </w:rPr>
        <w:t>discriminatoire</w:t>
      </w:r>
    </w:p>
    <w:p w14:paraId="3A2FA699" w14:textId="77777777" w:rsidR="00B46955" w:rsidRPr="00F52884" w:rsidRDefault="00B46955" w:rsidP="0015303D">
      <w:pPr>
        <w:autoSpaceDE w:val="0"/>
        <w:autoSpaceDN w:val="0"/>
        <w:adjustRightInd w:val="0"/>
        <w:rPr>
          <w:rFonts w:ascii="Arial" w:eastAsiaTheme="majorEastAsia" w:hAnsi="Arial" w:cs="Arial"/>
          <w:b/>
          <w:bCs/>
          <w:szCs w:val="23"/>
          <w:lang w:val="fr-CA"/>
        </w:rPr>
      </w:pPr>
    </w:p>
    <w:p w14:paraId="51171CFD" w14:textId="2C550CB8" w:rsidR="00B46955" w:rsidRPr="00F52884" w:rsidRDefault="00B46955" w:rsidP="0015303D">
      <w:pPr>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 xml:space="preserve"> Chaque Partie accorde aux produits de toute autre Partie un traitement non moins favorable que le meilleur traitement qu’elle accorde à ses propres produits similaires, directement concurrents ou substituables, et à ceux de toute autre Partie ou tierce partie.</w:t>
      </w:r>
    </w:p>
    <w:p w14:paraId="7EBFF4D7" w14:textId="77777777" w:rsidR="00B46955" w:rsidRPr="00F52884" w:rsidRDefault="00B46955" w:rsidP="0015303D">
      <w:pPr>
        <w:autoSpaceDE w:val="0"/>
        <w:autoSpaceDN w:val="0"/>
        <w:adjustRightInd w:val="0"/>
        <w:rPr>
          <w:rFonts w:ascii="Arial" w:eastAsia="Times New Roman" w:hAnsi="Arial" w:cs="Arial"/>
          <w:szCs w:val="23"/>
          <w:lang w:val="fr-CA"/>
        </w:rPr>
      </w:pPr>
    </w:p>
    <w:p w14:paraId="2520E1A1" w14:textId="3B9A71E5" w:rsidR="00B46955" w:rsidRPr="00F52884" w:rsidRDefault="00B46955" w:rsidP="0015303D">
      <w:pPr>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2.</w:t>
      </w:r>
      <w:r w:rsidRPr="00F52884">
        <w:rPr>
          <w:rFonts w:ascii="Arial" w:eastAsia="Times New Roman" w:hAnsi="Arial" w:cs="Arial"/>
          <w:szCs w:val="23"/>
          <w:lang w:val="fr-CA"/>
        </w:rPr>
        <w:tab/>
        <w:t>Chaque Partie accorde aux travailleurs, aux services, aux fournisseurs de services, aux investisseurs et aux investissements de toute autre Partie un traitement non moins favorable que le meilleur traitement qu’elle accorde, dans des circonstances similaires, à ses propres travailleurs, services, fournisseurs de services, investisseurs et investissements, et à ceux de toute autre Partie ou tierce partie.</w:t>
      </w:r>
    </w:p>
    <w:p w14:paraId="797CAB56" w14:textId="77777777" w:rsidR="00B46955" w:rsidRPr="00F52884" w:rsidRDefault="00B46955" w:rsidP="0015303D">
      <w:pPr>
        <w:autoSpaceDE w:val="0"/>
        <w:autoSpaceDN w:val="0"/>
        <w:adjustRightInd w:val="0"/>
        <w:rPr>
          <w:rFonts w:ascii="Arial" w:eastAsia="Times New Roman" w:hAnsi="Arial" w:cs="Arial"/>
          <w:szCs w:val="23"/>
          <w:lang w:val="fr-CA"/>
        </w:rPr>
      </w:pPr>
    </w:p>
    <w:p w14:paraId="3EC5F7E1" w14:textId="1D7BAE7C" w:rsidR="00B46955" w:rsidRPr="00F52884" w:rsidRDefault="00B46955" w:rsidP="0015303D">
      <w:pPr>
        <w:autoSpaceDE w:val="0"/>
        <w:autoSpaceDN w:val="0"/>
        <w:adjustRightInd w:val="0"/>
        <w:rPr>
          <w:rFonts w:ascii="Arial" w:eastAsia="Times New Roman" w:hAnsi="Arial" w:cs="Arial"/>
          <w:szCs w:val="23"/>
          <w:lang w:val="fr-CA"/>
        </w:rPr>
      </w:pPr>
      <w:r w:rsidRPr="00F52884">
        <w:rPr>
          <w:rFonts w:ascii="Arial" w:hAnsi="Arial" w:cs="Arial"/>
          <w:szCs w:val="23"/>
          <w:lang w:val="fr-CA"/>
        </w:rPr>
        <w:t>3.</w:t>
      </w:r>
      <w:r w:rsidRPr="00F52884">
        <w:rPr>
          <w:rFonts w:ascii="Arial" w:hAnsi="Arial" w:cs="Arial"/>
          <w:szCs w:val="23"/>
          <w:lang w:val="fr-CA"/>
        </w:rPr>
        <w:tab/>
        <w:t>En ce qui concerne le gouvernement du Canada, les paragraphes 1 et 2 signifient que celui-ci accorde :</w:t>
      </w:r>
    </w:p>
    <w:p w14:paraId="4BC35378" w14:textId="77777777" w:rsidR="00B46955" w:rsidRPr="00F52884" w:rsidRDefault="00B46955" w:rsidP="0015303D">
      <w:pPr>
        <w:autoSpaceDE w:val="0"/>
        <w:autoSpaceDN w:val="0"/>
        <w:adjustRightInd w:val="0"/>
        <w:rPr>
          <w:rFonts w:ascii="Arial" w:eastAsia="Times New Roman" w:hAnsi="Arial" w:cs="Arial"/>
          <w:szCs w:val="23"/>
          <w:lang w:val="fr-CA"/>
        </w:rPr>
      </w:pPr>
    </w:p>
    <w:p w14:paraId="1F660F8B" w14:textId="55ECD1DD" w:rsidR="00B46955" w:rsidRPr="00F52884" w:rsidRDefault="00B46955" w:rsidP="00B46955">
      <w:pPr>
        <w:pStyle w:val="ListParagraph"/>
        <w:numPr>
          <w:ilvl w:val="0"/>
          <w:numId w:val="2"/>
        </w:numPr>
        <w:autoSpaceDE w:val="0"/>
        <w:autoSpaceDN w:val="0"/>
        <w:adjustRightInd w:val="0"/>
        <w:ind w:left="1440" w:hanging="720"/>
        <w:contextualSpacing w:val="0"/>
        <w:rPr>
          <w:rFonts w:ascii="Arial" w:eastAsia="Times New Roman" w:hAnsi="Arial" w:cs="Arial"/>
          <w:szCs w:val="23"/>
          <w:lang w:val="fr-CA"/>
        </w:rPr>
      </w:pPr>
      <w:proofErr w:type="gramStart"/>
      <w:r w:rsidRPr="00F52884">
        <w:rPr>
          <w:rFonts w:ascii="Arial" w:eastAsia="Times New Roman" w:hAnsi="Arial" w:cs="Arial"/>
          <w:szCs w:val="23"/>
          <w:lang w:val="fr-CA"/>
        </w:rPr>
        <w:t>aux</w:t>
      </w:r>
      <w:proofErr w:type="gramEnd"/>
      <w:r w:rsidRPr="00F52884">
        <w:rPr>
          <w:rFonts w:ascii="Arial" w:eastAsia="Times New Roman" w:hAnsi="Arial" w:cs="Arial"/>
          <w:szCs w:val="23"/>
          <w:lang w:val="fr-CA"/>
        </w:rPr>
        <w:t xml:space="preserve"> produits d’une Province un traitement non moins favorable que le meilleur traitement qu’il accorde aux produits similaires, directement concurrents ou substituables de toute autre Province ou tierce partie;</w:t>
      </w:r>
    </w:p>
    <w:p w14:paraId="296EFF05" w14:textId="77777777" w:rsidR="00B46955" w:rsidRPr="00F52884" w:rsidRDefault="00B46955" w:rsidP="00B46955">
      <w:pPr>
        <w:autoSpaceDE w:val="0"/>
        <w:autoSpaceDN w:val="0"/>
        <w:adjustRightInd w:val="0"/>
        <w:ind w:left="1440" w:hanging="720"/>
        <w:rPr>
          <w:rFonts w:ascii="Arial" w:eastAsia="Times New Roman" w:hAnsi="Arial" w:cs="Arial"/>
          <w:szCs w:val="23"/>
          <w:lang w:val="fr-CA"/>
        </w:rPr>
      </w:pPr>
    </w:p>
    <w:p w14:paraId="223A2D26" w14:textId="453C8067" w:rsidR="00B46955" w:rsidRPr="00F52884" w:rsidRDefault="00B46955" w:rsidP="00B46955">
      <w:pPr>
        <w:pStyle w:val="ListParagraph"/>
        <w:numPr>
          <w:ilvl w:val="0"/>
          <w:numId w:val="2"/>
        </w:numPr>
        <w:autoSpaceDE w:val="0"/>
        <w:autoSpaceDN w:val="0"/>
        <w:adjustRightInd w:val="0"/>
        <w:ind w:left="1440" w:hanging="720"/>
        <w:contextualSpacing w:val="0"/>
        <w:rPr>
          <w:rFonts w:ascii="Arial" w:eastAsia="Times New Roman" w:hAnsi="Arial" w:cs="Arial"/>
          <w:szCs w:val="23"/>
          <w:lang w:val="fr-CA"/>
        </w:rPr>
      </w:pPr>
      <w:proofErr w:type="gramStart"/>
      <w:r w:rsidRPr="00F52884">
        <w:rPr>
          <w:rFonts w:ascii="Arial" w:eastAsia="Times New Roman" w:hAnsi="Arial" w:cs="Arial"/>
          <w:szCs w:val="23"/>
          <w:lang w:val="fr-CA"/>
        </w:rPr>
        <w:t>aux</w:t>
      </w:r>
      <w:proofErr w:type="gramEnd"/>
      <w:r w:rsidRPr="00F52884">
        <w:rPr>
          <w:rFonts w:ascii="Arial" w:eastAsia="Times New Roman" w:hAnsi="Arial" w:cs="Arial"/>
          <w:szCs w:val="23"/>
          <w:lang w:val="fr-CA"/>
        </w:rPr>
        <w:t xml:space="preserve"> travailleurs, aux services, aux fournisseurs de services, aux investisseurs et aux investissements d’une Province un traitement non moins favorable que le meilleur traitement qu’il accorde, dans des circonstances similaires, aux travailleurs, aux services, aux fournisseurs de services, aux investisseurs et aux investissements de toute autre Province ou tierce partie.</w:t>
      </w:r>
    </w:p>
    <w:p w14:paraId="2CE2C57A" w14:textId="77777777" w:rsidR="00B46955" w:rsidRPr="00F52884" w:rsidRDefault="00B46955" w:rsidP="0015303D">
      <w:pPr>
        <w:autoSpaceDE w:val="0"/>
        <w:autoSpaceDN w:val="0"/>
        <w:adjustRightInd w:val="0"/>
        <w:ind w:left="720"/>
        <w:rPr>
          <w:rFonts w:ascii="Arial" w:eastAsia="Times New Roman" w:hAnsi="Arial" w:cs="Arial"/>
          <w:szCs w:val="23"/>
          <w:lang w:val="fr-CA"/>
        </w:rPr>
      </w:pPr>
    </w:p>
    <w:p w14:paraId="12BE956A" w14:textId="58D73FBA" w:rsidR="00B46955" w:rsidRPr="00F52884" w:rsidRDefault="00B46955" w:rsidP="00B46955">
      <w:pPr>
        <w:pStyle w:val="PlainText"/>
        <w:numPr>
          <w:ilvl w:val="0"/>
          <w:numId w:val="102"/>
        </w:numPr>
        <w:ind w:left="0" w:firstLine="0"/>
        <w:rPr>
          <w:rFonts w:ascii="Arial" w:hAnsi="Arial" w:cs="Arial"/>
          <w:sz w:val="23"/>
          <w:szCs w:val="23"/>
          <w:lang w:val="fr-CA"/>
        </w:rPr>
      </w:pPr>
      <w:r w:rsidRPr="00F52884">
        <w:rPr>
          <w:rFonts w:ascii="Arial" w:hAnsi="Arial" w:cs="Arial"/>
          <w:sz w:val="23"/>
          <w:szCs w:val="23"/>
          <w:lang w:val="fr-CA"/>
        </w:rPr>
        <w:t xml:space="preserve">En ce qui concerne le gouvernement du Canada, le traitement moins favorable doit comporter une composante géographique pour être incompatible avec les paragraphes 1, 2 ou 3. Un traitement moins favorable comporte une composante géographique lorsque le gouvernement du Canada favorise, en droit ou en fait, les produits, les travailleurs, les </w:t>
      </w:r>
      <w:r w:rsidRPr="00F52884">
        <w:rPr>
          <w:rFonts w:ascii="Arial" w:hAnsi="Arial" w:cs="Arial"/>
          <w:sz w:val="23"/>
          <w:szCs w:val="23"/>
          <w:lang w:val="fr-CA"/>
        </w:rPr>
        <w:lastRenderedPageBreak/>
        <w:t>services, les fournisseurs de services, les investisseurs ou les investissements d’une Province au détriment de ceux de toute autre Province ou tierce partie.</w:t>
      </w:r>
    </w:p>
    <w:p w14:paraId="3476D0E9" w14:textId="77777777" w:rsidR="00B46955" w:rsidRPr="00F52884" w:rsidRDefault="00B46955" w:rsidP="0015303D">
      <w:pPr>
        <w:autoSpaceDE w:val="0"/>
        <w:autoSpaceDN w:val="0"/>
        <w:adjustRightInd w:val="0"/>
        <w:rPr>
          <w:rFonts w:ascii="Arial" w:eastAsia="Times New Roman" w:hAnsi="Arial" w:cs="Arial"/>
          <w:szCs w:val="23"/>
          <w:lang w:val="fr-CA"/>
        </w:rPr>
      </w:pPr>
    </w:p>
    <w:p w14:paraId="4D394679" w14:textId="33AFADFA" w:rsidR="00B46955" w:rsidRPr="00F52884" w:rsidRDefault="00B46955" w:rsidP="00B46955">
      <w:pPr>
        <w:pStyle w:val="ListParagraph"/>
        <w:numPr>
          <w:ilvl w:val="0"/>
          <w:numId w:val="102"/>
        </w:numPr>
        <w:autoSpaceDE w:val="0"/>
        <w:autoSpaceDN w:val="0"/>
        <w:adjustRightInd w:val="0"/>
        <w:ind w:left="0" w:firstLine="0"/>
        <w:rPr>
          <w:rFonts w:ascii="Arial" w:hAnsi="Arial" w:cs="Arial"/>
          <w:szCs w:val="23"/>
          <w:lang w:val="fr-CA"/>
        </w:rPr>
      </w:pPr>
      <w:r w:rsidRPr="00F52884">
        <w:rPr>
          <w:rFonts w:ascii="Arial" w:hAnsi="Arial" w:cs="Arial"/>
          <w:szCs w:val="23"/>
          <w:lang w:val="fr-CA"/>
        </w:rPr>
        <w:t>Le fait d’accorder un traitement identique n’équivaut pas nécessairement au respect des paragraphes 1, 2, 3 ou 4.</w:t>
      </w:r>
    </w:p>
    <w:p w14:paraId="295162E8" w14:textId="77777777" w:rsidR="00B46955" w:rsidRPr="00F52884" w:rsidRDefault="00B46955" w:rsidP="0015303D">
      <w:pPr>
        <w:pStyle w:val="ListParagraph"/>
        <w:rPr>
          <w:rFonts w:ascii="Arial" w:eastAsia="Times New Roman" w:hAnsi="Arial" w:cs="Arial"/>
          <w:szCs w:val="23"/>
          <w:lang w:val="fr-CA"/>
        </w:rPr>
      </w:pPr>
    </w:p>
    <w:p w14:paraId="324C14AE" w14:textId="09D97CC1" w:rsidR="00B46955" w:rsidRPr="00F52884" w:rsidRDefault="00B46955" w:rsidP="00B46955">
      <w:pPr>
        <w:pStyle w:val="ListParagraph"/>
        <w:numPr>
          <w:ilvl w:val="0"/>
          <w:numId w:val="10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Chaque Partie fait en sorte que tous frais de délivrance de licences ou</w:t>
      </w:r>
      <w:r w:rsidRPr="00F52884" w:rsidDel="00A854FA">
        <w:rPr>
          <w:rFonts w:ascii="Arial" w:eastAsia="Times New Roman" w:hAnsi="Arial" w:cs="Arial"/>
          <w:szCs w:val="23"/>
          <w:lang w:val="fr-CA"/>
        </w:rPr>
        <w:t xml:space="preserve"> </w:t>
      </w:r>
      <w:r w:rsidRPr="00F52884">
        <w:rPr>
          <w:rFonts w:ascii="Arial" w:eastAsia="Times New Roman" w:hAnsi="Arial" w:cs="Arial"/>
          <w:szCs w:val="23"/>
          <w:lang w:val="fr-CA"/>
        </w:rPr>
        <w:t>d’enregistrement, de certificats ou autres frais commerciaux qu’elle applique, selon le cas :</w:t>
      </w:r>
    </w:p>
    <w:p w14:paraId="2BC22C1B" w14:textId="77777777" w:rsidR="00B46955" w:rsidRPr="00F52884" w:rsidRDefault="00B46955" w:rsidP="0015303D">
      <w:pPr>
        <w:autoSpaceDE w:val="0"/>
        <w:autoSpaceDN w:val="0"/>
        <w:adjustRightInd w:val="0"/>
        <w:rPr>
          <w:rFonts w:ascii="Arial" w:eastAsia="Times New Roman" w:hAnsi="Arial" w:cs="Arial"/>
          <w:szCs w:val="23"/>
          <w:lang w:val="fr-CA"/>
        </w:rPr>
      </w:pPr>
    </w:p>
    <w:p w14:paraId="5322D9EE" w14:textId="73E61417" w:rsidR="00B46955" w:rsidRPr="00F52884" w:rsidRDefault="00B46955" w:rsidP="00B46955">
      <w:pPr>
        <w:pStyle w:val="ListParagraph"/>
        <w:numPr>
          <w:ilvl w:val="0"/>
          <w:numId w:val="167"/>
        </w:numPr>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aux</w:t>
      </w:r>
      <w:proofErr w:type="gramEnd"/>
      <w:r w:rsidRPr="00F52884">
        <w:rPr>
          <w:rFonts w:ascii="Arial" w:eastAsia="Times New Roman" w:hAnsi="Arial" w:cs="Arial"/>
          <w:szCs w:val="23"/>
          <w:lang w:val="fr-CA"/>
        </w:rPr>
        <w:t xml:space="preserve"> produits de toute autre Partie, ne soient pas moins favorables que les frais qu’elle applique à ses propres produits similaires, directement concurrents ou substituables, ou que ceux qu’elle applique à de tels produits de toute autre Partie ou tierce partie, sauf dans la mesure où la différence entre les frais peut être justifiée par les coûts réels;</w:t>
      </w:r>
    </w:p>
    <w:p w14:paraId="7B0F5C4B" w14:textId="77777777" w:rsidR="00B46955" w:rsidRPr="00F52884" w:rsidRDefault="00B46955" w:rsidP="00B46955">
      <w:pPr>
        <w:pStyle w:val="ListParagraph"/>
        <w:autoSpaceDE w:val="0"/>
        <w:autoSpaceDN w:val="0"/>
        <w:adjustRightInd w:val="0"/>
        <w:ind w:left="1440" w:hanging="720"/>
        <w:rPr>
          <w:rFonts w:ascii="Arial" w:eastAsia="Times New Roman" w:hAnsi="Arial" w:cs="Arial"/>
          <w:szCs w:val="23"/>
          <w:lang w:val="fr-CA"/>
        </w:rPr>
      </w:pPr>
    </w:p>
    <w:p w14:paraId="1754AB79" w14:textId="4C9F2792" w:rsidR="00B46955" w:rsidRPr="00F52884" w:rsidRDefault="00B46955" w:rsidP="00B46955">
      <w:pPr>
        <w:pStyle w:val="ListParagraph"/>
        <w:numPr>
          <w:ilvl w:val="0"/>
          <w:numId w:val="167"/>
        </w:numPr>
        <w:autoSpaceDE w:val="0"/>
        <w:autoSpaceDN w:val="0"/>
        <w:adjustRightInd w:val="0"/>
        <w:ind w:left="1440" w:hanging="720"/>
        <w:rPr>
          <w:rFonts w:ascii="Arial" w:eastAsia="Times New Roman" w:hAnsi="Arial" w:cs="Arial"/>
          <w:szCs w:val="23"/>
          <w:lang w:val="fr-CA"/>
        </w:rPr>
      </w:pPr>
      <w:r w:rsidRPr="00F52884">
        <w:rPr>
          <w:rFonts w:ascii="Arial" w:eastAsia="Times New Roman" w:hAnsi="Arial" w:cs="Arial"/>
          <w:szCs w:val="23"/>
          <w:lang w:val="fr-CA"/>
        </w:rPr>
        <w:t>aux travailleurs, aux services, aux fournisseurs de services, aux investisseurs ou aux investissements de toute autre Partie, ne soient pas moins favorables que les frais qu’elle applique à ses propres travailleurs, services, fournisseurs de services, investisseurs ou investissements, ou que ceux qu’elle applique aux  travailleurs, services, fournisseurs de services, investisseurs ou investissements de toute autre Partie ou tierce partie, dans des circonstances similaires, sauf dans la mesure où la différence entre les frais peut être justifiée par les coûts réels.</w:t>
      </w:r>
    </w:p>
    <w:p w14:paraId="26430F1C" w14:textId="77777777" w:rsidR="00B46955" w:rsidRPr="00F52884" w:rsidRDefault="00B46955" w:rsidP="0015303D">
      <w:pPr>
        <w:autoSpaceDE w:val="0"/>
        <w:autoSpaceDN w:val="0"/>
        <w:adjustRightInd w:val="0"/>
        <w:rPr>
          <w:rFonts w:ascii="Arial" w:eastAsia="Times New Roman" w:hAnsi="Arial" w:cs="Arial"/>
          <w:szCs w:val="23"/>
          <w:lang w:val="fr-CA"/>
        </w:rPr>
      </w:pPr>
    </w:p>
    <w:p w14:paraId="75A769F4" w14:textId="3D72146C" w:rsidR="00B46955" w:rsidRPr="00F52884" w:rsidRDefault="00B46955" w:rsidP="0015303D">
      <w:pPr>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7.</w:t>
      </w:r>
      <w:r w:rsidRPr="00F52884">
        <w:rPr>
          <w:rFonts w:ascii="Arial" w:eastAsia="Times New Roman" w:hAnsi="Arial" w:cs="Arial"/>
          <w:szCs w:val="23"/>
          <w:lang w:val="fr-CA"/>
        </w:rPr>
        <w:tab/>
        <w:t>Il est entendu que pour l’application du paragraphe 6, les « frais commerciaux » ne comprennent pas les taxes ou redevances.</w:t>
      </w:r>
    </w:p>
    <w:p w14:paraId="260F4208" w14:textId="77777777" w:rsidR="00B46955" w:rsidRPr="00F52884" w:rsidRDefault="00B46955" w:rsidP="0015303D">
      <w:pPr>
        <w:autoSpaceDE w:val="0"/>
        <w:autoSpaceDN w:val="0"/>
        <w:adjustRightInd w:val="0"/>
        <w:rPr>
          <w:rFonts w:ascii="Arial" w:eastAsia="Times New Roman" w:hAnsi="Arial" w:cs="Arial"/>
          <w:szCs w:val="23"/>
          <w:lang w:val="fr-CA"/>
        </w:rPr>
      </w:pPr>
    </w:p>
    <w:p w14:paraId="3264E58E" w14:textId="77777777" w:rsidR="00B46955" w:rsidRPr="00F52884" w:rsidRDefault="00B46955" w:rsidP="0015303D">
      <w:pPr>
        <w:jc w:val="center"/>
        <w:rPr>
          <w:rFonts w:ascii="Arial" w:eastAsiaTheme="majorEastAsia" w:hAnsi="Arial" w:cs="Arial"/>
          <w:b/>
          <w:bCs/>
          <w:szCs w:val="23"/>
          <w:lang w:val="fr-CA"/>
        </w:rPr>
      </w:pPr>
      <w:r w:rsidRPr="00F52884">
        <w:rPr>
          <w:rFonts w:ascii="Arial" w:eastAsiaTheme="majorEastAsia" w:hAnsi="Arial" w:cs="Arial"/>
          <w:b/>
          <w:bCs/>
          <w:szCs w:val="23"/>
          <w:lang w:val="fr-CA"/>
        </w:rPr>
        <w:t>Article 202 :</w:t>
      </w:r>
      <w:r w:rsidRPr="00F52884">
        <w:rPr>
          <w:rFonts w:ascii="Arial" w:eastAsiaTheme="majorEastAsia" w:hAnsi="Arial" w:cs="Arial"/>
          <w:szCs w:val="23"/>
          <w:lang w:val="fr-CA"/>
        </w:rPr>
        <w:tab/>
      </w:r>
      <w:r w:rsidRPr="00F52884">
        <w:rPr>
          <w:rFonts w:ascii="Arial" w:eastAsiaTheme="majorEastAsia" w:hAnsi="Arial" w:cs="Arial"/>
          <w:szCs w:val="23"/>
          <w:lang w:val="fr-CA"/>
        </w:rPr>
        <w:tab/>
      </w:r>
      <w:r w:rsidRPr="00F52884">
        <w:rPr>
          <w:rFonts w:ascii="Arial" w:eastAsiaTheme="majorEastAsia" w:hAnsi="Arial" w:cs="Arial"/>
          <w:b/>
          <w:bCs/>
          <w:szCs w:val="23"/>
          <w:lang w:val="fr-CA"/>
        </w:rPr>
        <w:t>Objectifs légitimes</w:t>
      </w:r>
    </w:p>
    <w:p w14:paraId="63C73859" w14:textId="77777777" w:rsidR="00B46955" w:rsidRPr="00F52884" w:rsidRDefault="00B46955" w:rsidP="0015303D">
      <w:pPr>
        <w:rPr>
          <w:rFonts w:ascii="Arial" w:hAnsi="Arial" w:cs="Arial"/>
          <w:szCs w:val="23"/>
          <w:lang w:val="fr-CA"/>
        </w:rPr>
      </w:pPr>
    </w:p>
    <w:p w14:paraId="6CC99E46" w14:textId="0403C1A5" w:rsidR="00B46955" w:rsidRPr="00F52884" w:rsidRDefault="00B46955" w:rsidP="0015303D">
      <w:pPr>
        <w:numPr>
          <w:ilvl w:val="0"/>
          <w:numId w:val="1"/>
        </w:numPr>
        <w:autoSpaceDE w:val="0"/>
        <w:autoSpaceDN w:val="0"/>
        <w:adjustRightInd w:val="0"/>
        <w:ind w:left="0" w:hanging="6"/>
        <w:rPr>
          <w:rFonts w:ascii="Arial" w:eastAsia="Times New Roman" w:hAnsi="Arial" w:cs="Arial"/>
          <w:szCs w:val="23"/>
          <w:lang w:val="fr-CA"/>
        </w:rPr>
      </w:pPr>
      <w:r w:rsidRPr="00F52884">
        <w:rPr>
          <w:rFonts w:ascii="Arial" w:eastAsia="Times New Roman" w:hAnsi="Arial" w:cs="Arial"/>
          <w:szCs w:val="23"/>
          <w:lang w:val="fr-CA"/>
        </w:rPr>
        <w:t>Le présent article ne s’applique pas à l’article 302 (Obstacles techniques au commerce), à l’article 303 (Mesures sanitaires et phytosanitaires), à l’article 320 (Stimulants interdits), à l’article 402 (Notification réglementaire) et à l’article 403 (Conciliation des mesures réglementaires), ou au chapitre Six (Protection de l’environnement) et au chapitre Sept (Mobilité de la main</w:t>
      </w:r>
      <w:r w:rsidRPr="00F52884">
        <w:rPr>
          <w:rFonts w:ascii="Arial" w:eastAsia="Times New Roman" w:hAnsi="Arial" w:cs="Arial"/>
          <w:szCs w:val="23"/>
          <w:lang w:val="fr-CA"/>
        </w:rPr>
        <w:noBreakHyphen/>
        <w:t>d’œuvre).</w:t>
      </w:r>
    </w:p>
    <w:p w14:paraId="0DC9CB82" w14:textId="77777777" w:rsidR="00B46955" w:rsidRPr="00F52884" w:rsidRDefault="00B46955" w:rsidP="0015303D">
      <w:pPr>
        <w:autoSpaceDE w:val="0"/>
        <w:autoSpaceDN w:val="0"/>
        <w:adjustRightInd w:val="0"/>
        <w:rPr>
          <w:rFonts w:ascii="Arial" w:eastAsia="Times New Roman" w:hAnsi="Arial" w:cs="Arial"/>
          <w:szCs w:val="23"/>
          <w:lang w:val="fr-CA"/>
        </w:rPr>
      </w:pPr>
    </w:p>
    <w:p w14:paraId="1190F93F" w14:textId="73278776" w:rsidR="00B46955" w:rsidRPr="00F52884" w:rsidRDefault="00B46955" w:rsidP="0015303D">
      <w:pPr>
        <w:numPr>
          <w:ilvl w:val="0"/>
          <w:numId w:val="1"/>
        </w:numPr>
        <w:autoSpaceDE w:val="0"/>
        <w:autoSpaceDN w:val="0"/>
        <w:adjustRightInd w:val="0"/>
        <w:ind w:left="0" w:hanging="6"/>
        <w:rPr>
          <w:rFonts w:ascii="Arial" w:eastAsia="Times New Roman" w:hAnsi="Arial" w:cs="Arial"/>
          <w:szCs w:val="23"/>
          <w:lang w:val="fr-CA"/>
        </w:rPr>
      </w:pPr>
      <w:r w:rsidRPr="00F52884">
        <w:rPr>
          <w:rFonts w:ascii="Arial" w:eastAsia="Times New Roman" w:hAnsi="Arial" w:cs="Arial"/>
          <w:szCs w:val="23"/>
          <w:lang w:val="fr-CA"/>
        </w:rPr>
        <w:t>Une Partie peut déterminer le niveau de protection qu’elle juge approprié pour réaliser un objectif légitime.</w:t>
      </w:r>
    </w:p>
    <w:p w14:paraId="01B69027" w14:textId="77777777" w:rsidR="00B46955" w:rsidRPr="00F52884" w:rsidRDefault="00B46955" w:rsidP="0015303D">
      <w:pPr>
        <w:rPr>
          <w:rFonts w:ascii="Arial" w:hAnsi="Arial" w:cs="Arial"/>
          <w:szCs w:val="23"/>
          <w:lang w:val="fr-CA"/>
        </w:rPr>
      </w:pPr>
    </w:p>
    <w:p w14:paraId="53C4C65D" w14:textId="77777777" w:rsidR="00B46955" w:rsidRPr="00F52884" w:rsidRDefault="00B46955" w:rsidP="0015303D">
      <w:pPr>
        <w:numPr>
          <w:ilvl w:val="0"/>
          <w:numId w:val="1"/>
        </w:numPr>
        <w:autoSpaceDE w:val="0"/>
        <w:autoSpaceDN w:val="0"/>
        <w:adjustRightInd w:val="0"/>
        <w:ind w:left="0" w:hanging="6"/>
        <w:rPr>
          <w:rFonts w:ascii="Arial" w:eastAsia="Times New Roman" w:hAnsi="Arial" w:cs="Arial"/>
          <w:szCs w:val="23"/>
          <w:lang w:val="fr-CA"/>
        </w:rPr>
      </w:pPr>
      <w:r w:rsidRPr="00F52884">
        <w:rPr>
          <w:rFonts w:ascii="Arial" w:eastAsia="Times New Roman" w:hAnsi="Arial" w:cs="Arial"/>
          <w:szCs w:val="23"/>
          <w:lang w:val="fr-CA"/>
        </w:rPr>
        <w:t xml:space="preserve">S’il est établi qu’une mesure est incompatible avec le présent accord, cette mesure est permise si les conditions suivantes sont réunies : </w:t>
      </w:r>
    </w:p>
    <w:p w14:paraId="3EFABF58" w14:textId="77777777" w:rsidR="00B46955" w:rsidRPr="00F52884" w:rsidRDefault="00B46955" w:rsidP="0015303D">
      <w:pPr>
        <w:rPr>
          <w:rFonts w:ascii="Arial" w:hAnsi="Arial" w:cs="Arial"/>
          <w:szCs w:val="23"/>
          <w:lang w:val="fr-CA"/>
        </w:rPr>
      </w:pPr>
    </w:p>
    <w:p w14:paraId="348B707B" w14:textId="77777777" w:rsidR="00B46955" w:rsidRPr="00F52884" w:rsidRDefault="00B46955" w:rsidP="00B46955">
      <w:pPr>
        <w:pStyle w:val="ListParagraph"/>
        <w:numPr>
          <w:ilvl w:val="1"/>
          <w:numId w:val="103"/>
        </w:numPr>
        <w:ind w:hanging="720"/>
        <w:rPr>
          <w:rFonts w:ascii="Arial" w:hAnsi="Arial" w:cs="Arial"/>
          <w:szCs w:val="23"/>
          <w:lang w:val="fr-CA"/>
        </w:rPr>
      </w:pPr>
      <w:proofErr w:type="gramStart"/>
      <w:r w:rsidRPr="00F52884">
        <w:rPr>
          <w:rFonts w:ascii="Arial" w:hAnsi="Arial" w:cs="Arial"/>
          <w:szCs w:val="23"/>
          <w:lang w:val="fr-CA"/>
        </w:rPr>
        <w:t>la</w:t>
      </w:r>
      <w:proofErr w:type="gramEnd"/>
      <w:r w:rsidRPr="00F52884">
        <w:rPr>
          <w:rFonts w:ascii="Arial" w:hAnsi="Arial" w:cs="Arial"/>
          <w:szCs w:val="23"/>
          <w:lang w:val="fr-CA"/>
        </w:rPr>
        <w:t xml:space="preserve"> mesure a pour objet la réalisation d’un objectif légitime;</w:t>
      </w:r>
    </w:p>
    <w:p w14:paraId="6466EC88" w14:textId="77777777" w:rsidR="00B46955" w:rsidRPr="00F52884" w:rsidRDefault="00B46955" w:rsidP="00B46955">
      <w:pPr>
        <w:ind w:left="1440" w:hanging="720"/>
        <w:rPr>
          <w:rFonts w:ascii="Arial" w:hAnsi="Arial" w:cs="Arial"/>
          <w:szCs w:val="23"/>
          <w:lang w:val="fr-CA"/>
        </w:rPr>
      </w:pPr>
    </w:p>
    <w:p w14:paraId="5B8D130B" w14:textId="4E84A610" w:rsidR="00B46955" w:rsidRPr="00F52884" w:rsidRDefault="00B46955" w:rsidP="00B46955">
      <w:pPr>
        <w:pStyle w:val="ListParagraph"/>
        <w:numPr>
          <w:ilvl w:val="1"/>
          <w:numId w:val="103"/>
        </w:numPr>
        <w:ind w:hanging="720"/>
        <w:rPr>
          <w:rFonts w:ascii="Arial" w:hAnsi="Arial" w:cs="Arial"/>
          <w:szCs w:val="23"/>
          <w:lang w:val="fr-CA"/>
        </w:rPr>
      </w:pPr>
      <w:proofErr w:type="gramStart"/>
      <w:r w:rsidRPr="00F52884">
        <w:rPr>
          <w:rFonts w:ascii="Arial" w:hAnsi="Arial" w:cs="Arial"/>
          <w:szCs w:val="23"/>
          <w:lang w:val="fr-CA"/>
        </w:rPr>
        <w:t>la</w:t>
      </w:r>
      <w:proofErr w:type="gramEnd"/>
      <w:r w:rsidRPr="00F52884">
        <w:rPr>
          <w:rFonts w:ascii="Arial" w:hAnsi="Arial" w:cs="Arial"/>
          <w:szCs w:val="23"/>
          <w:lang w:val="fr-CA"/>
        </w:rPr>
        <w:t xml:space="preserve"> mesure est nécessaire à la réalisation de cet objectif légitime;</w:t>
      </w:r>
    </w:p>
    <w:p w14:paraId="4E206D94" w14:textId="77777777" w:rsidR="00B46955" w:rsidRPr="00F52884" w:rsidRDefault="00B46955" w:rsidP="00B46955">
      <w:pPr>
        <w:ind w:left="1440" w:hanging="720"/>
        <w:rPr>
          <w:rFonts w:ascii="Arial" w:hAnsi="Arial" w:cs="Arial"/>
          <w:szCs w:val="23"/>
          <w:lang w:val="fr-CA"/>
        </w:rPr>
      </w:pPr>
    </w:p>
    <w:p w14:paraId="4D18A5C6" w14:textId="52AD6AC3" w:rsidR="00B46955" w:rsidRPr="00F52884" w:rsidRDefault="00B46955" w:rsidP="00B46955">
      <w:pPr>
        <w:pStyle w:val="ListParagraph"/>
        <w:numPr>
          <w:ilvl w:val="1"/>
          <w:numId w:val="103"/>
        </w:numPr>
        <w:ind w:hanging="720"/>
        <w:rPr>
          <w:rFonts w:ascii="Arial" w:hAnsi="Arial" w:cs="Arial"/>
          <w:szCs w:val="23"/>
          <w:lang w:val="fr-CA"/>
        </w:rPr>
      </w:pPr>
      <w:proofErr w:type="gramStart"/>
      <w:r w:rsidRPr="00F52884">
        <w:rPr>
          <w:rFonts w:ascii="Arial" w:hAnsi="Arial" w:cs="Arial"/>
          <w:szCs w:val="23"/>
          <w:lang w:val="fr-CA"/>
        </w:rPr>
        <w:t>la</w:t>
      </w:r>
      <w:proofErr w:type="gramEnd"/>
      <w:r w:rsidRPr="00F52884">
        <w:rPr>
          <w:rFonts w:ascii="Arial" w:hAnsi="Arial" w:cs="Arial"/>
          <w:szCs w:val="23"/>
          <w:lang w:val="fr-CA"/>
        </w:rPr>
        <w:t xml:space="preserve"> mesure n’est pas appliquée de façon à constituer un moyen de discrimination arbitraire ou injustifiable entre les Parties où les mêmes conditions existent; </w:t>
      </w:r>
    </w:p>
    <w:p w14:paraId="459C830F" w14:textId="77777777" w:rsidR="00B46955" w:rsidRPr="00F52884" w:rsidRDefault="00B46955" w:rsidP="00B46955">
      <w:pPr>
        <w:ind w:left="1440" w:hanging="720"/>
        <w:rPr>
          <w:rFonts w:ascii="Arial" w:hAnsi="Arial" w:cs="Arial"/>
          <w:szCs w:val="23"/>
          <w:lang w:val="fr-CA"/>
        </w:rPr>
      </w:pPr>
    </w:p>
    <w:p w14:paraId="205CA008" w14:textId="7B6F9C87" w:rsidR="00B46955" w:rsidRPr="00F52884" w:rsidRDefault="00B46955" w:rsidP="00B46955">
      <w:pPr>
        <w:pStyle w:val="ListParagraph"/>
        <w:numPr>
          <w:ilvl w:val="1"/>
          <w:numId w:val="103"/>
        </w:numPr>
        <w:ind w:hanging="720"/>
        <w:rPr>
          <w:rFonts w:ascii="Arial" w:hAnsi="Arial" w:cs="Arial"/>
          <w:szCs w:val="23"/>
          <w:lang w:val="fr-CA"/>
        </w:rPr>
      </w:pPr>
      <w:proofErr w:type="gramStart"/>
      <w:r w:rsidRPr="00F52884">
        <w:rPr>
          <w:rFonts w:ascii="Arial" w:hAnsi="Arial" w:cs="Arial"/>
          <w:szCs w:val="23"/>
          <w:lang w:val="fr-CA"/>
        </w:rPr>
        <w:lastRenderedPageBreak/>
        <w:t>la</w:t>
      </w:r>
      <w:proofErr w:type="gramEnd"/>
      <w:r w:rsidRPr="00F52884">
        <w:rPr>
          <w:rFonts w:ascii="Arial" w:hAnsi="Arial" w:cs="Arial"/>
          <w:szCs w:val="23"/>
          <w:lang w:val="fr-CA"/>
        </w:rPr>
        <w:t xml:space="preserve"> mesure n’est pas appliquée de façon à constituer une restriction déguisée au commerce.</w:t>
      </w:r>
    </w:p>
    <w:p w14:paraId="1C74149F" w14:textId="77777777" w:rsidR="00B46955" w:rsidRPr="00F52884" w:rsidRDefault="00B46955" w:rsidP="0015303D">
      <w:pPr>
        <w:rPr>
          <w:rFonts w:ascii="Arial" w:hAnsi="Arial" w:cs="Arial"/>
          <w:szCs w:val="23"/>
          <w:lang w:val="fr-CA"/>
        </w:rPr>
      </w:pPr>
    </w:p>
    <w:p w14:paraId="2C47D6B4" w14:textId="03D4DD95" w:rsidR="00B46955" w:rsidRPr="00F52884" w:rsidRDefault="00B46955" w:rsidP="0015303D">
      <w:pPr>
        <w:numPr>
          <w:ilvl w:val="0"/>
          <w:numId w:val="1"/>
        </w:numPr>
        <w:autoSpaceDE w:val="0"/>
        <w:autoSpaceDN w:val="0"/>
        <w:adjustRightInd w:val="0"/>
        <w:ind w:left="0" w:hanging="6"/>
        <w:rPr>
          <w:rFonts w:ascii="Arial" w:eastAsia="Times New Roman" w:hAnsi="Arial" w:cs="Arial"/>
          <w:szCs w:val="23"/>
          <w:lang w:val="fr-CA"/>
        </w:rPr>
      </w:pPr>
      <w:r w:rsidRPr="00F52884">
        <w:rPr>
          <w:rFonts w:ascii="Arial" w:eastAsia="Times New Roman" w:hAnsi="Arial" w:cs="Arial"/>
          <w:szCs w:val="23"/>
          <w:lang w:val="fr-CA"/>
        </w:rPr>
        <w:t>Pour l’application de l’alinéa 3b), une mesure est considérée comme nécessaire à la réalisation d’un objectif légitime si les conditions suivantes sont réunies :</w:t>
      </w:r>
    </w:p>
    <w:p w14:paraId="5B04810B" w14:textId="77777777" w:rsidR="00B46955" w:rsidRPr="00F52884" w:rsidRDefault="00B46955" w:rsidP="0015303D">
      <w:pPr>
        <w:rPr>
          <w:rFonts w:ascii="Arial" w:hAnsi="Arial" w:cs="Arial"/>
          <w:szCs w:val="23"/>
          <w:lang w:val="fr-CA"/>
        </w:rPr>
      </w:pPr>
      <w:r w:rsidRPr="00F52884">
        <w:rPr>
          <w:rFonts w:ascii="Arial" w:hAnsi="Arial" w:cs="Arial"/>
          <w:szCs w:val="23"/>
          <w:lang w:val="fr-CA"/>
        </w:rPr>
        <w:t> </w:t>
      </w:r>
    </w:p>
    <w:p w14:paraId="56D7720A" w14:textId="77777777" w:rsidR="00B46955" w:rsidRPr="00F52884" w:rsidRDefault="00B46955" w:rsidP="00B46955">
      <w:pPr>
        <w:pStyle w:val="ListParagraph"/>
        <w:numPr>
          <w:ilvl w:val="1"/>
          <w:numId w:val="104"/>
        </w:numPr>
        <w:ind w:hanging="720"/>
        <w:rPr>
          <w:rFonts w:ascii="Arial" w:hAnsi="Arial" w:cs="Arial"/>
          <w:szCs w:val="23"/>
          <w:lang w:val="fr-CA"/>
        </w:rPr>
      </w:pPr>
      <w:proofErr w:type="gramStart"/>
      <w:r w:rsidRPr="00F52884">
        <w:rPr>
          <w:rFonts w:ascii="Arial" w:hAnsi="Arial" w:cs="Arial"/>
          <w:szCs w:val="23"/>
          <w:lang w:val="fr-CA"/>
        </w:rPr>
        <w:t>la</w:t>
      </w:r>
      <w:proofErr w:type="gramEnd"/>
      <w:r w:rsidRPr="00F52884">
        <w:rPr>
          <w:rFonts w:ascii="Arial" w:hAnsi="Arial" w:cs="Arial"/>
          <w:szCs w:val="23"/>
          <w:lang w:val="fr-CA"/>
        </w:rPr>
        <w:t xml:space="preserve"> mesure apporte une contribution à la réalisation de l’objectif légitime;</w:t>
      </w:r>
    </w:p>
    <w:p w14:paraId="223ECAD1" w14:textId="77777777" w:rsidR="00B46955" w:rsidRPr="00F52884" w:rsidRDefault="00B46955" w:rsidP="00B46955">
      <w:pPr>
        <w:ind w:left="1440" w:hanging="720"/>
        <w:rPr>
          <w:rFonts w:ascii="Arial" w:hAnsi="Arial" w:cs="Arial"/>
          <w:szCs w:val="23"/>
          <w:lang w:val="fr-CA"/>
        </w:rPr>
      </w:pPr>
    </w:p>
    <w:p w14:paraId="5DF77DF4" w14:textId="3843042F" w:rsidR="00B46955" w:rsidRPr="00F52884" w:rsidRDefault="00B46955" w:rsidP="00B46955">
      <w:pPr>
        <w:pStyle w:val="ListParagraph"/>
        <w:numPr>
          <w:ilvl w:val="1"/>
          <w:numId w:val="104"/>
        </w:numPr>
        <w:ind w:hanging="720"/>
        <w:rPr>
          <w:rFonts w:ascii="Arial" w:hAnsi="Arial" w:cs="Arial"/>
          <w:szCs w:val="23"/>
          <w:lang w:val="fr-CA"/>
        </w:rPr>
      </w:pPr>
      <w:proofErr w:type="gramStart"/>
      <w:r w:rsidRPr="00F52884">
        <w:rPr>
          <w:rFonts w:ascii="Arial" w:hAnsi="Arial" w:cs="Arial"/>
          <w:szCs w:val="23"/>
          <w:lang w:val="fr-CA"/>
        </w:rPr>
        <w:t>il</w:t>
      </w:r>
      <w:proofErr w:type="gramEnd"/>
      <w:r w:rsidRPr="00F52884">
        <w:rPr>
          <w:rFonts w:ascii="Arial" w:hAnsi="Arial" w:cs="Arial"/>
          <w:szCs w:val="23"/>
          <w:lang w:val="fr-CA"/>
        </w:rPr>
        <w:t xml:space="preserve"> n’existe aucune mesure de rechange raisonnablement disponible qui apporterait une contribution équivalente à la réalisation de l’objectif légitime d’une manière moins restrictive pour le commerce. </w:t>
      </w:r>
    </w:p>
    <w:p w14:paraId="7AA7E529" w14:textId="77777777" w:rsidR="00B46955" w:rsidRPr="00F52884" w:rsidRDefault="00B46955" w:rsidP="0015303D">
      <w:pPr>
        <w:rPr>
          <w:rFonts w:ascii="Arial" w:hAnsi="Arial" w:cs="Arial"/>
          <w:szCs w:val="23"/>
          <w:lang w:val="fr-CA"/>
        </w:rPr>
      </w:pPr>
      <w:r w:rsidRPr="00F52884">
        <w:rPr>
          <w:rFonts w:ascii="Arial" w:hAnsi="Arial" w:cs="Arial"/>
          <w:szCs w:val="23"/>
          <w:lang w:val="fr-CA"/>
        </w:rPr>
        <w:t> </w:t>
      </w:r>
    </w:p>
    <w:p w14:paraId="160F48D6" w14:textId="77777777" w:rsidR="00B46955" w:rsidRPr="00F52884" w:rsidRDefault="00B46955" w:rsidP="0015303D">
      <w:pPr>
        <w:jc w:val="center"/>
        <w:rPr>
          <w:rFonts w:ascii="Arial" w:eastAsia="Times New Roman" w:hAnsi="Arial" w:cs="Arial"/>
          <w:b/>
          <w:szCs w:val="23"/>
          <w:lang w:val="fr-CA"/>
        </w:rPr>
      </w:pPr>
      <w:r w:rsidRPr="00F52884">
        <w:rPr>
          <w:rFonts w:ascii="Arial" w:eastAsia="Times New Roman" w:hAnsi="Arial" w:cs="Arial"/>
          <w:b/>
          <w:bCs/>
          <w:szCs w:val="23"/>
          <w:lang w:val="fr-CA"/>
        </w:rPr>
        <w:t>Article 203 :</w:t>
      </w:r>
      <w:r w:rsidRPr="00F52884">
        <w:rPr>
          <w:rFonts w:ascii="Arial" w:eastAsia="Times New Roman" w:hAnsi="Arial" w:cs="Arial"/>
          <w:szCs w:val="23"/>
          <w:lang w:val="fr-CA"/>
        </w:rPr>
        <w:tab/>
      </w:r>
      <w:r w:rsidRPr="00F52884">
        <w:rPr>
          <w:rFonts w:ascii="Arial" w:eastAsia="Times New Roman" w:hAnsi="Arial" w:cs="Arial"/>
          <w:szCs w:val="23"/>
          <w:lang w:val="fr-CA"/>
        </w:rPr>
        <w:tab/>
      </w:r>
      <w:r w:rsidRPr="00F52884">
        <w:rPr>
          <w:rFonts w:ascii="Arial" w:eastAsia="Times New Roman" w:hAnsi="Arial" w:cs="Arial"/>
          <w:b/>
          <w:bCs/>
          <w:szCs w:val="23"/>
          <w:lang w:val="fr-CA"/>
        </w:rPr>
        <w:t>Transparence</w:t>
      </w:r>
    </w:p>
    <w:p w14:paraId="636A05CB" w14:textId="77777777" w:rsidR="00B46955" w:rsidRPr="00F52884" w:rsidRDefault="00B46955" w:rsidP="0015303D">
      <w:pPr>
        <w:jc w:val="center"/>
        <w:rPr>
          <w:rFonts w:ascii="Arial" w:eastAsia="Times New Roman" w:hAnsi="Arial" w:cs="Arial"/>
          <w:b/>
          <w:szCs w:val="23"/>
          <w:lang w:val="fr-CA"/>
        </w:rPr>
      </w:pPr>
    </w:p>
    <w:p w14:paraId="756D2498" w14:textId="091B8BF1" w:rsidR="00B46955" w:rsidRPr="00F52884" w:rsidRDefault="00B46955" w:rsidP="00B46955">
      <w:pPr>
        <w:numPr>
          <w:ilvl w:val="0"/>
          <w:numId w:val="105"/>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Chaque Partie fait en sorte que ses mesures ayant trait aux matières visées par le présent accord soient facilement accessibles.</w:t>
      </w:r>
    </w:p>
    <w:p w14:paraId="7721D1FA" w14:textId="77777777" w:rsidR="00B46955" w:rsidRPr="00F52884" w:rsidRDefault="00B46955" w:rsidP="0015303D">
      <w:pPr>
        <w:autoSpaceDE w:val="0"/>
        <w:autoSpaceDN w:val="0"/>
        <w:adjustRightInd w:val="0"/>
        <w:rPr>
          <w:rFonts w:ascii="Arial" w:eastAsia="Times New Roman" w:hAnsi="Arial" w:cs="Arial"/>
          <w:szCs w:val="23"/>
          <w:lang w:val="fr-CA"/>
        </w:rPr>
      </w:pPr>
    </w:p>
    <w:p w14:paraId="67816046" w14:textId="77777777" w:rsidR="00B46955" w:rsidRPr="00F52884" w:rsidRDefault="00B46955" w:rsidP="00B46955">
      <w:pPr>
        <w:numPr>
          <w:ilvl w:val="0"/>
          <w:numId w:val="105"/>
        </w:numPr>
        <w:autoSpaceDE w:val="0"/>
        <w:autoSpaceDN w:val="0"/>
        <w:adjustRightInd w:val="0"/>
        <w:ind w:left="0" w:hanging="6"/>
        <w:rPr>
          <w:rFonts w:ascii="Arial" w:eastAsia="Times New Roman" w:hAnsi="Arial" w:cs="Arial"/>
          <w:szCs w:val="23"/>
          <w:lang w:val="fr-CA"/>
        </w:rPr>
      </w:pPr>
      <w:r w:rsidRPr="00F52884">
        <w:rPr>
          <w:rFonts w:ascii="Arial" w:eastAsia="Times New Roman" w:hAnsi="Arial" w:cs="Arial"/>
          <w:szCs w:val="23"/>
          <w:lang w:val="fr-CA"/>
        </w:rPr>
        <w:t>Chaque Partie maintient un service d’information, indiqué sur le site Web du présent accord, qui est en mesure de répondre aux demandes raisonnables de renseignements et de fournir des précisions sur ses mesures et les autres matières visées par le présent accord.</w:t>
      </w:r>
    </w:p>
    <w:p w14:paraId="69575264" w14:textId="77777777" w:rsidR="00B46955" w:rsidRPr="00F52884" w:rsidRDefault="00B46955" w:rsidP="0015303D">
      <w:pPr>
        <w:autoSpaceDE w:val="0"/>
        <w:autoSpaceDN w:val="0"/>
        <w:adjustRightInd w:val="0"/>
        <w:rPr>
          <w:rFonts w:ascii="Arial" w:eastAsia="Times New Roman" w:hAnsi="Arial" w:cs="Arial"/>
          <w:szCs w:val="23"/>
          <w:lang w:val="fr-CA"/>
        </w:rPr>
      </w:pPr>
    </w:p>
    <w:p w14:paraId="5600B4EC" w14:textId="7D0534EA" w:rsidR="00B46955" w:rsidRPr="00F52884" w:rsidRDefault="00B46955" w:rsidP="00B46955">
      <w:pPr>
        <w:pStyle w:val="ListParagraph"/>
        <w:numPr>
          <w:ilvl w:val="0"/>
          <w:numId w:val="105"/>
        </w:numPr>
        <w:autoSpaceDE w:val="0"/>
        <w:autoSpaceDN w:val="0"/>
        <w:ind w:left="0" w:firstLine="0"/>
        <w:rPr>
          <w:rFonts w:ascii="Arial" w:hAnsi="Arial" w:cs="Arial"/>
          <w:szCs w:val="23"/>
          <w:lang w:val="fr-CA"/>
        </w:rPr>
      </w:pPr>
      <w:r w:rsidRPr="00F52884">
        <w:rPr>
          <w:rFonts w:ascii="Arial" w:hAnsi="Arial" w:cs="Arial"/>
          <w:szCs w:val="23"/>
          <w:lang w:val="fr-CA"/>
        </w:rPr>
        <w:t>Le présent accord ne peut être interprété comme obligeant une Partie à divulguer des renseignements lorsque cette divulgation, selon le cas :</w:t>
      </w:r>
    </w:p>
    <w:p w14:paraId="74299F78" w14:textId="77777777" w:rsidR="00B46955" w:rsidRPr="00F52884" w:rsidRDefault="00B46955" w:rsidP="0015303D">
      <w:pPr>
        <w:autoSpaceDE w:val="0"/>
        <w:autoSpaceDN w:val="0"/>
        <w:rPr>
          <w:rFonts w:ascii="Arial" w:hAnsi="Arial" w:cs="Arial"/>
          <w:szCs w:val="23"/>
          <w:lang w:val="fr-CA"/>
        </w:rPr>
      </w:pPr>
    </w:p>
    <w:p w14:paraId="7BD7A159" w14:textId="4BCBF91B" w:rsidR="00B46955" w:rsidRPr="00F52884" w:rsidRDefault="00B46955" w:rsidP="00B46955">
      <w:pPr>
        <w:pStyle w:val="ListParagraph"/>
        <w:numPr>
          <w:ilvl w:val="0"/>
          <w:numId w:val="59"/>
        </w:numPr>
        <w:autoSpaceDE w:val="0"/>
        <w:autoSpaceDN w:val="0"/>
        <w:ind w:left="1440"/>
        <w:contextualSpacing w:val="0"/>
        <w:rPr>
          <w:rFonts w:ascii="Arial" w:hAnsi="Arial" w:cs="Arial"/>
          <w:szCs w:val="23"/>
          <w:lang w:val="fr-CA"/>
        </w:rPr>
      </w:pPr>
      <w:proofErr w:type="gramStart"/>
      <w:r w:rsidRPr="00F52884">
        <w:rPr>
          <w:rFonts w:ascii="Arial" w:hAnsi="Arial" w:cs="Arial"/>
          <w:szCs w:val="23"/>
          <w:lang w:val="fr-CA"/>
        </w:rPr>
        <w:t>ferait</w:t>
      </w:r>
      <w:proofErr w:type="gramEnd"/>
      <w:r w:rsidRPr="00F52884">
        <w:rPr>
          <w:rFonts w:ascii="Arial" w:hAnsi="Arial" w:cs="Arial"/>
          <w:szCs w:val="23"/>
          <w:lang w:val="fr-CA"/>
        </w:rPr>
        <w:t xml:space="preserve"> obstacle à l’application des lois;</w:t>
      </w:r>
    </w:p>
    <w:p w14:paraId="1A55BCC2" w14:textId="77777777" w:rsidR="00B46955" w:rsidRPr="00F52884" w:rsidRDefault="00B46955" w:rsidP="00B46955">
      <w:pPr>
        <w:pStyle w:val="ListParagraph"/>
        <w:autoSpaceDE w:val="0"/>
        <w:autoSpaceDN w:val="0"/>
        <w:ind w:left="1440" w:hanging="720"/>
        <w:rPr>
          <w:rFonts w:ascii="Arial" w:hAnsi="Arial" w:cs="Arial"/>
          <w:szCs w:val="23"/>
          <w:lang w:val="fr-CA"/>
        </w:rPr>
      </w:pPr>
    </w:p>
    <w:p w14:paraId="663727D4" w14:textId="6B2063A3" w:rsidR="00B46955" w:rsidRPr="00F52884" w:rsidRDefault="00B46955" w:rsidP="00B46955">
      <w:pPr>
        <w:numPr>
          <w:ilvl w:val="0"/>
          <w:numId w:val="59"/>
        </w:numPr>
        <w:autoSpaceDE w:val="0"/>
        <w:autoSpaceDN w:val="0"/>
        <w:ind w:left="1440"/>
        <w:rPr>
          <w:rFonts w:ascii="Arial" w:hAnsi="Arial" w:cs="Arial"/>
          <w:szCs w:val="23"/>
          <w:lang w:val="fr-CA"/>
        </w:rPr>
      </w:pPr>
      <w:proofErr w:type="gramStart"/>
      <w:r w:rsidRPr="00F52884">
        <w:rPr>
          <w:rFonts w:ascii="Arial" w:hAnsi="Arial" w:cs="Arial"/>
          <w:szCs w:val="23"/>
          <w:lang w:val="fr-CA"/>
        </w:rPr>
        <w:t>donnerait</w:t>
      </w:r>
      <w:proofErr w:type="gramEnd"/>
      <w:r w:rsidRPr="00F52884">
        <w:rPr>
          <w:rFonts w:ascii="Arial" w:hAnsi="Arial" w:cs="Arial"/>
          <w:szCs w:val="23"/>
          <w:lang w:val="fr-CA"/>
        </w:rPr>
        <w:t xml:space="preserve"> lieu à l’abandon d’un privilège;</w:t>
      </w:r>
    </w:p>
    <w:p w14:paraId="6CFFE98C" w14:textId="77777777" w:rsidR="00B46955" w:rsidRPr="00F52884" w:rsidRDefault="00B46955" w:rsidP="00B46955">
      <w:pPr>
        <w:autoSpaceDE w:val="0"/>
        <w:autoSpaceDN w:val="0"/>
        <w:ind w:left="1440" w:hanging="720"/>
        <w:rPr>
          <w:rFonts w:ascii="Arial" w:hAnsi="Arial" w:cs="Arial"/>
          <w:szCs w:val="23"/>
          <w:lang w:val="fr-CA"/>
        </w:rPr>
      </w:pPr>
    </w:p>
    <w:p w14:paraId="30AF9187" w14:textId="549B5475" w:rsidR="00B46955" w:rsidRPr="00F52884" w:rsidRDefault="00B46955" w:rsidP="00B46955">
      <w:pPr>
        <w:numPr>
          <w:ilvl w:val="0"/>
          <w:numId w:val="59"/>
        </w:numPr>
        <w:autoSpaceDE w:val="0"/>
        <w:autoSpaceDN w:val="0"/>
        <w:ind w:left="1440"/>
        <w:rPr>
          <w:rFonts w:ascii="Arial" w:hAnsi="Arial" w:cs="Arial"/>
          <w:szCs w:val="23"/>
          <w:lang w:val="fr-CA"/>
        </w:rPr>
      </w:pPr>
      <w:proofErr w:type="gramStart"/>
      <w:r w:rsidRPr="00F52884">
        <w:rPr>
          <w:rFonts w:ascii="Arial" w:hAnsi="Arial" w:cs="Arial"/>
          <w:szCs w:val="23"/>
          <w:lang w:val="fr-CA"/>
        </w:rPr>
        <w:t>porterait</w:t>
      </w:r>
      <w:proofErr w:type="gramEnd"/>
      <w:r w:rsidRPr="00F52884">
        <w:rPr>
          <w:rFonts w:ascii="Arial" w:hAnsi="Arial" w:cs="Arial"/>
          <w:szCs w:val="23"/>
          <w:lang w:val="fr-CA"/>
        </w:rPr>
        <w:t xml:space="preserve"> préjudice aux intérêts commerciaux légitimes de tiers;</w:t>
      </w:r>
    </w:p>
    <w:p w14:paraId="5A6EB0A6" w14:textId="77777777" w:rsidR="00B46955" w:rsidRPr="00F52884" w:rsidRDefault="00B46955" w:rsidP="00B46955">
      <w:pPr>
        <w:autoSpaceDE w:val="0"/>
        <w:autoSpaceDN w:val="0"/>
        <w:ind w:left="1440" w:hanging="720"/>
        <w:rPr>
          <w:rFonts w:ascii="Arial" w:hAnsi="Arial" w:cs="Arial"/>
          <w:szCs w:val="23"/>
          <w:lang w:val="fr-CA"/>
        </w:rPr>
      </w:pPr>
    </w:p>
    <w:p w14:paraId="637BAA84" w14:textId="0ADC83BC" w:rsidR="00B46955" w:rsidRPr="00F52884" w:rsidRDefault="00B46955" w:rsidP="00B46955">
      <w:pPr>
        <w:numPr>
          <w:ilvl w:val="0"/>
          <w:numId w:val="59"/>
        </w:numPr>
        <w:tabs>
          <w:tab w:val="left" w:pos="720"/>
        </w:tabs>
        <w:autoSpaceDE w:val="0"/>
        <w:autoSpaceDN w:val="0"/>
        <w:ind w:left="1440"/>
        <w:rPr>
          <w:rFonts w:ascii="Arial" w:eastAsia="Times New Roman" w:hAnsi="Arial" w:cs="Arial"/>
          <w:szCs w:val="23"/>
          <w:lang w:val="fr-CA"/>
        </w:rPr>
      </w:pPr>
      <w:proofErr w:type="gramStart"/>
      <w:r w:rsidRPr="00F52884">
        <w:rPr>
          <w:rFonts w:ascii="Arial" w:hAnsi="Arial" w:cs="Arial"/>
          <w:szCs w:val="23"/>
          <w:lang w:val="fr-CA"/>
        </w:rPr>
        <w:t>ferait</w:t>
      </w:r>
      <w:proofErr w:type="gramEnd"/>
      <w:r w:rsidRPr="00F52884">
        <w:rPr>
          <w:rFonts w:ascii="Arial" w:hAnsi="Arial" w:cs="Arial"/>
          <w:szCs w:val="23"/>
          <w:lang w:val="fr-CA"/>
        </w:rPr>
        <w:t xml:space="preserve"> l’objet d’une exemption en vertu du droit applicable, ou contreviendrait au droit applicable.</w:t>
      </w:r>
    </w:p>
    <w:p w14:paraId="1A497E78" w14:textId="77777777" w:rsidR="00B46955" w:rsidRPr="00F52884" w:rsidRDefault="00B46955" w:rsidP="0015303D">
      <w:pPr>
        <w:rPr>
          <w:rFonts w:ascii="Arial" w:hAnsi="Arial" w:cs="Arial"/>
          <w:szCs w:val="23"/>
          <w:lang w:val="fr-CA"/>
        </w:rPr>
      </w:pPr>
    </w:p>
    <w:p w14:paraId="10858662" w14:textId="77777777" w:rsidR="00B46955" w:rsidRPr="00F52884" w:rsidRDefault="00B46955">
      <w:pPr>
        <w:rPr>
          <w:lang w:val="fr-CA"/>
        </w:rPr>
      </w:pPr>
    </w:p>
    <w:p w14:paraId="6C882C2F" w14:textId="77777777" w:rsidR="00546078" w:rsidRPr="00F52884" w:rsidRDefault="00546078" w:rsidP="00546078">
      <w:pPr>
        <w:rPr>
          <w:rFonts w:ascii="Arial" w:hAnsi="Arial" w:cs="Arial"/>
          <w:szCs w:val="23"/>
          <w:lang w:val="fr-CA"/>
        </w:rPr>
      </w:pPr>
    </w:p>
    <w:p w14:paraId="3256F27F" w14:textId="77777777" w:rsidR="00B46955" w:rsidRPr="00F52884" w:rsidRDefault="00B46955">
      <w:pPr>
        <w:rPr>
          <w:rFonts w:eastAsia="Times New Roman" w:cstheme="minorHAnsi"/>
          <w:b/>
          <w:bCs/>
          <w:sz w:val="24"/>
          <w:szCs w:val="24"/>
          <w:lang w:val="fr-CA"/>
        </w:rPr>
      </w:pPr>
      <w:r w:rsidRPr="00F52884">
        <w:rPr>
          <w:rFonts w:eastAsia="Times New Roman" w:cstheme="minorHAnsi"/>
          <w:sz w:val="24"/>
          <w:szCs w:val="24"/>
          <w:lang w:val="fr-CA"/>
        </w:rPr>
        <w:br w:type="page"/>
      </w:r>
    </w:p>
    <w:p w14:paraId="52FAE97A" w14:textId="77777777" w:rsidR="00825F03" w:rsidRPr="00F52884" w:rsidRDefault="00825F03" w:rsidP="0050306B">
      <w:pPr>
        <w:pStyle w:val="Heading1"/>
        <w:spacing w:before="0"/>
        <w:jc w:val="center"/>
        <w:rPr>
          <w:rFonts w:asciiTheme="minorHAnsi" w:eastAsia="Times New Roman" w:hAnsiTheme="minorHAnsi" w:cstheme="minorHAnsi"/>
          <w:sz w:val="24"/>
          <w:szCs w:val="24"/>
          <w:lang w:val="fr-CA"/>
        </w:rPr>
      </w:pPr>
      <w:bookmarkStart w:id="9" w:name="_Toc156311751"/>
      <w:r w:rsidRPr="00F52884">
        <w:rPr>
          <w:rFonts w:asciiTheme="minorHAnsi" w:eastAsia="Times New Roman" w:hAnsiTheme="minorHAnsi" w:cstheme="minorHAnsi"/>
          <w:sz w:val="24"/>
          <w:szCs w:val="24"/>
          <w:lang w:val="fr-CA"/>
        </w:rPr>
        <w:lastRenderedPageBreak/>
        <w:t>PARTIE III – RÈGLES SPÉCIFIQUES</w:t>
      </w:r>
      <w:bookmarkEnd w:id="9"/>
    </w:p>
    <w:p w14:paraId="7EDBD1A5" w14:textId="77777777" w:rsidR="00825F03" w:rsidRPr="00F52884" w:rsidRDefault="00825F03" w:rsidP="0050306B">
      <w:pPr>
        <w:rPr>
          <w:rFonts w:eastAsia="Times New Roman" w:cstheme="minorHAnsi"/>
          <w:bCs/>
          <w:szCs w:val="23"/>
          <w:lang w:val="fr-CA"/>
        </w:rPr>
      </w:pPr>
    </w:p>
    <w:p w14:paraId="5206AF76" w14:textId="77777777" w:rsidR="00825F03" w:rsidRPr="00F52884" w:rsidRDefault="00825F03" w:rsidP="0050306B">
      <w:pPr>
        <w:rPr>
          <w:rFonts w:eastAsia="Times New Roman" w:cstheme="minorHAnsi"/>
          <w:bCs/>
          <w:szCs w:val="23"/>
          <w:lang w:val="fr-CA"/>
        </w:rPr>
      </w:pPr>
    </w:p>
    <w:p w14:paraId="658619E8" w14:textId="48B66B9C" w:rsidR="00825F03" w:rsidRPr="00F52884" w:rsidRDefault="00825F03" w:rsidP="0050306B">
      <w:pPr>
        <w:pStyle w:val="Heading2"/>
        <w:spacing w:before="0"/>
        <w:jc w:val="center"/>
        <w:rPr>
          <w:rFonts w:asciiTheme="minorHAnsi" w:eastAsia="Times New Roman" w:hAnsiTheme="minorHAnsi" w:cstheme="minorHAnsi"/>
          <w:bCs w:val="0"/>
          <w:sz w:val="24"/>
          <w:szCs w:val="24"/>
          <w:lang w:val="fr-CA"/>
        </w:rPr>
      </w:pPr>
      <w:bookmarkStart w:id="10" w:name="_Toc471907444"/>
      <w:bookmarkStart w:id="11" w:name="_Toc156311752"/>
      <w:r w:rsidRPr="00F52884">
        <w:rPr>
          <w:rFonts w:asciiTheme="minorHAnsi" w:eastAsia="Times New Roman" w:hAnsiTheme="minorHAnsi" w:cstheme="minorHAnsi"/>
          <w:sz w:val="24"/>
          <w:szCs w:val="24"/>
          <w:lang w:val="fr-CA"/>
        </w:rPr>
        <w:t>Chapitre Trois – Dispositions particulières</w:t>
      </w:r>
      <w:bookmarkEnd w:id="10"/>
      <w:bookmarkEnd w:id="11"/>
    </w:p>
    <w:p w14:paraId="649CC387" w14:textId="77777777" w:rsidR="00825F03" w:rsidRPr="00F52884" w:rsidRDefault="00825F03" w:rsidP="0050306B">
      <w:pPr>
        <w:rPr>
          <w:rFonts w:cstheme="minorHAnsi"/>
          <w:szCs w:val="23"/>
          <w:lang w:val="fr-CA"/>
        </w:rPr>
      </w:pPr>
    </w:p>
    <w:p w14:paraId="6D06019C" w14:textId="77777777" w:rsidR="00825F03" w:rsidRPr="00F52884" w:rsidRDefault="00825F03" w:rsidP="0050306B">
      <w:pPr>
        <w:rPr>
          <w:rFonts w:cstheme="minorHAnsi"/>
          <w:szCs w:val="23"/>
          <w:lang w:val="fr-CA"/>
        </w:rPr>
      </w:pPr>
    </w:p>
    <w:p w14:paraId="1A78A946" w14:textId="57BBE9A8" w:rsidR="00825F03" w:rsidRPr="00F52884" w:rsidRDefault="00825F03" w:rsidP="0050306B">
      <w:pPr>
        <w:pStyle w:val="ListParagraph"/>
        <w:autoSpaceDE w:val="0"/>
        <w:autoSpaceDN w:val="0"/>
        <w:adjustRightInd w:val="0"/>
        <w:ind w:left="0"/>
        <w:jc w:val="center"/>
        <w:rPr>
          <w:rFonts w:eastAsiaTheme="majorEastAsia" w:cstheme="minorHAnsi"/>
          <w:b/>
          <w:bCs/>
          <w:szCs w:val="23"/>
          <w:lang w:val="fr-CA"/>
        </w:rPr>
      </w:pPr>
      <w:r w:rsidRPr="00F52884">
        <w:rPr>
          <w:rFonts w:eastAsiaTheme="majorEastAsia" w:cstheme="minorHAnsi"/>
          <w:b/>
          <w:bCs/>
          <w:szCs w:val="23"/>
          <w:lang w:val="fr-CA"/>
        </w:rPr>
        <w:t xml:space="preserve">Article 300 : </w:t>
      </w:r>
      <w:r w:rsidR="00AD7BB1" w:rsidRPr="00F52884">
        <w:rPr>
          <w:rFonts w:eastAsiaTheme="majorEastAsia" w:cstheme="minorHAnsi"/>
          <w:b/>
          <w:bCs/>
          <w:szCs w:val="23"/>
          <w:lang w:val="fr-CA"/>
        </w:rPr>
        <w:tab/>
      </w:r>
      <w:r w:rsidR="00AD7BB1" w:rsidRPr="00F52884">
        <w:rPr>
          <w:rFonts w:eastAsiaTheme="majorEastAsia" w:cstheme="minorHAnsi"/>
          <w:b/>
          <w:bCs/>
          <w:szCs w:val="23"/>
          <w:lang w:val="fr-CA"/>
        </w:rPr>
        <w:tab/>
      </w:r>
      <w:r w:rsidRPr="00F52884">
        <w:rPr>
          <w:rFonts w:eastAsiaTheme="majorEastAsia" w:cstheme="minorHAnsi"/>
          <w:b/>
          <w:bCs/>
          <w:szCs w:val="23"/>
          <w:lang w:val="fr-CA"/>
        </w:rPr>
        <w:t>Application</w:t>
      </w:r>
    </w:p>
    <w:p w14:paraId="22028F9D" w14:textId="77777777" w:rsidR="00825F03" w:rsidRPr="00F52884" w:rsidRDefault="00825F03" w:rsidP="0050306B">
      <w:pPr>
        <w:pStyle w:val="ListParagraph"/>
        <w:tabs>
          <w:tab w:val="left" w:pos="720"/>
        </w:tabs>
        <w:autoSpaceDE w:val="0"/>
        <w:autoSpaceDN w:val="0"/>
        <w:adjustRightInd w:val="0"/>
        <w:ind w:left="0"/>
        <w:rPr>
          <w:rFonts w:eastAsiaTheme="majorEastAsia" w:cstheme="minorHAnsi"/>
          <w:bCs/>
          <w:szCs w:val="23"/>
          <w:lang w:val="fr-CA"/>
        </w:rPr>
      </w:pPr>
    </w:p>
    <w:p w14:paraId="574C41D1" w14:textId="602CF0A6" w:rsidR="00825F03" w:rsidRPr="00F52884" w:rsidRDefault="00825F03" w:rsidP="0050306B">
      <w:pPr>
        <w:pStyle w:val="ListParagraph"/>
        <w:tabs>
          <w:tab w:val="left" w:pos="720"/>
        </w:tabs>
        <w:autoSpaceDE w:val="0"/>
        <w:autoSpaceDN w:val="0"/>
        <w:adjustRightInd w:val="0"/>
        <w:ind w:left="0"/>
        <w:rPr>
          <w:rFonts w:eastAsiaTheme="majorEastAsia" w:cstheme="minorHAnsi"/>
          <w:bCs/>
          <w:szCs w:val="23"/>
          <w:lang w:val="fr-CA"/>
        </w:rPr>
      </w:pPr>
      <w:r w:rsidRPr="00F52884">
        <w:rPr>
          <w:rFonts w:eastAsiaTheme="majorEastAsia" w:cstheme="minorHAnsi"/>
          <w:bCs/>
          <w:szCs w:val="23"/>
          <w:lang w:val="fr-CA"/>
        </w:rPr>
        <w:tab/>
        <w:t xml:space="preserve">Le présent chapitre ne s’applique pas à l’acquisition, par une Partie, d’un produit ou </w:t>
      </w:r>
      <w:proofErr w:type="gramStart"/>
      <w:r w:rsidRPr="00F52884">
        <w:rPr>
          <w:rFonts w:eastAsiaTheme="majorEastAsia" w:cstheme="minorHAnsi"/>
          <w:bCs/>
          <w:szCs w:val="23"/>
          <w:lang w:val="fr-CA"/>
        </w:rPr>
        <w:t>d’un service achetés</w:t>
      </w:r>
      <w:proofErr w:type="gramEnd"/>
      <w:r w:rsidRPr="00F52884">
        <w:rPr>
          <w:rFonts w:eastAsiaTheme="majorEastAsia" w:cstheme="minorHAnsi"/>
          <w:bCs/>
          <w:szCs w:val="23"/>
          <w:lang w:val="fr-CA"/>
        </w:rPr>
        <w:t xml:space="preserve"> pour les besoins des pouvoirs publics et non pas pour être vendus ou revendus dans le commerce ou pour servir à la production ou à la fourniture d’un produit ou d’un service destinés à la vente ou à la revente dans le commerce, que cette acquisition constitue ou non un marché couvert au sens de l’article 504 (Champ d’application et portée).</w:t>
      </w:r>
    </w:p>
    <w:p w14:paraId="2385C937" w14:textId="77777777" w:rsidR="00825F03" w:rsidRPr="00F52884" w:rsidRDefault="00825F03" w:rsidP="0050306B">
      <w:pPr>
        <w:rPr>
          <w:rFonts w:cstheme="minorHAnsi"/>
          <w:szCs w:val="23"/>
          <w:lang w:val="fr-CA"/>
        </w:rPr>
      </w:pPr>
    </w:p>
    <w:p w14:paraId="5E851819" w14:textId="77777777" w:rsidR="00825F03" w:rsidRPr="00F52884" w:rsidRDefault="00825F03" w:rsidP="0050306B">
      <w:pPr>
        <w:rPr>
          <w:rFonts w:cstheme="minorHAnsi"/>
          <w:szCs w:val="23"/>
          <w:lang w:val="fr-CA"/>
        </w:rPr>
      </w:pPr>
    </w:p>
    <w:p w14:paraId="32FA5E1C" w14:textId="77777777" w:rsidR="00825F03" w:rsidRPr="00F52884" w:rsidRDefault="00825F03" w:rsidP="0050306B">
      <w:pPr>
        <w:rPr>
          <w:rFonts w:cstheme="minorHAnsi"/>
          <w:szCs w:val="23"/>
          <w:lang w:val="fr-CA"/>
        </w:rPr>
      </w:pPr>
    </w:p>
    <w:p w14:paraId="49F928A5" w14:textId="77777777" w:rsidR="00825F03" w:rsidRPr="00F52884" w:rsidRDefault="00825F03" w:rsidP="0050306B">
      <w:pPr>
        <w:rPr>
          <w:rFonts w:cstheme="minorHAnsi"/>
          <w:szCs w:val="23"/>
          <w:lang w:val="fr-CA"/>
        </w:rPr>
      </w:pPr>
    </w:p>
    <w:p w14:paraId="76991EED" w14:textId="77777777" w:rsidR="00825F03" w:rsidRPr="00F52884" w:rsidRDefault="00825F03" w:rsidP="0050306B">
      <w:pPr>
        <w:rPr>
          <w:rFonts w:cstheme="minorHAnsi"/>
          <w:szCs w:val="23"/>
          <w:lang w:val="fr-CA"/>
        </w:rPr>
      </w:pPr>
    </w:p>
    <w:p w14:paraId="6B4453E5" w14:textId="77777777" w:rsidR="00825F03" w:rsidRPr="00F52884" w:rsidRDefault="00825F03" w:rsidP="0050306B">
      <w:pPr>
        <w:rPr>
          <w:rFonts w:cstheme="minorHAnsi"/>
          <w:szCs w:val="23"/>
          <w:lang w:val="fr-CA"/>
        </w:rPr>
      </w:pPr>
    </w:p>
    <w:p w14:paraId="37536450" w14:textId="77777777" w:rsidR="00825F03" w:rsidRPr="00F52884" w:rsidRDefault="00825F03" w:rsidP="0050306B">
      <w:pPr>
        <w:rPr>
          <w:rFonts w:cstheme="minorHAnsi"/>
          <w:szCs w:val="23"/>
          <w:lang w:val="fr-CA"/>
        </w:rPr>
      </w:pPr>
    </w:p>
    <w:p w14:paraId="153C2F1A" w14:textId="77777777" w:rsidR="00825F03" w:rsidRPr="00F52884" w:rsidRDefault="00825F03" w:rsidP="0050306B">
      <w:pPr>
        <w:rPr>
          <w:rFonts w:cstheme="minorHAnsi"/>
          <w:szCs w:val="23"/>
          <w:lang w:val="fr-CA"/>
        </w:rPr>
      </w:pPr>
    </w:p>
    <w:p w14:paraId="40E7AA59" w14:textId="77777777" w:rsidR="00825F03" w:rsidRPr="00F52884" w:rsidRDefault="00825F03" w:rsidP="0050306B">
      <w:pPr>
        <w:rPr>
          <w:rFonts w:cstheme="minorHAnsi"/>
          <w:szCs w:val="23"/>
          <w:lang w:val="fr-CA"/>
        </w:rPr>
      </w:pPr>
    </w:p>
    <w:p w14:paraId="127EF120" w14:textId="77777777" w:rsidR="00825F03" w:rsidRPr="00F52884" w:rsidRDefault="00825F03" w:rsidP="0050306B">
      <w:pPr>
        <w:rPr>
          <w:rFonts w:cstheme="minorHAnsi"/>
          <w:szCs w:val="23"/>
          <w:lang w:val="fr-CA"/>
        </w:rPr>
      </w:pPr>
    </w:p>
    <w:p w14:paraId="2AF51578" w14:textId="77777777" w:rsidR="00825F03" w:rsidRPr="00F52884" w:rsidRDefault="00825F03" w:rsidP="0050306B">
      <w:pPr>
        <w:rPr>
          <w:rFonts w:cstheme="minorHAnsi"/>
          <w:szCs w:val="23"/>
          <w:lang w:val="fr-CA"/>
        </w:rPr>
      </w:pPr>
    </w:p>
    <w:p w14:paraId="174562F4" w14:textId="77777777" w:rsidR="00825F03" w:rsidRPr="00F52884" w:rsidRDefault="00825F03" w:rsidP="0050306B">
      <w:pPr>
        <w:rPr>
          <w:rFonts w:cstheme="minorHAnsi"/>
          <w:szCs w:val="23"/>
          <w:lang w:val="fr-CA"/>
        </w:rPr>
      </w:pPr>
    </w:p>
    <w:p w14:paraId="5BF1F39F" w14:textId="77777777" w:rsidR="00825F03" w:rsidRPr="00F52884" w:rsidRDefault="00825F03" w:rsidP="0050306B">
      <w:pPr>
        <w:rPr>
          <w:rFonts w:cstheme="minorHAnsi"/>
          <w:szCs w:val="23"/>
          <w:lang w:val="fr-CA"/>
        </w:rPr>
      </w:pPr>
    </w:p>
    <w:p w14:paraId="6C1BF174" w14:textId="77777777" w:rsidR="00825F03" w:rsidRPr="00F52884" w:rsidRDefault="00825F03" w:rsidP="0050306B">
      <w:pPr>
        <w:rPr>
          <w:rFonts w:cstheme="minorHAnsi"/>
          <w:szCs w:val="23"/>
          <w:lang w:val="fr-CA"/>
        </w:rPr>
      </w:pPr>
    </w:p>
    <w:p w14:paraId="070ACF0D" w14:textId="77777777" w:rsidR="00825F03" w:rsidRPr="00F52884" w:rsidRDefault="00825F03" w:rsidP="0050306B">
      <w:pPr>
        <w:rPr>
          <w:rFonts w:cstheme="minorHAnsi"/>
          <w:szCs w:val="23"/>
          <w:lang w:val="fr-CA"/>
        </w:rPr>
      </w:pPr>
    </w:p>
    <w:p w14:paraId="44B5EC61" w14:textId="77777777" w:rsidR="00825F03" w:rsidRPr="00F52884" w:rsidRDefault="00825F03" w:rsidP="0050306B">
      <w:pPr>
        <w:rPr>
          <w:rFonts w:cstheme="minorHAnsi"/>
          <w:szCs w:val="23"/>
          <w:lang w:val="fr-CA"/>
        </w:rPr>
      </w:pPr>
    </w:p>
    <w:p w14:paraId="123A2A18" w14:textId="77777777" w:rsidR="00825F03" w:rsidRPr="00F52884" w:rsidRDefault="00825F03" w:rsidP="0050306B">
      <w:pPr>
        <w:rPr>
          <w:rFonts w:cstheme="minorHAnsi"/>
          <w:szCs w:val="23"/>
          <w:lang w:val="fr-CA"/>
        </w:rPr>
      </w:pPr>
    </w:p>
    <w:p w14:paraId="5C6DA0ED" w14:textId="77777777" w:rsidR="00825F03" w:rsidRPr="00F52884" w:rsidRDefault="00825F03" w:rsidP="0050306B">
      <w:pPr>
        <w:rPr>
          <w:rFonts w:cstheme="minorHAnsi"/>
          <w:szCs w:val="23"/>
          <w:lang w:val="fr-CA"/>
        </w:rPr>
      </w:pPr>
    </w:p>
    <w:p w14:paraId="74C38580" w14:textId="77777777" w:rsidR="00825F03" w:rsidRPr="00F52884" w:rsidRDefault="00825F03" w:rsidP="0050306B">
      <w:pPr>
        <w:rPr>
          <w:rFonts w:cstheme="minorHAnsi"/>
          <w:szCs w:val="23"/>
          <w:lang w:val="fr-CA"/>
        </w:rPr>
      </w:pPr>
    </w:p>
    <w:p w14:paraId="0BE584CD" w14:textId="77777777" w:rsidR="00825F03" w:rsidRPr="00F52884" w:rsidRDefault="00825F03" w:rsidP="0050306B">
      <w:pPr>
        <w:rPr>
          <w:rFonts w:cstheme="minorHAnsi"/>
          <w:szCs w:val="23"/>
          <w:lang w:val="fr-CA"/>
        </w:rPr>
      </w:pPr>
    </w:p>
    <w:p w14:paraId="7F246557" w14:textId="77777777" w:rsidR="00825F03" w:rsidRPr="00F52884" w:rsidRDefault="00825F03" w:rsidP="0050306B">
      <w:pPr>
        <w:rPr>
          <w:rFonts w:cstheme="minorHAnsi"/>
          <w:szCs w:val="23"/>
          <w:lang w:val="fr-CA"/>
        </w:rPr>
      </w:pPr>
    </w:p>
    <w:p w14:paraId="3250B5A4" w14:textId="77777777" w:rsidR="00825F03" w:rsidRPr="00F52884" w:rsidRDefault="00825F03" w:rsidP="0050306B">
      <w:pPr>
        <w:rPr>
          <w:rFonts w:cstheme="minorHAnsi"/>
          <w:szCs w:val="23"/>
          <w:lang w:val="fr-CA"/>
        </w:rPr>
      </w:pPr>
    </w:p>
    <w:p w14:paraId="5D5511F1" w14:textId="77777777" w:rsidR="00825F03" w:rsidRPr="00F52884" w:rsidRDefault="00825F03" w:rsidP="0050306B">
      <w:pPr>
        <w:rPr>
          <w:rFonts w:cstheme="minorHAnsi"/>
          <w:szCs w:val="23"/>
          <w:lang w:val="fr-CA"/>
        </w:rPr>
      </w:pPr>
    </w:p>
    <w:p w14:paraId="239E41B0" w14:textId="77777777" w:rsidR="00825F03" w:rsidRPr="00F52884" w:rsidRDefault="00825F03" w:rsidP="0050306B">
      <w:pPr>
        <w:rPr>
          <w:rFonts w:cstheme="minorHAnsi"/>
          <w:szCs w:val="23"/>
          <w:lang w:val="fr-CA"/>
        </w:rPr>
      </w:pPr>
    </w:p>
    <w:p w14:paraId="094ACF70" w14:textId="77777777" w:rsidR="00825F03" w:rsidRPr="00F52884" w:rsidRDefault="00825F03" w:rsidP="0050306B">
      <w:pPr>
        <w:rPr>
          <w:rFonts w:cstheme="minorHAnsi"/>
          <w:szCs w:val="23"/>
          <w:lang w:val="fr-CA"/>
        </w:rPr>
      </w:pPr>
    </w:p>
    <w:p w14:paraId="1604AEA4" w14:textId="77777777" w:rsidR="00825F03" w:rsidRPr="00F52884" w:rsidRDefault="00825F03" w:rsidP="0050306B">
      <w:pPr>
        <w:rPr>
          <w:rFonts w:cstheme="minorHAnsi"/>
          <w:szCs w:val="23"/>
          <w:lang w:val="fr-CA"/>
        </w:rPr>
      </w:pPr>
    </w:p>
    <w:p w14:paraId="4CAC90D6" w14:textId="77777777" w:rsidR="00825F03" w:rsidRPr="00F52884" w:rsidRDefault="00825F03" w:rsidP="0050306B">
      <w:pPr>
        <w:rPr>
          <w:rFonts w:cstheme="minorHAnsi"/>
          <w:szCs w:val="23"/>
          <w:lang w:val="fr-CA"/>
        </w:rPr>
      </w:pPr>
    </w:p>
    <w:p w14:paraId="133D319E" w14:textId="77777777" w:rsidR="00825F03" w:rsidRPr="00F52884" w:rsidRDefault="00825F03" w:rsidP="0050306B">
      <w:pPr>
        <w:rPr>
          <w:rFonts w:cstheme="minorHAnsi"/>
          <w:szCs w:val="23"/>
          <w:lang w:val="fr-CA"/>
        </w:rPr>
      </w:pPr>
    </w:p>
    <w:p w14:paraId="2DA54601" w14:textId="77777777" w:rsidR="00825F03" w:rsidRPr="00F52884" w:rsidRDefault="00825F03" w:rsidP="0050306B">
      <w:pPr>
        <w:rPr>
          <w:rFonts w:cstheme="minorHAnsi"/>
          <w:szCs w:val="23"/>
          <w:lang w:val="fr-CA"/>
        </w:rPr>
      </w:pPr>
    </w:p>
    <w:p w14:paraId="387B5268" w14:textId="77777777" w:rsidR="00825F03" w:rsidRPr="00F52884" w:rsidRDefault="00825F03" w:rsidP="0050306B">
      <w:pPr>
        <w:rPr>
          <w:rFonts w:cstheme="minorHAnsi"/>
          <w:szCs w:val="23"/>
          <w:lang w:val="fr-CA"/>
        </w:rPr>
      </w:pPr>
    </w:p>
    <w:p w14:paraId="6E15228A" w14:textId="77777777" w:rsidR="00825F03" w:rsidRPr="00F52884" w:rsidRDefault="00825F03" w:rsidP="0050306B">
      <w:pPr>
        <w:rPr>
          <w:rFonts w:cstheme="minorHAnsi"/>
          <w:szCs w:val="23"/>
          <w:lang w:val="fr-CA"/>
        </w:rPr>
      </w:pPr>
    </w:p>
    <w:p w14:paraId="3BDB0244" w14:textId="77777777" w:rsidR="00825F03" w:rsidRPr="00F52884" w:rsidRDefault="00825F03" w:rsidP="0050306B">
      <w:pPr>
        <w:rPr>
          <w:rFonts w:cstheme="minorHAnsi"/>
          <w:szCs w:val="23"/>
          <w:lang w:val="fr-CA"/>
        </w:rPr>
      </w:pPr>
    </w:p>
    <w:p w14:paraId="5BF2C78A" w14:textId="77777777" w:rsidR="00825F03" w:rsidRPr="00F52884" w:rsidRDefault="00825F03" w:rsidP="0050306B">
      <w:pPr>
        <w:rPr>
          <w:rFonts w:cstheme="minorHAnsi"/>
          <w:szCs w:val="23"/>
          <w:lang w:val="fr-CA"/>
        </w:rPr>
      </w:pPr>
    </w:p>
    <w:p w14:paraId="7188CADF" w14:textId="77777777" w:rsidR="00825F03" w:rsidRPr="00F52884" w:rsidRDefault="00825F03">
      <w:pPr>
        <w:rPr>
          <w:rFonts w:eastAsiaTheme="majorEastAsia" w:cstheme="minorHAnsi"/>
          <w:b/>
          <w:bCs/>
          <w:szCs w:val="23"/>
          <w:lang w:val="fr-CA"/>
        </w:rPr>
      </w:pPr>
      <w:r w:rsidRPr="00F52884">
        <w:rPr>
          <w:rFonts w:cstheme="minorHAnsi"/>
          <w:szCs w:val="23"/>
          <w:lang w:val="fr-CA"/>
        </w:rPr>
        <w:br w:type="page"/>
      </w:r>
    </w:p>
    <w:p w14:paraId="0BDDD500" w14:textId="5C3938AB" w:rsidR="00825F03" w:rsidRPr="00F52884" w:rsidRDefault="00825F03" w:rsidP="0050306B">
      <w:pPr>
        <w:pStyle w:val="Heading3"/>
        <w:spacing w:before="0"/>
        <w:jc w:val="center"/>
        <w:rPr>
          <w:rFonts w:asciiTheme="minorHAnsi" w:hAnsiTheme="minorHAnsi" w:cstheme="minorHAnsi"/>
          <w:sz w:val="24"/>
          <w:szCs w:val="24"/>
          <w:lang w:val="fr-CA"/>
        </w:rPr>
      </w:pPr>
      <w:bookmarkStart w:id="12" w:name="_Toc156311753"/>
      <w:r w:rsidRPr="00F52884">
        <w:rPr>
          <w:rFonts w:asciiTheme="minorHAnsi" w:hAnsiTheme="minorHAnsi" w:cstheme="minorHAnsi"/>
          <w:sz w:val="24"/>
          <w:szCs w:val="24"/>
          <w:lang w:val="fr-CA"/>
        </w:rPr>
        <w:lastRenderedPageBreak/>
        <w:t xml:space="preserve">PARTIE A : </w:t>
      </w:r>
      <w:r w:rsidR="00AD7BB1" w:rsidRPr="00F52884">
        <w:rPr>
          <w:rFonts w:asciiTheme="minorHAnsi" w:hAnsiTheme="minorHAnsi" w:cstheme="minorHAnsi"/>
          <w:sz w:val="24"/>
          <w:szCs w:val="24"/>
          <w:lang w:val="fr-CA"/>
        </w:rPr>
        <w:tab/>
      </w:r>
      <w:r w:rsidR="00AD7BB1" w:rsidRPr="00F52884">
        <w:rPr>
          <w:rFonts w:asciiTheme="minorHAnsi" w:hAnsiTheme="minorHAnsi" w:cstheme="minorHAnsi"/>
          <w:sz w:val="24"/>
          <w:szCs w:val="24"/>
          <w:lang w:val="fr-CA"/>
        </w:rPr>
        <w:tab/>
      </w:r>
      <w:r w:rsidRPr="00F52884">
        <w:rPr>
          <w:rFonts w:asciiTheme="minorHAnsi" w:hAnsiTheme="minorHAnsi" w:cstheme="minorHAnsi"/>
          <w:sz w:val="24"/>
          <w:szCs w:val="24"/>
          <w:lang w:val="fr-CA"/>
        </w:rPr>
        <w:t>Produits</w:t>
      </w:r>
      <w:bookmarkEnd w:id="12"/>
    </w:p>
    <w:p w14:paraId="584108A3" w14:textId="77777777" w:rsidR="00825F03" w:rsidRPr="00F52884" w:rsidRDefault="00825F03" w:rsidP="0050306B">
      <w:pPr>
        <w:autoSpaceDE w:val="0"/>
        <w:autoSpaceDN w:val="0"/>
        <w:adjustRightInd w:val="0"/>
        <w:rPr>
          <w:rFonts w:eastAsia="Times New Roman" w:cstheme="minorHAnsi"/>
          <w:b/>
          <w:szCs w:val="23"/>
          <w:lang w:val="fr-CA"/>
        </w:rPr>
      </w:pPr>
    </w:p>
    <w:p w14:paraId="51F5326D" w14:textId="77777777" w:rsidR="00825F03" w:rsidRPr="00F52884" w:rsidRDefault="00825F03" w:rsidP="0050306B">
      <w:pPr>
        <w:autoSpaceDE w:val="0"/>
        <w:autoSpaceDN w:val="0"/>
        <w:adjustRightInd w:val="0"/>
        <w:rPr>
          <w:rFonts w:eastAsia="Times New Roman" w:cstheme="minorHAnsi"/>
          <w:b/>
          <w:szCs w:val="23"/>
          <w:lang w:val="fr-CA"/>
        </w:rPr>
      </w:pPr>
    </w:p>
    <w:p w14:paraId="469C57F0" w14:textId="0AF34A73" w:rsidR="00825F03" w:rsidRPr="00F52884" w:rsidRDefault="00825F03" w:rsidP="0050306B">
      <w:pPr>
        <w:autoSpaceDE w:val="0"/>
        <w:autoSpaceDN w:val="0"/>
        <w:adjustRightInd w:val="0"/>
        <w:jc w:val="center"/>
        <w:rPr>
          <w:rFonts w:eastAsia="Times New Roman" w:cstheme="minorHAnsi"/>
          <w:b/>
          <w:szCs w:val="23"/>
          <w:lang w:val="fr-CA"/>
        </w:rPr>
      </w:pPr>
      <w:r w:rsidRPr="00F52884">
        <w:rPr>
          <w:rFonts w:eastAsia="Times New Roman" w:cstheme="minorHAnsi"/>
          <w:b/>
          <w:bCs/>
          <w:szCs w:val="23"/>
          <w:lang w:val="fr-CA"/>
        </w:rPr>
        <w:t>Article 301 :</w:t>
      </w:r>
      <w:r w:rsidRPr="00F52884">
        <w:rPr>
          <w:rFonts w:eastAsia="Times New Roman" w:cstheme="minorHAnsi"/>
          <w:szCs w:val="23"/>
          <w:lang w:val="fr-CA"/>
        </w:rPr>
        <w:tab/>
      </w:r>
      <w:r w:rsidR="00AD7BB1" w:rsidRPr="00F52884">
        <w:rPr>
          <w:rFonts w:eastAsia="Times New Roman" w:cstheme="minorHAnsi"/>
          <w:szCs w:val="23"/>
          <w:lang w:val="fr-CA"/>
        </w:rPr>
        <w:tab/>
      </w:r>
      <w:r w:rsidRPr="00F52884">
        <w:rPr>
          <w:rFonts w:eastAsia="Times New Roman" w:cstheme="minorHAnsi"/>
          <w:b/>
          <w:bCs/>
          <w:szCs w:val="23"/>
          <w:lang w:val="fr-CA"/>
        </w:rPr>
        <w:t>Droit d’entrée et de sortie</w:t>
      </w:r>
    </w:p>
    <w:p w14:paraId="76E671F1" w14:textId="77777777" w:rsidR="00825F03" w:rsidRPr="00F52884" w:rsidRDefault="00825F03" w:rsidP="0050306B">
      <w:pPr>
        <w:autoSpaceDE w:val="0"/>
        <w:autoSpaceDN w:val="0"/>
        <w:adjustRightInd w:val="0"/>
        <w:jc w:val="center"/>
        <w:rPr>
          <w:rFonts w:eastAsia="Times New Roman" w:cstheme="minorHAnsi"/>
          <w:b/>
          <w:szCs w:val="23"/>
          <w:lang w:val="fr-CA"/>
        </w:rPr>
      </w:pPr>
    </w:p>
    <w:p w14:paraId="01AE3001" w14:textId="768249D9" w:rsidR="00825F03" w:rsidRPr="00F52884" w:rsidRDefault="00825F03" w:rsidP="00825F03">
      <w:pPr>
        <w:numPr>
          <w:ilvl w:val="0"/>
          <w:numId w:val="310"/>
        </w:numPr>
        <w:autoSpaceDE w:val="0"/>
        <w:autoSpaceDN w:val="0"/>
        <w:adjustRightInd w:val="0"/>
        <w:ind w:left="0" w:firstLine="0"/>
        <w:rPr>
          <w:rFonts w:eastAsia="Times New Roman" w:cstheme="minorHAnsi"/>
          <w:szCs w:val="23"/>
          <w:lang w:val="fr-CA"/>
        </w:rPr>
      </w:pPr>
      <w:r w:rsidRPr="00F52884">
        <w:rPr>
          <w:rFonts w:eastAsia="Times New Roman" w:cstheme="minorHAnsi"/>
          <w:szCs w:val="23"/>
          <w:lang w:val="fr-CA"/>
        </w:rPr>
        <w:t>Le présent article s’applique à toute mesure adoptée ou maintenue par une Partie qui concerne le commerce des produits, à l’exception des règlements techniques, des procédures d’évaluation de la conformité, des normes ou des mesures sanitaires ou phytosanitaires.</w:t>
      </w:r>
    </w:p>
    <w:p w14:paraId="127436CF" w14:textId="77777777" w:rsidR="00825F03" w:rsidRPr="00732D8A" w:rsidRDefault="00825F03" w:rsidP="0050306B">
      <w:pPr>
        <w:pStyle w:val="NoSpacing"/>
        <w:rPr>
          <w:rFonts w:cstheme="minorHAnsi"/>
          <w:sz w:val="23"/>
          <w:szCs w:val="23"/>
          <w:lang w:val="fr-CA"/>
        </w:rPr>
      </w:pPr>
    </w:p>
    <w:p w14:paraId="0F676FA2" w14:textId="64DD3531" w:rsidR="00825F03" w:rsidRPr="00F52884" w:rsidRDefault="00825F03" w:rsidP="00825F03">
      <w:pPr>
        <w:numPr>
          <w:ilvl w:val="0"/>
          <w:numId w:val="311"/>
        </w:numPr>
        <w:tabs>
          <w:tab w:val="left" w:pos="0"/>
        </w:tabs>
        <w:autoSpaceDE w:val="0"/>
        <w:autoSpaceDN w:val="0"/>
        <w:adjustRightInd w:val="0"/>
        <w:ind w:left="0" w:firstLine="0"/>
        <w:rPr>
          <w:rFonts w:eastAsia="Times New Roman" w:cstheme="minorHAnsi"/>
          <w:szCs w:val="23"/>
          <w:lang w:val="fr-CA"/>
        </w:rPr>
      </w:pPr>
      <w:r w:rsidRPr="00F52884">
        <w:rPr>
          <w:rFonts w:eastAsia="Times New Roman" w:cstheme="minorHAnsi"/>
          <w:szCs w:val="23"/>
          <w:lang w:val="fr-CA"/>
        </w:rPr>
        <w:t>Une Province n’adopte ni ne maintient une mesure qui restreint ou empêche la circulation des produits entre les limites provinciales ou territoriales.</w:t>
      </w:r>
    </w:p>
    <w:p w14:paraId="0E324876" w14:textId="77777777" w:rsidR="00825F03" w:rsidRPr="00732D8A" w:rsidRDefault="00825F03" w:rsidP="0050306B">
      <w:pPr>
        <w:pStyle w:val="NoSpacing"/>
        <w:rPr>
          <w:rFonts w:cstheme="minorHAnsi"/>
          <w:sz w:val="23"/>
          <w:szCs w:val="23"/>
          <w:lang w:val="fr-CA"/>
        </w:rPr>
      </w:pPr>
    </w:p>
    <w:p w14:paraId="3A128998" w14:textId="08C56F44" w:rsidR="00825F03" w:rsidRPr="00F52884" w:rsidRDefault="00825F03" w:rsidP="00825F03">
      <w:pPr>
        <w:numPr>
          <w:ilvl w:val="0"/>
          <w:numId w:val="311"/>
        </w:numPr>
        <w:autoSpaceDE w:val="0"/>
        <w:autoSpaceDN w:val="0"/>
        <w:adjustRightInd w:val="0"/>
        <w:ind w:left="0" w:hanging="6"/>
        <w:rPr>
          <w:rFonts w:eastAsia="Times New Roman" w:cstheme="minorHAnsi"/>
          <w:szCs w:val="23"/>
          <w:lang w:val="fr-CA"/>
        </w:rPr>
      </w:pPr>
      <w:r w:rsidRPr="00F52884">
        <w:rPr>
          <w:rFonts w:eastAsia="Times New Roman" w:cstheme="minorHAnsi"/>
          <w:szCs w:val="23"/>
          <w:lang w:val="fr-CA"/>
        </w:rPr>
        <w:t xml:space="preserve">Le gouvernement du Canada n’adopte ni ne maintient une mesure qui restreint ou empêche indûment la circulation des produits entre les </w:t>
      </w:r>
      <w:r w:rsidR="007A1C46" w:rsidRPr="00F52884">
        <w:rPr>
          <w:rFonts w:eastAsia="Times New Roman" w:cstheme="minorHAnsi"/>
          <w:szCs w:val="23"/>
          <w:lang w:val="fr-CA"/>
        </w:rPr>
        <w:t xml:space="preserve">limites </w:t>
      </w:r>
      <w:r w:rsidRPr="00F52884">
        <w:rPr>
          <w:rFonts w:eastAsia="Times New Roman" w:cstheme="minorHAnsi"/>
          <w:szCs w:val="23"/>
          <w:lang w:val="fr-CA"/>
        </w:rPr>
        <w:t>provinc</w:t>
      </w:r>
      <w:r w:rsidR="007A1C46" w:rsidRPr="00F52884">
        <w:rPr>
          <w:rFonts w:eastAsia="Times New Roman" w:cstheme="minorHAnsi"/>
          <w:szCs w:val="23"/>
          <w:lang w:val="fr-CA"/>
        </w:rPr>
        <w:t>ial</w:t>
      </w:r>
      <w:r w:rsidRPr="00F52884">
        <w:rPr>
          <w:rFonts w:eastAsia="Times New Roman" w:cstheme="minorHAnsi"/>
          <w:szCs w:val="23"/>
          <w:lang w:val="fr-CA"/>
        </w:rPr>
        <w:t>es ou territor</w:t>
      </w:r>
      <w:r w:rsidR="007A1C46" w:rsidRPr="00F52884">
        <w:rPr>
          <w:rFonts w:eastAsia="Times New Roman" w:cstheme="minorHAnsi"/>
          <w:szCs w:val="23"/>
          <w:lang w:val="fr-CA"/>
        </w:rPr>
        <w:t>ial</w:t>
      </w:r>
      <w:r w:rsidRPr="00F52884">
        <w:rPr>
          <w:rFonts w:eastAsia="Times New Roman" w:cstheme="minorHAnsi"/>
          <w:szCs w:val="23"/>
          <w:lang w:val="fr-CA"/>
        </w:rPr>
        <w:t>es.</w:t>
      </w:r>
    </w:p>
    <w:p w14:paraId="743564EE" w14:textId="77777777" w:rsidR="00825F03" w:rsidRPr="00F52884" w:rsidRDefault="00825F03" w:rsidP="0050306B">
      <w:pPr>
        <w:autoSpaceDE w:val="0"/>
        <w:autoSpaceDN w:val="0"/>
        <w:adjustRightInd w:val="0"/>
        <w:jc w:val="center"/>
        <w:rPr>
          <w:rFonts w:eastAsia="Times New Roman" w:cstheme="minorHAnsi"/>
          <w:szCs w:val="23"/>
          <w:lang w:val="fr-CA"/>
        </w:rPr>
      </w:pPr>
    </w:p>
    <w:p w14:paraId="3F6E0110" w14:textId="39CF96B9" w:rsidR="00825F03" w:rsidRPr="00F52884" w:rsidRDefault="00825F03" w:rsidP="0050306B">
      <w:pPr>
        <w:jc w:val="center"/>
        <w:rPr>
          <w:rFonts w:cstheme="minorHAnsi"/>
          <w:b/>
          <w:bCs/>
          <w:szCs w:val="23"/>
          <w:lang w:val="fr-CA"/>
        </w:rPr>
      </w:pPr>
      <w:r w:rsidRPr="00F52884">
        <w:rPr>
          <w:rFonts w:cstheme="minorHAnsi"/>
          <w:b/>
          <w:bCs/>
          <w:szCs w:val="23"/>
          <w:lang w:val="fr-CA"/>
        </w:rPr>
        <w:t>Article 302 :</w:t>
      </w:r>
      <w:r w:rsidRPr="00F52884">
        <w:rPr>
          <w:rFonts w:cstheme="minorHAnsi"/>
          <w:b/>
          <w:bCs/>
          <w:szCs w:val="23"/>
          <w:lang w:val="fr-CA"/>
        </w:rPr>
        <w:tab/>
      </w:r>
      <w:r w:rsidR="006710BB" w:rsidRPr="00F52884">
        <w:rPr>
          <w:rFonts w:cstheme="minorHAnsi"/>
          <w:b/>
          <w:bCs/>
          <w:szCs w:val="23"/>
          <w:lang w:val="fr-CA"/>
        </w:rPr>
        <w:tab/>
      </w:r>
      <w:r w:rsidRPr="00F52884">
        <w:rPr>
          <w:rFonts w:cstheme="minorHAnsi"/>
          <w:b/>
          <w:bCs/>
          <w:szCs w:val="23"/>
          <w:lang w:val="fr-CA"/>
        </w:rPr>
        <w:t>Obstacles techniques au commerce</w:t>
      </w:r>
    </w:p>
    <w:p w14:paraId="7A2B8D5D" w14:textId="77777777" w:rsidR="00825F03" w:rsidRPr="00F52884" w:rsidRDefault="00825F03" w:rsidP="0050306B">
      <w:pPr>
        <w:jc w:val="center"/>
        <w:rPr>
          <w:rFonts w:cstheme="minorHAnsi"/>
          <w:b/>
          <w:bCs/>
          <w:szCs w:val="23"/>
          <w:lang w:val="fr-CA"/>
        </w:rPr>
      </w:pPr>
    </w:p>
    <w:p w14:paraId="73DB1EB8" w14:textId="14231A14" w:rsidR="00825F03" w:rsidRPr="00F52884" w:rsidRDefault="00825F03" w:rsidP="00825F03">
      <w:pPr>
        <w:pStyle w:val="ListParagraph"/>
        <w:numPr>
          <w:ilvl w:val="0"/>
          <w:numId w:val="312"/>
        </w:numPr>
        <w:ind w:left="0" w:firstLine="0"/>
        <w:rPr>
          <w:rFonts w:cstheme="minorHAnsi"/>
          <w:szCs w:val="23"/>
          <w:lang w:val="fr-CA"/>
        </w:rPr>
      </w:pPr>
      <w:r w:rsidRPr="00F52884">
        <w:rPr>
          <w:rFonts w:cstheme="minorHAnsi"/>
          <w:szCs w:val="23"/>
          <w:lang w:val="fr-CA"/>
        </w:rPr>
        <w:t>Le présent article s’applique à l’élaboration, à l’adoption et à l’application de règlements techniques, de normes et de procédures d’évaluation de la conformité susceptibles d’affecter le commerce des produits à l’intérieur du Canada.</w:t>
      </w:r>
    </w:p>
    <w:p w14:paraId="38367573" w14:textId="77777777" w:rsidR="00825F03" w:rsidRPr="00F52884" w:rsidRDefault="00825F03" w:rsidP="0050306B">
      <w:pPr>
        <w:rPr>
          <w:rFonts w:cstheme="minorHAnsi"/>
          <w:szCs w:val="23"/>
          <w:lang w:val="fr-CA"/>
        </w:rPr>
      </w:pPr>
    </w:p>
    <w:p w14:paraId="1C449951" w14:textId="21AC32AE" w:rsidR="00825F03" w:rsidRPr="00F52884" w:rsidRDefault="00825F03" w:rsidP="00825F03">
      <w:pPr>
        <w:pStyle w:val="ListParagraph"/>
        <w:numPr>
          <w:ilvl w:val="0"/>
          <w:numId w:val="312"/>
        </w:numPr>
        <w:ind w:hanging="720"/>
        <w:rPr>
          <w:rFonts w:cstheme="minorHAnsi"/>
          <w:szCs w:val="23"/>
          <w:lang w:val="fr-CA"/>
        </w:rPr>
      </w:pPr>
      <w:r w:rsidRPr="00F52884">
        <w:rPr>
          <w:rFonts w:cstheme="minorHAnsi"/>
          <w:szCs w:val="23"/>
          <w:lang w:val="fr-CA"/>
        </w:rPr>
        <w:t>Le présent article ne s’applique pas aux mesures sanitaires ou phytosanitaires.</w:t>
      </w:r>
    </w:p>
    <w:p w14:paraId="0EBA786B" w14:textId="77777777" w:rsidR="00825F03" w:rsidRPr="00F52884" w:rsidRDefault="00825F03" w:rsidP="0050306B">
      <w:pPr>
        <w:rPr>
          <w:rFonts w:cstheme="minorHAnsi"/>
          <w:i/>
          <w:szCs w:val="23"/>
          <w:lang w:val="fr-CA"/>
        </w:rPr>
      </w:pPr>
    </w:p>
    <w:p w14:paraId="22AA58FF" w14:textId="77777777" w:rsidR="00825F03" w:rsidRPr="00F52884" w:rsidRDefault="00825F03" w:rsidP="0050306B">
      <w:pPr>
        <w:rPr>
          <w:rFonts w:cstheme="minorHAnsi"/>
          <w:i/>
          <w:szCs w:val="23"/>
          <w:lang w:val="fr-CA"/>
        </w:rPr>
      </w:pPr>
      <w:r w:rsidRPr="00F52884">
        <w:rPr>
          <w:rFonts w:cstheme="minorHAnsi"/>
          <w:i/>
          <w:iCs/>
          <w:szCs w:val="23"/>
          <w:lang w:val="fr-CA"/>
        </w:rPr>
        <w:t>Règlements techniques</w:t>
      </w:r>
    </w:p>
    <w:p w14:paraId="7C24E3FB" w14:textId="77777777" w:rsidR="00825F03" w:rsidRPr="00F52884" w:rsidRDefault="00825F03" w:rsidP="0050306B">
      <w:pPr>
        <w:rPr>
          <w:rFonts w:cstheme="minorHAnsi"/>
          <w:szCs w:val="23"/>
          <w:lang w:val="fr-CA"/>
        </w:rPr>
      </w:pPr>
    </w:p>
    <w:p w14:paraId="2E4B20FA" w14:textId="114AA907" w:rsidR="00825F03" w:rsidRPr="00F52884" w:rsidRDefault="00825F03" w:rsidP="00825F03">
      <w:pPr>
        <w:pStyle w:val="ListParagraph"/>
        <w:numPr>
          <w:ilvl w:val="0"/>
          <w:numId w:val="312"/>
        </w:numPr>
        <w:ind w:left="0" w:firstLine="0"/>
        <w:rPr>
          <w:rFonts w:cstheme="minorHAnsi"/>
          <w:szCs w:val="23"/>
          <w:lang w:val="fr-CA"/>
        </w:rPr>
      </w:pPr>
      <w:r w:rsidRPr="00F52884">
        <w:rPr>
          <w:rFonts w:cstheme="minorHAnsi"/>
          <w:szCs w:val="23"/>
          <w:lang w:val="fr-CA"/>
        </w:rPr>
        <w:t>Chaque Partie fait en sorte que des règlements techniques ayant pour effet de créer des obstacles non nécessaires au commerce à l’intérieur du Canada ne soient pas élaborés, adoptés ou appliqués.</w:t>
      </w:r>
    </w:p>
    <w:p w14:paraId="133CD5FD" w14:textId="77777777" w:rsidR="00825F03" w:rsidRPr="00F52884" w:rsidRDefault="00825F03" w:rsidP="0050306B">
      <w:pPr>
        <w:pStyle w:val="ListParagraph"/>
        <w:rPr>
          <w:rFonts w:cstheme="minorHAnsi"/>
          <w:szCs w:val="23"/>
          <w:lang w:val="fr-CA"/>
        </w:rPr>
      </w:pPr>
    </w:p>
    <w:p w14:paraId="1FEA031C" w14:textId="313D61E9" w:rsidR="00825F03" w:rsidRPr="00F52884" w:rsidRDefault="00825F03" w:rsidP="00825F03">
      <w:pPr>
        <w:pStyle w:val="ListParagraph"/>
        <w:numPr>
          <w:ilvl w:val="0"/>
          <w:numId w:val="312"/>
        </w:numPr>
        <w:tabs>
          <w:tab w:val="left" w:pos="851"/>
        </w:tabs>
        <w:ind w:left="0" w:firstLine="0"/>
        <w:rPr>
          <w:rFonts w:cstheme="minorHAnsi"/>
          <w:szCs w:val="23"/>
          <w:lang w:val="fr-CA"/>
        </w:rPr>
      </w:pPr>
      <w:r w:rsidRPr="00F52884">
        <w:rPr>
          <w:rFonts w:cstheme="minorHAnsi"/>
          <w:szCs w:val="23"/>
          <w:lang w:val="fr-CA"/>
        </w:rPr>
        <w:t>Pour l’application du paragraphe 3, les règlements techniques ne doivent pas être plus restrictifs pour le commerce qu’il n’est nécessaire pour réaliser un objectif légitime, compte tenu des risques que la non</w:t>
      </w:r>
      <w:r w:rsidRPr="00F52884">
        <w:rPr>
          <w:rFonts w:cstheme="minorHAnsi"/>
          <w:szCs w:val="23"/>
          <w:lang w:val="fr-CA"/>
        </w:rPr>
        <w:noBreakHyphen/>
        <w:t>réalisation entraînerait. Pour l’application du présent article, ces objectifs légitimes ne sont pas limités aux objectifs légitimes énoncés dans la définition d</w:t>
      </w:r>
      <w:proofErr w:type="gramStart"/>
      <w:r w:rsidRPr="00F52884">
        <w:rPr>
          <w:rFonts w:cstheme="minorHAnsi"/>
          <w:szCs w:val="23"/>
          <w:lang w:val="fr-CA"/>
        </w:rPr>
        <w:t>’«</w:t>
      </w:r>
      <w:proofErr w:type="gramEnd"/>
      <w:r w:rsidRPr="00F52884">
        <w:rPr>
          <w:rFonts w:cstheme="minorHAnsi"/>
          <w:szCs w:val="23"/>
          <w:lang w:val="fr-CA"/>
        </w:rPr>
        <w:t> objectif légitime » au chapitre Treize (Définitions). Pour évaluer ces risques, les éléments pertinents à prendre en considération comprennent les données scientifiques et techniques disponibles, les techniques de transformation connexes ou les utilisations finales prévues pour le produit.</w:t>
      </w:r>
    </w:p>
    <w:p w14:paraId="6F86057D" w14:textId="77777777" w:rsidR="00825F03" w:rsidRPr="00F52884" w:rsidRDefault="00825F03" w:rsidP="0050306B">
      <w:pPr>
        <w:rPr>
          <w:rFonts w:cstheme="minorHAnsi"/>
          <w:szCs w:val="23"/>
          <w:lang w:val="fr-CA"/>
        </w:rPr>
      </w:pPr>
    </w:p>
    <w:p w14:paraId="038D6EB8" w14:textId="4C67D016" w:rsidR="00825F03" w:rsidRPr="00F52884" w:rsidRDefault="00825F03" w:rsidP="00825F03">
      <w:pPr>
        <w:pStyle w:val="ListParagraph"/>
        <w:numPr>
          <w:ilvl w:val="0"/>
          <w:numId w:val="312"/>
        </w:numPr>
        <w:ind w:hanging="720"/>
        <w:rPr>
          <w:rFonts w:cstheme="minorHAnsi"/>
          <w:szCs w:val="23"/>
          <w:lang w:val="fr-CA"/>
        </w:rPr>
      </w:pPr>
      <w:r w:rsidRPr="00F52884">
        <w:rPr>
          <w:rFonts w:cstheme="minorHAnsi"/>
          <w:szCs w:val="23"/>
          <w:lang w:val="fr-CA"/>
        </w:rPr>
        <w:t xml:space="preserve">Dans tous les cas où cela est approprié, les règlements techniques sont basés sur ce qui suit : </w:t>
      </w:r>
    </w:p>
    <w:p w14:paraId="63DD484E" w14:textId="77777777" w:rsidR="00825F03" w:rsidRPr="00F52884" w:rsidRDefault="00825F03" w:rsidP="0050306B">
      <w:pPr>
        <w:pStyle w:val="ListParagraph"/>
        <w:rPr>
          <w:rFonts w:cstheme="minorHAnsi"/>
          <w:szCs w:val="23"/>
          <w:lang w:val="fr-CA"/>
        </w:rPr>
      </w:pPr>
    </w:p>
    <w:p w14:paraId="3B2BD2C5" w14:textId="2BB2B7AA" w:rsidR="00825F03" w:rsidRPr="00F52884" w:rsidRDefault="00825F03" w:rsidP="00825F03">
      <w:pPr>
        <w:pStyle w:val="ListParagraph"/>
        <w:numPr>
          <w:ilvl w:val="1"/>
          <w:numId w:val="313"/>
        </w:numPr>
        <w:ind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prescriptions relatives au produit en fonction des propriétés d’emploi du produit </w:t>
      </w:r>
      <w:r w:rsidRPr="00F52884">
        <w:rPr>
          <w:rStyle w:val="choicetext1"/>
          <w:rFonts w:cstheme="minorHAnsi"/>
          <w:color w:val="auto"/>
          <w:szCs w:val="23"/>
          <w:lang w:val="fr-CA"/>
        </w:rPr>
        <w:t>plutôt que de sa conception ou de ses caractéristiques descriptives</w:t>
      </w:r>
      <w:r w:rsidRPr="00F52884">
        <w:rPr>
          <w:rFonts w:cstheme="minorHAnsi"/>
          <w:szCs w:val="23"/>
          <w:lang w:val="fr-CA"/>
        </w:rPr>
        <w:t xml:space="preserve">; </w:t>
      </w:r>
      <w:r w:rsidRPr="00F52884">
        <w:rPr>
          <w:rFonts w:cstheme="minorHAnsi"/>
          <w:szCs w:val="23"/>
          <w:lang w:val="fr-CA"/>
        </w:rPr>
        <w:br/>
      </w:r>
    </w:p>
    <w:p w14:paraId="1B41A1C4" w14:textId="437EEF45" w:rsidR="00825F03" w:rsidRPr="00F52884" w:rsidRDefault="00825F03" w:rsidP="00825F03">
      <w:pPr>
        <w:pStyle w:val="ListParagraph"/>
        <w:numPr>
          <w:ilvl w:val="1"/>
          <w:numId w:val="313"/>
        </w:numPr>
        <w:ind w:hanging="720"/>
        <w:rPr>
          <w:rFonts w:cstheme="minorHAnsi"/>
          <w:szCs w:val="23"/>
          <w:lang w:val="fr-CA"/>
        </w:rPr>
      </w:pPr>
      <w:r w:rsidRPr="00F52884">
        <w:rPr>
          <w:rFonts w:cstheme="minorHAnsi"/>
          <w:szCs w:val="23"/>
          <w:lang w:val="fr-CA"/>
        </w:rPr>
        <w:t xml:space="preserve">les normes nationales, les normes nationales </w:t>
      </w:r>
      <w:r w:rsidRPr="00F52884">
        <w:rPr>
          <w:rFonts w:cstheme="minorHAnsi"/>
          <w:i/>
          <w:szCs w:val="23"/>
          <w:lang w:val="fr-CA"/>
        </w:rPr>
        <w:t>de facto</w:t>
      </w:r>
      <w:r w:rsidRPr="00F52884">
        <w:rPr>
          <w:rFonts w:cstheme="minorHAnsi"/>
          <w:szCs w:val="23"/>
          <w:lang w:val="fr-CA"/>
        </w:rPr>
        <w:t xml:space="preserve"> ou les normes internationales pertinentes, lorsque de telles normes existent ou sont sur le point d’être mises en forme finale, </w:t>
      </w:r>
      <w:r w:rsidRPr="00F52884">
        <w:rPr>
          <w:rFonts w:cstheme="minorHAnsi"/>
          <w:szCs w:val="23"/>
          <w:shd w:val="clear" w:color="auto" w:fill="FFFFFF"/>
          <w:lang w:val="fr-CA"/>
        </w:rPr>
        <w:t>sauf lorsque ces normes nationales</w:t>
      </w:r>
      <w:r w:rsidRPr="00F52884">
        <w:rPr>
          <w:rFonts w:cstheme="minorHAnsi"/>
          <w:szCs w:val="23"/>
          <w:lang w:val="fr-CA"/>
        </w:rPr>
        <w:t xml:space="preserve">, </w:t>
      </w:r>
      <w:r w:rsidRPr="00F52884">
        <w:rPr>
          <w:rFonts w:cstheme="minorHAnsi"/>
          <w:szCs w:val="23"/>
          <w:lang w:val="fr-CA"/>
        </w:rPr>
        <w:lastRenderedPageBreak/>
        <w:t xml:space="preserve">normes nationales </w:t>
      </w:r>
      <w:r w:rsidRPr="00F52884">
        <w:rPr>
          <w:rFonts w:cstheme="minorHAnsi"/>
          <w:i/>
          <w:szCs w:val="23"/>
          <w:lang w:val="fr-CA"/>
        </w:rPr>
        <w:t>de facto</w:t>
      </w:r>
      <w:r w:rsidRPr="00F52884">
        <w:rPr>
          <w:rFonts w:cstheme="minorHAnsi"/>
          <w:szCs w:val="23"/>
          <w:lang w:val="fr-CA"/>
        </w:rPr>
        <w:t xml:space="preserve"> </w:t>
      </w:r>
      <w:r w:rsidRPr="00F52884">
        <w:rPr>
          <w:rFonts w:cstheme="minorHAnsi"/>
          <w:szCs w:val="23"/>
          <w:shd w:val="clear" w:color="auto" w:fill="FFFFFF"/>
          <w:lang w:val="fr-CA"/>
        </w:rPr>
        <w:t>ou normes internationales, ou leurs éléments pertinents, seraient inefficaces ou inappropriés pour réaliser les objectifs légitimes recherchés, par exemple en raison de facteurs climatiques ou géographiques fondamentaux ou de problèmes technologiques fondamentaux</w:t>
      </w:r>
      <w:r w:rsidRPr="00F52884">
        <w:rPr>
          <w:rFonts w:cstheme="minorHAnsi"/>
          <w:szCs w:val="23"/>
          <w:lang w:val="fr-CA"/>
        </w:rPr>
        <w:t>.</w:t>
      </w:r>
    </w:p>
    <w:p w14:paraId="3FE799A5" w14:textId="77777777" w:rsidR="00825F03" w:rsidRPr="00F52884" w:rsidRDefault="00825F03" w:rsidP="0050306B">
      <w:pPr>
        <w:rPr>
          <w:rFonts w:cstheme="minorHAnsi"/>
          <w:szCs w:val="23"/>
          <w:lang w:val="fr-CA"/>
        </w:rPr>
      </w:pPr>
    </w:p>
    <w:p w14:paraId="32FE26AF" w14:textId="25D076A8" w:rsidR="00825F03" w:rsidRPr="00F52884" w:rsidRDefault="00825F03" w:rsidP="00825F03">
      <w:pPr>
        <w:pStyle w:val="ListParagraph"/>
        <w:numPr>
          <w:ilvl w:val="0"/>
          <w:numId w:val="312"/>
        </w:numPr>
        <w:ind w:left="0" w:firstLine="0"/>
        <w:rPr>
          <w:rFonts w:cstheme="minorHAnsi"/>
          <w:szCs w:val="23"/>
          <w:lang w:val="fr-CA"/>
        </w:rPr>
      </w:pPr>
      <w:r w:rsidRPr="00F52884">
        <w:rPr>
          <w:rFonts w:cstheme="minorHAnsi"/>
          <w:szCs w:val="23"/>
          <w:lang w:val="fr-CA"/>
        </w:rPr>
        <w:t>Les règlements techniques ne sont pas maintenus si les circonstances ou les objectifs qui ont conduit à leur adoption ont cessé d’exister ou ont changé de telle sorte qu’il est possible d’y répondre d’une manière moins restrictive pour le commerce.</w:t>
      </w:r>
    </w:p>
    <w:p w14:paraId="5B1ED5F3" w14:textId="77777777" w:rsidR="00825F03" w:rsidRPr="00F52884" w:rsidRDefault="00825F03" w:rsidP="0050306B">
      <w:pPr>
        <w:pStyle w:val="ListParagraph"/>
        <w:ind w:left="0"/>
        <w:rPr>
          <w:rFonts w:cstheme="minorHAnsi"/>
          <w:szCs w:val="23"/>
          <w:lang w:val="fr-CA"/>
        </w:rPr>
      </w:pPr>
    </w:p>
    <w:p w14:paraId="4902A4F7" w14:textId="77777777" w:rsidR="00825F03" w:rsidRPr="00F52884" w:rsidRDefault="00825F03" w:rsidP="0050306B">
      <w:pPr>
        <w:pStyle w:val="ListParagraph"/>
        <w:ind w:left="0"/>
        <w:rPr>
          <w:rFonts w:cstheme="minorHAnsi"/>
          <w:i/>
          <w:iCs/>
          <w:szCs w:val="23"/>
          <w:lang w:val="fr-CA"/>
        </w:rPr>
      </w:pPr>
      <w:r w:rsidRPr="00F52884">
        <w:rPr>
          <w:rFonts w:cstheme="minorHAnsi"/>
          <w:i/>
          <w:iCs/>
          <w:szCs w:val="23"/>
          <w:lang w:val="fr-CA"/>
        </w:rPr>
        <w:t>Normes</w:t>
      </w:r>
    </w:p>
    <w:p w14:paraId="057F81D5" w14:textId="77777777" w:rsidR="00825F03" w:rsidRPr="00F52884" w:rsidRDefault="00825F03" w:rsidP="0050306B">
      <w:pPr>
        <w:pStyle w:val="ListParagraph"/>
        <w:ind w:left="0"/>
        <w:rPr>
          <w:rFonts w:cstheme="minorHAnsi"/>
          <w:i/>
          <w:szCs w:val="23"/>
          <w:lang w:val="fr-CA"/>
        </w:rPr>
      </w:pPr>
    </w:p>
    <w:p w14:paraId="07A483A7" w14:textId="1DE6890B" w:rsidR="00825F03" w:rsidRPr="00F52884" w:rsidRDefault="00825F03" w:rsidP="00825F03">
      <w:pPr>
        <w:pStyle w:val="ListParagraph"/>
        <w:numPr>
          <w:ilvl w:val="0"/>
          <w:numId w:val="312"/>
        </w:numPr>
        <w:ind w:left="0" w:firstLine="0"/>
        <w:rPr>
          <w:rFonts w:cstheme="minorHAnsi"/>
          <w:szCs w:val="23"/>
          <w:lang w:val="fr-CA"/>
        </w:rPr>
      </w:pPr>
      <w:r w:rsidRPr="00F52884">
        <w:rPr>
          <w:rFonts w:cstheme="minorHAnsi"/>
          <w:szCs w:val="23"/>
          <w:lang w:val="fr-CA"/>
        </w:rPr>
        <w:t xml:space="preserve">S’il n’existe pas de normes nationales, normes nationales </w:t>
      </w:r>
      <w:r w:rsidRPr="00F52884">
        <w:rPr>
          <w:rFonts w:cstheme="minorHAnsi"/>
          <w:i/>
          <w:szCs w:val="23"/>
          <w:lang w:val="fr-CA"/>
        </w:rPr>
        <w:t>de facto</w:t>
      </w:r>
      <w:r w:rsidRPr="00F52884">
        <w:rPr>
          <w:rFonts w:cstheme="minorHAnsi"/>
          <w:szCs w:val="23"/>
          <w:lang w:val="fr-CA"/>
        </w:rPr>
        <w:t xml:space="preserve"> ou normes internationales, ou qu’il peut être démontré que les normes existantes sont inefficaces ou inappropriées, les Parties intéressées coopèrent pour élaborer des normes nationales et, si cela est possible, recourent au Réseau national de normalisation du Canada à cette fin. </w:t>
      </w:r>
    </w:p>
    <w:p w14:paraId="4D5B44C8" w14:textId="77777777" w:rsidR="00825F03" w:rsidRPr="00F52884" w:rsidRDefault="00825F03" w:rsidP="0050306B">
      <w:pPr>
        <w:pStyle w:val="ListParagraph"/>
        <w:ind w:left="0"/>
        <w:rPr>
          <w:rFonts w:cstheme="minorHAnsi"/>
          <w:szCs w:val="23"/>
          <w:lang w:val="fr-CA"/>
        </w:rPr>
      </w:pPr>
    </w:p>
    <w:p w14:paraId="416A7F74" w14:textId="77777777" w:rsidR="00825F03" w:rsidRPr="00F52884" w:rsidRDefault="00825F03" w:rsidP="0050306B">
      <w:pPr>
        <w:pStyle w:val="ListParagraph"/>
        <w:ind w:left="0"/>
        <w:rPr>
          <w:rFonts w:cstheme="minorHAnsi"/>
          <w:i/>
          <w:szCs w:val="23"/>
          <w:lang w:val="fr-CA"/>
        </w:rPr>
      </w:pPr>
      <w:r w:rsidRPr="00F52884">
        <w:rPr>
          <w:rFonts w:cstheme="minorHAnsi"/>
          <w:i/>
          <w:iCs/>
          <w:szCs w:val="23"/>
          <w:lang w:val="fr-CA"/>
        </w:rPr>
        <w:t>Procédures d’évaluation de la conformité</w:t>
      </w:r>
    </w:p>
    <w:p w14:paraId="2DA853F7" w14:textId="77777777" w:rsidR="00825F03" w:rsidRPr="00F52884" w:rsidRDefault="00825F03" w:rsidP="0050306B">
      <w:pPr>
        <w:pStyle w:val="ListParagraph"/>
        <w:ind w:left="0"/>
        <w:rPr>
          <w:rFonts w:cstheme="minorHAnsi"/>
          <w:szCs w:val="23"/>
          <w:lang w:val="fr-CA"/>
        </w:rPr>
      </w:pPr>
    </w:p>
    <w:p w14:paraId="2DAA07DE" w14:textId="2EFD68EE" w:rsidR="00825F03" w:rsidRPr="00F52884" w:rsidRDefault="00825F03" w:rsidP="00825F03">
      <w:pPr>
        <w:pStyle w:val="ListParagraph"/>
        <w:numPr>
          <w:ilvl w:val="0"/>
          <w:numId w:val="312"/>
        </w:numPr>
        <w:ind w:left="0" w:firstLine="0"/>
        <w:rPr>
          <w:rFonts w:cstheme="minorHAnsi"/>
          <w:szCs w:val="23"/>
          <w:lang w:val="fr-CA"/>
        </w:rPr>
      </w:pPr>
      <w:r w:rsidRPr="00F52884">
        <w:rPr>
          <w:rFonts w:cstheme="minorHAnsi"/>
          <w:szCs w:val="23"/>
          <w:lang w:val="fr-CA"/>
        </w:rPr>
        <w:t>Sur demande, chaque Partie accepte les résultats des procédures d’évaluation de la conformité d’une autre Partie, même si ces procédures diffèrent des siennes, à condition d’avoir la certitude que ces procédures offrent une assurance de la conformité aux règlements techniques ou aux normes applicables équivalente à ses propres procédures. Si une Partie n’accepte pas les résultats d’une procédure d’évaluation de la conformité réalisée sur le territoire de l’autre Partie, elle explique, à la demande de l’autre Partie, les motifs de sa décision.</w:t>
      </w:r>
    </w:p>
    <w:p w14:paraId="6EFCA105" w14:textId="77777777" w:rsidR="00825F03" w:rsidRPr="00F52884" w:rsidRDefault="00825F03" w:rsidP="0050306B">
      <w:pPr>
        <w:rPr>
          <w:rFonts w:cstheme="minorHAnsi"/>
          <w:szCs w:val="23"/>
          <w:lang w:val="fr-CA"/>
        </w:rPr>
      </w:pPr>
    </w:p>
    <w:p w14:paraId="6CBA20B2" w14:textId="311F0309" w:rsidR="00825F03" w:rsidRPr="00F52884" w:rsidRDefault="00825F03" w:rsidP="00825F03">
      <w:pPr>
        <w:pStyle w:val="ListParagraph"/>
        <w:numPr>
          <w:ilvl w:val="0"/>
          <w:numId w:val="312"/>
        </w:numPr>
        <w:ind w:left="0" w:firstLine="0"/>
        <w:rPr>
          <w:rFonts w:cstheme="minorHAnsi"/>
          <w:szCs w:val="23"/>
          <w:lang w:val="fr-CA"/>
        </w:rPr>
      </w:pPr>
      <w:r w:rsidRPr="00F52884">
        <w:rPr>
          <w:rFonts w:cstheme="minorHAnsi"/>
          <w:szCs w:val="23"/>
          <w:lang w:val="fr-CA"/>
        </w:rPr>
        <w:t>Chaque Partie utilise les recommandations et guides nationaux ou internationaux pertinents, lorsque de tels guides ou recommandations existent ou sont sur le point d’être mis en forme finale, comme base de ses procédures d’évaluation de la conformité, sauf lorsque ces recommandations et guides nationaux ou internationaux ou leurs éléments pertinents seraient inefficaces ou inappropriés pour réaliser les objectifs légitimes recherchés, par exemple en raison de facteurs climatiques ou géographiques fondamentaux ou de problèmes technologiques fondamentaux.</w:t>
      </w:r>
    </w:p>
    <w:p w14:paraId="3B852B73"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7EE0AC12" w14:textId="485A9125" w:rsidR="00825F03" w:rsidRPr="00F52884" w:rsidRDefault="00825F03" w:rsidP="0050306B">
      <w:pPr>
        <w:jc w:val="center"/>
        <w:rPr>
          <w:rFonts w:cstheme="minorHAnsi"/>
          <w:b/>
          <w:bCs/>
          <w:szCs w:val="23"/>
          <w:lang w:val="fr-CA"/>
        </w:rPr>
      </w:pPr>
      <w:r w:rsidRPr="00F52884">
        <w:rPr>
          <w:rFonts w:cstheme="minorHAnsi"/>
          <w:b/>
          <w:bCs/>
          <w:szCs w:val="23"/>
          <w:lang w:val="fr-CA"/>
        </w:rPr>
        <w:t xml:space="preserve">Article 303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Mesures sanitaires et phytosanitaires</w:t>
      </w:r>
    </w:p>
    <w:p w14:paraId="0C3631D1" w14:textId="77777777" w:rsidR="00825F03" w:rsidRPr="00F52884" w:rsidRDefault="00825F03" w:rsidP="0050306B">
      <w:pPr>
        <w:rPr>
          <w:rFonts w:cstheme="minorHAnsi"/>
          <w:b/>
          <w:szCs w:val="23"/>
          <w:lang w:val="fr-CA"/>
        </w:rPr>
      </w:pPr>
    </w:p>
    <w:p w14:paraId="1621DB65" w14:textId="4402F3FE" w:rsidR="00825F03" w:rsidRPr="00F52884" w:rsidRDefault="00825F03" w:rsidP="00825F03">
      <w:pPr>
        <w:pStyle w:val="ListParagraph"/>
        <w:numPr>
          <w:ilvl w:val="0"/>
          <w:numId w:val="314"/>
        </w:numPr>
        <w:ind w:left="0" w:firstLine="0"/>
        <w:rPr>
          <w:rFonts w:cstheme="minorHAnsi"/>
          <w:szCs w:val="23"/>
          <w:lang w:val="fr-CA"/>
        </w:rPr>
      </w:pPr>
      <w:r w:rsidRPr="00F52884">
        <w:rPr>
          <w:rFonts w:cstheme="minorHAnsi"/>
          <w:szCs w:val="23"/>
          <w:lang w:val="fr-CA"/>
        </w:rPr>
        <w:t>Le présent article s’applique à toute mesure sanitaire ou phytosanitaire adoptée ou maintenue par une Partie qui peut, directement ou indirectement, affecter le commerce à l’intérieur du Canada.</w:t>
      </w:r>
    </w:p>
    <w:p w14:paraId="2BEA7B92" w14:textId="77777777" w:rsidR="00825F03" w:rsidRPr="00F52884" w:rsidRDefault="00825F03" w:rsidP="0050306B">
      <w:pPr>
        <w:pStyle w:val="ListParagraph"/>
        <w:ind w:left="-360"/>
        <w:rPr>
          <w:rFonts w:cstheme="minorHAnsi"/>
          <w:szCs w:val="23"/>
          <w:lang w:val="fr-CA"/>
        </w:rPr>
      </w:pPr>
    </w:p>
    <w:p w14:paraId="5D936D9F" w14:textId="77777777" w:rsidR="00825F03" w:rsidRPr="00F52884" w:rsidRDefault="00825F03" w:rsidP="0050306B">
      <w:pPr>
        <w:pStyle w:val="ListParagraph"/>
        <w:ind w:left="0"/>
        <w:rPr>
          <w:rFonts w:cstheme="minorHAnsi"/>
          <w:i/>
          <w:szCs w:val="23"/>
          <w:lang w:val="fr-CA"/>
        </w:rPr>
      </w:pPr>
      <w:r w:rsidRPr="00F52884">
        <w:rPr>
          <w:rFonts w:cstheme="minorHAnsi"/>
          <w:i/>
          <w:iCs/>
          <w:szCs w:val="23"/>
          <w:lang w:val="fr-CA"/>
        </w:rPr>
        <w:t>Droits et obligations fondamentaux</w:t>
      </w:r>
    </w:p>
    <w:p w14:paraId="7BE167F1" w14:textId="77777777" w:rsidR="00825F03" w:rsidRPr="00F52884" w:rsidRDefault="00825F03" w:rsidP="0050306B">
      <w:pPr>
        <w:pStyle w:val="ListParagraph"/>
        <w:ind w:left="-360"/>
        <w:rPr>
          <w:rFonts w:cstheme="minorHAnsi"/>
          <w:szCs w:val="23"/>
          <w:lang w:val="fr-CA"/>
        </w:rPr>
      </w:pPr>
    </w:p>
    <w:p w14:paraId="115D7A12" w14:textId="578F3C89" w:rsidR="00825F03" w:rsidRPr="00F52884" w:rsidRDefault="00825F03" w:rsidP="00825F03">
      <w:pPr>
        <w:pStyle w:val="ListParagraph"/>
        <w:numPr>
          <w:ilvl w:val="0"/>
          <w:numId w:val="314"/>
        </w:numPr>
        <w:ind w:left="0" w:firstLine="0"/>
        <w:rPr>
          <w:rFonts w:cstheme="minorHAnsi"/>
          <w:szCs w:val="23"/>
          <w:lang w:val="fr-CA"/>
        </w:rPr>
      </w:pPr>
      <w:r w:rsidRPr="00F52884">
        <w:rPr>
          <w:rFonts w:cstheme="minorHAnsi"/>
          <w:szCs w:val="23"/>
          <w:lang w:val="fr-CA"/>
        </w:rPr>
        <w:t>Chaque Partie a le droit de prendre toute mesure sanitaire ou phytosanitaire qui est nécessaire à la protection de la santé et de la vie des personnes et des animaux ou à la préservation des végétaux sur son territoire.</w:t>
      </w:r>
    </w:p>
    <w:p w14:paraId="4A20BF35" w14:textId="77777777" w:rsidR="00825F03" w:rsidRPr="00F52884" w:rsidRDefault="00825F03" w:rsidP="0050306B">
      <w:pPr>
        <w:pStyle w:val="ListParagraph"/>
        <w:ind w:left="-360"/>
        <w:rPr>
          <w:rFonts w:cstheme="minorHAnsi"/>
          <w:szCs w:val="23"/>
          <w:lang w:val="fr-CA"/>
        </w:rPr>
      </w:pPr>
    </w:p>
    <w:p w14:paraId="655436B5" w14:textId="690D0E21" w:rsidR="00825F03" w:rsidRPr="00F52884" w:rsidRDefault="00825F03" w:rsidP="00825F03">
      <w:pPr>
        <w:pStyle w:val="ListParagraph"/>
        <w:numPr>
          <w:ilvl w:val="0"/>
          <w:numId w:val="314"/>
        </w:numPr>
        <w:ind w:left="360"/>
        <w:rPr>
          <w:rFonts w:cstheme="minorHAnsi"/>
          <w:szCs w:val="23"/>
          <w:lang w:val="fr-CA"/>
        </w:rPr>
      </w:pPr>
      <w:r w:rsidRPr="00F52884">
        <w:rPr>
          <w:rFonts w:cstheme="minorHAnsi"/>
          <w:szCs w:val="23"/>
          <w:lang w:val="fr-CA"/>
        </w:rPr>
        <w:tab/>
        <w:t>Chaque Partie fait en sorte que ses mesures sanitaires et phytosanitaires :</w:t>
      </w:r>
    </w:p>
    <w:p w14:paraId="6AC3B184" w14:textId="77777777" w:rsidR="00825F03" w:rsidRPr="00F52884" w:rsidRDefault="00825F03" w:rsidP="0050306B">
      <w:pPr>
        <w:pStyle w:val="ListParagraph"/>
        <w:ind w:left="-360"/>
        <w:rPr>
          <w:rFonts w:cstheme="minorHAnsi"/>
          <w:szCs w:val="23"/>
          <w:lang w:val="fr-CA"/>
        </w:rPr>
      </w:pPr>
    </w:p>
    <w:p w14:paraId="707E0724" w14:textId="4BB3190E" w:rsidR="00825F03" w:rsidRPr="00F52884" w:rsidRDefault="00825F03" w:rsidP="00825F03">
      <w:pPr>
        <w:pStyle w:val="ListParagraph"/>
        <w:numPr>
          <w:ilvl w:val="1"/>
          <w:numId w:val="314"/>
        </w:numPr>
        <w:ind w:left="1440" w:hanging="720"/>
        <w:rPr>
          <w:rFonts w:cstheme="minorHAnsi"/>
          <w:szCs w:val="23"/>
          <w:lang w:val="fr-CA"/>
        </w:rPr>
      </w:pPr>
      <w:proofErr w:type="gramStart"/>
      <w:r w:rsidRPr="00F52884">
        <w:rPr>
          <w:rFonts w:cstheme="minorHAnsi"/>
          <w:szCs w:val="23"/>
          <w:lang w:val="fr-CA"/>
        </w:rPr>
        <w:lastRenderedPageBreak/>
        <w:t>sauf</w:t>
      </w:r>
      <w:proofErr w:type="gramEnd"/>
      <w:r w:rsidRPr="00F52884">
        <w:rPr>
          <w:rFonts w:cstheme="minorHAnsi"/>
          <w:szCs w:val="23"/>
          <w:lang w:val="fr-CA"/>
        </w:rPr>
        <w:t xml:space="preserve"> dans les cas prévus au paragraphe 9, ne soient appliquées que dans la mesure nécessaire pour protéger la santé et la vie des personnes et des animaux ou préserver les végétaux, soient fondées sur des principes scientifiques et ne soient pas maintenues sans preuves scientifiques suffisantes;</w:t>
      </w:r>
    </w:p>
    <w:p w14:paraId="2DE4E963" w14:textId="77777777" w:rsidR="00825F03" w:rsidRPr="00F52884" w:rsidRDefault="00825F03" w:rsidP="0050306B">
      <w:pPr>
        <w:rPr>
          <w:rFonts w:cstheme="minorHAnsi"/>
          <w:szCs w:val="23"/>
          <w:lang w:val="fr-CA"/>
        </w:rPr>
      </w:pPr>
    </w:p>
    <w:p w14:paraId="41DA57CD" w14:textId="4B9DFDCC" w:rsidR="00825F03" w:rsidRPr="00F52884" w:rsidRDefault="00825F03" w:rsidP="00825F03">
      <w:pPr>
        <w:pStyle w:val="ListParagraph"/>
        <w:numPr>
          <w:ilvl w:val="1"/>
          <w:numId w:val="314"/>
        </w:numPr>
        <w:ind w:left="1440" w:hanging="720"/>
        <w:rPr>
          <w:rFonts w:cstheme="minorHAnsi"/>
          <w:szCs w:val="23"/>
          <w:lang w:val="fr-CA"/>
        </w:rPr>
      </w:pPr>
      <w:proofErr w:type="gramStart"/>
      <w:r w:rsidRPr="00F52884">
        <w:rPr>
          <w:rFonts w:cstheme="minorHAnsi"/>
          <w:szCs w:val="23"/>
          <w:lang w:val="fr-CA"/>
        </w:rPr>
        <w:t>n’établissent</w:t>
      </w:r>
      <w:proofErr w:type="gramEnd"/>
      <w:r w:rsidRPr="00F52884">
        <w:rPr>
          <w:rFonts w:cstheme="minorHAnsi"/>
          <w:szCs w:val="23"/>
          <w:lang w:val="fr-CA"/>
        </w:rPr>
        <w:t xml:space="preserve"> pas de discrimination arbitraire ou injustifiable entre les Parties où existent des conditions identiques ou similaires.</w:t>
      </w:r>
    </w:p>
    <w:p w14:paraId="70672F55" w14:textId="77777777" w:rsidR="00825F03" w:rsidRPr="00F52884" w:rsidRDefault="00825F03" w:rsidP="0050306B">
      <w:pPr>
        <w:pStyle w:val="ListParagraph"/>
        <w:rPr>
          <w:rFonts w:cstheme="minorHAnsi"/>
          <w:szCs w:val="23"/>
          <w:lang w:val="fr-CA"/>
        </w:rPr>
      </w:pPr>
    </w:p>
    <w:p w14:paraId="418FC43E" w14:textId="343D2277" w:rsidR="00825F03" w:rsidRPr="00F52884" w:rsidRDefault="00825F03" w:rsidP="00825F03">
      <w:pPr>
        <w:pStyle w:val="ListParagraph"/>
        <w:numPr>
          <w:ilvl w:val="0"/>
          <w:numId w:val="314"/>
        </w:numPr>
        <w:ind w:left="0" w:firstLine="0"/>
        <w:rPr>
          <w:rFonts w:cstheme="minorHAnsi"/>
          <w:szCs w:val="23"/>
          <w:lang w:val="fr-CA"/>
        </w:rPr>
      </w:pPr>
      <w:r w:rsidRPr="00F52884">
        <w:rPr>
          <w:rFonts w:cstheme="minorHAnsi"/>
          <w:szCs w:val="23"/>
          <w:lang w:val="fr-CA"/>
        </w:rPr>
        <w:t>Les mesures sanitaires et phytosanitaires ne sont pas appliquées de façon à constituer une restriction déguisée au commerce à l’intérieur du Canada.</w:t>
      </w:r>
    </w:p>
    <w:p w14:paraId="43685BCF" w14:textId="77777777" w:rsidR="00825F03" w:rsidRPr="00F52884" w:rsidRDefault="00825F03" w:rsidP="0050306B">
      <w:pPr>
        <w:pStyle w:val="ListParagraph"/>
        <w:ind w:left="1080"/>
        <w:rPr>
          <w:rFonts w:cstheme="minorHAnsi"/>
          <w:szCs w:val="23"/>
          <w:lang w:val="fr-CA"/>
        </w:rPr>
      </w:pPr>
    </w:p>
    <w:p w14:paraId="1596F383" w14:textId="285FF5BD" w:rsidR="00825F03" w:rsidRPr="00F52884" w:rsidRDefault="00825F03" w:rsidP="0050306B">
      <w:pPr>
        <w:pStyle w:val="ListParagraph"/>
        <w:ind w:left="0"/>
        <w:rPr>
          <w:rFonts w:cstheme="minorHAnsi"/>
          <w:i/>
          <w:szCs w:val="23"/>
          <w:lang w:val="fr-CA"/>
        </w:rPr>
      </w:pPr>
      <w:r w:rsidRPr="00F52884">
        <w:rPr>
          <w:rFonts w:cstheme="minorHAnsi"/>
          <w:i/>
          <w:iCs/>
          <w:szCs w:val="23"/>
          <w:lang w:val="fr-CA"/>
        </w:rPr>
        <w:t>Évaluation des risques et détermination du niveau approprié de protection sanitaire ou phytosanitaire</w:t>
      </w:r>
    </w:p>
    <w:p w14:paraId="5B089DDD" w14:textId="77777777" w:rsidR="00825F03" w:rsidRPr="00F52884" w:rsidRDefault="00825F03" w:rsidP="0050306B">
      <w:pPr>
        <w:pStyle w:val="ListParagraph"/>
        <w:ind w:left="0"/>
        <w:rPr>
          <w:rFonts w:cstheme="minorHAnsi"/>
          <w:i/>
          <w:szCs w:val="23"/>
          <w:lang w:val="fr-CA"/>
        </w:rPr>
      </w:pPr>
    </w:p>
    <w:p w14:paraId="749D06BE" w14:textId="2610A4A4" w:rsidR="00825F03" w:rsidRPr="00F52884" w:rsidRDefault="00825F03" w:rsidP="00825F03">
      <w:pPr>
        <w:pStyle w:val="ListParagraph"/>
        <w:numPr>
          <w:ilvl w:val="0"/>
          <w:numId w:val="314"/>
        </w:numPr>
        <w:ind w:left="0" w:firstLine="0"/>
        <w:rPr>
          <w:rFonts w:cstheme="minorHAnsi"/>
          <w:szCs w:val="23"/>
          <w:lang w:val="fr-CA"/>
        </w:rPr>
      </w:pPr>
      <w:r w:rsidRPr="00F52884">
        <w:rPr>
          <w:rFonts w:cstheme="minorHAnsi"/>
          <w:szCs w:val="23"/>
          <w:lang w:val="fr-CA"/>
        </w:rPr>
        <w:t>Chaque Partie fait en sorte que ses mesures sanitaires ou phytosanitaires soient établies sur la base d’une évaluation, selon ce qui est approprié en fonction des circonstances, des risques pour la santé et la vie des personnes et des animaux ou pour la préservation des végétaux, compte tenu des techniques d’évaluation des risques élaborées par les organisations internationales compétentes.</w:t>
      </w:r>
    </w:p>
    <w:p w14:paraId="47189099" w14:textId="77777777" w:rsidR="00825F03" w:rsidRPr="00F52884" w:rsidRDefault="00825F03" w:rsidP="0050306B">
      <w:pPr>
        <w:pStyle w:val="ListParagraph"/>
        <w:ind w:left="0"/>
        <w:rPr>
          <w:rFonts w:cstheme="minorHAnsi"/>
          <w:szCs w:val="23"/>
          <w:lang w:val="fr-CA"/>
        </w:rPr>
      </w:pPr>
    </w:p>
    <w:p w14:paraId="147014E0" w14:textId="6788E757" w:rsidR="00825F03" w:rsidRPr="00F52884" w:rsidRDefault="00825F03" w:rsidP="00825F03">
      <w:pPr>
        <w:pStyle w:val="ListParagraph"/>
        <w:numPr>
          <w:ilvl w:val="0"/>
          <w:numId w:val="314"/>
        </w:numPr>
        <w:ind w:left="0" w:firstLine="0"/>
        <w:rPr>
          <w:rFonts w:cstheme="minorHAnsi"/>
          <w:szCs w:val="23"/>
          <w:lang w:val="fr-CA"/>
        </w:rPr>
      </w:pPr>
      <w:r w:rsidRPr="00F52884">
        <w:rPr>
          <w:rFonts w:cstheme="minorHAnsi"/>
          <w:szCs w:val="23"/>
          <w:lang w:val="fr-CA"/>
        </w:rPr>
        <w:t>Lorsqu’elle détermine le niveau approprié de protection sanitaire ou phytosanitaire, chaque Partie devrait tenir compte de l’objectif qui consiste à réduire au minimum les effets négatifs sur le commerce.</w:t>
      </w:r>
    </w:p>
    <w:p w14:paraId="2ADDA04E" w14:textId="77777777" w:rsidR="00825F03" w:rsidRPr="00F52884" w:rsidRDefault="00825F03" w:rsidP="0050306B">
      <w:pPr>
        <w:pStyle w:val="ListParagraph"/>
        <w:ind w:left="0"/>
        <w:rPr>
          <w:rFonts w:cstheme="minorHAnsi"/>
          <w:szCs w:val="23"/>
          <w:lang w:val="fr-CA"/>
        </w:rPr>
      </w:pPr>
    </w:p>
    <w:p w14:paraId="135B9C64" w14:textId="417A3529" w:rsidR="00825F03" w:rsidRPr="00F52884" w:rsidRDefault="00825F03" w:rsidP="00825F03">
      <w:pPr>
        <w:pStyle w:val="ListParagraph"/>
        <w:numPr>
          <w:ilvl w:val="0"/>
          <w:numId w:val="314"/>
        </w:numPr>
        <w:ind w:left="0" w:firstLine="0"/>
        <w:rPr>
          <w:rFonts w:cstheme="minorHAnsi"/>
          <w:szCs w:val="23"/>
          <w:lang w:val="fr-CA"/>
        </w:rPr>
      </w:pPr>
      <w:r w:rsidRPr="00F52884">
        <w:rPr>
          <w:rFonts w:cstheme="minorHAnsi"/>
          <w:szCs w:val="23"/>
          <w:lang w:val="fr-CA"/>
        </w:rPr>
        <w:t>Lorsqu’elle adopte ou maintient une mesure sanitaire ou phytosanitaire pour obtenir le niveau approprié de protection sanitaire ou phytosanitaire, chaque Partie fait en sorte que cette mesure ne soit pas plus restrictive pour le commerce qu’il n’est requis pour obtenir le niveau de protection sanitaire ou phytosanitaire qu’elle juge approprié, compte tenu de la faisabilité technique et économique.</w:t>
      </w:r>
    </w:p>
    <w:p w14:paraId="3C8B69D1" w14:textId="77777777" w:rsidR="00825F03" w:rsidRPr="00F52884" w:rsidRDefault="00825F03" w:rsidP="0050306B">
      <w:pPr>
        <w:pStyle w:val="ListParagraph"/>
        <w:ind w:left="0"/>
        <w:rPr>
          <w:rFonts w:cstheme="minorHAnsi"/>
          <w:szCs w:val="23"/>
          <w:lang w:val="fr-CA"/>
        </w:rPr>
      </w:pPr>
    </w:p>
    <w:p w14:paraId="4B674753" w14:textId="70D22078" w:rsidR="00825F03" w:rsidRPr="00F52884" w:rsidRDefault="00825F03" w:rsidP="0050306B">
      <w:pPr>
        <w:rPr>
          <w:rFonts w:cstheme="minorHAnsi"/>
          <w:szCs w:val="23"/>
          <w:lang w:val="fr-CA"/>
        </w:rPr>
      </w:pPr>
      <w:r w:rsidRPr="00F52884">
        <w:rPr>
          <w:rFonts w:cstheme="minorHAnsi"/>
          <w:szCs w:val="23"/>
          <w:lang w:val="fr-CA"/>
        </w:rPr>
        <w:t>8.</w:t>
      </w:r>
      <w:r w:rsidRPr="00F52884">
        <w:rPr>
          <w:rFonts w:cstheme="minorHAnsi"/>
          <w:szCs w:val="23"/>
          <w:lang w:val="fr-CA"/>
        </w:rPr>
        <w:tab/>
        <w:t>Pour l’application du paragraphe 7, une mesure n’est pas plus restrictive pour le commerce qu’il n’est requis à moins qu’il n’existe une autre mesure qui est raisonnablement accessible à la Partie, compte tenu de la faisabilité technique et économique, qui lui permette d’obtenir le niveau de protection sanitaire ou phytosanitaire approprié et soit sensiblement moins restrictive pour le commerce.</w:t>
      </w:r>
    </w:p>
    <w:p w14:paraId="5428112B" w14:textId="77777777" w:rsidR="00825F03" w:rsidRPr="00F52884" w:rsidRDefault="00825F03" w:rsidP="0050306B">
      <w:pPr>
        <w:pStyle w:val="ListParagraph"/>
        <w:ind w:left="0"/>
        <w:rPr>
          <w:rFonts w:cstheme="minorHAnsi"/>
          <w:szCs w:val="23"/>
          <w:lang w:val="fr-CA"/>
        </w:rPr>
      </w:pPr>
    </w:p>
    <w:p w14:paraId="20278C8B" w14:textId="365AC76A" w:rsidR="00825F03" w:rsidRPr="00F52884" w:rsidRDefault="00825F03" w:rsidP="0050306B">
      <w:pPr>
        <w:pStyle w:val="ListParagraph"/>
        <w:ind w:left="0"/>
        <w:rPr>
          <w:rFonts w:cstheme="minorHAnsi"/>
          <w:szCs w:val="23"/>
          <w:lang w:val="fr-CA"/>
        </w:rPr>
      </w:pPr>
      <w:r w:rsidRPr="00F52884">
        <w:rPr>
          <w:rFonts w:cstheme="minorHAnsi"/>
          <w:szCs w:val="23"/>
          <w:lang w:val="fr-CA"/>
        </w:rPr>
        <w:t>9.</w:t>
      </w:r>
      <w:r w:rsidRPr="00F52884">
        <w:rPr>
          <w:rFonts w:cstheme="minorHAnsi"/>
          <w:szCs w:val="23"/>
          <w:lang w:val="fr-CA"/>
        </w:rPr>
        <w:tab/>
        <w:t xml:space="preserve">Si les preuves scientifiques pertinentes sont insuffisantes, une Partie peut provisoirement adopter toute mesure sanitaire ou phytosanitaire. Dans de telles circonstances, la Partie s’efforce d’obtenir les renseignements additionnels nécessaires pour procéder à une évaluation plus objective du risque et examine en conséquence la mesure sanitaire ou phytosanitaire dans un délai raisonnable. </w:t>
      </w:r>
    </w:p>
    <w:p w14:paraId="284775E2" w14:textId="77777777" w:rsidR="00825F03" w:rsidRPr="00F52884" w:rsidRDefault="00825F03" w:rsidP="0050306B">
      <w:pPr>
        <w:pStyle w:val="ListParagraph"/>
        <w:ind w:left="-360"/>
        <w:rPr>
          <w:rFonts w:cstheme="minorHAnsi"/>
          <w:szCs w:val="23"/>
          <w:lang w:val="fr-CA"/>
        </w:rPr>
      </w:pPr>
    </w:p>
    <w:p w14:paraId="58821A38" w14:textId="2FFEA678" w:rsidR="00825F03" w:rsidRPr="00F52884" w:rsidRDefault="00825F03" w:rsidP="0050306B">
      <w:pPr>
        <w:jc w:val="center"/>
        <w:rPr>
          <w:rFonts w:eastAsia="Times New Roman" w:cstheme="minorHAnsi"/>
          <w:b/>
          <w:bCs/>
          <w:szCs w:val="23"/>
          <w:lang w:val="fr-CA"/>
        </w:rPr>
      </w:pPr>
      <w:r w:rsidRPr="00F52884">
        <w:rPr>
          <w:rFonts w:eastAsia="Times New Roman" w:cstheme="minorHAnsi"/>
          <w:b/>
          <w:bCs/>
          <w:szCs w:val="23"/>
          <w:lang w:val="fr-CA"/>
        </w:rPr>
        <w:t>Article 304 :</w:t>
      </w:r>
      <w:r w:rsidRPr="00F52884">
        <w:rPr>
          <w:rFonts w:eastAsia="Times New Roman" w:cstheme="minorHAnsi"/>
          <w:szCs w:val="23"/>
          <w:lang w:val="fr-CA"/>
        </w:rPr>
        <w:tab/>
      </w:r>
      <w:r w:rsidR="006710BB" w:rsidRPr="00F52884">
        <w:rPr>
          <w:rFonts w:eastAsia="Times New Roman" w:cstheme="minorHAnsi"/>
          <w:szCs w:val="23"/>
          <w:lang w:val="fr-CA"/>
        </w:rPr>
        <w:tab/>
      </w:r>
      <w:r w:rsidRPr="00F52884">
        <w:rPr>
          <w:rFonts w:eastAsia="Times New Roman" w:cstheme="minorHAnsi"/>
          <w:b/>
          <w:szCs w:val="23"/>
          <w:lang w:val="fr-CA"/>
        </w:rPr>
        <w:t>Frais de service</w:t>
      </w:r>
    </w:p>
    <w:p w14:paraId="1234BC40" w14:textId="77777777" w:rsidR="00825F03" w:rsidRPr="00F52884" w:rsidRDefault="00825F03" w:rsidP="0050306B">
      <w:pPr>
        <w:rPr>
          <w:rFonts w:eastAsia="Times New Roman" w:cstheme="minorHAnsi"/>
          <w:bCs/>
          <w:szCs w:val="23"/>
          <w:lang w:val="fr-CA"/>
        </w:rPr>
      </w:pPr>
    </w:p>
    <w:p w14:paraId="0C2697EE" w14:textId="630075E3" w:rsidR="00825F03" w:rsidRPr="00F52884" w:rsidRDefault="00825F03" w:rsidP="0050306B">
      <w:pPr>
        <w:autoSpaceDE w:val="0"/>
        <w:autoSpaceDN w:val="0"/>
        <w:adjustRightInd w:val="0"/>
        <w:ind w:firstLine="720"/>
        <w:rPr>
          <w:rFonts w:eastAsia="Times New Roman" w:cstheme="minorHAnsi"/>
          <w:szCs w:val="23"/>
          <w:lang w:val="fr-CA"/>
        </w:rPr>
      </w:pPr>
      <w:r w:rsidRPr="00F52884">
        <w:rPr>
          <w:rFonts w:eastAsia="Times New Roman" w:cstheme="minorHAnsi"/>
          <w:szCs w:val="23"/>
          <w:lang w:val="fr-CA"/>
        </w:rPr>
        <w:t xml:space="preserve">Chaque Partie fait en sorte que les frais de service basés sur les coûts qu’elle applique aux produits d’une autre Partie soient non moins favorables que ceux qu’elle applique à ses propres produits similaires, directement concurrents ou substituables, et à </w:t>
      </w:r>
      <w:r w:rsidRPr="00F52884">
        <w:rPr>
          <w:rFonts w:eastAsia="Times New Roman" w:cstheme="minorHAnsi"/>
          <w:szCs w:val="23"/>
          <w:lang w:val="fr-CA"/>
        </w:rPr>
        <w:lastRenderedPageBreak/>
        <w:t>ceux de toute autre Partie ou tierce partie, sauf dans la mesure où les différences peuvent être justifiées par les coûts réels.</w:t>
      </w:r>
    </w:p>
    <w:p w14:paraId="3F9F2D2C" w14:textId="77777777" w:rsidR="00825F03" w:rsidRPr="00F52884" w:rsidRDefault="00825F03" w:rsidP="0050306B">
      <w:pPr>
        <w:autoSpaceDE w:val="0"/>
        <w:autoSpaceDN w:val="0"/>
        <w:adjustRightInd w:val="0"/>
        <w:rPr>
          <w:rFonts w:eastAsia="Times New Roman" w:cstheme="minorHAnsi"/>
          <w:szCs w:val="23"/>
          <w:lang w:val="fr-CA"/>
        </w:rPr>
      </w:pPr>
    </w:p>
    <w:p w14:paraId="5894D52A" w14:textId="77777777" w:rsidR="00825F03" w:rsidRPr="00F52884" w:rsidRDefault="00825F03" w:rsidP="0050306B">
      <w:pPr>
        <w:autoSpaceDE w:val="0"/>
        <w:autoSpaceDN w:val="0"/>
        <w:adjustRightInd w:val="0"/>
        <w:rPr>
          <w:rFonts w:eastAsia="Times New Roman" w:cstheme="minorHAnsi"/>
          <w:szCs w:val="23"/>
          <w:lang w:val="fr-CA"/>
        </w:rPr>
      </w:pPr>
    </w:p>
    <w:p w14:paraId="60C2807A" w14:textId="77777777" w:rsidR="00825F03" w:rsidRPr="00F52884" w:rsidRDefault="00825F03" w:rsidP="0050306B">
      <w:pPr>
        <w:autoSpaceDE w:val="0"/>
        <w:autoSpaceDN w:val="0"/>
        <w:adjustRightInd w:val="0"/>
        <w:rPr>
          <w:rFonts w:eastAsia="Times New Roman" w:cstheme="minorHAnsi"/>
          <w:szCs w:val="23"/>
          <w:lang w:val="fr-CA"/>
        </w:rPr>
      </w:pPr>
    </w:p>
    <w:p w14:paraId="20C7A875" w14:textId="77777777" w:rsidR="00825F03" w:rsidRPr="00F52884" w:rsidRDefault="00825F03">
      <w:pPr>
        <w:spacing w:after="200" w:line="276" w:lineRule="auto"/>
        <w:rPr>
          <w:rFonts w:eastAsia="Times New Roman" w:cstheme="minorHAnsi"/>
          <w:b/>
          <w:bCs/>
          <w:szCs w:val="23"/>
          <w:lang w:val="fr-CA"/>
        </w:rPr>
      </w:pPr>
      <w:bookmarkStart w:id="13" w:name="_Toc471907446"/>
      <w:r w:rsidRPr="00F52884">
        <w:rPr>
          <w:rFonts w:eastAsia="Times New Roman" w:cstheme="minorHAnsi"/>
          <w:szCs w:val="23"/>
          <w:lang w:val="fr-CA"/>
        </w:rPr>
        <w:br w:type="page"/>
      </w:r>
    </w:p>
    <w:p w14:paraId="269645B4" w14:textId="74682BAD" w:rsidR="00825F03" w:rsidRPr="00F52884" w:rsidRDefault="00825F03" w:rsidP="0050306B">
      <w:pPr>
        <w:pStyle w:val="Heading3"/>
        <w:spacing w:before="0" w:line="240" w:lineRule="auto"/>
        <w:jc w:val="center"/>
        <w:rPr>
          <w:rFonts w:asciiTheme="minorHAnsi" w:eastAsia="Times New Roman" w:hAnsiTheme="minorHAnsi" w:cstheme="minorHAnsi"/>
          <w:b w:val="0"/>
          <w:sz w:val="24"/>
          <w:szCs w:val="24"/>
          <w:lang w:val="fr-CA"/>
        </w:rPr>
      </w:pPr>
      <w:bookmarkStart w:id="14" w:name="_Toc156311754"/>
      <w:r w:rsidRPr="00F52884">
        <w:rPr>
          <w:rFonts w:asciiTheme="minorHAnsi" w:eastAsia="Times New Roman" w:hAnsiTheme="minorHAnsi" w:cstheme="minorHAnsi"/>
          <w:sz w:val="24"/>
          <w:szCs w:val="24"/>
          <w:lang w:val="fr-CA"/>
        </w:rPr>
        <w:lastRenderedPageBreak/>
        <w:t>PARTIE B </w:t>
      </w:r>
      <w:bookmarkEnd w:id="13"/>
      <w:r w:rsidR="006710BB" w:rsidRPr="00F52884">
        <w:rPr>
          <w:rFonts w:asciiTheme="minorHAnsi" w:eastAsia="Times New Roman" w:hAnsiTheme="minorHAnsi" w:cstheme="minorHAnsi"/>
          <w:sz w:val="24"/>
          <w:szCs w:val="24"/>
          <w:lang w:val="fr-CA"/>
        </w:rPr>
        <w:t>:</w:t>
      </w:r>
      <w:r w:rsidR="006710BB" w:rsidRPr="00F52884">
        <w:rPr>
          <w:rFonts w:asciiTheme="minorHAnsi" w:eastAsia="Times New Roman" w:hAnsiTheme="minorHAnsi" w:cstheme="minorHAnsi"/>
          <w:sz w:val="24"/>
          <w:szCs w:val="24"/>
          <w:lang w:val="fr-CA"/>
        </w:rPr>
        <w:tab/>
      </w:r>
      <w:r w:rsidR="006710BB" w:rsidRPr="00F52884">
        <w:rPr>
          <w:rFonts w:asciiTheme="minorHAnsi" w:eastAsia="Times New Roman" w:hAnsiTheme="minorHAnsi" w:cstheme="minorHAnsi"/>
          <w:sz w:val="24"/>
          <w:szCs w:val="24"/>
          <w:lang w:val="fr-CA"/>
        </w:rPr>
        <w:tab/>
      </w:r>
      <w:r w:rsidRPr="00F52884">
        <w:rPr>
          <w:rFonts w:asciiTheme="minorHAnsi" w:eastAsia="Times New Roman" w:hAnsiTheme="minorHAnsi" w:cstheme="minorHAnsi"/>
          <w:sz w:val="24"/>
          <w:szCs w:val="24"/>
          <w:lang w:val="fr-CA"/>
        </w:rPr>
        <w:t>Services</w:t>
      </w:r>
      <w:bookmarkEnd w:id="14"/>
    </w:p>
    <w:p w14:paraId="6DFCE2E1" w14:textId="77777777" w:rsidR="00825F03" w:rsidRPr="00F52884" w:rsidRDefault="00825F03" w:rsidP="0050306B">
      <w:pPr>
        <w:jc w:val="center"/>
        <w:rPr>
          <w:rFonts w:eastAsia="Times New Roman" w:cstheme="minorHAnsi"/>
          <w:b/>
          <w:szCs w:val="23"/>
          <w:lang w:val="fr-CA"/>
        </w:rPr>
      </w:pPr>
    </w:p>
    <w:p w14:paraId="1998BF70" w14:textId="23B7824C" w:rsidR="00825F03" w:rsidRPr="00F52884" w:rsidRDefault="00825F03" w:rsidP="0050306B">
      <w:pPr>
        <w:jc w:val="center"/>
        <w:rPr>
          <w:rFonts w:cstheme="minorHAnsi"/>
          <w:b/>
          <w:szCs w:val="23"/>
          <w:lang w:val="fr-CA"/>
        </w:rPr>
      </w:pPr>
      <w:r w:rsidRPr="00F52884">
        <w:rPr>
          <w:rFonts w:cstheme="minorHAnsi"/>
          <w:b/>
          <w:bCs/>
          <w:szCs w:val="23"/>
          <w:lang w:val="fr-CA"/>
        </w:rPr>
        <w:t xml:space="preserve">Article 305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Champ d’application et portée</w:t>
      </w:r>
    </w:p>
    <w:p w14:paraId="13F4DC2B" w14:textId="77777777" w:rsidR="00825F03" w:rsidRPr="00F52884" w:rsidRDefault="00825F03" w:rsidP="0050306B">
      <w:pPr>
        <w:jc w:val="center"/>
        <w:rPr>
          <w:rFonts w:cstheme="minorHAnsi"/>
          <w:b/>
          <w:szCs w:val="23"/>
          <w:lang w:val="fr-CA"/>
        </w:rPr>
      </w:pPr>
    </w:p>
    <w:p w14:paraId="33AF251B" w14:textId="77777777" w:rsidR="00825F03" w:rsidRPr="00F52884" w:rsidRDefault="00825F03" w:rsidP="0050306B">
      <w:pPr>
        <w:autoSpaceDE w:val="0"/>
        <w:autoSpaceDN w:val="0"/>
        <w:adjustRightInd w:val="0"/>
        <w:rPr>
          <w:rFonts w:eastAsia="Times New Roman" w:cstheme="minorHAnsi"/>
          <w:szCs w:val="23"/>
          <w:lang w:val="fr-CA"/>
        </w:rPr>
      </w:pPr>
      <w:r w:rsidRPr="00F52884">
        <w:rPr>
          <w:rFonts w:eastAsia="Times New Roman" w:cstheme="minorHAnsi"/>
          <w:szCs w:val="23"/>
          <w:lang w:val="fr-CA"/>
        </w:rPr>
        <w:t>La présente partie :</w:t>
      </w:r>
    </w:p>
    <w:p w14:paraId="612F3B39" w14:textId="77777777" w:rsidR="00825F03" w:rsidRPr="00F52884" w:rsidRDefault="00825F03" w:rsidP="0050306B">
      <w:pPr>
        <w:autoSpaceDE w:val="0"/>
        <w:autoSpaceDN w:val="0"/>
        <w:adjustRightInd w:val="0"/>
        <w:rPr>
          <w:rFonts w:eastAsia="Times New Roman" w:cstheme="minorHAnsi"/>
          <w:szCs w:val="23"/>
          <w:lang w:val="fr-CA"/>
        </w:rPr>
      </w:pPr>
    </w:p>
    <w:p w14:paraId="6BFFDF4F" w14:textId="77777777" w:rsidR="00825F03" w:rsidRPr="00F52884" w:rsidRDefault="00825F03" w:rsidP="00825F03">
      <w:pPr>
        <w:pStyle w:val="ListParagraph"/>
        <w:numPr>
          <w:ilvl w:val="0"/>
          <w:numId w:val="315"/>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s’applique</w:t>
      </w:r>
      <w:proofErr w:type="gramEnd"/>
      <w:r w:rsidRPr="00F52884">
        <w:rPr>
          <w:rFonts w:eastAsia="Times New Roman" w:cstheme="minorHAnsi"/>
          <w:szCs w:val="23"/>
          <w:lang w:val="fr-CA"/>
        </w:rPr>
        <w:t xml:space="preserve"> à toute mesure adoptée ou maintenue par une Partie concernant les fournisseurs de services et le commerce des services à l’intérieur du Canada;</w:t>
      </w:r>
    </w:p>
    <w:p w14:paraId="5226BF3A" w14:textId="77777777" w:rsidR="00825F03" w:rsidRPr="00F52884" w:rsidRDefault="00825F03" w:rsidP="00825F03">
      <w:pPr>
        <w:pStyle w:val="ListParagraph"/>
        <w:ind w:left="1440" w:hanging="720"/>
        <w:rPr>
          <w:rFonts w:eastAsia="Times New Roman" w:cstheme="minorHAnsi"/>
          <w:szCs w:val="23"/>
          <w:lang w:val="fr-CA"/>
        </w:rPr>
      </w:pPr>
    </w:p>
    <w:p w14:paraId="3382F2B5" w14:textId="77777777" w:rsidR="00825F03" w:rsidRPr="00F52884" w:rsidRDefault="00825F03" w:rsidP="00825F03">
      <w:pPr>
        <w:pStyle w:val="ListParagraph"/>
        <w:numPr>
          <w:ilvl w:val="0"/>
          <w:numId w:val="315"/>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ne</w:t>
      </w:r>
      <w:proofErr w:type="gramEnd"/>
      <w:r w:rsidRPr="00F52884">
        <w:rPr>
          <w:rFonts w:eastAsia="Times New Roman" w:cstheme="minorHAnsi"/>
          <w:szCs w:val="23"/>
          <w:lang w:val="fr-CA"/>
        </w:rPr>
        <w:t xml:space="preserve"> s’applique pas aux stimulants.</w:t>
      </w:r>
    </w:p>
    <w:p w14:paraId="41A5CD0A" w14:textId="77777777" w:rsidR="00825F03" w:rsidRPr="00F52884" w:rsidRDefault="00825F03" w:rsidP="0050306B">
      <w:pPr>
        <w:pStyle w:val="ListParagraph"/>
        <w:ind w:left="0"/>
        <w:rPr>
          <w:rFonts w:cstheme="minorHAnsi"/>
          <w:szCs w:val="23"/>
          <w:lang w:val="fr-CA"/>
        </w:rPr>
      </w:pPr>
    </w:p>
    <w:p w14:paraId="10B7D6D2" w14:textId="4A34ACD0" w:rsidR="00825F03" w:rsidRPr="00F52884" w:rsidRDefault="00825F03" w:rsidP="0050306B">
      <w:pPr>
        <w:pStyle w:val="ListParagraph"/>
        <w:tabs>
          <w:tab w:val="left" w:pos="-5760"/>
        </w:tabs>
        <w:ind w:left="0"/>
        <w:jc w:val="center"/>
        <w:rPr>
          <w:rFonts w:cstheme="minorHAnsi"/>
          <w:b/>
          <w:szCs w:val="23"/>
          <w:lang w:val="fr-CA"/>
        </w:rPr>
      </w:pPr>
      <w:r w:rsidRPr="00F52884">
        <w:rPr>
          <w:rFonts w:cstheme="minorHAnsi"/>
          <w:b/>
          <w:bCs/>
          <w:szCs w:val="23"/>
          <w:lang w:val="fr-CA"/>
        </w:rPr>
        <w:t xml:space="preserve">Article 306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Exigences formelles</w:t>
      </w:r>
    </w:p>
    <w:p w14:paraId="77B8F620" w14:textId="77777777" w:rsidR="00825F03" w:rsidRPr="00F52884" w:rsidRDefault="00825F03" w:rsidP="0050306B">
      <w:pPr>
        <w:tabs>
          <w:tab w:val="left" w:pos="-5760"/>
        </w:tabs>
        <w:ind w:left="360"/>
        <w:contextualSpacing/>
        <w:rPr>
          <w:rFonts w:cstheme="minorHAnsi"/>
          <w:szCs w:val="23"/>
          <w:lang w:val="fr-CA"/>
        </w:rPr>
      </w:pPr>
    </w:p>
    <w:p w14:paraId="0DC7208A" w14:textId="088A60B4" w:rsidR="00825F03" w:rsidRPr="00F52884" w:rsidRDefault="00825F03" w:rsidP="0050306B">
      <w:pPr>
        <w:tabs>
          <w:tab w:val="left" w:pos="-5760"/>
        </w:tabs>
        <w:rPr>
          <w:rFonts w:eastAsia="Times New Roman" w:cstheme="minorHAnsi"/>
          <w:szCs w:val="23"/>
          <w:lang w:val="fr-CA"/>
        </w:rPr>
      </w:pPr>
      <w:r w:rsidRPr="00F52884">
        <w:rPr>
          <w:rFonts w:eastAsia="Times New Roman" w:cstheme="minorHAnsi"/>
          <w:szCs w:val="23"/>
          <w:lang w:val="fr-CA"/>
        </w:rPr>
        <w:tab/>
        <w:t>Une Partie peut exiger qu’un fournisseur de services satisfasse à l’une ou l’autre des exigences suivantes :</w:t>
      </w:r>
    </w:p>
    <w:p w14:paraId="2B380BCD" w14:textId="77777777" w:rsidR="00825F03" w:rsidRPr="00F52884" w:rsidRDefault="00825F03" w:rsidP="0050306B">
      <w:pPr>
        <w:pStyle w:val="ListParagraph"/>
        <w:rPr>
          <w:rFonts w:cstheme="minorHAnsi"/>
          <w:szCs w:val="23"/>
          <w:lang w:val="fr-CA"/>
        </w:rPr>
      </w:pPr>
    </w:p>
    <w:p w14:paraId="20297DC2" w14:textId="77777777" w:rsidR="00825F03" w:rsidRPr="00F52884" w:rsidRDefault="00825F03" w:rsidP="00825F03">
      <w:pPr>
        <w:pStyle w:val="ListParagraph"/>
        <w:numPr>
          <w:ilvl w:val="0"/>
          <w:numId w:val="3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avoir</w:t>
      </w:r>
      <w:proofErr w:type="gramEnd"/>
      <w:r w:rsidRPr="00F52884">
        <w:rPr>
          <w:rFonts w:eastAsia="Times New Roman" w:cstheme="minorHAnsi"/>
          <w:szCs w:val="23"/>
          <w:lang w:val="fr-CA"/>
        </w:rPr>
        <w:t xml:space="preserve"> un agent local ou disposer d’une adresse locale aux fins de signification;</w:t>
      </w:r>
    </w:p>
    <w:p w14:paraId="72CA3D7C"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53A5BF39" w14:textId="3FAC8586" w:rsidR="00825F03" w:rsidRPr="00F52884" w:rsidRDefault="00825F03" w:rsidP="00825F03">
      <w:pPr>
        <w:pStyle w:val="ListParagraph"/>
        <w:numPr>
          <w:ilvl w:val="0"/>
          <w:numId w:val="3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déposer</w:t>
      </w:r>
      <w:proofErr w:type="gramEnd"/>
      <w:r w:rsidRPr="00F52884">
        <w:rPr>
          <w:rFonts w:eastAsia="Times New Roman" w:cstheme="minorHAnsi"/>
          <w:szCs w:val="23"/>
          <w:lang w:val="fr-CA"/>
        </w:rPr>
        <w:t xml:space="preserve"> une caution ou une autre forme de garantie financière;</w:t>
      </w:r>
    </w:p>
    <w:p w14:paraId="18A5CD3E"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2BBF8DB4" w14:textId="6C126E91" w:rsidR="00825F03" w:rsidRPr="00F52884" w:rsidRDefault="00825F03" w:rsidP="00825F03">
      <w:pPr>
        <w:pStyle w:val="ListParagraph"/>
        <w:numPr>
          <w:ilvl w:val="0"/>
          <w:numId w:val="3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ouvrir</w:t>
      </w:r>
      <w:proofErr w:type="gramEnd"/>
      <w:r w:rsidRPr="00F52884">
        <w:rPr>
          <w:rFonts w:eastAsia="Times New Roman" w:cstheme="minorHAnsi"/>
          <w:szCs w:val="23"/>
          <w:lang w:val="fr-CA"/>
        </w:rPr>
        <w:t xml:space="preserve"> un compte en fiducie ou effectuer des versements sur un tel compte, ou contribuer à un fonds d’indemnisation;</w:t>
      </w:r>
    </w:p>
    <w:p w14:paraId="6EAC057C"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585B50BE" w14:textId="0003F3B2" w:rsidR="00825F03" w:rsidRPr="00F52884" w:rsidRDefault="00825F03" w:rsidP="00825F03">
      <w:pPr>
        <w:pStyle w:val="ListParagraph"/>
        <w:numPr>
          <w:ilvl w:val="0"/>
          <w:numId w:val="3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souscrire</w:t>
      </w:r>
      <w:proofErr w:type="gramEnd"/>
      <w:r w:rsidRPr="00F52884">
        <w:rPr>
          <w:rFonts w:eastAsia="Times New Roman" w:cstheme="minorHAnsi"/>
          <w:szCs w:val="23"/>
          <w:lang w:val="fr-CA"/>
        </w:rPr>
        <w:t xml:space="preserve"> une assurance d’un type particulier et d’un montant donné, ou fournir d’autres garanties semblables;</w:t>
      </w:r>
    </w:p>
    <w:p w14:paraId="42357C0A"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18E45E82" w14:textId="1B21E424" w:rsidR="00825F03" w:rsidRPr="00F52884" w:rsidRDefault="00825F03" w:rsidP="00825F03">
      <w:pPr>
        <w:pStyle w:val="ListParagraph"/>
        <w:numPr>
          <w:ilvl w:val="0"/>
          <w:numId w:val="3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tenir</w:t>
      </w:r>
      <w:proofErr w:type="gramEnd"/>
      <w:r w:rsidRPr="00F52884">
        <w:rPr>
          <w:rFonts w:eastAsia="Times New Roman" w:cstheme="minorHAnsi"/>
          <w:szCs w:val="23"/>
          <w:lang w:val="fr-CA"/>
        </w:rPr>
        <w:t xml:space="preserve"> des dossiers et y donner accès;</w:t>
      </w:r>
    </w:p>
    <w:p w14:paraId="0C0A50A9"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02C5160D" w14:textId="7E39EE89" w:rsidR="00825F03" w:rsidRPr="00F52884" w:rsidRDefault="00825F03" w:rsidP="00825F03">
      <w:pPr>
        <w:pStyle w:val="ListParagraph"/>
        <w:numPr>
          <w:ilvl w:val="0"/>
          <w:numId w:val="3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être</w:t>
      </w:r>
      <w:proofErr w:type="gramEnd"/>
      <w:r w:rsidRPr="00F52884">
        <w:rPr>
          <w:rFonts w:eastAsia="Times New Roman" w:cstheme="minorHAnsi"/>
          <w:szCs w:val="23"/>
          <w:lang w:val="fr-CA"/>
        </w:rPr>
        <w:t xml:space="preserve"> inscrit dans un registre ou obtenir une licence ou une certification,</w:t>
      </w:r>
    </w:p>
    <w:p w14:paraId="5DEB9C1B" w14:textId="77777777" w:rsidR="00825F03" w:rsidRPr="00F52884" w:rsidRDefault="00825F03" w:rsidP="0050306B">
      <w:pPr>
        <w:tabs>
          <w:tab w:val="left" w:pos="-5760"/>
        </w:tabs>
        <w:ind w:left="1440" w:hanging="720"/>
        <w:contextualSpacing/>
        <w:rPr>
          <w:rFonts w:cstheme="minorHAnsi"/>
          <w:szCs w:val="23"/>
          <w:lang w:val="fr-CA"/>
        </w:rPr>
      </w:pPr>
    </w:p>
    <w:p w14:paraId="32D0982B" w14:textId="14E5F467" w:rsidR="00825F03" w:rsidRPr="00F52884" w:rsidRDefault="00825F03" w:rsidP="0050306B">
      <w:pPr>
        <w:tabs>
          <w:tab w:val="left" w:pos="-5760"/>
        </w:tabs>
        <w:rPr>
          <w:rFonts w:cstheme="minorHAnsi"/>
          <w:szCs w:val="23"/>
          <w:lang w:val="fr-CA"/>
        </w:rPr>
      </w:pPr>
      <w:proofErr w:type="gramStart"/>
      <w:r w:rsidRPr="00F52884">
        <w:rPr>
          <w:rFonts w:cstheme="minorHAnsi"/>
          <w:szCs w:val="23"/>
          <w:lang w:val="fr-CA"/>
        </w:rPr>
        <w:t>pour</w:t>
      </w:r>
      <w:proofErr w:type="gramEnd"/>
      <w:r w:rsidRPr="00F52884">
        <w:rPr>
          <w:rFonts w:cstheme="minorHAnsi"/>
          <w:szCs w:val="23"/>
          <w:lang w:val="fr-CA"/>
        </w:rPr>
        <w:t xml:space="preserve"> pouvoir fournir un service sur son territoire ou à destination de son territoire, à la condition que ces exigences ne soient pas appliquées de façon à constituer un moyen de discrimination arbitraire ou injustifiable.</w:t>
      </w:r>
    </w:p>
    <w:p w14:paraId="076A8ABB" w14:textId="77777777" w:rsidR="00825F03" w:rsidRPr="00F52884" w:rsidRDefault="00825F03" w:rsidP="0050306B">
      <w:pPr>
        <w:ind w:firstLine="284"/>
        <w:jc w:val="both"/>
        <w:rPr>
          <w:rFonts w:cstheme="minorHAnsi"/>
          <w:szCs w:val="23"/>
          <w:lang w:val="fr-CA"/>
        </w:rPr>
      </w:pPr>
    </w:p>
    <w:p w14:paraId="773C01EA" w14:textId="1CEE2F9F" w:rsidR="00825F03" w:rsidRPr="00F52884" w:rsidRDefault="00825F03" w:rsidP="0050306B">
      <w:pPr>
        <w:jc w:val="center"/>
        <w:rPr>
          <w:rFonts w:cstheme="minorHAnsi"/>
          <w:b/>
          <w:szCs w:val="23"/>
          <w:lang w:val="fr-CA"/>
        </w:rPr>
      </w:pPr>
      <w:r w:rsidRPr="00F52884">
        <w:rPr>
          <w:rFonts w:cstheme="minorHAnsi"/>
          <w:b/>
          <w:bCs/>
          <w:szCs w:val="23"/>
          <w:lang w:val="fr-CA"/>
        </w:rPr>
        <w:t xml:space="preserve">Article 307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Accès aux marchés - Services</w:t>
      </w:r>
    </w:p>
    <w:p w14:paraId="54226093" w14:textId="77777777" w:rsidR="00825F03" w:rsidRPr="00F52884" w:rsidRDefault="00825F03" w:rsidP="0050306B">
      <w:pPr>
        <w:rPr>
          <w:rFonts w:cstheme="minorHAnsi"/>
          <w:b/>
          <w:szCs w:val="23"/>
          <w:lang w:val="fr-CA"/>
        </w:rPr>
      </w:pPr>
    </w:p>
    <w:p w14:paraId="45DFB6E7" w14:textId="5750F321" w:rsidR="00825F03" w:rsidRPr="00F52884" w:rsidRDefault="00825F03" w:rsidP="00825F03">
      <w:pPr>
        <w:pStyle w:val="ListParagraph"/>
        <w:numPr>
          <w:ilvl w:val="0"/>
          <w:numId w:val="317"/>
        </w:numPr>
        <w:tabs>
          <w:tab w:val="left" w:pos="-5760"/>
        </w:tabs>
        <w:ind w:left="0" w:firstLine="0"/>
        <w:rPr>
          <w:rFonts w:eastAsia="Times New Roman" w:cstheme="minorHAnsi"/>
          <w:szCs w:val="23"/>
          <w:lang w:val="fr-CA"/>
        </w:rPr>
      </w:pPr>
      <w:r w:rsidRPr="00F52884">
        <w:rPr>
          <w:rFonts w:eastAsia="Times New Roman" w:cstheme="minorHAnsi"/>
          <w:szCs w:val="23"/>
          <w:lang w:val="fr-CA"/>
        </w:rPr>
        <w:t>Une Partie n’adopte ni ne maintient une mesure qui impose des limitations concernant, selon le cas :</w:t>
      </w:r>
    </w:p>
    <w:p w14:paraId="32788B0B" w14:textId="77777777" w:rsidR="00825F03" w:rsidRPr="00F52884" w:rsidRDefault="00825F03" w:rsidP="0050306B">
      <w:pPr>
        <w:pStyle w:val="ListParagraph"/>
        <w:ind w:left="1170"/>
        <w:rPr>
          <w:rFonts w:cstheme="minorHAnsi"/>
          <w:szCs w:val="23"/>
          <w:lang w:val="fr-CA"/>
        </w:rPr>
      </w:pPr>
    </w:p>
    <w:p w14:paraId="557AF7A4" w14:textId="379DB3F1" w:rsidR="00825F03" w:rsidRPr="00F52884" w:rsidRDefault="00825F03" w:rsidP="00825F03">
      <w:pPr>
        <w:pStyle w:val="ListParagraph"/>
        <w:numPr>
          <w:ilvl w:val="0"/>
          <w:numId w:val="318"/>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le</w:t>
      </w:r>
      <w:proofErr w:type="gramEnd"/>
      <w:r w:rsidRPr="00F52884">
        <w:rPr>
          <w:rFonts w:eastAsia="Times New Roman" w:cstheme="minorHAnsi"/>
          <w:szCs w:val="23"/>
          <w:lang w:val="fr-CA"/>
        </w:rPr>
        <w:t xml:space="preserve"> nombre de fournisseurs de services, que ce soit sous la forme de contingents numériques, de monopoles, de fournisseurs exclusifs de services ou de l’exigence d’un examen des besoins économiques;</w:t>
      </w:r>
    </w:p>
    <w:p w14:paraId="697B35D4"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36CCEB65" w14:textId="77777777" w:rsidR="00825F03" w:rsidRPr="00F52884" w:rsidRDefault="00825F03" w:rsidP="00825F03">
      <w:pPr>
        <w:pStyle w:val="ListParagraph"/>
        <w:numPr>
          <w:ilvl w:val="0"/>
          <w:numId w:val="318"/>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valeur totale des transactions ou des avoirs en rapport avec les services, sous la forme de contingents numériques ou de l’exigence d’un examen des besoins économiques;</w:t>
      </w:r>
    </w:p>
    <w:p w14:paraId="6E6F5250" w14:textId="77777777" w:rsidR="00825F03" w:rsidRPr="00F52884" w:rsidRDefault="00825F03" w:rsidP="0050306B">
      <w:pPr>
        <w:pStyle w:val="ListParagraph"/>
        <w:autoSpaceDE w:val="0"/>
        <w:autoSpaceDN w:val="0"/>
        <w:adjustRightInd w:val="0"/>
        <w:ind w:left="1440"/>
        <w:rPr>
          <w:rFonts w:eastAsia="Times New Roman" w:cstheme="minorHAnsi"/>
          <w:szCs w:val="23"/>
          <w:lang w:val="fr-CA"/>
        </w:rPr>
      </w:pPr>
    </w:p>
    <w:p w14:paraId="3FB5B1FC" w14:textId="77777777" w:rsidR="00825F03" w:rsidRPr="00F52884" w:rsidRDefault="00825F03" w:rsidP="00825F03">
      <w:pPr>
        <w:pStyle w:val="ListParagraph"/>
        <w:numPr>
          <w:ilvl w:val="0"/>
          <w:numId w:val="318"/>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lastRenderedPageBreak/>
        <w:t>le</w:t>
      </w:r>
      <w:proofErr w:type="gramEnd"/>
      <w:r w:rsidRPr="00F52884">
        <w:rPr>
          <w:rFonts w:eastAsia="Times New Roman" w:cstheme="minorHAnsi"/>
          <w:szCs w:val="23"/>
          <w:lang w:val="fr-CA"/>
        </w:rPr>
        <w:t xml:space="preserve"> nombre total d’opérations de services ou la quantité totale de services produits, exprimées en unités numériques déterminées, sous la forme de contingents ou de l’exigence d’un examen des besoins économiques;</w:t>
      </w:r>
    </w:p>
    <w:p w14:paraId="3879F22E" w14:textId="77777777" w:rsidR="00825F03" w:rsidRPr="00F52884" w:rsidRDefault="00825F03" w:rsidP="0050306B">
      <w:pPr>
        <w:autoSpaceDE w:val="0"/>
        <w:autoSpaceDN w:val="0"/>
        <w:adjustRightInd w:val="0"/>
        <w:ind w:left="1440"/>
        <w:rPr>
          <w:rFonts w:eastAsia="Times New Roman" w:cstheme="minorHAnsi"/>
          <w:szCs w:val="23"/>
          <w:lang w:val="fr-CA"/>
        </w:rPr>
      </w:pPr>
    </w:p>
    <w:p w14:paraId="394C9C30" w14:textId="422B80E6" w:rsidR="00825F03" w:rsidRPr="00F52884" w:rsidRDefault="00825F03" w:rsidP="00825F03">
      <w:pPr>
        <w:pStyle w:val="ListParagraph"/>
        <w:numPr>
          <w:ilvl w:val="0"/>
          <w:numId w:val="318"/>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le</w:t>
      </w:r>
      <w:proofErr w:type="gramEnd"/>
      <w:r w:rsidRPr="00F52884">
        <w:rPr>
          <w:rFonts w:eastAsia="Times New Roman" w:cstheme="minorHAnsi"/>
          <w:szCs w:val="23"/>
          <w:lang w:val="fr-CA"/>
        </w:rPr>
        <w:t xml:space="preserve"> nombre total de personnes physiques qui peuvent être employées dans un secteur particulier ou qu’une entreprise peut employer, et qui sont nécessaires pour la réalisation d’une activité économique et s’en occupent directement, sous la forme de contingents numériques ou de l’exigence d’un examen des besoins économiques.</w:t>
      </w:r>
    </w:p>
    <w:p w14:paraId="4B10B03C" w14:textId="77777777" w:rsidR="00825F03" w:rsidRPr="00F52884" w:rsidRDefault="00825F03" w:rsidP="0050306B">
      <w:pPr>
        <w:autoSpaceDE w:val="0"/>
        <w:autoSpaceDN w:val="0"/>
        <w:adjustRightInd w:val="0"/>
        <w:rPr>
          <w:rFonts w:eastAsia="Times New Roman" w:cstheme="minorHAnsi"/>
          <w:szCs w:val="23"/>
          <w:lang w:val="fr-CA"/>
        </w:rPr>
      </w:pPr>
    </w:p>
    <w:p w14:paraId="5A45BC9F" w14:textId="23EC1E6B" w:rsidR="00825F03" w:rsidRPr="00F52884" w:rsidRDefault="00825F03" w:rsidP="00825F03">
      <w:pPr>
        <w:pStyle w:val="ListParagraph"/>
        <w:numPr>
          <w:ilvl w:val="0"/>
          <w:numId w:val="317"/>
        </w:numPr>
        <w:ind w:left="0" w:firstLine="0"/>
        <w:rPr>
          <w:rFonts w:eastAsia="Calibri" w:cstheme="minorHAnsi"/>
          <w:szCs w:val="23"/>
          <w:lang w:val="fr-CA"/>
        </w:rPr>
      </w:pPr>
      <w:bookmarkStart w:id="15" w:name="OLE_LINK1"/>
      <w:bookmarkStart w:id="16" w:name="OLE_LINK2"/>
      <w:r w:rsidRPr="00F52884">
        <w:rPr>
          <w:rFonts w:eastAsia="Calibri" w:cstheme="minorHAnsi"/>
          <w:szCs w:val="23"/>
          <w:lang w:val="fr-CA"/>
        </w:rPr>
        <w:t>Il est entendu qu’une mesure exigeant qu’une personne réside</w:t>
      </w:r>
      <w:r w:rsidRPr="00F52884">
        <w:rPr>
          <w:rFonts w:cstheme="minorHAnsi"/>
          <w:szCs w:val="23"/>
          <w:lang w:val="fr-CA"/>
        </w:rPr>
        <w:t xml:space="preserve"> ou ait une présence commerciale dans une Province </w:t>
      </w:r>
      <w:r w:rsidRPr="00F52884">
        <w:rPr>
          <w:rFonts w:eastAsia="Calibri" w:cstheme="minorHAnsi"/>
          <w:szCs w:val="23"/>
          <w:lang w:val="fr-CA"/>
        </w:rPr>
        <w:t>afin de pouvoir fournir un service n’est pas incompatible avec le paragraphe 1.</w:t>
      </w:r>
    </w:p>
    <w:bookmarkEnd w:id="15"/>
    <w:bookmarkEnd w:id="16"/>
    <w:p w14:paraId="4061FCE6" w14:textId="77777777" w:rsidR="00825F03" w:rsidRPr="00F52884" w:rsidRDefault="00825F03" w:rsidP="0050306B">
      <w:pPr>
        <w:rPr>
          <w:rFonts w:eastAsia="Times New Roman" w:cstheme="minorHAnsi"/>
          <w:b/>
          <w:bCs/>
          <w:szCs w:val="23"/>
          <w:lang w:val="fr-CA"/>
        </w:rPr>
      </w:pPr>
    </w:p>
    <w:p w14:paraId="0A2FD4EE" w14:textId="0962011E" w:rsidR="00825F03" w:rsidRPr="00F52884" w:rsidRDefault="006710BB" w:rsidP="0050306B">
      <w:pPr>
        <w:ind w:left="540"/>
        <w:jc w:val="center"/>
        <w:rPr>
          <w:rFonts w:cstheme="minorHAnsi"/>
          <w:b/>
          <w:szCs w:val="23"/>
          <w:lang w:val="fr-CA"/>
        </w:rPr>
      </w:pPr>
      <w:r w:rsidRPr="00F52884">
        <w:rPr>
          <w:rFonts w:cstheme="minorHAnsi"/>
          <w:b/>
          <w:bCs/>
          <w:szCs w:val="23"/>
          <w:lang w:val="fr-CA"/>
        </w:rPr>
        <w:t>Article 308 :</w:t>
      </w:r>
      <w:r w:rsidRPr="00F52884">
        <w:rPr>
          <w:rFonts w:cstheme="minorHAnsi"/>
          <w:b/>
          <w:bCs/>
          <w:szCs w:val="23"/>
          <w:lang w:val="fr-CA"/>
        </w:rPr>
        <w:tab/>
      </w:r>
      <w:r w:rsidRPr="00F52884">
        <w:rPr>
          <w:rFonts w:cstheme="minorHAnsi"/>
          <w:b/>
          <w:bCs/>
          <w:szCs w:val="23"/>
          <w:lang w:val="fr-CA"/>
        </w:rPr>
        <w:tab/>
      </w:r>
      <w:r w:rsidR="00825F03" w:rsidRPr="00F52884">
        <w:rPr>
          <w:rFonts w:cstheme="minorHAnsi"/>
          <w:b/>
          <w:bCs/>
          <w:szCs w:val="23"/>
          <w:lang w:val="fr-CA"/>
        </w:rPr>
        <w:t>Prescriptions et procédures relatives à l’octroi de licences et aux qualifications</w:t>
      </w:r>
    </w:p>
    <w:p w14:paraId="68086BFA" w14:textId="77777777" w:rsidR="00825F03" w:rsidRPr="00F52884" w:rsidRDefault="00825F03" w:rsidP="0050306B">
      <w:pPr>
        <w:rPr>
          <w:rFonts w:cstheme="minorHAnsi"/>
          <w:szCs w:val="23"/>
          <w:lang w:val="fr-CA"/>
        </w:rPr>
      </w:pPr>
    </w:p>
    <w:p w14:paraId="26233488" w14:textId="75A7B1C5" w:rsidR="00825F03" w:rsidRPr="00F52884" w:rsidRDefault="00825F03" w:rsidP="00825F03">
      <w:pPr>
        <w:pStyle w:val="NormalWeb"/>
        <w:numPr>
          <w:ilvl w:val="0"/>
          <w:numId w:val="319"/>
        </w:numPr>
        <w:spacing w:before="0" w:beforeAutospacing="0" w:after="0" w:afterAutospacing="0"/>
        <w:ind w:left="0" w:firstLine="0"/>
        <w:rPr>
          <w:rFonts w:asciiTheme="minorHAnsi" w:hAnsiTheme="minorHAnsi" w:cstheme="minorHAnsi"/>
          <w:szCs w:val="23"/>
          <w:lang w:val="fr-CA"/>
        </w:rPr>
      </w:pPr>
      <w:r w:rsidRPr="00F52884">
        <w:rPr>
          <w:rFonts w:asciiTheme="minorHAnsi" w:hAnsiTheme="minorHAnsi" w:cstheme="minorHAnsi"/>
          <w:szCs w:val="23"/>
          <w:lang w:val="fr-CA"/>
        </w:rPr>
        <w:t>Chaque Partie fait en sorte que :</w:t>
      </w:r>
    </w:p>
    <w:p w14:paraId="2FA30FA9" w14:textId="77777777" w:rsidR="00825F03" w:rsidRPr="00F52884" w:rsidRDefault="00825F03" w:rsidP="0050306B">
      <w:pPr>
        <w:pStyle w:val="NormalWeb"/>
        <w:spacing w:before="0" w:beforeAutospacing="0" w:after="0" w:afterAutospacing="0"/>
        <w:ind w:left="360"/>
        <w:rPr>
          <w:rFonts w:asciiTheme="minorHAnsi" w:hAnsiTheme="minorHAnsi" w:cstheme="minorHAnsi"/>
          <w:szCs w:val="23"/>
          <w:lang w:val="fr-CA"/>
        </w:rPr>
      </w:pPr>
    </w:p>
    <w:p w14:paraId="1D9CA076" w14:textId="03FFC05B" w:rsidR="00825F03" w:rsidRPr="00F52884" w:rsidRDefault="00825F03" w:rsidP="00825F03">
      <w:pPr>
        <w:pStyle w:val="NormalWeb"/>
        <w:numPr>
          <w:ilvl w:val="0"/>
          <w:numId w:val="320"/>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les</w:t>
      </w:r>
      <w:proofErr w:type="gramEnd"/>
      <w:r w:rsidRPr="00F52884">
        <w:rPr>
          <w:rFonts w:asciiTheme="minorHAnsi" w:hAnsiTheme="minorHAnsi" w:cstheme="minorHAnsi"/>
          <w:szCs w:val="23"/>
          <w:lang w:val="fr-CA"/>
        </w:rPr>
        <w:t xml:space="preserve"> procédures en matière d’octroi de licences et les procédures en matière de qualifications ne compliquent pas ni ne retardent de façon indue la fourniture d’un service;</w:t>
      </w:r>
    </w:p>
    <w:p w14:paraId="1CC48F15"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3BB1E5A8" w14:textId="1415C7C4" w:rsidR="00825F03" w:rsidRPr="00F52884" w:rsidRDefault="00825F03" w:rsidP="00825F03">
      <w:pPr>
        <w:pStyle w:val="NormalWeb"/>
        <w:numPr>
          <w:ilvl w:val="0"/>
          <w:numId w:val="320"/>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les</w:t>
      </w:r>
      <w:proofErr w:type="gramEnd"/>
      <w:r w:rsidRPr="00F52884">
        <w:rPr>
          <w:rFonts w:asciiTheme="minorHAnsi" w:hAnsiTheme="minorHAnsi" w:cstheme="minorHAnsi"/>
          <w:szCs w:val="23"/>
          <w:lang w:val="fr-CA"/>
        </w:rPr>
        <w:t xml:space="preserve"> procédures en matière d’octroi de licences et les procédures en matière de qualifications utilisées par une Partie ainsi que les décisions d’une Partie prises dans le cadre des processus d’autorisation et d’octroi de licences soient impartiales vis</w:t>
      </w:r>
      <w:r w:rsidRPr="00F52884">
        <w:rPr>
          <w:rFonts w:asciiTheme="minorHAnsi" w:hAnsiTheme="minorHAnsi" w:cstheme="minorHAnsi"/>
          <w:szCs w:val="23"/>
          <w:lang w:val="fr-CA"/>
        </w:rPr>
        <w:noBreakHyphen/>
        <w:t>à</w:t>
      </w:r>
      <w:r w:rsidRPr="00F52884">
        <w:rPr>
          <w:rFonts w:asciiTheme="minorHAnsi" w:hAnsiTheme="minorHAnsi" w:cstheme="minorHAnsi"/>
          <w:szCs w:val="23"/>
          <w:lang w:val="fr-CA"/>
        </w:rPr>
        <w:noBreakHyphen/>
        <w:t>vis de tous les demandeurs;</w:t>
      </w:r>
    </w:p>
    <w:p w14:paraId="32C42D62"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2B0DC9CA" w14:textId="044F7F39" w:rsidR="00825F03" w:rsidRPr="00F52884" w:rsidRDefault="00825F03" w:rsidP="00825F03">
      <w:pPr>
        <w:pStyle w:val="NormalWeb"/>
        <w:numPr>
          <w:ilvl w:val="0"/>
          <w:numId w:val="320"/>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les</w:t>
      </w:r>
      <w:proofErr w:type="gramEnd"/>
      <w:r w:rsidRPr="00F52884">
        <w:rPr>
          <w:rFonts w:asciiTheme="minorHAnsi" w:hAnsiTheme="minorHAnsi" w:cstheme="minorHAnsi"/>
          <w:szCs w:val="23"/>
          <w:lang w:val="fr-CA"/>
        </w:rPr>
        <w:t xml:space="preserve"> licences et les autorisations soient accordées dès que toutes les conditions applicables ont été remplies, et, une fois accordées, qu’elles prennent effet sans retard injustifié, en conformité avec les modalités et conditions dont elles sont assorties.</w:t>
      </w:r>
    </w:p>
    <w:p w14:paraId="4B032545"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52B9AE91" w14:textId="7073258F" w:rsidR="00825F03" w:rsidRPr="00F52884" w:rsidRDefault="00825F03" w:rsidP="000D0D55">
      <w:pPr>
        <w:pStyle w:val="NormalWeb"/>
        <w:numPr>
          <w:ilvl w:val="0"/>
          <w:numId w:val="321"/>
        </w:numPr>
        <w:spacing w:before="0" w:beforeAutospacing="0" w:after="0" w:afterAutospacing="0"/>
        <w:ind w:left="0" w:firstLine="0"/>
        <w:rPr>
          <w:rFonts w:asciiTheme="minorHAnsi" w:hAnsiTheme="minorHAnsi" w:cstheme="minorHAnsi"/>
          <w:szCs w:val="23"/>
          <w:lang w:val="fr-CA"/>
        </w:rPr>
      </w:pPr>
      <w:r w:rsidRPr="00F52884">
        <w:rPr>
          <w:rFonts w:asciiTheme="minorHAnsi" w:hAnsiTheme="minorHAnsi" w:cstheme="minorHAnsi"/>
          <w:szCs w:val="23"/>
          <w:lang w:val="fr-CA"/>
        </w:rPr>
        <w:t>Dans le cadre d’un processus de demande de licence ou d’autorisation comportant des procédures en matière d’octroi de licences et des prescriptions relatives à l’octroi de licences ou des procédures en matière de qualifications et des prescriptions relatives aux qualifications, chaque Partie fait en sorte que :</w:t>
      </w:r>
    </w:p>
    <w:p w14:paraId="386ADD19"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76B0DB8D" w14:textId="77777777" w:rsidR="00825F03" w:rsidRPr="00F52884" w:rsidRDefault="00825F03" w:rsidP="00825F03">
      <w:pPr>
        <w:pStyle w:val="NormalWeb"/>
        <w:numPr>
          <w:ilvl w:val="0"/>
          <w:numId w:val="322"/>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le</w:t>
      </w:r>
      <w:proofErr w:type="gramEnd"/>
      <w:r w:rsidRPr="00F52884">
        <w:rPr>
          <w:rFonts w:asciiTheme="minorHAnsi" w:hAnsiTheme="minorHAnsi" w:cstheme="minorHAnsi"/>
          <w:szCs w:val="23"/>
          <w:lang w:val="fr-CA"/>
        </w:rPr>
        <w:t xml:space="preserve"> traitement d’une demande :</w:t>
      </w:r>
    </w:p>
    <w:p w14:paraId="79E39765" w14:textId="77777777" w:rsidR="00825F03" w:rsidRPr="00F52884" w:rsidRDefault="00825F03" w:rsidP="0050306B">
      <w:pPr>
        <w:pStyle w:val="NormalWeb"/>
        <w:spacing w:before="0" w:beforeAutospacing="0" w:after="0" w:afterAutospacing="0"/>
        <w:ind w:left="1440"/>
        <w:rPr>
          <w:rFonts w:asciiTheme="minorHAnsi" w:hAnsiTheme="minorHAnsi" w:cstheme="minorHAnsi"/>
          <w:szCs w:val="23"/>
          <w:lang w:val="fr-CA"/>
        </w:rPr>
      </w:pPr>
    </w:p>
    <w:p w14:paraId="0323ED1C" w14:textId="75F5E2B6" w:rsidR="0019173B" w:rsidRPr="00F52884" w:rsidRDefault="0019173B" w:rsidP="0019173B">
      <w:pPr>
        <w:pStyle w:val="NormalWeb"/>
        <w:spacing w:before="0" w:beforeAutospacing="0" w:after="0" w:afterAutospacing="0"/>
        <w:ind w:left="2160" w:hanging="720"/>
        <w:rPr>
          <w:rFonts w:asciiTheme="minorHAnsi" w:hAnsiTheme="minorHAnsi" w:cstheme="minorHAnsi"/>
          <w:szCs w:val="23"/>
          <w:lang w:val="fr-CA"/>
        </w:rPr>
      </w:pPr>
      <w:r w:rsidRPr="00F52884">
        <w:rPr>
          <w:rFonts w:asciiTheme="minorHAnsi" w:hAnsiTheme="minorHAnsi" w:cstheme="minorHAnsi"/>
          <w:szCs w:val="23"/>
          <w:lang w:val="fr-CA"/>
        </w:rPr>
        <w:t>i)</w:t>
      </w:r>
      <w:r w:rsidRPr="00F52884">
        <w:rPr>
          <w:rFonts w:asciiTheme="minorHAnsi" w:hAnsiTheme="minorHAnsi" w:cstheme="minorHAnsi"/>
          <w:szCs w:val="23"/>
          <w:lang w:val="fr-CA"/>
        </w:rPr>
        <w:tab/>
      </w:r>
      <w:r w:rsidR="00825F03" w:rsidRPr="00F52884">
        <w:rPr>
          <w:rFonts w:asciiTheme="minorHAnsi" w:hAnsiTheme="minorHAnsi" w:cstheme="minorHAnsi"/>
          <w:szCs w:val="23"/>
          <w:lang w:val="fr-CA"/>
        </w:rPr>
        <w:t>soit amorcé sans retard injustifié,</w:t>
      </w:r>
    </w:p>
    <w:p w14:paraId="3F2B1F54" w14:textId="77777777" w:rsidR="0019173B" w:rsidRPr="00F52884" w:rsidRDefault="0019173B" w:rsidP="0019173B">
      <w:pPr>
        <w:pStyle w:val="NormalWeb"/>
        <w:spacing w:before="0" w:beforeAutospacing="0" w:after="0" w:afterAutospacing="0"/>
        <w:ind w:left="2160" w:hanging="720"/>
        <w:rPr>
          <w:rFonts w:asciiTheme="minorHAnsi" w:hAnsiTheme="minorHAnsi" w:cstheme="minorHAnsi"/>
          <w:szCs w:val="23"/>
          <w:lang w:val="fr-CA"/>
        </w:rPr>
      </w:pPr>
    </w:p>
    <w:p w14:paraId="40047BC4" w14:textId="3635250D" w:rsidR="00825F03" w:rsidRPr="00F52884" w:rsidRDefault="0019173B" w:rsidP="0019173B">
      <w:pPr>
        <w:pStyle w:val="NormalWeb"/>
        <w:spacing w:before="0" w:beforeAutospacing="0" w:after="0" w:afterAutospacing="0"/>
        <w:ind w:left="2160" w:hanging="720"/>
        <w:rPr>
          <w:rFonts w:asciiTheme="minorHAnsi" w:hAnsiTheme="minorHAnsi" w:cstheme="minorHAnsi"/>
          <w:szCs w:val="23"/>
          <w:lang w:val="fr-CA"/>
        </w:rPr>
      </w:pPr>
      <w:r w:rsidRPr="00F52884">
        <w:rPr>
          <w:rFonts w:asciiTheme="minorHAnsi" w:hAnsiTheme="minorHAnsi" w:cstheme="minorHAnsi"/>
          <w:szCs w:val="23"/>
          <w:lang w:val="fr-CA"/>
        </w:rPr>
        <w:t>ii)</w:t>
      </w:r>
      <w:r w:rsidRPr="00F52884">
        <w:rPr>
          <w:rFonts w:asciiTheme="minorHAnsi" w:hAnsiTheme="minorHAnsi" w:cstheme="minorHAnsi"/>
          <w:szCs w:val="23"/>
          <w:lang w:val="fr-CA"/>
        </w:rPr>
        <w:tab/>
      </w:r>
      <w:r w:rsidR="00825F03" w:rsidRPr="00F52884">
        <w:rPr>
          <w:rFonts w:asciiTheme="minorHAnsi" w:hAnsiTheme="minorHAnsi" w:cstheme="minorHAnsi"/>
          <w:szCs w:val="23"/>
          <w:lang w:val="fr-CA"/>
        </w:rPr>
        <w:t>soit terminé dans un délai raisonnable à compter de la présentation d’une demande complète, ce délai incluant le temps nécessaire pour prendre une décision finale;</w:t>
      </w:r>
    </w:p>
    <w:p w14:paraId="070CEF8A"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164E32BD" w14:textId="550D43B0" w:rsidR="00825F03" w:rsidRPr="00F52884" w:rsidRDefault="00825F03" w:rsidP="00825F03">
      <w:pPr>
        <w:pStyle w:val="NormalWeb"/>
        <w:numPr>
          <w:ilvl w:val="0"/>
          <w:numId w:val="322"/>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si</w:t>
      </w:r>
      <w:proofErr w:type="gramEnd"/>
      <w:r w:rsidRPr="00F52884">
        <w:rPr>
          <w:rFonts w:asciiTheme="minorHAnsi" w:hAnsiTheme="minorHAnsi" w:cstheme="minorHAnsi"/>
          <w:szCs w:val="23"/>
          <w:lang w:val="fr-CA"/>
        </w:rPr>
        <w:t xml:space="preserve"> possible, les demandes présentées sous format électronique soient acceptées à des conditions d’authentification semblables à celles applicables </w:t>
      </w:r>
      <w:r w:rsidRPr="00F52884">
        <w:rPr>
          <w:rFonts w:asciiTheme="minorHAnsi" w:hAnsiTheme="minorHAnsi" w:cstheme="minorHAnsi"/>
          <w:szCs w:val="23"/>
          <w:lang w:val="fr-CA"/>
        </w:rPr>
        <w:lastRenderedPageBreak/>
        <w:t>aux documents soumis sur papier.  Des copies certifiées authentiques devraient être acceptées, si cela est jugé approprié, à la place des documents originaux;</w:t>
      </w:r>
    </w:p>
    <w:p w14:paraId="50FD3993"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1D96B018" w14:textId="4A2C1AE7" w:rsidR="00825F03" w:rsidRPr="00F52884" w:rsidRDefault="00825F03" w:rsidP="00825F03">
      <w:pPr>
        <w:pStyle w:val="NormalWeb"/>
        <w:numPr>
          <w:ilvl w:val="0"/>
          <w:numId w:val="322"/>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à</w:t>
      </w:r>
      <w:proofErr w:type="gramEnd"/>
      <w:r w:rsidRPr="00F52884">
        <w:rPr>
          <w:rFonts w:asciiTheme="minorHAnsi" w:hAnsiTheme="minorHAnsi" w:cstheme="minorHAnsi"/>
          <w:szCs w:val="23"/>
          <w:lang w:val="fr-CA"/>
        </w:rPr>
        <w:t xml:space="preserve"> la demande d’un demandeur, des renseignements sur l’état d’avancement de la demande soient fournis sans retard injustifié;</w:t>
      </w:r>
    </w:p>
    <w:p w14:paraId="38EE4D94" w14:textId="77777777" w:rsidR="00825F03" w:rsidRPr="00F52884" w:rsidRDefault="00825F03" w:rsidP="0050306B">
      <w:pPr>
        <w:rPr>
          <w:rFonts w:cstheme="minorHAnsi"/>
          <w:szCs w:val="23"/>
          <w:lang w:val="fr-CA"/>
        </w:rPr>
      </w:pPr>
    </w:p>
    <w:p w14:paraId="2922FDD6" w14:textId="015CB2B5" w:rsidR="00825F03" w:rsidRPr="00F52884" w:rsidRDefault="00825F03" w:rsidP="00825F03">
      <w:pPr>
        <w:pStyle w:val="NormalWeb"/>
        <w:numPr>
          <w:ilvl w:val="0"/>
          <w:numId w:val="322"/>
        </w:numPr>
        <w:spacing w:before="0" w:beforeAutospacing="0" w:after="0" w:afterAutospacing="0"/>
        <w:ind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si</w:t>
      </w:r>
      <w:proofErr w:type="gramEnd"/>
      <w:r w:rsidRPr="00F52884">
        <w:rPr>
          <w:rFonts w:asciiTheme="minorHAnsi" w:hAnsiTheme="minorHAnsi" w:cstheme="minorHAnsi"/>
          <w:szCs w:val="23"/>
          <w:lang w:val="fr-CA"/>
        </w:rPr>
        <w:t xml:space="preserve"> une Partie juge qu’une demande est incomplète, elle soit tenue, dans un délai raisonnable, d’en aviser le demandeur, de déterminer les renseignements additionnels nécessaires pour compléter la demande et d’offrir au demandeur la possibilité de remédier aux lacunes.</w:t>
      </w:r>
    </w:p>
    <w:p w14:paraId="3E70B0C4"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043A279F" w14:textId="5C407B21" w:rsidR="00825F03" w:rsidRPr="00F52884" w:rsidRDefault="00825F03" w:rsidP="00825F03">
      <w:pPr>
        <w:pStyle w:val="NormalWeb"/>
        <w:numPr>
          <w:ilvl w:val="0"/>
          <w:numId w:val="321"/>
        </w:numPr>
        <w:spacing w:before="0" w:beforeAutospacing="0" w:after="0" w:afterAutospacing="0"/>
        <w:ind w:left="0" w:firstLine="0"/>
        <w:rPr>
          <w:rFonts w:asciiTheme="minorHAnsi" w:hAnsiTheme="minorHAnsi" w:cstheme="minorHAnsi"/>
          <w:szCs w:val="23"/>
          <w:lang w:val="fr-CA"/>
        </w:rPr>
      </w:pPr>
      <w:r w:rsidRPr="00F52884">
        <w:rPr>
          <w:rFonts w:asciiTheme="minorHAnsi" w:hAnsiTheme="minorHAnsi" w:cstheme="minorHAnsi"/>
          <w:szCs w:val="23"/>
          <w:lang w:val="fr-CA"/>
        </w:rPr>
        <w:t>En ce qui concerne les demandes de licence ou d’autorisation rejetées, chaque Partie fait en sorte que le demandeur soit, à la fois :</w:t>
      </w:r>
    </w:p>
    <w:p w14:paraId="460EBF20"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3EC70997" w14:textId="673CE5B9" w:rsidR="00825F03" w:rsidRPr="00F52884" w:rsidRDefault="00825F03" w:rsidP="00825F03">
      <w:pPr>
        <w:pStyle w:val="NormalWeb"/>
        <w:numPr>
          <w:ilvl w:val="1"/>
          <w:numId w:val="324"/>
        </w:numPr>
        <w:spacing w:before="0" w:beforeAutospacing="0" w:after="0" w:afterAutospacing="0"/>
        <w:ind w:left="1530" w:hanging="810"/>
        <w:rPr>
          <w:rFonts w:asciiTheme="minorHAnsi" w:hAnsiTheme="minorHAnsi" w:cstheme="minorHAnsi"/>
          <w:szCs w:val="23"/>
          <w:lang w:val="fr-CA"/>
        </w:rPr>
      </w:pPr>
      <w:proofErr w:type="gramStart"/>
      <w:r w:rsidRPr="00F52884">
        <w:rPr>
          <w:rFonts w:asciiTheme="minorHAnsi" w:hAnsiTheme="minorHAnsi" w:cstheme="minorHAnsi"/>
          <w:szCs w:val="23"/>
          <w:lang w:val="fr-CA"/>
        </w:rPr>
        <w:t>informé</w:t>
      </w:r>
      <w:proofErr w:type="gramEnd"/>
      <w:r w:rsidRPr="00F52884">
        <w:rPr>
          <w:rFonts w:asciiTheme="minorHAnsi" w:hAnsiTheme="minorHAnsi" w:cstheme="minorHAnsi"/>
          <w:szCs w:val="23"/>
          <w:lang w:val="fr-CA"/>
        </w:rPr>
        <w:t xml:space="preserve"> par écrit, sans retard injustifié, du rejet de la demande;</w:t>
      </w:r>
    </w:p>
    <w:p w14:paraId="74C7ACF6" w14:textId="77777777" w:rsidR="00825F03" w:rsidRPr="00F52884" w:rsidRDefault="00825F03" w:rsidP="0050306B">
      <w:pPr>
        <w:pStyle w:val="NormalWeb"/>
        <w:spacing w:before="0" w:beforeAutospacing="0" w:after="0" w:afterAutospacing="0"/>
        <w:ind w:left="1530"/>
        <w:rPr>
          <w:rFonts w:asciiTheme="minorHAnsi" w:hAnsiTheme="minorHAnsi" w:cstheme="minorHAnsi"/>
          <w:szCs w:val="23"/>
          <w:lang w:val="fr-CA"/>
        </w:rPr>
      </w:pPr>
    </w:p>
    <w:p w14:paraId="2B4341AB" w14:textId="65137E68" w:rsidR="00825F03" w:rsidRPr="00F52884" w:rsidRDefault="00825F03" w:rsidP="00825F03">
      <w:pPr>
        <w:pStyle w:val="NormalWeb"/>
        <w:numPr>
          <w:ilvl w:val="1"/>
          <w:numId w:val="324"/>
        </w:numPr>
        <w:spacing w:before="0" w:beforeAutospacing="0" w:after="0" w:afterAutospacing="0"/>
        <w:ind w:left="1530" w:hanging="810"/>
        <w:rPr>
          <w:rFonts w:asciiTheme="minorHAnsi" w:hAnsiTheme="minorHAnsi" w:cstheme="minorHAnsi"/>
          <w:szCs w:val="23"/>
          <w:lang w:val="fr-CA"/>
        </w:rPr>
      </w:pPr>
      <w:proofErr w:type="gramStart"/>
      <w:r w:rsidRPr="00F52884">
        <w:rPr>
          <w:rFonts w:asciiTheme="minorHAnsi" w:hAnsiTheme="minorHAnsi" w:cstheme="minorHAnsi"/>
          <w:szCs w:val="23"/>
          <w:lang w:val="fr-CA"/>
        </w:rPr>
        <w:t>informé</w:t>
      </w:r>
      <w:proofErr w:type="gramEnd"/>
      <w:r w:rsidRPr="00F52884">
        <w:rPr>
          <w:rFonts w:asciiTheme="minorHAnsi" w:hAnsiTheme="minorHAnsi" w:cstheme="minorHAnsi"/>
          <w:szCs w:val="23"/>
          <w:lang w:val="fr-CA"/>
        </w:rPr>
        <w:t>, à sa demande, des motifs du rejet de la demande et du délai dont il dispose pour former un appel contre la décision ou en demander la révision, conformément au paragraphe 4;</w:t>
      </w:r>
    </w:p>
    <w:p w14:paraId="4E3B10F7" w14:textId="77777777" w:rsidR="00825F03" w:rsidRPr="00F52884" w:rsidRDefault="00825F03" w:rsidP="0050306B">
      <w:pPr>
        <w:pStyle w:val="NormalWeb"/>
        <w:spacing w:before="0" w:beforeAutospacing="0" w:after="0" w:afterAutospacing="0"/>
        <w:rPr>
          <w:rFonts w:asciiTheme="minorHAnsi" w:hAnsiTheme="minorHAnsi" w:cstheme="minorHAnsi"/>
          <w:szCs w:val="23"/>
          <w:lang w:val="fr-CA"/>
        </w:rPr>
      </w:pPr>
    </w:p>
    <w:p w14:paraId="4B06B762" w14:textId="42D274B9" w:rsidR="00825F03" w:rsidRPr="00F52884" w:rsidRDefault="00825F03" w:rsidP="00825F03">
      <w:pPr>
        <w:pStyle w:val="NormalWeb"/>
        <w:numPr>
          <w:ilvl w:val="1"/>
          <w:numId w:val="324"/>
        </w:numPr>
        <w:spacing w:before="0" w:beforeAutospacing="0" w:after="0" w:afterAutospacing="0"/>
        <w:ind w:left="1530" w:hanging="810"/>
        <w:rPr>
          <w:rFonts w:asciiTheme="minorHAnsi" w:hAnsiTheme="minorHAnsi" w:cstheme="minorHAnsi"/>
          <w:szCs w:val="23"/>
          <w:lang w:val="fr-CA"/>
        </w:rPr>
      </w:pPr>
      <w:proofErr w:type="gramStart"/>
      <w:r w:rsidRPr="00F52884">
        <w:rPr>
          <w:rFonts w:asciiTheme="minorHAnsi" w:hAnsiTheme="minorHAnsi" w:cstheme="minorHAnsi"/>
          <w:szCs w:val="23"/>
          <w:lang w:val="fr-CA"/>
        </w:rPr>
        <w:t>autorisé</w:t>
      </w:r>
      <w:proofErr w:type="gramEnd"/>
      <w:r w:rsidRPr="00F52884">
        <w:rPr>
          <w:rFonts w:asciiTheme="minorHAnsi" w:hAnsiTheme="minorHAnsi" w:cstheme="minorHAnsi"/>
          <w:szCs w:val="23"/>
          <w:lang w:val="fr-CA"/>
        </w:rPr>
        <w:t xml:space="preserve"> à soumettre une nouvelle demande dans un délai raisonnable.</w:t>
      </w:r>
    </w:p>
    <w:p w14:paraId="5BB61AC5" w14:textId="77777777" w:rsidR="00825F03" w:rsidRPr="00F52884" w:rsidRDefault="00825F03" w:rsidP="0050306B">
      <w:pPr>
        <w:pStyle w:val="NormalWeb"/>
        <w:spacing w:before="0" w:beforeAutospacing="0" w:after="0" w:afterAutospacing="0"/>
        <w:ind w:left="1530" w:hanging="810"/>
        <w:rPr>
          <w:rFonts w:asciiTheme="minorHAnsi" w:hAnsiTheme="minorHAnsi" w:cstheme="minorHAnsi"/>
          <w:szCs w:val="23"/>
          <w:lang w:val="fr-CA"/>
        </w:rPr>
      </w:pPr>
    </w:p>
    <w:p w14:paraId="742DCE2E" w14:textId="1CFEB50A" w:rsidR="00825F03" w:rsidRPr="00F52884" w:rsidRDefault="00825F03" w:rsidP="00825F03">
      <w:pPr>
        <w:pStyle w:val="NormalWeb"/>
        <w:numPr>
          <w:ilvl w:val="0"/>
          <w:numId w:val="321"/>
        </w:numPr>
        <w:spacing w:before="0" w:beforeAutospacing="0" w:after="0" w:afterAutospacing="0"/>
        <w:ind w:left="0" w:firstLine="0"/>
        <w:rPr>
          <w:rFonts w:asciiTheme="minorHAnsi" w:hAnsiTheme="minorHAnsi" w:cstheme="minorHAnsi"/>
          <w:szCs w:val="23"/>
          <w:lang w:val="fr-CA"/>
        </w:rPr>
      </w:pPr>
      <w:r w:rsidRPr="00F52884">
        <w:rPr>
          <w:rFonts w:asciiTheme="minorHAnsi" w:hAnsiTheme="minorHAnsi" w:cstheme="minorHAnsi"/>
          <w:szCs w:val="23"/>
          <w:lang w:val="fr-CA"/>
        </w:rPr>
        <w:t xml:space="preserve">Chaque Partie </w:t>
      </w:r>
      <w:proofErr w:type="spellStart"/>
      <w:r w:rsidRPr="00F52884">
        <w:rPr>
          <w:rFonts w:asciiTheme="minorHAnsi" w:hAnsiTheme="minorHAnsi" w:cstheme="minorHAnsi"/>
          <w:szCs w:val="23"/>
          <w:lang w:val="fr-CA"/>
        </w:rPr>
        <w:t>maintient</w:t>
      </w:r>
      <w:proofErr w:type="spellEnd"/>
      <w:r w:rsidRPr="00F52884">
        <w:rPr>
          <w:rFonts w:asciiTheme="minorHAnsi" w:hAnsiTheme="minorHAnsi" w:cstheme="minorHAnsi"/>
          <w:szCs w:val="23"/>
          <w:lang w:val="fr-CA"/>
        </w:rPr>
        <w:t xml:space="preserve"> ou institue des procédures ou des tribunaux judiciaires, arbitraux ou </w:t>
      </w:r>
      <w:proofErr w:type="gramStart"/>
      <w:r w:rsidRPr="00F52884">
        <w:rPr>
          <w:rFonts w:asciiTheme="minorHAnsi" w:hAnsiTheme="minorHAnsi" w:cstheme="minorHAnsi"/>
          <w:szCs w:val="23"/>
          <w:lang w:val="fr-CA"/>
        </w:rPr>
        <w:t>administratifs prévoyant</w:t>
      </w:r>
      <w:proofErr w:type="gramEnd"/>
      <w:r w:rsidRPr="00F52884">
        <w:rPr>
          <w:rFonts w:asciiTheme="minorHAnsi" w:hAnsiTheme="minorHAnsi" w:cstheme="minorHAnsi"/>
          <w:szCs w:val="23"/>
          <w:lang w:val="fr-CA"/>
        </w:rPr>
        <w:t>, à la demande d’un investisseur ou d’un fournisseur de services affectés, une prompte révision des décisions administratives affectant la fourniture d’un service et, dans les cas où cela est justifié, la prise de mesures correctives appropriées. Si ces procédures ne sont pas indépendantes de l’organisme chargé de prendre la décision administrative en question, chaque Partie fait en sorte que les procédures permettent de procéder à une révision objective et impartiale.</w:t>
      </w:r>
    </w:p>
    <w:p w14:paraId="1C4BBA04" w14:textId="77777777" w:rsidR="00825F03" w:rsidRPr="00F52884" w:rsidRDefault="00825F03" w:rsidP="0050306B">
      <w:pPr>
        <w:rPr>
          <w:rFonts w:eastAsia="Times New Roman" w:cstheme="minorHAnsi"/>
          <w:b/>
          <w:bCs/>
          <w:szCs w:val="23"/>
          <w:lang w:val="fr-CA"/>
        </w:rPr>
      </w:pPr>
    </w:p>
    <w:p w14:paraId="202BF64F" w14:textId="698A7840" w:rsidR="00825F03" w:rsidRPr="00F52884" w:rsidRDefault="00825F03" w:rsidP="0050306B">
      <w:pPr>
        <w:keepNext/>
        <w:keepLines/>
        <w:jc w:val="center"/>
        <w:rPr>
          <w:rFonts w:eastAsia="Arial" w:cstheme="minorHAnsi"/>
          <w:b/>
          <w:szCs w:val="23"/>
          <w:lang w:val="fr-CA"/>
        </w:rPr>
      </w:pPr>
      <w:r w:rsidRPr="00F52884">
        <w:rPr>
          <w:rFonts w:cstheme="minorHAnsi"/>
          <w:b/>
          <w:bCs/>
          <w:szCs w:val="23"/>
          <w:lang w:val="fr-CA"/>
        </w:rPr>
        <w:t>Article 309 :</w:t>
      </w:r>
      <w:r w:rsidRPr="00F52884">
        <w:rPr>
          <w:rFonts w:cstheme="minorHAnsi"/>
          <w:szCs w:val="23"/>
          <w:lang w:val="fr-CA"/>
        </w:rPr>
        <w:t xml:space="preserve"> </w:t>
      </w:r>
      <w:r w:rsidR="006710BB" w:rsidRPr="00F52884">
        <w:rPr>
          <w:rFonts w:cstheme="minorHAnsi"/>
          <w:szCs w:val="23"/>
          <w:lang w:val="fr-CA"/>
        </w:rPr>
        <w:tab/>
      </w:r>
      <w:r w:rsidRPr="00F52884">
        <w:rPr>
          <w:rFonts w:cstheme="minorHAnsi"/>
          <w:szCs w:val="23"/>
          <w:lang w:val="fr-CA"/>
        </w:rPr>
        <w:tab/>
      </w:r>
      <w:r w:rsidRPr="00F52884">
        <w:rPr>
          <w:rFonts w:cstheme="minorHAnsi"/>
          <w:b/>
          <w:bCs/>
          <w:szCs w:val="23"/>
          <w:lang w:val="fr-CA"/>
        </w:rPr>
        <w:t>Fournisseurs de services de transport d’électricité et commerce des services de transport d’électricité</w:t>
      </w:r>
    </w:p>
    <w:p w14:paraId="5194F9C8" w14:textId="77777777" w:rsidR="00825F03" w:rsidRPr="00F52884" w:rsidRDefault="00825F03" w:rsidP="0050306B">
      <w:pPr>
        <w:keepNext/>
        <w:keepLines/>
        <w:ind w:left="2610" w:hanging="2610"/>
        <w:rPr>
          <w:rFonts w:eastAsia="Arial" w:cstheme="minorHAnsi"/>
          <w:b/>
          <w:szCs w:val="23"/>
          <w:lang w:val="fr-CA"/>
        </w:rPr>
      </w:pPr>
    </w:p>
    <w:p w14:paraId="5B3F59A0" w14:textId="5297F5FE" w:rsidR="00825F03" w:rsidRPr="00F52884" w:rsidRDefault="00825F03" w:rsidP="0050306B">
      <w:pPr>
        <w:keepNext/>
        <w:keepLines/>
        <w:rPr>
          <w:rFonts w:eastAsia="Times New Roman" w:cstheme="minorHAnsi"/>
          <w:b/>
          <w:bCs/>
          <w:szCs w:val="23"/>
          <w:lang w:val="fr-CA"/>
        </w:rPr>
      </w:pPr>
      <w:r w:rsidRPr="00F52884">
        <w:rPr>
          <w:rFonts w:eastAsia="Arial" w:cstheme="minorHAnsi"/>
          <w:b/>
          <w:szCs w:val="23"/>
          <w:lang w:val="fr-CA"/>
        </w:rPr>
        <w:tab/>
      </w:r>
      <w:r w:rsidRPr="00F52884">
        <w:rPr>
          <w:rFonts w:eastAsia="Arial" w:cstheme="minorHAnsi"/>
          <w:szCs w:val="23"/>
          <w:lang w:val="fr-CA"/>
        </w:rPr>
        <w:t>L’annexe 309 énonce les obligations qui s’appliquent aux mesures des fournisseurs de services de transport et au commerce des services de transport, ainsi que les modalités d’entrée en vigueur de ces obligations et les procédures de règlement des différends spéciales applicables aux questions qui relèvent de cette annexe.</w:t>
      </w:r>
    </w:p>
    <w:p w14:paraId="285E4583" w14:textId="77777777" w:rsidR="00825F03" w:rsidRPr="00F52884" w:rsidRDefault="00825F03" w:rsidP="0050306B">
      <w:pPr>
        <w:pStyle w:val="Heading3"/>
        <w:spacing w:before="0" w:line="240" w:lineRule="auto"/>
        <w:jc w:val="center"/>
        <w:rPr>
          <w:rFonts w:asciiTheme="minorHAnsi" w:hAnsiTheme="minorHAnsi" w:cstheme="minorHAnsi"/>
          <w:sz w:val="23"/>
          <w:szCs w:val="23"/>
          <w:lang w:val="fr-CA"/>
        </w:rPr>
      </w:pPr>
      <w:bookmarkStart w:id="17" w:name="_Toc471907448"/>
    </w:p>
    <w:p w14:paraId="439D8C21" w14:textId="77777777" w:rsidR="00825F03" w:rsidRPr="00F52884" w:rsidRDefault="00825F03" w:rsidP="0050306B">
      <w:pPr>
        <w:pStyle w:val="Heading3"/>
        <w:spacing w:before="0" w:line="240" w:lineRule="auto"/>
        <w:jc w:val="center"/>
        <w:rPr>
          <w:rFonts w:asciiTheme="minorHAnsi" w:hAnsiTheme="minorHAnsi" w:cstheme="minorHAnsi"/>
          <w:sz w:val="23"/>
          <w:szCs w:val="23"/>
          <w:lang w:val="fr-CA"/>
        </w:rPr>
      </w:pPr>
    </w:p>
    <w:p w14:paraId="577A139E" w14:textId="77777777" w:rsidR="00825F03" w:rsidRPr="00F52884" w:rsidRDefault="00825F03">
      <w:pPr>
        <w:rPr>
          <w:rFonts w:eastAsiaTheme="majorEastAsia" w:cstheme="minorHAnsi"/>
          <w:b/>
          <w:bCs/>
          <w:szCs w:val="23"/>
          <w:lang w:val="fr-CA"/>
        </w:rPr>
      </w:pPr>
      <w:r w:rsidRPr="00F52884">
        <w:rPr>
          <w:rFonts w:cstheme="minorHAnsi"/>
          <w:szCs w:val="23"/>
          <w:lang w:val="fr-CA"/>
        </w:rPr>
        <w:br w:type="page"/>
      </w:r>
    </w:p>
    <w:p w14:paraId="0E15AA27" w14:textId="56C22E7F" w:rsidR="00825F03" w:rsidRPr="00F52884" w:rsidRDefault="00825F03" w:rsidP="0050306B">
      <w:pPr>
        <w:pStyle w:val="Heading3"/>
        <w:spacing w:before="0" w:line="240" w:lineRule="auto"/>
        <w:jc w:val="center"/>
        <w:rPr>
          <w:rFonts w:asciiTheme="minorHAnsi" w:hAnsiTheme="minorHAnsi" w:cstheme="minorHAnsi"/>
          <w:b w:val="0"/>
          <w:sz w:val="24"/>
          <w:szCs w:val="24"/>
          <w:lang w:val="fr-CA"/>
        </w:rPr>
      </w:pPr>
      <w:bookmarkStart w:id="18" w:name="_Toc156311755"/>
      <w:r w:rsidRPr="00F52884">
        <w:rPr>
          <w:rFonts w:asciiTheme="minorHAnsi" w:hAnsiTheme="minorHAnsi" w:cstheme="minorHAnsi"/>
          <w:sz w:val="24"/>
          <w:szCs w:val="24"/>
          <w:lang w:val="fr-CA"/>
        </w:rPr>
        <w:lastRenderedPageBreak/>
        <w:t>PARTIE C </w:t>
      </w:r>
      <w:bookmarkEnd w:id="17"/>
      <w:r w:rsidRPr="00F52884">
        <w:rPr>
          <w:rFonts w:asciiTheme="minorHAnsi" w:hAnsiTheme="minorHAnsi" w:cstheme="minorHAnsi"/>
          <w:sz w:val="24"/>
          <w:szCs w:val="24"/>
          <w:lang w:val="fr-CA"/>
        </w:rPr>
        <w:t xml:space="preserve">: </w:t>
      </w:r>
      <w:r w:rsidR="006710BB" w:rsidRPr="00F52884">
        <w:rPr>
          <w:rFonts w:asciiTheme="minorHAnsi" w:hAnsiTheme="minorHAnsi" w:cstheme="minorHAnsi"/>
          <w:sz w:val="24"/>
          <w:szCs w:val="24"/>
          <w:lang w:val="fr-CA"/>
        </w:rPr>
        <w:tab/>
      </w:r>
      <w:r w:rsidR="006710BB" w:rsidRPr="00F52884">
        <w:rPr>
          <w:rFonts w:asciiTheme="minorHAnsi" w:hAnsiTheme="minorHAnsi" w:cstheme="minorHAnsi"/>
          <w:sz w:val="24"/>
          <w:szCs w:val="24"/>
          <w:lang w:val="fr-CA"/>
        </w:rPr>
        <w:tab/>
      </w:r>
      <w:r w:rsidRPr="00F52884">
        <w:rPr>
          <w:rFonts w:asciiTheme="minorHAnsi" w:hAnsiTheme="minorHAnsi" w:cstheme="minorHAnsi"/>
          <w:sz w:val="24"/>
          <w:szCs w:val="24"/>
          <w:lang w:val="fr-CA"/>
        </w:rPr>
        <w:t>Investissement</w:t>
      </w:r>
      <w:bookmarkEnd w:id="18"/>
    </w:p>
    <w:p w14:paraId="702D5DAD" w14:textId="77777777" w:rsidR="00825F03" w:rsidRPr="00F52884" w:rsidRDefault="00825F03" w:rsidP="0050306B">
      <w:pPr>
        <w:jc w:val="center"/>
        <w:rPr>
          <w:rFonts w:cstheme="minorHAnsi"/>
          <w:b/>
          <w:szCs w:val="23"/>
          <w:lang w:val="fr-CA"/>
        </w:rPr>
      </w:pPr>
    </w:p>
    <w:p w14:paraId="176FA8F1" w14:textId="2AC4EA37" w:rsidR="00825F03" w:rsidRPr="00F52884" w:rsidRDefault="00825F03" w:rsidP="0050306B">
      <w:pPr>
        <w:jc w:val="center"/>
        <w:rPr>
          <w:rFonts w:cstheme="minorHAnsi"/>
          <w:b/>
          <w:szCs w:val="23"/>
          <w:lang w:val="fr-CA"/>
        </w:rPr>
      </w:pPr>
      <w:r w:rsidRPr="00F52884">
        <w:rPr>
          <w:rFonts w:cstheme="minorHAnsi"/>
          <w:b/>
          <w:bCs/>
          <w:szCs w:val="23"/>
          <w:lang w:val="fr-CA"/>
        </w:rPr>
        <w:t>Article 310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Champ d’application et portée</w:t>
      </w:r>
    </w:p>
    <w:p w14:paraId="31B0D907" w14:textId="77777777" w:rsidR="00825F03" w:rsidRPr="00F52884" w:rsidRDefault="00825F03" w:rsidP="0050306B">
      <w:pPr>
        <w:rPr>
          <w:rFonts w:cstheme="minorHAnsi"/>
          <w:b/>
          <w:szCs w:val="23"/>
          <w:lang w:val="fr-CA"/>
        </w:rPr>
      </w:pPr>
    </w:p>
    <w:p w14:paraId="6882B336" w14:textId="51228AE5" w:rsidR="00825F03" w:rsidRPr="00F52884" w:rsidRDefault="00825F03" w:rsidP="00825F03">
      <w:pPr>
        <w:pStyle w:val="ListParagraph"/>
        <w:numPr>
          <w:ilvl w:val="0"/>
          <w:numId w:val="325"/>
        </w:numPr>
        <w:ind w:left="0" w:firstLine="0"/>
        <w:rPr>
          <w:rFonts w:cstheme="minorHAnsi"/>
          <w:szCs w:val="23"/>
          <w:lang w:val="fr-CA"/>
        </w:rPr>
      </w:pPr>
      <w:r w:rsidRPr="00F52884">
        <w:rPr>
          <w:rFonts w:cstheme="minorHAnsi"/>
          <w:szCs w:val="23"/>
          <w:lang w:val="fr-CA"/>
        </w:rPr>
        <w:t>L’article 311 et l’article 312 s’appliquent à toute mesure adoptée ou maintenue par une Partie concernant les investisseurs d’une autre Partie ou leurs investissements sur son territoire.</w:t>
      </w:r>
    </w:p>
    <w:p w14:paraId="79221E5E" w14:textId="77777777" w:rsidR="00825F03" w:rsidRPr="00F52884" w:rsidRDefault="00825F03" w:rsidP="0050306B">
      <w:pPr>
        <w:rPr>
          <w:rFonts w:cstheme="minorHAnsi"/>
          <w:szCs w:val="23"/>
          <w:lang w:val="fr-CA"/>
        </w:rPr>
      </w:pPr>
    </w:p>
    <w:p w14:paraId="2CF3F0BD" w14:textId="0B7B5FE7" w:rsidR="00825F03" w:rsidRPr="00F52884" w:rsidRDefault="00825F03" w:rsidP="00825F03">
      <w:pPr>
        <w:pStyle w:val="ListParagraph"/>
        <w:numPr>
          <w:ilvl w:val="0"/>
          <w:numId w:val="325"/>
        </w:numPr>
        <w:ind w:left="0" w:firstLine="0"/>
        <w:rPr>
          <w:rFonts w:cstheme="minorHAnsi"/>
          <w:szCs w:val="23"/>
          <w:lang w:val="fr-CA"/>
        </w:rPr>
      </w:pPr>
      <w:r w:rsidRPr="00F52884">
        <w:rPr>
          <w:rFonts w:cstheme="minorHAnsi"/>
          <w:szCs w:val="23"/>
          <w:lang w:val="fr-CA"/>
        </w:rPr>
        <w:t>L’article 313 s’applique à toute mesure adoptée ou maintenue par une Partie concernant les investisseurs d’une Partie ou leurs investissements sur son territoire.</w:t>
      </w:r>
    </w:p>
    <w:p w14:paraId="25674E6A" w14:textId="77777777" w:rsidR="00825F03" w:rsidRPr="00F52884" w:rsidRDefault="00825F03" w:rsidP="0050306B">
      <w:pPr>
        <w:rPr>
          <w:rFonts w:cstheme="minorHAnsi"/>
          <w:szCs w:val="23"/>
          <w:lang w:val="fr-CA"/>
        </w:rPr>
      </w:pPr>
    </w:p>
    <w:p w14:paraId="0738047D" w14:textId="74D92D37" w:rsidR="00825F03" w:rsidRPr="00F52884" w:rsidRDefault="00825F03" w:rsidP="0050306B">
      <w:pPr>
        <w:pStyle w:val="ListParagraph"/>
        <w:tabs>
          <w:tab w:val="left" w:pos="-5760"/>
        </w:tabs>
        <w:ind w:left="0"/>
        <w:jc w:val="center"/>
        <w:rPr>
          <w:rFonts w:cstheme="minorHAnsi"/>
          <w:b/>
          <w:szCs w:val="23"/>
          <w:lang w:val="fr-CA"/>
        </w:rPr>
      </w:pPr>
      <w:r w:rsidRPr="00F52884">
        <w:rPr>
          <w:rFonts w:cstheme="minorHAnsi"/>
          <w:b/>
          <w:bCs/>
          <w:szCs w:val="23"/>
          <w:lang w:val="fr-CA"/>
        </w:rPr>
        <w:t xml:space="preserve">Article 311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Exigences formelles</w:t>
      </w:r>
    </w:p>
    <w:p w14:paraId="0B10E9EF" w14:textId="77777777" w:rsidR="00825F03" w:rsidRPr="00F52884" w:rsidRDefault="00825F03" w:rsidP="0050306B">
      <w:pPr>
        <w:pStyle w:val="ListParagraph"/>
        <w:tabs>
          <w:tab w:val="left" w:pos="-5760"/>
        </w:tabs>
        <w:ind w:left="0"/>
        <w:rPr>
          <w:rFonts w:cstheme="minorHAnsi"/>
          <w:b/>
          <w:szCs w:val="23"/>
          <w:lang w:val="fr-CA"/>
        </w:rPr>
      </w:pPr>
    </w:p>
    <w:p w14:paraId="22EB23FB" w14:textId="764BF7EF" w:rsidR="00825F03" w:rsidRPr="00F52884" w:rsidRDefault="00825F03" w:rsidP="0050306B">
      <w:pPr>
        <w:tabs>
          <w:tab w:val="left" w:pos="-5760"/>
        </w:tabs>
        <w:rPr>
          <w:rFonts w:cstheme="minorHAnsi"/>
          <w:szCs w:val="23"/>
          <w:lang w:val="fr-CA"/>
        </w:rPr>
      </w:pPr>
      <w:r w:rsidRPr="00F52884">
        <w:rPr>
          <w:rFonts w:cstheme="minorHAnsi"/>
          <w:szCs w:val="23"/>
          <w:lang w:val="fr-CA"/>
        </w:rPr>
        <w:tab/>
        <w:t>Une Partie peut exiger qu’un investisseur ou son investissement satisfasse à l’une ou l’autre des exigences suivantes :</w:t>
      </w:r>
    </w:p>
    <w:p w14:paraId="31D029D4" w14:textId="77777777" w:rsidR="00825F03" w:rsidRPr="00F52884" w:rsidRDefault="00825F03" w:rsidP="0050306B">
      <w:pPr>
        <w:pStyle w:val="ListParagraph"/>
        <w:rPr>
          <w:rFonts w:cstheme="minorHAnsi"/>
          <w:szCs w:val="23"/>
          <w:lang w:val="fr-CA"/>
        </w:rPr>
      </w:pPr>
    </w:p>
    <w:p w14:paraId="19E17519" w14:textId="77777777" w:rsidR="00825F03" w:rsidRPr="00F52884" w:rsidRDefault="00825F03" w:rsidP="00825F03">
      <w:pPr>
        <w:pStyle w:val="ListParagraph"/>
        <w:numPr>
          <w:ilvl w:val="0"/>
          <w:numId w:val="326"/>
        </w:numPr>
        <w:ind w:left="1440" w:hanging="720"/>
        <w:rPr>
          <w:rFonts w:cstheme="minorHAnsi"/>
          <w:szCs w:val="23"/>
          <w:lang w:val="fr-CA"/>
        </w:rPr>
      </w:pPr>
      <w:proofErr w:type="gramStart"/>
      <w:r w:rsidRPr="00F52884">
        <w:rPr>
          <w:rFonts w:cstheme="minorHAnsi"/>
          <w:szCs w:val="23"/>
          <w:lang w:val="fr-CA"/>
        </w:rPr>
        <w:t>avoir</w:t>
      </w:r>
      <w:proofErr w:type="gramEnd"/>
      <w:r w:rsidRPr="00F52884">
        <w:rPr>
          <w:rFonts w:cstheme="minorHAnsi"/>
          <w:szCs w:val="23"/>
          <w:lang w:val="fr-CA"/>
        </w:rPr>
        <w:t xml:space="preserve"> un agent local ou disposer d’une adresse locale aux fins de signification;</w:t>
      </w:r>
    </w:p>
    <w:p w14:paraId="7955F3B4" w14:textId="77777777" w:rsidR="00825F03" w:rsidRPr="00F52884" w:rsidRDefault="00825F03" w:rsidP="0050306B">
      <w:pPr>
        <w:pStyle w:val="ListParagraph"/>
        <w:ind w:left="1440"/>
        <w:rPr>
          <w:rFonts w:cstheme="minorHAnsi"/>
          <w:szCs w:val="23"/>
          <w:lang w:val="fr-CA"/>
        </w:rPr>
      </w:pPr>
    </w:p>
    <w:p w14:paraId="7173465C" w14:textId="5B7371E0" w:rsidR="00825F03" w:rsidRPr="00F52884" w:rsidRDefault="00825F03" w:rsidP="00825F03">
      <w:pPr>
        <w:pStyle w:val="ListParagraph"/>
        <w:numPr>
          <w:ilvl w:val="0"/>
          <w:numId w:val="326"/>
        </w:numPr>
        <w:ind w:left="1440" w:hanging="720"/>
        <w:rPr>
          <w:rFonts w:cstheme="minorHAnsi"/>
          <w:szCs w:val="23"/>
          <w:lang w:val="fr-CA"/>
        </w:rPr>
      </w:pPr>
      <w:proofErr w:type="gramStart"/>
      <w:r w:rsidRPr="00F52884">
        <w:rPr>
          <w:rFonts w:cstheme="minorHAnsi"/>
          <w:szCs w:val="23"/>
          <w:lang w:val="fr-CA"/>
        </w:rPr>
        <w:t>déposer</w:t>
      </w:r>
      <w:proofErr w:type="gramEnd"/>
      <w:r w:rsidRPr="00F52884">
        <w:rPr>
          <w:rFonts w:cstheme="minorHAnsi"/>
          <w:szCs w:val="23"/>
          <w:lang w:val="fr-CA"/>
        </w:rPr>
        <w:t xml:space="preserve"> une caution ou une autre forme de garantie financière;</w:t>
      </w:r>
    </w:p>
    <w:p w14:paraId="6E5F2EEE" w14:textId="77777777" w:rsidR="00825F03" w:rsidRPr="00F52884" w:rsidRDefault="00825F03" w:rsidP="0050306B">
      <w:pPr>
        <w:rPr>
          <w:rFonts w:cstheme="minorHAnsi"/>
          <w:szCs w:val="23"/>
          <w:lang w:val="fr-CA"/>
        </w:rPr>
      </w:pPr>
    </w:p>
    <w:p w14:paraId="549855DF" w14:textId="70B935C7" w:rsidR="00825F03" w:rsidRPr="00F52884" w:rsidRDefault="00825F03" w:rsidP="00825F03">
      <w:pPr>
        <w:pStyle w:val="ListParagraph"/>
        <w:numPr>
          <w:ilvl w:val="0"/>
          <w:numId w:val="326"/>
        </w:numPr>
        <w:ind w:left="1440" w:hanging="720"/>
        <w:rPr>
          <w:rFonts w:cstheme="minorHAnsi"/>
          <w:szCs w:val="23"/>
          <w:lang w:val="fr-CA"/>
        </w:rPr>
      </w:pPr>
      <w:proofErr w:type="gramStart"/>
      <w:r w:rsidRPr="00F52884">
        <w:rPr>
          <w:rFonts w:cstheme="minorHAnsi"/>
          <w:szCs w:val="23"/>
          <w:lang w:val="fr-CA"/>
        </w:rPr>
        <w:t>ouvrir  un</w:t>
      </w:r>
      <w:proofErr w:type="gramEnd"/>
      <w:r w:rsidRPr="00F52884">
        <w:rPr>
          <w:rFonts w:cstheme="minorHAnsi"/>
          <w:szCs w:val="23"/>
          <w:lang w:val="fr-CA"/>
        </w:rPr>
        <w:t xml:space="preserve"> compte en fiducie ou effectuer des versements sur un tel compte, ou contribuer à un fonds d’indemnisation;</w:t>
      </w:r>
    </w:p>
    <w:p w14:paraId="73233E20" w14:textId="77777777" w:rsidR="00825F03" w:rsidRPr="00F52884" w:rsidRDefault="00825F03" w:rsidP="0050306B">
      <w:pPr>
        <w:rPr>
          <w:rFonts w:cstheme="minorHAnsi"/>
          <w:szCs w:val="23"/>
          <w:lang w:val="fr-CA"/>
        </w:rPr>
      </w:pPr>
    </w:p>
    <w:p w14:paraId="2A1343F8" w14:textId="0AA729F2" w:rsidR="00825F03" w:rsidRPr="00F52884" w:rsidRDefault="00825F03" w:rsidP="00825F03">
      <w:pPr>
        <w:pStyle w:val="ListParagraph"/>
        <w:numPr>
          <w:ilvl w:val="0"/>
          <w:numId w:val="326"/>
        </w:numPr>
        <w:ind w:left="1440" w:hanging="720"/>
        <w:rPr>
          <w:rFonts w:cstheme="minorHAnsi"/>
          <w:szCs w:val="23"/>
          <w:lang w:val="fr-CA"/>
        </w:rPr>
      </w:pPr>
      <w:proofErr w:type="gramStart"/>
      <w:r w:rsidRPr="00F52884">
        <w:rPr>
          <w:rFonts w:cstheme="minorHAnsi"/>
          <w:szCs w:val="23"/>
          <w:lang w:val="fr-CA"/>
        </w:rPr>
        <w:t>souscrire</w:t>
      </w:r>
      <w:proofErr w:type="gramEnd"/>
      <w:r w:rsidRPr="00F52884">
        <w:rPr>
          <w:rFonts w:cstheme="minorHAnsi"/>
          <w:szCs w:val="23"/>
          <w:lang w:val="fr-CA"/>
        </w:rPr>
        <w:t xml:space="preserve"> une assurance d’un type particulier et d’un montant donné, ou fournir d’autres garanties semblables;</w:t>
      </w:r>
    </w:p>
    <w:p w14:paraId="40233BC3" w14:textId="77777777" w:rsidR="00825F03" w:rsidRPr="00F52884" w:rsidRDefault="00825F03" w:rsidP="0050306B">
      <w:pPr>
        <w:rPr>
          <w:rFonts w:cstheme="minorHAnsi"/>
          <w:szCs w:val="23"/>
          <w:lang w:val="fr-CA"/>
        </w:rPr>
      </w:pPr>
    </w:p>
    <w:p w14:paraId="22B88A4C" w14:textId="6F131BC8" w:rsidR="00825F03" w:rsidRPr="00F52884" w:rsidRDefault="00825F03" w:rsidP="00825F03">
      <w:pPr>
        <w:pStyle w:val="ListParagraph"/>
        <w:numPr>
          <w:ilvl w:val="0"/>
          <w:numId w:val="326"/>
        </w:numPr>
        <w:ind w:left="1440" w:hanging="720"/>
        <w:rPr>
          <w:rFonts w:cstheme="minorHAnsi"/>
          <w:szCs w:val="23"/>
          <w:lang w:val="fr-CA"/>
        </w:rPr>
      </w:pPr>
      <w:proofErr w:type="gramStart"/>
      <w:r w:rsidRPr="00F52884">
        <w:rPr>
          <w:rFonts w:cstheme="minorHAnsi"/>
          <w:szCs w:val="23"/>
          <w:lang w:val="fr-CA"/>
        </w:rPr>
        <w:t>tenir</w:t>
      </w:r>
      <w:proofErr w:type="gramEnd"/>
      <w:r w:rsidRPr="00F52884">
        <w:rPr>
          <w:rFonts w:cstheme="minorHAnsi"/>
          <w:szCs w:val="23"/>
          <w:lang w:val="fr-CA"/>
        </w:rPr>
        <w:t xml:space="preserve"> des dossiers et y donner accès;</w:t>
      </w:r>
    </w:p>
    <w:p w14:paraId="1C9E5303" w14:textId="77777777" w:rsidR="00825F03" w:rsidRPr="00F52884" w:rsidRDefault="00825F03" w:rsidP="0050306B">
      <w:pPr>
        <w:rPr>
          <w:rFonts w:cstheme="minorHAnsi"/>
          <w:szCs w:val="23"/>
          <w:lang w:val="fr-CA"/>
        </w:rPr>
      </w:pPr>
    </w:p>
    <w:p w14:paraId="00E365EC" w14:textId="4B1DB966" w:rsidR="00825F03" w:rsidRPr="00F52884" w:rsidRDefault="00825F03" w:rsidP="00825F03">
      <w:pPr>
        <w:pStyle w:val="ListParagraph"/>
        <w:numPr>
          <w:ilvl w:val="0"/>
          <w:numId w:val="326"/>
        </w:numPr>
        <w:ind w:left="1440" w:hanging="720"/>
        <w:rPr>
          <w:rFonts w:cstheme="minorHAnsi"/>
          <w:szCs w:val="23"/>
          <w:lang w:val="fr-CA"/>
        </w:rPr>
      </w:pPr>
      <w:proofErr w:type="gramStart"/>
      <w:r w:rsidRPr="00F52884">
        <w:rPr>
          <w:rFonts w:cstheme="minorHAnsi"/>
          <w:szCs w:val="23"/>
          <w:lang w:val="fr-CA"/>
        </w:rPr>
        <w:t>être</w:t>
      </w:r>
      <w:proofErr w:type="gramEnd"/>
      <w:r w:rsidRPr="00F52884">
        <w:rPr>
          <w:rFonts w:cstheme="minorHAnsi"/>
          <w:szCs w:val="23"/>
          <w:lang w:val="fr-CA"/>
        </w:rPr>
        <w:t xml:space="preserve"> inscrit dans un registre ou obtenir une licence ou une certification,</w:t>
      </w:r>
    </w:p>
    <w:p w14:paraId="2EC9BB51" w14:textId="77777777" w:rsidR="00825F03" w:rsidRPr="00F52884" w:rsidRDefault="00825F03" w:rsidP="0050306B">
      <w:pPr>
        <w:tabs>
          <w:tab w:val="left" w:pos="-5760"/>
        </w:tabs>
        <w:rPr>
          <w:rFonts w:cstheme="minorHAnsi"/>
          <w:szCs w:val="23"/>
          <w:lang w:val="fr-CA"/>
        </w:rPr>
      </w:pPr>
    </w:p>
    <w:p w14:paraId="0C23EF31" w14:textId="295D0398" w:rsidR="00825F03" w:rsidRPr="00F52884" w:rsidRDefault="00825F03" w:rsidP="0050306B">
      <w:pPr>
        <w:tabs>
          <w:tab w:val="left" w:pos="-5760"/>
        </w:tabs>
        <w:rPr>
          <w:rFonts w:cstheme="minorHAnsi"/>
          <w:szCs w:val="23"/>
          <w:lang w:val="fr-CA"/>
        </w:rPr>
      </w:pPr>
      <w:proofErr w:type="gramStart"/>
      <w:r w:rsidRPr="00F52884">
        <w:rPr>
          <w:rFonts w:cstheme="minorHAnsi"/>
          <w:szCs w:val="23"/>
          <w:lang w:val="fr-CA"/>
        </w:rPr>
        <w:t>pour</w:t>
      </w:r>
      <w:proofErr w:type="gramEnd"/>
      <w:r w:rsidRPr="00F52884">
        <w:rPr>
          <w:rFonts w:cstheme="minorHAnsi"/>
          <w:szCs w:val="23"/>
          <w:lang w:val="fr-CA"/>
        </w:rPr>
        <w:t xml:space="preserve"> pouvoir faire des affaires, ou établir ou acquérir une entreprise sur son territoire, à la condition que ces exigences ne soient pas appliquées de façon à constituer un moyen de discrimination arbitraire ou injustifiable.</w:t>
      </w:r>
    </w:p>
    <w:p w14:paraId="599BE4D5" w14:textId="77777777" w:rsidR="00825F03" w:rsidRPr="00F52884" w:rsidRDefault="00825F03" w:rsidP="0050306B">
      <w:pPr>
        <w:jc w:val="both"/>
        <w:rPr>
          <w:rFonts w:cstheme="minorHAnsi"/>
          <w:szCs w:val="23"/>
          <w:lang w:val="fr-CA"/>
        </w:rPr>
      </w:pPr>
    </w:p>
    <w:p w14:paraId="4CA6A026" w14:textId="1F31724B" w:rsidR="00825F03" w:rsidRPr="00F52884" w:rsidRDefault="00825F03" w:rsidP="0050306B">
      <w:pPr>
        <w:jc w:val="center"/>
        <w:rPr>
          <w:rFonts w:cstheme="minorHAnsi"/>
          <w:b/>
          <w:szCs w:val="23"/>
          <w:lang w:val="fr-CA"/>
        </w:rPr>
      </w:pPr>
      <w:r w:rsidRPr="00F52884">
        <w:rPr>
          <w:rFonts w:cstheme="minorHAnsi"/>
          <w:b/>
          <w:bCs/>
          <w:szCs w:val="23"/>
          <w:lang w:val="fr-CA"/>
        </w:rPr>
        <w:t xml:space="preserve">Article 312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Accès aux marchés - Investissement</w:t>
      </w:r>
    </w:p>
    <w:p w14:paraId="2F5AAF04" w14:textId="77777777" w:rsidR="00825F03" w:rsidRPr="00F52884" w:rsidRDefault="00825F03" w:rsidP="0050306B">
      <w:pPr>
        <w:rPr>
          <w:rFonts w:eastAsia="SimSun" w:cstheme="minorHAnsi"/>
          <w:szCs w:val="23"/>
          <w:lang w:val="fr-CA"/>
        </w:rPr>
      </w:pPr>
    </w:p>
    <w:p w14:paraId="44F904CB" w14:textId="69397616" w:rsidR="00825F03" w:rsidRPr="00F52884" w:rsidRDefault="00825F03" w:rsidP="0050306B">
      <w:pPr>
        <w:rPr>
          <w:rFonts w:eastAsia="SimSun" w:cstheme="minorHAnsi"/>
          <w:szCs w:val="23"/>
          <w:lang w:val="fr-CA"/>
        </w:rPr>
      </w:pPr>
      <w:r w:rsidRPr="00F52884">
        <w:rPr>
          <w:rFonts w:eastAsia="SimSun" w:cstheme="minorHAnsi"/>
          <w:szCs w:val="23"/>
          <w:lang w:val="fr-CA"/>
        </w:rPr>
        <w:t xml:space="preserve">1. </w:t>
      </w:r>
      <w:r w:rsidRPr="00F52884">
        <w:rPr>
          <w:rFonts w:eastAsia="SimSun" w:cstheme="minorHAnsi"/>
          <w:szCs w:val="23"/>
          <w:lang w:val="fr-CA"/>
        </w:rPr>
        <w:tab/>
        <w:t>Une Partie n’adopte ni ne maintient, en ce qui concerne un investisseur d’une autre Partie, de mesure qui, selon le cas :</w:t>
      </w:r>
    </w:p>
    <w:p w14:paraId="2039BF82" w14:textId="77777777" w:rsidR="00825F03" w:rsidRPr="00F52884" w:rsidRDefault="00825F03" w:rsidP="0050306B">
      <w:pPr>
        <w:rPr>
          <w:rFonts w:eastAsia="SimSun" w:cstheme="minorHAnsi"/>
          <w:szCs w:val="23"/>
          <w:lang w:val="fr-CA"/>
        </w:rPr>
      </w:pPr>
    </w:p>
    <w:p w14:paraId="627496F2" w14:textId="09E53663" w:rsidR="00825F03" w:rsidRPr="00F52884" w:rsidRDefault="00825F03" w:rsidP="00825F03">
      <w:pPr>
        <w:pStyle w:val="ListParagraph"/>
        <w:numPr>
          <w:ilvl w:val="1"/>
          <w:numId w:val="327"/>
        </w:numPr>
        <w:ind w:left="1440" w:hanging="720"/>
        <w:rPr>
          <w:rFonts w:cstheme="minorHAnsi"/>
          <w:szCs w:val="23"/>
          <w:lang w:val="fr-CA"/>
        </w:rPr>
      </w:pPr>
      <w:proofErr w:type="gramStart"/>
      <w:r w:rsidRPr="00F52884">
        <w:rPr>
          <w:rFonts w:cstheme="minorHAnsi"/>
          <w:szCs w:val="23"/>
          <w:lang w:val="fr-CA"/>
        </w:rPr>
        <w:t>impose</w:t>
      </w:r>
      <w:proofErr w:type="gramEnd"/>
      <w:r w:rsidRPr="00F52884">
        <w:rPr>
          <w:rFonts w:cstheme="minorHAnsi"/>
          <w:szCs w:val="23"/>
          <w:lang w:val="fr-CA"/>
        </w:rPr>
        <w:t xml:space="preserve"> des limitations concernant, selon le cas :</w:t>
      </w:r>
    </w:p>
    <w:p w14:paraId="2DCFAF03" w14:textId="77777777" w:rsidR="00825F03" w:rsidRPr="00F52884" w:rsidRDefault="00825F03" w:rsidP="0050306B">
      <w:pPr>
        <w:pStyle w:val="ListParagraph"/>
        <w:ind w:left="1170"/>
        <w:rPr>
          <w:rFonts w:cstheme="minorHAnsi"/>
          <w:szCs w:val="23"/>
          <w:lang w:val="fr-CA"/>
        </w:rPr>
      </w:pPr>
    </w:p>
    <w:p w14:paraId="1379CB8D" w14:textId="396421E6" w:rsidR="00825F03" w:rsidRPr="00F52884" w:rsidRDefault="00825F03" w:rsidP="00825F03">
      <w:pPr>
        <w:pStyle w:val="ListParagraph"/>
        <w:numPr>
          <w:ilvl w:val="0"/>
          <w:numId w:val="328"/>
        </w:numPr>
        <w:ind w:left="2160" w:hanging="54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nombre d’entreprises, que ce soit sous la forme de contingents numériques, de monopoles, de fournisseurs exclusifs ou de l’exigence d’un examen des besoins économiques,</w:t>
      </w:r>
    </w:p>
    <w:p w14:paraId="4282A24F" w14:textId="77777777" w:rsidR="00825F03" w:rsidRPr="00F52884" w:rsidRDefault="00825F03" w:rsidP="00825F03">
      <w:pPr>
        <w:pStyle w:val="ListParagraph"/>
        <w:ind w:left="2160" w:hanging="720"/>
        <w:rPr>
          <w:rFonts w:cstheme="minorHAnsi"/>
          <w:szCs w:val="23"/>
          <w:lang w:val="fr-CA"/>
        </w:rPr>
      </w:pPr>
    </w:p>
    <w:p w14:paraId="2899927B" w14:textId="5175354B" w:rsidR="00825F03" w:rsidRPr="00F52884" w:rsidRDefault="00825F03" w:rsidP="00E01368">
      <w:pPr>
        <w:pStyle w:val="ListParagraph"/>
        <w:numPr>
          <w:ilvl w:val="0"/>
          <w:numId w:val="328"/>
        </w:numPr>
        <w:ind w:left="2160" w:hanging="54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valeur totale des transactions ou des actifs, sous la forme de contingents numériques ou de l’exigence d’un examen des besoins économiques,</w:t>
      </w:r>
    </w:p>
    <w:p w14:paraId="26955419" w14:textId="77777777" w:rsidR="00825F03" w:rsidRPr="00F52884" w:rsidRDefault="00825F03" w:rsidP="00825F03">
      <w:pPr>
        <w:ind w:left="2160" w:hanging="720"/>
        <w:rPr>
          <w:rFonts w:cstheme="minorHAnsi"/>
          <w:szCs w:val="23"/>
          <w:lang w:val="fr-CA"/>
        </w:rPr>
      </w:pPr>
    </w:p>
    <w:p w14:paraId="49C80DA3" w14:textId="188A55B1" w:rsidR="00825F03" w:rsidRPr="00F52884" w:rsidRDefault="00825F03" w:rsidP="00E01368">
      <w:pPr>
        <w:pStyle w:val="ListParagraph"/>
        <w:numPr>
          <w:ilvl w:val="0"/>
          <w:numId w:val="328"/>
        </w:numPr>
        <w:ind w:left="2160" w:hanging="54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nombre total d’opérations ou la quantité totale produite, exprimées en unités numériques déterminées, sous la forme de contingents ou de l’exigence d’un examen des besoins économiques,</w:t>
      </w:r>
    </w:p>
    <w:p w14:paraId="1ABFF5CB" w14:textId="77777777" w:rsidR="00825F03" w:rsidRPr="00F52884" w:rsidRDefault="00825F03" w:rsidP="00825F03">
      <w:pPr>
        <w:ind w:left="2160" w:hanging="720"/>
        <w:rPr>
          <w:rFonts w:cstheme="minorHAnsi"/>
          <w:szCs w:val="23"/>
          <w:lang w:val="fr-CA"/>
        </w:rPr>
      </w:pPr>
    </w:p>
    <w:p w14:paraId="51451C7A" w14:textId="1C5C26DA" w:rsidR="00825F03" w:rsidRPr="00F52884" w:rsidRDefault="00825F03" w:rsidP="00E01368">
      <w:pPr>
        <w:pStyle w:val="ListParagraph"/>
        <w:numPr>
          <w:ilvl w:val="0"/>
          <w:numId w:val="328"/>
        </w:numPr>
        <w:ind w:left="2160" w:hanging="540"/>
        <w:rPr>
          <w:rFonts w:cstheme="minorHAnsi"/>
          <w:szCs w:val="23"/>
          <w:lang w:val="fr-CA"/>
        </w:rPr>
      </w:pPr>
      <w:proofErr w:type="gramStart"/>
      <w:r w:rsidRPr="00F52884">
        <w:rPr>
          <w:rFonts w:eastAsia="SimSun" w:cstheme="minorHAnsi"/>
          <w:szCs w:val="23"/>
          <w:lang w:val="fr-CA"/>
        </w:rPr>
        <w:t>le</w:t>
      </w:r>
      <w:proofErr w:type="gramEnd"/>
      <w:r w:rsidRPr="00F52884">
        <w:rPr>
          <w:rFonts w:eastAsia="SimSun" w:cstheme="minorHAnsi"/>
          <w:szCs w:val="23"/>
          <w:lang w:val="fr-CA"/>
        </w:rPr>
        <w:t xml:space="preserve"> nombre total de personnes physiques qui peuvent être employées dans un secteur particulier ou qu’une entreprise peut employer, et qui sont nécessaires pour la réalisation d’une activité économique et s’en occupent directement, sous la forme de contingents numériques ou de l’exigence d’un examen des besoins économiques,</w:t>
      </w:r>
    </w:p>
    <w:p w14:paraId="636242D8" w14:textId="77777777" w:rsidR="00825F03" w:rsidRPr="00F52884" w:rsidRDefault="00825F03" w:rsidP="00825F03">
      <w:pPr>
        <w:ind w:left="2160" w:hanging="720"/>
        <w:rPr>
          <w:rFonts w:cstheme="minorHAnsi"/>
          <w:szCs w:val="23"/>
          <w:lang w:val="fr-CA"/>
        </w:rPr>
      </w:pPr>
    </w:p>
    <w:p w14:paraId="4BAB4018" w14:textId="49CAA5FD" w:rsidR="00825F03" w:rsidRPr="00F52884" w:rsidRDefault="00825F03" w:rsidP="00E01368">
      <w:pPr>
        <w:pStyle w:val="ListParagraph"/>
        <w:numPr>
          <w:ilvl w:val="0"/>
          <w:numId w:val="328"/>
        </w:numPr>
        <w:ind w:left="2160" w:hanging="540"/>
        <w:rPr>
          <w:rFonts w:eastAsia="SimSun"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participation au capital d’un investisseur d’une autre Partie, exprimée sous la forme d’une limite maximale en pourcentage de la détention d’actions, ou concernant la valeur totale des investissements particuliers ou globaux</w:t>
      </w:r>
      <w:r w:rsidRPr="00F52884">
        <w:rPr>
          <w:rStyle w:val="CommentReference"/>
          <w:rFonts w:cstheme="minorHAnsi"/>
          <w:sz w:val="23"/>
          <w:szCs w:val="23"/>
          <w:lang w:val="fr-CA"/>
        </w:rPr>
        <w:t>;</w:t>
      </w:r>
    </w:p>
    <w:p w14:paraId="03C6BA94" w14:textId="77777777" w:rsidR="00825F03" w:rsidRPr="00F52884" w:rsidRDefault="00825F03" w:rsidP="0050306B">
      <w:pPr>
        <w:rPr>
          <w:rFonts w:cstheme="minorHAnsi"/>
          <w:szCs w:val="23"/>
          <w:lang w:val="fr-CA"/>
        </w:rPr>
      </w:pPr>
    </w:p>
    <w:p w14:paraId="79F07BC8" w14:textId="7AD512DB" w:rsidR="00825F03" w:rsidRPr="00F52884" w:rsidRDefault="00825F03" w:rsidP="00825F03">
      <w:pPr>
        <w:pStyle w:val="ListParagraph"/>
        <w:numPr>
          <w:ilvl w:val="1"/>
          <w:numId w:val="327"/>
        </w:numPr>
        <w:tabs>
          <w:tab w:val="left" w:pos="1440"/>
        </w:tabs>
        <w:ind w:left="1440" w:hanging="720"/>
        <w:rPr>
          <w:rFonts w:eastAsia="SimSun" w:cstheme="minorHAnsi"/>
          <w:szCs w:val="23"/>
          <w:lang w:val="fr-CA"/>
        </w:rPr>
      </w:pPr>
      <w:proofErr w:type="gramStart"/>
      <w:r w:rsidRPr="00F52884">
        <w:rPr>
          <w:rFonts w:eastAsia="SimSun" w:cstheme="minorHAnsi"/>
          <w:szCs w:val="23"/>
          <w:lang w:val="fr-CA"/>
        </w:rPr>
        <w:t>restreint</w:t>
      </w:r>
      <w:proofErr w:type="gramEnd"/>
      <w:r w:rsidRPr="00F52884">
        <w:rPr>
          <w:rFonts w:eastAsia="SimSun" w:cstheme="minorHAnsi"/>
          <w:szCs w:val="23"/>
          <w:lang w:val="fr-CA"/>
        </w:rPr>
        <w:t xml:space="preserve"> ou prescrit des types spécifiques d’entité juridique ou de coentreprise par l’intermédiaire desquels une entreprise peut mener une activité économique.</w:t>
      </w:r>
    </w:p>
    <w:p w14:paraId="19C99474" w14:textId="77777777" w:rsidR="00825F03" w:rsidRPr="00F52884" w:rsidRDefault="00825F03" w:rsidP="0050306B">
      <w:pPr>
        <w:rPr>
          <w:rFonts w:cstheme="minorHAnsi"/>
          <w:szCs w:val="23"/>
          <w:lang w:val="fr-CA"/>
        </w:rPr>
      </w:pPr>
    </w:p>
    <w:p w14:paraId="6550F616" w14:textId="75BBBAD3" w:rsidR="00825F03" w:rsidRPr="00F52884" w:rsidRDefault="00825F03" w:rsidP="0050306B">
      <w:pPr>
        <w:rPr>
          <w:rFonts w:eastAsia="Times New Roman" w:cstheme="minorHAnsi"/>
          <w:szCs w:val="23"/>
          <w:lang w:val="fr-CA"/>
        </w:rPr>
      </w:pPr>
      <w:r w:rsidRPr="00F52884">
        <w:rPr>
          <w:rFonts w:cstheme="minorHAnsi"/>
          <w:szCs w:val="23"/>
          <w:lang w:val="fr-CA"/>
        </w:rPr>
        <w:t>2.</w:t>
      </w:r>
      <w:r w:rsidRPr="00F52884">
        <w:rPr>
          <w:rFonts w:cstheme="minorHAnsi"/>
          <w:szCs w:val="23"/>
          <w:lang w:val="fr-CA"/>
        </w:rPr>
        <w:tab/>
        <w:t>Le paragraphe 1 ne peut être interprété comme empêchant une Partie d’adopter ou de maintenir une mesure qui, selon le cas :</w:t>
      </w:r>
    </w:p>
    <w:p w14:paraId="6DFDA2ED" w14:textId="77777777" w:rsidR="00825F03" w:rsidRPr="00F52884" w:rsidRDefault="00825F03" w:rsidP="0050306B">
      <w:pPr>
        <w:jc w:val="both"/>
        <w:rPr>
          <w:rFonts w:eastAsia="Times New Roman" w:cstheme="minorHAnsi"/>
          <w:szCs w:val="23"/>
          <w:lang w:val="fr-CA"/>
        </w:rPr>
      </w:pPr>
    </w:p>
    <w:p w14:paraId="36603E62" w14:textId="2C289967" w:rsidR="00825F03" w:rsidRPr="00F52884" w:rsidRDefault="00825F03" w:rsidP="00825F03">
      <w:pPr>
        <w:numPr>
          <w:ilvl w:val="0"/>
          <w:numId w:val="329"/>
        </w:numPr>
        <w:ind w:left="1440" w:hanging="720"/>
        <w:contextualSpacing/>
        <w:rPr>
          <w:rFonts w:eastAsia="Times New Roman" w:cstheme="minorHAnsi"/>
          <w:szCs w:val="23"/>
          <w:lang w:val="fr-CA"/>
        </w:rPr>
      </w:pPr>
      <w:proofErr w:type="gramStart"/>
      <w:r w:rsidRPr="00F52884">
        <w:rPr>
          <w:rFonts w:eastAsia="Times New Roman" w:cstheme="minorHAnsi"/>
          <w:szCs w:val="23"/>
          <w:lang w:val="fr-CA"/>
        </w:rPr>
        <w:t>concerne</w:t>
      </w:r>
      <w:proofErr w:type="gramEnd"/>
      <w:r w:rsidRPr="00F52884">
        <w:rPr>
          <w:rFonts w:eastAsia="Times New Roman" w:cstheme="minorHAnsi"/>
          <w:szCs w:val="23"/>
          <w:lang w:val="fr-CA"/>
        </w:rPr>
        <w:t xml:space="preserve"> les règlements en matière de zonage et d’aménagement affectant le développement ou l’utilisation du territoire, ou toute autre mesure analogue;</w:t>
      </w:r>
    </w:p>
    <w:p w14:paraId="2545F8D0" w14:textId="77777777" w:rsidR="00825F03" w:rsidRPr="00F52884" w:rsidRDefault="00825F03" w:rsidP="0050306B">
      <w:pPr>
        <w:ind w:left="1440" w:hanging="720"/>
        <w:contextualSpacing/>
        <w:jc w:val="both"/>
        <w:rPr>
          <w:rFonts w:eastAsia="Times New Roman" w:cstheme="minorHAnsi"/>
          <w:szCs w:val="23"/>
          <w:lang w:val="fr-CA"/>
        </w:rPr>
      </w:pPr>
    </w:p>
    <w:p w14:paraId="08671AC8" w14:textId="44F7BF7E" w:rsidR="00825F03" w:rsidRPr="00F52884" w:rsidRDefault="00825F03" w:rsidP="00825F03">
      <w:pPr>
        <w:numPr>
          <w:ilvl w:val="0"/>
          <w:numId w:val="329"/>
        </w:numPr>
        <w:ind w:left="1440" w:hanging="720"/>
        <w:contextualSpacing/>
        <w:rPr>
          <w:rFonts w:cstheme="minorHAnsi"/>
          <w:szCs w:val="23"/>
          <w:lang w:val="fr-CA"/>
        </w:rPr>
      </w:pPr>
      <w:proofErr w:type="gramStart"/>
      <w:r w:rsidRPr="00F52884">
        <w:rPr>
          <w:rFonts w:eastAsia="Times New Roman" w:cstheme="minorHAnsi"/>
          <w:szCs w:val="23"/>
          <w:lang w:val="fr-CA"/>
        </w:rPr>
        <w:t>vise</w:t>
      </w:r>
      <w:proofErr w:type="gramEnd"/>
      <w:r w:rsidRPr="00F52884">
        <w:rPr>
          <w:rFonts w:eastAsia="Times New Roman" w:cstheme="minorHAnsi"/>
          <w:szCs w:val="23"/>
          <w:lang w:val="fr-CA"/>
        </w:rPr>
        <w:t xml:space="preserve"> à assurer la conservation et la protection des ressources naturelles et de l’environnement, y compris des limitations concernant la disponibilité, le nombre et la portée des concessions accordées, ainsi que l’imposition de moratoires ou d’interdictions;</w:t>
      </w:r>
    </w:p>
    <w:p w14:paraId="767B2E9D" w14:textId="77777777" w:rsidR="00825F03" w:rsidRPr="00F52884" w:rsidRDefault="00825F03" w:rsidP="0050306B">
      <w:pPr>
        <w:jc w:val="both"/>
        <w:rPr>
          <w:rFonts w:cstheme="minorHAnsi"/>
          <w:szCs w:val="23"/>
          <w:lang w:val="fr-CA"/>
        </w:rPr>
      </w:pPr>
    </w:p>
    <w:p w14:paraId="6EB83392" w14:textId="75C9BE0A" w:rsidR="00825F03" w:rsidRPr="00F52884" w:rsidRDefault="00825F03" w:rsidP="00825F03">
      <w:pPr>
        <w:numPr>
          <w:ilvl w:val="0"/>
          <w:numId w:val="329"/>
        </w:numPr>
        <w:ind w:left="1440" w:hanging="720"/>
        <w:contextualSpacing/>
        <w:rPr>
          <w:rFonts w:eastAsia="Times New Roman" w:cstheme="minorHAnsi"/>
          <w:szCs w:val="23"/>
          <w:lang w:val="fr-CA"/>
        </w:rPr>
      </w:pPr>
      <w:proofErr w:type="gramStart"/>
      <w:r w:rsidRPr="00F52884">
        <w:rPr>
          <w:rFonts w:eastAsia="Times New Roman" w:cstheme="minorHAnsi"/>
          <w:szCs w:val="23"/>
          <w:lang w:val="fr-CA"/>
        </w:rPr>
        <w:t>exigent</w:t>
      </w:r>
      <w:proofErr w:type="gramEnd"/>
      <w:r w:rsidRPr="00F52884">
        <w:rPr>
          <w:rFonts w:eastAsia="Times New Roman" w:cstheme="minorHAnsi"/>
          <w:szCs w:val="23"/>
          <w:lang w:val="fr-CA"/>
        </w:rPr>
        <w:t xml:space="preserve"> la dissociation de la propriété des infrastructures et de la propriété des produits ou services fournis grâce à ces infrastructures dans le but d’assurer une concurrence loyale, notamment dans les secteurs de l’énergie, des transports et des télécommunications;</w:t>
      </w:r>
    </w:p>
    <w:p w14:paraId="2B9F4FAB" w14:textId="77777777" w:rsidR="00825F03" w:rsidRPr="00F52884" w:rsidRDefault="00825F03" w:rsidP="0050306B">
      <w:pPr>
        <w:ind w:left="1440" w:hanging="720"/>
        <w:contextualSpacing/>
        <w:jc w:val="both"/>
        <w:rPr>
          <w:rFonts w:eastAsia="Times New Roman" w:cstheme="minorHAnsi"/>
          <w:szCs w:val="23"/>
          <w:lang w:val="fr-CA"/>
        </w:rPr>
      </w:pPr>
    </w:p>
    <w:p w14:paraId="19C00EB1" w14:textId="595D0D1C" w:rsidR="00825F03" w:rsidRPr="00F52884" w:rsidRDefault="00825F03" w:rsidP="00825F03">
      <w:pPr>
        <w:numPr>
          <w:ilvl w:val="0"/>
          <w:numId w:val="329"/>
        </w:numPr>
        <w:ind w:left="1440" w:hanging="720"/>
        <w:contextualSpacing/>
        <w:rPr>
          <w:rFonts w:cstheme="minorHAnsi"/>
          <w:szCs w:val="23"/>
          <w:lang w:val="fr-CA"/>
        </w:rPr>
      </w:pPr>
      <w:proofErr w:type="gramStart"/>
      <w:r w:rsidRPr="00F52884">
        <w:rPr>
          <w:rFonts w:eastAsia="Times New Roman" w:cstheme="minorHAnsi"/>
          <w:szCs w:val="23"/>
          <w:lang w:val="fr-CA"/>
        </w:rPr>
        <w:t>restreint</w:t>
      </w:r>
      <w:proofErr w:type="gramEnd"/>
      <w:r w:rsidRPr="00F52884">
        <w:rPr>
          <w:rFonts w:eastAsia="Times New Roman" w:cstheme="minorHAnsi"/>
          <w:szCs w:val="23"/>
          <w:lang w:val="fr-CA"/>
        </w:rPr>
        <w:t xml:space="preserve"> la concentration de la propriété dans le but d’assurer une concurrence loyale;</w:t>
      </w:r>
    </w:p>
    <w:p w14:paraId="78005F49" w14:textId="77777777" w:rsidR="00825F03" w:rsidRPr="00F52884" w:rsidRDefault="00825F03" w:rsidP="0050306B">
      <w:pPr>
        <w:rPr>
          <w:rFonts w:cstheme="minorHAnsi"/>
          <w:szCs w:val="23"/>
          <w:lang w:val="fr-CA"/>
        </w:rPr>
      </w:pPr>
    </w:p>
    <w:p w14:paraId="41545C32" w14:textId="33D2D908" w:rsidR="00825F03" w:rsidRPr="00F52884" w:rsidRDefault="00825F03" w:rsidP="00825F03">
      <w:pPr>
        <w:pStyle w:val="ListParagraph"/>
        <w:numPr>
          <w:ilvl w:val="0"/>
          <w:numId w:val="329"/>
        </w:numPr>
        <w:tabs>
          <w:tab w:val="left" w:pos="720"/>
        </w:tabs>
        <w:ind w:left="1440" w:hanging="720"/>
        <w:rPr>
          <w:rFonts w:eastAsia="SimSun" w:cstheme="minorHAnsi"/>
          <w:bCs/>
          <w:szCs w:val="23"/>
          <w:lang w:val="fr-CA"/>
        </w:rPr>
      </w:pPr>
      <w:proofErr w:type="gramStart"/>
      <w:r w:rsidRPr="00F52884">
        <w:rPr>
          <w:rFonts w:eastAsia="SimSun" w:cstheme="minorHAnsi"/>
          <w:szCs w:val="23"/>
          <w:lang w:val="fr-CA"/>
        </w:rPr>
        <w:t>exige</w:t>
      </w:r>
      <w:proofErr w:type="gramEnd"/>
      <w:r w:rsidRPr="00F52884">
        <w:rPr>
          <w:rFonts w:eastAsia="SimSun" w:cstheme="minorHAnsi"/>
          <w:szCs w:val="23"/>
          <w:lang w:val="fr-CA"/>
        </w:rPr>
        <w:t xml:space="preserve"> qu’un certain pourcentage d’actionnaires, de propriétaires, d’associés ou de dirigeants d’une entreprise possèdent les qualifications requises pour exercer une profession particulière, par exemple celle d’avocat ou de comptable;</w:t>
      </w:r>
    </w:p>
    <w:p w14:paraId="5C61BA90" w14:textId="77777777" w:rsidR="00825F03" w:rsidRPr="00F52884" w:rsidRDefault="00825F03" w:rsidP="0050306B">
      <w:pPr>
        <w:pStyle w:val="ListParagraph"/>
        <w:rPr>
          <w:rFonts w:eastAsia="SimSun" w:cstheme="minorHAnsi"/>
          <w:bCs/>
          <w:szCs w:val="23"/>
          <w:lang w:val="fr-CA"/>
        </w:rPr>
      </w:pPr>
    </w:p>
    <w:p w14:paraId="2C3EFC55" w14:textId="5A32940D" w:rsidR="00825F03" w:rsidRPr="00F52884" w:rsidRDefault="00825F03" w:rsidP="00825F03">
      <w:pPr>
        <w:pStyle w:val="ListParagraph"/>
        <w:numPr>
          <w:ilvl w:val="0"/>
          <w:numId w:val="329"/>
        </w:numPr>
        <w:tabs>
          <w:tab w:val="left" w:pos="720"/>
        </w:tabs>
        <w:ind w:left="1440" w:hanging="720"/>
        <w:rPr>
          <w:rFonts w:eastAsia="SimSun" w:cstheme="minorHAnsi"/>
          <w:bCs/>
          <w:szCs w:val="23"/>
          <w:lang w:val="fr-CA"/>
        </w:rPr>
      </w:pPr>
      <w:proofErr w:type="gramStart"/>
      <w:r w:rsidRPr="00F52884">
        <w:rPr>
          <w:rFonts w:eastAsia="SimSun" w:cstheme="minorHAnsi"/>
          <w:szCs w:val="23"/>
          <w:lang w:val="fr-CA"/>
        </w:rPr>
        <w:t>est</w:t>
      </w:r>
      <w:proofErr w:type="gramEnd"/>
      <w:r w:rsidRPr="00F52884">
        <w:rPr>
          <w:rFonts w:eastAsia="SimSun" w:cstheme="minorHAnsi"/>
          <w:szCs w:val="23"/>
          <w:lang w:val="fr-CA"/>
        </w:rPr>
        <w:t xml:space="preserve"> liée à l’acquisition, à la vente ou à toute autre forme d’aliénation d’obligations, de bons du Trésor ou d’autres titres de créance émis par cette Partie;</w:t>
      </w:r>
    </w:p>
    <w:p w14:paraId="07631070" w14:textId="77777777" w:rsidR="00825F03" w:rsidRPr="00F52884" w:rsidRDefault="00825F03" w:rsidP="0050306B">
      <w:pPr>
        <w:pStyle w:val="ListParagraph"/>
        <w:rPr>
          <w:rFonts w:eastAsia="SimSun" w:cstheme="minorHAnsi"/>
          <w:bCs/>
          <w:szCs w:val="23"/>
          <w:lang w:val="fr-CA"/>
        </w:rPr>
      </w:pPr>
    </w:p>
    <w:p w14:paraId="7E7A5E11" w14:textId="4B5682C8" w:rsidR="00825F03" w:rsidRPr="00F52884" w:rsidRDefault="00825F03" w:rsidP="00825F03">
      <w:pPr>
        <w:pStyle w:val="ListParagraph"/>
        <w:numPr>
          <w:ilvl w:val="0"/>
          <w:numId w:val="329"/>
        </w:numPr>
        <w:ind w:left="1440" w:hanging="720"/>
        <w:rPr>
          <w:rFonts w:eastAsia="Calibri" w:cstheme="minorHAnsi"/>
          <w:szCs w:val="23"/>
          <w:lang w:val="fr-CA"/>
        </w:rPr>
      </w:pPr>
      <w:proofErr w:type="gramStart"/>
      <w:r w:rsidRPr="00F52884">
        <w:rPr>
          <w:rFonts w:eastAsia="Calibri" w:cstheme="minorHAnsi"/>
          <w:szCs w:val="23"/>
          <w:lang w:val="fr-CA"/>
        </w:rPr>
        <w:lastRenderedPageBreak/>
        <w:t>exige</w:t>
      </w:r>
      <w:proofErr w:type="gramEnd"/>
      <w:r w:rsidRPr="00F52884">
        <w:rPr>
          <w:rFonts w:eastAsia="Calibri" w:cstheme="minorHAnsi"/>
          <w:szCs w:val="23"/>
          <w:lang w:val="fr-CA"/>
        </w:rPr>
        <w:t xml:space="preserve"> </w:t>
      </w:r>
      <w:r w:rsidRPr="00F52884">
        <w:rPr>
          <w:rFonts w:cstheme="minorHAnsi"/>
          <w:szCs w:val="23"/>
          <w:lang w:val="fr-CA"/>
        </w:rPr>
        <w:t xml:space="preserve">qu’une personne réside ou ait une présence commerciale dans une </w:t>
      </w:r>
      <w:r w:rsidR="007A1C46" w:rsidRPr="00F52884">
        <w:rPr>
          <w:rFonts w:cstheme="minorHAnsi"/>
          <w:szCs w:val="23"/>
          <w:lang w:val="fr-CA"/>
        </w:rPr>
        <w:t>P</w:t>
      </w:r>
      <w:r w:rsidRPr="00F52884">
        <w:rPr>
          <w:rFonts w:cstheme="minorHAnsi"/>
          <w:szCs w:val="23"/>
          <w:lang w:val="fr-CA"/>
        </w:rPr>
        <w:t>rovince afin de</w:t>
      </w:r>
      <w:r w:rsidRPr="00F52884">
        <w:rPr>
          <w:rFonts w:eastAsia="Calibri" w:cstheme="minorHAnsi"/>
          <w:szCs w:val="23"/>
          <w:lang w:val="fr-CA"/>
        </w:rPr>
        <w:t xml:space="preserve"> pouvoir réaliser un investissement sur le territoire de cette </w:t>
      </w:r>
      <w:r w:rsidR="007A1C46" w:rsidRPr="00F52884">
        <w:rPr>
          <w:rFonts w:eastAsia="Calibri" w:cstheme="minorHAnsi"/>
          <w:szCs w:val="23"/>
          <w:lang w:val="fr-CA"/>
        </w:rPr>
        <w:t>Province</w:t>
      </w:r>
      <w:r w:rsidRPr="00F52884">
        <w:rPr>
          <w:rFonts w:eastAsia="Calibri" w:cstheme="minorHAnsi"/>
          <w:szCs w:val="23"/>
          <w:lang w:val="fr-CA"/>
        </w:rPr>
        <w:t>.</w:t>
      </w:r>
    </w:p>
    <w:p w14:paraId="3777BA06" w14:textId="77777777" w:rsidR="00825F03" w:rsidRPr="00F52884" w:rsidRDefault="00825F03" w:rsidP="0050306B">
      <w:pPr>
        <w:rPr>
          <w:rFonts w:eastAsia="Times New Roman" w:cstheme="minorHAnsi"/>
          <w:szCs w:val="23"/>
          <w:lang w:val="fr-CA"/>
        </w:rPr>
      </w:pPr>
    </w:p>
    <w:p w14:paraId="072837CC" w14:textId="1FD82F26" w:rsidR="00825F03" w:rsidRPr="00F52884" w:rsidRDefault="00825F03" w:rsidP="0050306B">
      <w:pPr>
        <w:jc w:val="center"/>
        <w:rPr>
          <w:rFonts w:cstheme="minorHAnsi"/>
          <w:b/>
          <w:szCs w:val="23"/>
          <w:lang w:val="fr-CA"/>
        </w:rPr>
      </w:pPr>
      <w:r w:rsidRPr="00F52884">
        <w:rPr>
          <w:rFonts w:cstheme="minorHAnsi"/>
          <w:b/>
          <w:bCs/>
          <w:szCs w:val="23"/>
          <w:lang w:val="fr-CA"/>
        </w:rPr>
        <w:t>Article 313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Prescriptions de résultats</w:t>
      </w:r>
    </w:p>
    <w:p w14:paraId="2CF148C1" w14:textId="77777777" w:rsidR="00825F03" w:rsidRPr="00F52884" w:rsidRDefault="00825F03" w:rsidP="0050306B">
      <w:pPr>
        <w:rPr>
          <w:rFonts w:cstheme="minorHAnsi"/>
          <w:szCs w:val="23"/>
          <w:lang w:val="fr-CA"/>
        </w:rPr>
      </w:pPr>
    </w:p>
    <w:p w14:paraId="3F80DE11" w14:textId="2A590EBF" w:rsidR="00825F03" w:rsidRPr="00F52884" w:rsidRDefault="00825F03" w:rsidP="0050306B">
      <w:pPr>
        <w:rPr>
          <w:rFonts w:cstheme="minorHAnsi"/>
          <w:szCs w:val="23"/>
          <w:lang w:val="fr-CA"/>
        </w:rPr>
      </w:pPr>
      <w:r w:rsidRPr="00F52884">
        <w:rPr>
          <w:rFonts w:cstheme="minorHAnsi"/>
          <w:szCs w:val="23"/>
          <w:lang w:val="fr-CA"/>
        </w:rPr>
        <w:t xml:space="preserve">1. </w:t>
      </w:r>
      <w:r w:rsidRPr="00F52884">
        <w:rPr>
          <w:rFonts w:cstheme="minorHAnsi"/>
          <w:szCs w:val="23"/>
          <w:lang w:val="fr-CA"/>
        </w:rPr>
        <w:tab/>
        <w:t xml:space="preserve">En ce qui concerne un investissement d’un investisseur d’une Partie sur son territoire, une Partie n’impose ni n’applique l’une des prescriptions suivantes, et ne subordonne pas l’octroi ou le maintien d’un avantage au respect de l’une des prescriptions suivantes : </w:t>
      </w:r>
    </w:p>
    <w:p w14:paraId="4DD416BB" w14:textId="77777777" w:rsidR="00825F03" w:rsidRPr="00F52884" w:rsidRDefault="00825F03" w:rsidP="0050306B">
      <w:pPr>
        <w:ind w:firstLine="720"/>
        <w:rPr>
          <w:rFonts w:cstheme="minorHAnsi"/>
          <w:szCs w:val="23"/>
          <w:lang w:val="fr-CA"/>
        </w:rPr>
      </w:pPr>
    </w:p>
    <w:p w14:paraId="5C78D4A1" w14:textId="0D9E8C73" w:rsidR="00825F03" w:rsidRPr="00F52884" w:rsidRDefault="00825F03" w:rsidP="00825F03">
      <w:pPr>
        <w:pStyle w:val="ListParagraph"/>
        <w:numPr>
          <w:ilvl w:val="0"/>
          <w:numId w:val="330"/>
        </w:numPr>
        <w:autoSpaceDE w:val="0"/>
        <w:autoSpaceDN w:val="0"/>
        <w:adjustRightInd w:val="0"/>
        <w:ind w:left="1440" w:hanging="731"/>
        <w:rPr>
          <w:rFonts w:eastAsia="Times New Roman" w:cstheme="minorHAnsi"/>
          <w:szCs w:val="23"/>
          <w:lang w:val="fr-CA"/>
        </w:rPr>
      </w:pPr>
      <w:proofErr w:type="gramStart"/>
      <w:r w:rsidRPr="00F52884">
        <w:rPr>
          <w:rFonts w:eastAsia="Times New Roman" w:cstheme="minorHAnsi"/>
          <w:szCs w:val="23"/>
          <w:lang w:val="fr-CA"/>
        </w:rPr>
        <w:t>atteindre</w:t>
      </w:r>
      <w:proofErr w:type="gramEnd"/>
      <w:r w:rsidRPr="00F52884">
        <w:rPr>
          <w:rFonts w:eastAsia="Times New Roman" w:cstheme="minorHAnsi"/>
          <w:szCs w:val="23"/>
          <w:lang w:val="fr-CA"/>
        </w:rPr>
        <w:t xml:space="preserve"> une teneur ou un pourcentage donnés en éléments d’origine locale pour les produits ou services;</w:t>
      </w:r>
    </w:p>
    <w:p w14:paraId="22821662" w14:textId="77777777" w:rsidR="00825F03" w:rsidRPr="00F52884" w:rsidRDefault="00825F03" w:rsidP="0050306B">
      <w:pPr>
        <w:pStyle w:val="ListParagraph"/>
        <w:autoSpaceDE w:val="0"/>
        <w:autoSpaceDN w:val="0"/>
        <w:adjustRightInd w:val="0"/>
        <w:ind w:left="1440" w:hanging="720"/>
        <w:rPr>
          <w:rFonts w:eastAsia="Times New Roman" w:cstheme="minorHAnsi"/>
          <w:szCs w:val="23"/>
          <w:lang w:val="fr-CA"/>
        </w:rPr>
      </w:pPr>
    </w:p>
    <w:p w14:paraId="73A164AC" w14:textId="167EDBAA" w:rsidR="00825F03" w:rsidRPr="00F52884" w:rsidRDefault="00825F03" w:rsidP="00825F03">
      <w:pPr>
        <w:pStyle w:val="ListParagraph"/>
        <w:numPr>
          <w:ilvl w:val="0"/>
          <w:numId w:val="330"/>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acheter</w:t>
      </w:r>
      <w:proofErr w:type="gramEnd"/>
      <w:r w:rsidRPr="00F52884">
        <w:rPr>
          <w:rFonts w:eastAsia="Times New Roman" w:cstheme="minorHAnsi"/>
          <w:szCs w:val="23"/>
          <w:lang w:val="fr-CA"/>
        </w:rPr>
        <w:t xml:space="preserve"> ou utiliser des produits ou services produits ou fournis localement;</w:t>
      </w:r>
    </w:p>
    <w:p w14:paraId="11A007BC" w14:textId="77777777" w:rsidR="00825F03" w:rsidRPr="00F52884" w:rsidRDefault="00825F03" w:rsidP="0050306B">
      <w:pPr>
        <w:autoSpaceDE w:val="0"/>
        <w:autoSpaceDN w:val="0"/>
        <w:adjustRightInd w:val="0"/>
        <w:ind w:left="1440" w:hanging="720"/>
        <w:contextualSpacing/>
        <w:rPr>
          <w:rFonts w:eastAsia="Times New Roman" w:cstheme="minorHAnsi"/>
          <w:szCs w:val="23"/>
          <w:lang w:val="fr-CA"/>
        </w:rPr>
      </w:pPr>
    </w:p>
    <w:p w14:paraId="4355647B" w14:textId="1BBDD1F7" w:rsidR="00825F03" w:rsidRPr="00F52884" w:rsidRDefault="00825F03" w:rsidP="00825F03">
      <w:pPr>
        <w:pStyle w:val="ListParagraph"/>
        <w:numPr>
          <w:ilvl w:val="0"/>
          <w:numId w:val="330"/>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acheter</w:t>
      </w:r>
      <w:proofErr w:type="gramEnd"/>
      <w:r w:rsidRPr="00F52884">
        <w:rPr>
          <w:rFonts w:eastAsia="Times New Roman" w:cstheme="minorHAnsi"/>
          <w:szCs w:val="23"/>
          <w:lang w:val="fr-CA"/>
        </w:rPr>
        <w:t xml:space="preserve"> des produits ou services d’une source locale;</w:t>
      </w:r>
    </w:p>
    <w:p w14:paraId="3DFC8A77" w14:textId="77777777" w:rsidR="00825F03" w:rsidRPr="00F52884" w:rsidRDefault="00825F03" w:rsidP="0050306B">
      <w:pPr>
        <w:pStyle w:val="ListParagraph"/>
        <w:rPr>
          <w:rFonts w:eastAsia="Times New Roman" w:cstheme="minorHAnsi"/>
          <w:szCs w:val="23"/>
          <w:lang w:val="fr-CA"/>
        </w:rPr>
      </w:pPr>
    </w:p>
    <w:p w14:paraId="1C58D186" w14:textId="77777777" w:rsidR="00825F03" w:rsidRPr="00F52884" w:rsidRDefault="00825F03" w:rsidP="00825F03">
      <w:pPr>
        <w:pStyle w:val="ListParagraph"/>
        <w:numPr>
          <w:ilvl w:val="0"/>
          <w:numId w:val="330"/>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transférer</w:t>
      </w:r>
      <w:proofErr w:type="gramEnd"/>
      <w:r w:rsidRPr="00F52884">
        <w:rPr>
          <w:rFonts w:eastAsia="Times New Roman" w:cstheme="minorHAnsi"/>
          <w:szCs w:val="23"/>
          <w:lang w:val="fr-CA"/>
        </w:rPr>
        <w:t xml:space="preserve"> une technologie, un procédé de fabrication ou un autre savoir-faire exclusif à une personne ou à une Partie.</w:t>
      </w:r>
    </w:p>
    <w:p w14:paraId="166AB070" w14:textId="77777777" w:rsidR="00825F03" w:rsidRPr="00F52884" w:rsidRDefault="00825F03" w:rsidP="0050306B">
      <w:pPr>
        <w:rPr>
          <w:rFonts w:eastAsia="Times New Roman" w:cstheme="minorHAnsi"/>
          <w:szCs w:val="23"/>
          <w:lang w:val="fr-CA"/>
        </w:rPr>
      </w:pPr>
    </w:p>
    <w:p w14:paraId="15FF795A" w14:textId="64AB18B0" w:rsidR="00825F03" w:rsidRPr="00F52884" w:rsidRDefault="00825F03" w:rsidP="0050306B">
      <w:pPr>
        <w:rPr>
          <w:rFonts w:cstheme="minorHAnsi"/>
          <w:szCs w:val="23"/>
          <w:lang w:val="fr-CA"/>
        </w:rPr>
      </w:pPr>
      <w:r w:rsidRPr="00F52884">
        <w:rPr>
          <w:rFonts w:cstheme="minorHAnsi"/>
          <w:szCs w:val="23"/>
          <w:lang w:val="fr-CA"/>
        </w:rPr>
        <w:t xml:space="preserve">2. </w:t>
      </w:r>
      <w:r w:rsidRPr="00F52884">
        <w:rPr>
          <w:rFonts w:cstheme="minorHAnsi"/>
          <w:szCs w:val="23"/>
          <w:lang w:val="fr-CA"/>
        </w:rPr>
        <w:tab/>
        <w:t>Le paragraphe 1 ne peut être interprété comme empêchant une Partie de subordonner l’octroi ou le maintien d’un avantage, en ce qui concerne un investissement sur son territoire d’un investisseur d’une Partie ou d’une tierce partie, au respect de la prescription d’installer la production, de fournir un service, de former ou d’employer des travailleurs, de construire ou d’agrandir des installations particulières ou de réaliser des travaux de recherche et de développement sur son territoire.</w:t>
      </w:r>
    </w:p>
    <w:p w14:paraId="04DF422C" w14:textId="77777777" w:rsidR="00825F03" w:rsidRPr="00F52884" w:rsidRDefault="00825F03" w:rsidP="0050306B">
      <w:pPr>
        <w:rPr>
          <w:rFonts w:cstheme="minorHAnsi"/>
          <w:szCs w:val="23"/>
          <w:lang w:val="fr-CA"/>
        </w:rPr>
      </w:pPr>
    </w:p>
    <w:p w14:paraId="03FA489C" w14:textId="20187FEB" w:rsidR="00825F03" w:rsidRPr="00F52884" w:rsidRDefault="00825F03" w:rsidP="00825F03">
      <w:pPr>
        <w:pStyle w:val="ListParagraph"/>
        <w:numPr>
          <w:ilvl w:val="0"/>
          <w:numId w:val="331"/>
        </w:numPr>
        <w:ind w:left="0" w:firstLine="0"/>
        <w:rPr>
          <w:rFonts w:cstheme="minorHAnsi"/>
          <w:szCs w:val="23"/>
          <w:lang w:val="fr-CA"/>
        </w:rPr>
      </w:pPr>
      <w:r w:rsidRPr="00F52884">
        <w:rPr>
          <w:rFonts w:cstheme="minorHAnsi"/>
          <w:szCs w:val="23"/>
          <w:lang w:val="fr-CA"/>
        </w:rPr>
        <w:t>L’alinéa 1d) ne s’applique pas si un tribunal administratif ou judiciaire ou une autorité en matière de concurrence</w:t>
      </w:r>
      <w:r w:rsidRPr="00F52884" w:rsidDel="001F133A">
        <w:rPr>
          <w:rFonts w:cstheme="minorHAnsi"/>
          <w:szCs w:val="23"/>
          <w:lang w:val="fr-CA"/>
        </w:rPr>
        <w:t xml:space="preserve"> </w:t>
      </w:r>
      <w:r w:rsidRPr="00F52884">
        <w:rPr>
          <w:rFonts w:cstheme="minorHAnsi"/>
          <w:szCs w:val="23"/>
          <w:lang w:val="fr-CA"/>
        </w:rPr>
        <w:t>impose la prescription ou fait exécuter l’engagement afin de remédier à une violation du droit de la concurrence.</w:t>
      </w:r>
    </w:p>
    <w:p w14:paraId="33C04C1C" w14:textId="77777777" w:rsidR="00825F03" w:rsidRPr="00F52884" w:rsidRDefault="00825F03" w:rsidP="0050306B">
      <w:pPr>
        <w:rPr>
          <w:rFonts w:eastAsia="Times New Roman" w:cstheme="minorHAnsi"/>
          <w:szCs w:val="23"/>
          <w:lang w:val="fr-CA"/>
        </w:rPr>
      </w:pPr>
    </w:p>
    <w:p w14:paraId="733493ED"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bookmarkStart w:id="19" w:name="_Toc471907449"/>
    </w:p>
    <w:p w14:paraId="431BEF6C"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p>
    <w:p w14:paraId="21BCD3AF"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p>
    <w:p w14:paraId="6411A50F"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p>
    <w:p w14:paraId="13F60B0A"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p>
    <w:p w14:paraId="61124942"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p>
    <w:p w14:paraId="3F2C36DF" w14:textId="77777777" w:rsidR="00825F03" w:rsidRPr="00F52884" w:rsidRDefault="00825F03" w:rsidP="0050306B">
      <w:pPr>
        <w:pStyle w:val="Heading3"/>
        <w:spacing w:before="0" w:line="240" w:lineRule="auto"/>
        <w:contextualSpacing/>
        <w:jc w:val="center"/>
        <w:rPr>
          <w:rFonts w:asciiTheme="minorHAnsi" w:hAnsiTheme="minorHAnsi" w:cstheme="minorHAnsi"/>
          <w:sz w:val="23"/>
          <w:szCs w:val="23"/>
          <w:lang w:val="fr-CA"/>
        </w:rPr>
      </w:pPr>
    </w:p>
    <w:p w14:paraId="1E41D37E" w14:textId="77777777" w:rsidR="00825F03" w:rsidRPr="00F52884" w:rsidRDefault="00825F03">
      <w:pPr>
        <w:spacing w:after="200" w:line="276" w:lineRule="auto"/>
        <w:rPr>
          <w:rFonts w:eastAsiaTheme="majorEastAsia" w:cstheme="minorHAnsi"/>
          <w:b/>
          <w:bCs/>
          <w:szCs w:val="23"/>
          <w:lang w:val="fr-CA"/>
        </w:rPr>
      </w:pPr>
      <w:r w:rsidRPr="00F52884">
        <w:rPr>
          <w:rFonts w:cstheme="minorHAnsi"/>
          <w:szCs w:val="23"/>
          <w:lang w:val="fr-CA"/>
        </w:rPr>
        <w:br w:type="page"/>
      </w:r>
    </w:p>
    <w:p w14:paraId="5E5B5161" w14:textId="5DA9E8D0" w:rsidR="00825F03" w:rsidRPr="00F52884" w:rsidRDefault="00825F03" w:rsidP="0050306B">
      <w:pPr>
        <w:pStyle w:val="Heading3"/>
        <w:spacing w:before="0" w:line="240" w:lineRule="auto"/>
        <w:contextualSpacing/>
        <w:jc w:val="center"/>
        <w:rPr>
          <w:rFonts w:asciiTheme="minorHAnsi" w:hAnsiTheme="minorHAnsi" w:cstheme="minorHAnsi"/>
          <w:sz w:val="24"/>
          <w:szCs w:val="24"/>
          <w:lang w:val="fr-CA"/>
        </w:rPr>
      </w:pPr>
      <w:bookmarkStart w:id="20" w:name="_Toc156311756"/>
      <w:r w:rsidRPr="00F52884">
        <w:rPr>
          <w:rFonts w:asciiTheme="minorHAnsi" w:hAnsiTheme="minorHAnsi" w:cstheme="minorHAnsi"/>
          <w:sz w:val="24"/>
          <w:szCs w:val="24"/>
          <w:lang w:val="fr-CA"/>
        </w:rPr>
        <w:lastRenderedPageBreak/>
        <w:t xml:space="preserve">PARTIE D : </w:t>
      </w:r>
      <w:r w:rsidR="006710BB" w:rsidRPr="00F52884">
        <w:rPr>
          <w:rFonts w:asciiTheme="minorHAnsi" w:hAnsiTheme="minorHAnsi" w:cstheme="minorHAnsi"/>
          <w:sz w:val="24"/>
          <w:szCs w:val="24"/>
          <w:lang w:val="fr-CA"/>
        </w:rPr>
        <w:tab/>
      </w:r>
      <w:r w:rsidR="006710BB" w:rsidRPr="00F52884">
        <w:rPr>
          <w:rFonts w:asciiTheme="minorHAnsi" w:hAnsiTheme="minorHAnsi" w:cstheme="minorHAnsi"/>
          <w:sz w:val="24"/>
          <w:szCs w:val="24"/>
          <w:lang w:val="fr-CA"/>
        </w:rPr>
        <w:tab/>
      </w:r>
      <w:r w:rsidRPr="00F52884">
        <w:rPr>
          <w:rFonts w:asciiTheme="minorHAnsi" w:hAnsiTheme="minorHAnsi" w:cstheme="minorHAnsi"/>
          <w:sz w:val="24"/>
          <w:szCs w:val="24"/>
          <w:lang w:val="fr-CA"/>
        </w:rPr>
        <w:t>Monopoles et entreprises publiques — Activités commerciale</w:t>
      </w:r>
      <w:bookmarkEnd w:id="19"/>
      <w:r w:rsidRPr="00F52884">
        <w:rPr>
          <w:rFonts w:asciiTheme="minorHAnsi" w:hAnsiTheme="minorHAnsi" w:cstheme="minorHAnsi"/>
          <w:sz w:val="24"/>
          <w:szCs w:val="24"/>
          <w:lang w:val="fr-CA"/>
        </w:rPr>
        <w:t>s</w:t>
      </w:r>
      <w:bookmarkEnd w:id="20"/>
    </w:p>
    <w:p w14:paraId="704DD073" w14:textId="77777777" w:rsidR="00825F03" w:rsidRPr="00F52884" w:rsidRDefault="00825F03" w:rsidP="0050306B">
      <w:pPr>
        <w:rPr>
          <w:rFonts w:cstheme="minorHAnsi"/>
          <w:szCs w:val="23"/>
          <w:lang w:val="fr-CA"/>
        </w:rPr>
      </w:pPr>
    </w:p>
    <w:p w14:paraId="7442C04A" w14:textId="44E0365F" w:rsidR="00825F03" w:rsidRPr="00F52884" w:rsidRDefault="00825F03" w:rsidP="0050306B">
      <w:pPr>
        <w:jc w:val="center"/>
        <w:rPr>
          <w:rFonts w:cstheme="minorHAnsi"/>
          <w:b/>
          <w:szCs w:val="23"/>
          <w:lang w:val="fr-CA"/>
        </w:rPr>
      </w:pPr>
      <w:r w:rsidRPr="00F52884">
        <w:rPr>
          <w:rFonts w:cstheme="minorHAnsi"/>
          <w:b/>
          <w:bCs/>
          <w:szCs w:val="23"/>
          <w:lang w:val="fr-CA"/>
        </w:rPr>
        <w:t>Article 314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Champ d’application et portée</w:t>
      </w:r>
    </w:p>
    <w:p w14:paraId="3FD7C21B" w14:textId="77777777" w:rsidR="00825F03" w:rsidRPr="00F52884" w:rsidRDefault="00825F03" w:rsidP="0050306B">
      <w:pPr>
        <w:rPr>
          <w:rFonts w:cstheme="minorHAnsi"/>
          <w:b/>
          <w:szCs w:val="23"/>
          <w:lang w:val="fr-CA"/>
        </w:rPr>
      </w:pPr>
    </w:p>
    <w:p w14:paraId="533E5CF3" w14:textId="7D456C0C" w:rsidR="00825F03" w:rsidRPr="00F52884" w:rsidRDefault="00825F03" w:rsidP="00825F03">
      <w:pPr>
        <w:pStyle w:val="ListParagraph"/>
        <w:numPr>
          <w:ilvl w:val="0"/>
          <w:numId w:val="332"/>
        </w:numPr>
        <w:ind w:left="0" w:firstLine="0"/>
        <w:rPr>
          <w:rFonts w:eastAsia="Times New Roman" w:cstheme="minorHAnsi"/>
          <w:szCs w:val="23"/>
          <w:lang w:val="fr-CA"/>
        </w:rPr>
      </w:pPr>
      <w:r w:rsidRPr="00F52884">
        <w:rPr>
          <w:rFonts w:cstheme="minorHAnsi"/>
          <w:szCs w:val="23"/>
          <w:lang w:val="fr-CA"/>
        </w:rPr>
        <w:t xml:space="preserve"> À l’exception de l’article 309 et de l’article 704 (Exigences en matière de résidence), seules les obligations prévues dans la présente partie s’appliquent aux monopoles et aux entreprises publiques lorsqu’ils exercent des activités commerciales.</w:t>
      </w:r>
    </w:p>
    <w:p w14:paraId="1A80B9A3" w14:textId="77777777" w:rsidR="00825F03" w:rsidRPr="00F52884" w:rsidRDefault="00825F03" w:rsidP="0050306B">
      <w:pPr>
        <w:pStyle w:val="ListParagraph"/>
        <w:ind w:left="0"/>
        <w:rPr>
          <w:rFonts w:eastAsia="Times New Roman" w:cstheme="minorHAnsi"/>
          <w:szCs w:val="23"/>
          <w:lang w:val="fr-CA"/>
        </w:rPr>
      </w:pPr>
    </w:p>
    <w:p w14:paraId="575E5025" w14:textId="307410DB" w:rsidR="00825F03" w:rsidRPr="00F52884" w:rsidRDefault="00825F03" w:rsidP="00825F03">
      <w:pPr>
        <w:pStyle w:val="ListParagraph"/>
        <w:numPr>
          <w:ilvl w:val="0"/>
          <w:numId w:val="332"/>
        </w:numPr>
        <w:ind w:left="0" w:firstLine="0"/>
        <w:rPr>
          <w:rFonts w:cstheme="minorHAnsi"/>
          <w:szCs w:val="23"/>
          <w:lang w:val="fr-CA"/>
        </w:rPr>
      </w:pPr>
      <w:r w:rsidRPr="00F52884">
        <w:rPr>
          <w:rFonts w:cstheme="minorHAnsi"/>
          <w:szCs w:val="23"/>
          <w:lang w:val="fr-CA"/>
        </w:rPr>
        <w:t>Il est entendu que les « activités commerciales » comprennent l’acquisition d’un produit ou service par un monopole ou par une entreprise publique uniquement si le produit ou service n’est pas acheté pour les besoins des pouvoirs publics et qu’il est acheté pour être vendu ou revendu dans le commerce ou pour servir à la fourniture ou à la production d’un produit ou service destiné à la vente ou à la revente dans le commerce.</w:t>
      </w:r>
    </w:p>
    <w:p w14:paraId="5835828B" w14:textId="77777777" w:rsidR="00825F03" w:rsidRPr="00F52884" w:rsidRDefault="00825F03" w:rsidP="0050306B">
      <w:pPr>
        <w:pStyle w:val="ListParagraph"/>
        <w:ind w:left="0"/>
        <w:rPr>
          <w:rFonts w:eastAsia="Times New Roman" w:cstheme="minorHAnsi"/>
          <w:szCs w:val="23"/>
          <w:lang w:val="fr-CA"/>
        </w:rPr>
      </w:pPr>
    </w:p>
    <w:p w14:paraId="17DDE5F1" w14:textId="41A939BA" w:rsidR="00825F03" w:rsidRPr="00F52884" w:rsidRDefault="00825F03" w:rsidP="00825F03">
      <w:pPr>
        <w:pStyle w:val="ListParagraph"/>
        <w:numPr>
          <w:ilvl w:val="0"/>
          <w:numId w:val="332"/>
        </w:numPr>
        <w:ind w:left="0" w:firstLine="0"/>
        <w:rPr>
          <w:rFonts w:eastAsia="Times New Roman" w:cstheme="minorHAnsi"/>
          <w:szCs w:val="23"/>
          <w:lang w:val="fr-CA"/>
        </w:rPr>
      </w:pPr>
      <w:r w:rsidRPr="00F52884">
        <w:rPr>
          <w:rFonts w:cstheme="minorHAnsi"/>
          <w:szCs w:val="23"/>
          <w:lang w:val="fr-CA"/>
        </w:rPr>
        <w:t>Les paragraphes 1 et 2 ne peuvent être interprétés comme limitant l’application du chapitre Cinq (Marchés publics) aux marchés couverts passés par un monopole ou par une entreprise publique.</w:t>
      </w:r>
    </w:p>
    <w:p w14:paraId="36CB010E" w14:textId="77777777" w:rsidR="00825F03" w:rsidRPr="00F52884" w:rsidRDefault="00825F03" w:rsidP="0050306B">
      <w:pPr>
        <w:rPr>
          <w:rFonts w:cstheme="minorHAnsi"/>
          <w:b/>
          <w:szCs w:val="23"/>
          <w:lang w:val="fr-CA"/>
        </w:rPr>
      </w:pPr>
    </w:p>
    <w:p w14:paraId="24F439E6" w14:textId="40399C3E" w:rsidR="00825F03" w:rsidRPr="00F52884" w:rsidRDefault="00825F03" w:rsidP="0050306B">
      <w:pPr>
        <w:jc w:val="center"/>
        <w:rPr>
          <w:rFonts w:cstheme="minorHAnsi"/>
          <w:b/>
          <w:szCs w:val="23"/>
          <w:lang w:val="fr-CA"/>
        </w:rPr>
      </w:pPr>
      <w:r w:rsidRPr="00F52884">
        <w:rPr>
          <w:rFonts w:cstheme="minorHAnsi"/>
          <w:b/>
          <w:bCs/>
          <w:szCs w:val="23"/>
          <w:lang w:val="fr-CA"/>
        </w:rPr>
        <w:t>Article 315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Droit de maintenir, d’établir ou d’autoriser des monopoles et des entreprises publiques</w:t>
      </w:r>
    </w:p>
    <w:p w14:paraId="485DEECB" w14:textId="77777777" w:rsidR="00825F03" w:rsidRPr="00F52884" w:rsidRDefault="00825F03" w:rsidP="0050306B">
      <w:pPr>
        <w:rPr>
          <w:rFonts w:cstheme="minorHAnsi"/>
          <w:b/>
          <w:szCs w:val="23"/>
          <w:lang w:val="fr-CA"/>
        </w:rPr>
      </w:pPr>
    </w:p>
    <w:p w14:paraId="569EAB1A" w14:textId="3FEEAB5E" w:rsidR="00825F03" w:rsidRPr="00F52884" w:rsidRDefault="00825F03" w:rsidP="0050306B">
      <w:pPr>
        <w:pStyle w:val="ListParagraph"/>
        <w:ind w:left="0" w:firstLine="720"/>
        <w:rPr>
          <w:rFonts w:cstheme="minorHAnsi"/>
          <w:szCs w:val="23"/>
          <w:lang w:val="fr-CA"/>
        </w:rPr>
      </w:pPr>
      <w:r w:rsidRPr="00F52884">
        <w:rPr>
          <w:rFonts w:cstheme="minorHAnsi"/>
          <w:szCs w:val="23"/>
          <w:lang w:val="fr-CA"/>
        </w:rPr>
        <w:t>Sans préjudice des droits et obligations des Parties au titre du présent accord, aucune disposition de la présente partie n’a pour effet d’empêcher une Partie de maintenir, d’établir ou d’autoriser des monopoles et des entreprises publiques sur son territoire, ni d’élargir la portée d’un monopole pour couvrir un produit ou un service additionnel.</w:t>
      </w:r>
    </w:p>
    <w:p w14:paraId="2016D79E" w14:textId="77777777" w:rsidR="00825F03" w:rsidRPr="00F52884" w:rsidRDefault="00825F03" w:rsidP="0050306B">
      <w:pPr>
        <w:rPr>
          <w:rFonts w:eastAsia="Times New Roman" w:cstheme="minorHAnsi"/>
          <w:b/>
          <w:szCs w:val="23"/>
          <w:lang w:val="fr-CA"/>
        </w:rPr>
      </w:pPr>
    </w:p>
    <w:p w14:paraId="275A93B4" w14:textId="462FD5EE" w:rsidR="00825F03" w:rsidRPr="00F52884" w:rsidRDefault="00825F03" w:rsidP="0050306B">
      <w:pPr>
        <w:jc w:val="center"/>
        <w:rPr>
          <w:rFonts w:eastAsia="Times New Roman" w:cstheme="minorHAnsi"/>
          <w:b/>
          <w:szCs w:val="23"/>
          <w:lang w:val="fr-CA"/>
        </w:rPr>
      </w:pPr>
      <w:r w:rsidRPr="00F52884">
        <w:rPr>
          <w:rFonts w:eastAsia="Times New Roman" w:cstheme="minorHAnsi"/>
          <w:b/>
          <w:bCs/>
          <w:szCs w:val="23"/>
          <w:lang w:val="fr-CA"/>
        </w:rPr>
        <w:t>Article 316 :</w:t>
      </w:r>
      <w:r w:rsidRPr="00F52884">
        <w:rPr>
          <w:rFonts w:eastAsia="Times New Roman" w:cstheme="minorHAnsi"/>
          <w:szCs w:val="23"/>
          <w:lang w:val="fr-CA"/>
        </w:rPr>
        <w:tab/>
      </w:r>
      <w:r w:rsidR="006710BB" w:rsidRPr="00F52884">
        <w:rPr>
          <w:rFonts w:eastAsia="Times New Roman" w:cstheme="minorHAnsi"/>
          <w:szCs w:val="23"/>
          <w:lang w:val="fr-CA"/>
        </w:rPr>
        <w:tab/>
      </w:r>
      <w:r w:rsidRPr="00F52884">
        <w:rPr>
          <w:rFonts w:eastAsia="Times New Roman" w:cstheme="minorHAnsi"/>
          <w:b/>
          <w:szCs w:val="23"/>
          <w:lang w:val="fr-CA"/>
        </w:rPr>
        <w:t>Traitement n</w:t>
      </w:r>
      <w:r w:rsidRPr="00F52884">
        <w:rPr>
          <w:rFonts w:eastAsia="Times New Roman" w:cstheme="minorHAnsi"/>
          <w:b/>
          <w:bCs/>
          <w:szCs w:val="23"/>
          <w:lang w:val="fr-CA"/>
        </w:rPr>
        <w:t>on discriminatoire</w:t>
      </w:r>
    </w:p>
    <w:p w14:paraId="58E128EC" w14:textId="77777777" w:rsidR="00825F03" w:rsidRPr="00F52884" w:rsidRDefault="00825F03" w:rsidP="0050306B">
      <w:pPr>
        <w:pStyle w:val="ListParagraph"/>
        <w:ind w:left="0"/>
        <w:rPr>
          <w:rFonts w:eastAsia="Times New Roman" w:cstheme="minorHAnsi"/>
          <w:szCs w:val="23"/>
          <w:lang w:val="fr-CA"/>
        </w:rPr>
      </w:pPr>
    </w:p>
    <w:p w14:paraId="50EBB8FB" w14:textId="0F9DC6D9" w:rsidR="00825F03" w:rsidRPr="00F52884" w:rsidRDefault="00825F03" w:rsidP="0050306B">
      <w:pPr>
        <w:pStyle w:val="ListParagraph"/>
        <w:ind w:left="0" w:firstLine="720"/>
        <w:rPr>
          <w:rFonts w:eastAsia="Times New Roman" w:cstheme="minorHAnsi"/>
          <w:szCs w:val="23"/>
          <w:lang w:val="fr-CA"/>
        </w:rPr>
      </w:pPr>
      <w:r w:rsidRPr="00F52884">
        <w:rPr>
          <w:rFonts w:cstheme="minorHAnsi"/>
          <w:szCs w:val="23"/>
          <w:lang w:val="fr-CA"/>
        </w:rPr>
        <w:t>Chaque Partie fait en sorte que, sur son territoire, ses monopoles accordent, lors de l’achat ou de la vente d’un produit ou d’un service, un traitement non discriminatoire :</w:t>
      </w:r>
    </w:p>
    <w:p w14:paraId="7E244774" w14:textId="77777777" w:rsidR="00825F03" w:rsidRPr="00F52884" w:rsidRDefault="00825F03" w:rsidP="0050306B">
      <w:pPr>
        <w:pStyle w:val="ListParagraph"/>
        <w:ind w:left="0"/>
        <w:rPr>
          <w:rFonts w:eastAsia="Times New Roman" w:cstheme="minorHAnsi"/>
          <w:szCs w:val="23"/>
          <w:lang w:val="fr-CA"/>
        </w:rPr>
      </w:pPr>
    </w:p>
    <w:p w14:paraId="50D617EA" w14:textId="2AA20254" w:rsidR="00825F03" w:rsidRPr="00F52884" w:rsidRDefault="00825F03" w:rsidP="00825F03">
      <w:pPr>
        <w:pStyle w:val="ListParagraph"/>
        <w:numPr>
          <w:ilvl w:val="0"/>
          <w:numId w:val="333"/>
        </w:numPr>
        <w:ind w:left="1440" w:hanging="720"/>
        <w:rPr>
          <w:rFonts w:eastAsia="Times New Roman" w:cstheme="minorHAnsi"/>
          <w:szCs w:val="23"/>
          <w:lang w:val="fr-CA"/>
        </w:rPr>
      </w:pPr>
      <w:proofErr w:type="gramStart"/>
      <w:r w:rsidRPr="00F52884">
        <w:rPr>
          <w:rFonts w:cstheme="minorHAnsi"/>
          <w:szCs w:val="23"/>
          <w:lang w:val="fr-CA"/>
        </w:rPr>
        <w:t>à</w:t>
      </w:r>
      <w:proofErr w:type="gramEnd"/>
      <w:r w:rsidRPr="00F52884">
        <w:rPr>
          <w:rFonts w:cstheme="minorHAnsi"/>
          <w:szCs w:val="23"/>
          <w:lang w:val="fr-CA"/>
        </w:rPr>
        <w:t xml:space="preserve"> un investissement d’un investisseur de toute autre Partie;</w:t>
      </w:r>
    </w:p>
    <w:p w14:paraId="40603FB4" w14:textId="77777777" w:rsidR="00825F03" w:rsidRPr="00F52884" w:rsidRDefault="00825F03" w:rsidP="0050306B">
      <w:pPr>
        <w:pStyle w:val="ListParagraph"/>
        <w:ind w:left="1440" w:hanging="720"/>
        <w:rPr>
          <w:rFonts w:eastAsia="Times New Roman" w:cstheme="minorHAnsi"/>
          <w:szCs w:val="23"/>
          <w:lang w:val="fr-CA"/>
        </w:rPr>
      </w:pPr>
    </w:p>
    <w:p w14:paraId="4778B21C" w14:textId="244010F5" w:rsidR="00825F03" w:rsidRPr="00F52884" w:rsidRDefault="00825F03" w:rsidP="00825F03">
      <w:pPr>
        <w:pStyle w:val="ListParagraph"/>
        <w:numPr>
          <w:ilvl w:val="0"/>
          <w:numId w:val="333"/>
        </w:numPr>
        <w:ind w:left="1440" w:hanging="720"/>
        <w:rPr>
          <w:rFonts w:eastAsia="Times New Roman" w:cstheme="minorHAnsi"/>
          <w:szCs w:val="23"/>
          <w:lang w:val="fr-CA"/>
        </w:rPr>
      </w:pPr>
      <w:proofErr w:type="gramStart"/>
      <w:r w:rsidRPr="00F52884">
        <w:rPr>
          <w:rFonts w:eastAsia="Times New Roman" w:cstheme="minorHAnsi"/>
          <w:szCs w:val="23"/>
          <w:lang w:val="fr-CA"/>
        </w:rPr>
        <w:t>à</w:t>
      </w:r>
      <w:proofErr w:type="gramEnd"/>
      <w:r w:rsidRPr="00F52884">
        <w:rPr>
          <w:rFonts w:eastAsia="Times New Roman" w:cstheme="minorHAnsi"/>
          <w:szCs w:val="23"/>
          <w:lang w:val="fr-CA"/>
        </w:rPr>
        <w:t xml:space="preserve"> un produit de toute autre Partie;</w:t>
      </w:r>
    </w:p>
    <w:p w14:paraId="7C55AE37" w14:textId="77777777" w:rsidR="00825F03" w:rsidRPr="00F52884" w:rsidRDefault="00825F03" w:rsidP="0050306B">
      <w:pPr>
        <w:pStyle w:val="ListParagraph"/>
        <w:rPr>
          <w:rFonts w:eastAsia="Times New Roman" w:cstheme="minorHAnsi"/>
          <w:szCs w:val="23"/>
          <w:lang w:val="fr-CA"/>
        </w:rPr>
      </w:pPr>
    </w:p>
    <w:p w14:paraId="7E097035" w14:textId="48D74292" w:rsidR="00825F03" w:rsidRPr="00F52884" w:rsidRDefault="00825F03" w:rsidP="00825F03">
      <w:pPr>
        <w:pStyle w:val="ListParagraph"/>
        <w:numPr>
          <w:ilvl w:val="0"/>
          <w:numId w:val="333"/>
        </w:numPr>
        <w:ind w:left="1440" w:hanging="720"/>
        <w:rPr>
          <w:rFonts w:eastAsia="Times New Roman" w:cstheme="minorHAnsi"/>
          <w:szCs w:val="23"/>
          <w:lang w:val="fr-CA"/>
        </w:rPr>
      </w:pPr>
      <w:proofErr w:type="gramStart"/>
      <w:r w:rsidRPr="00F52884">
        <w:rPr>
          <w:rFonts w:eastAsia="Times New Roman" w:cstheme="minorHAnsi"/>
          <w:szCs w:val="23"/>
          <w:lang w:val="fr-CA"/>
        </w:rPr>
        <w:t>à</w:t>
      </w:r>
      <w:proofErr w:type="gramEnd"/>
      <w:r w:rsidRPr="00F52884">
        <w:rPr>
          <w:rFonts w:eastAsia="Times New Roman" w:cstheme="minorHAnsi"/>
          <w:szCs w:val="23"/>
          <w:lang w:val="fr-CA"/>
        </w:rPr>
        <w:t xml:space="preserve"> un fournisseur de services de toute autre Partie.</w:t>
      </w:r>
    </w:p>
    <w:p w14:paraId="4B22A7C0" w14:textId="77777777" w:rsidR="00825F03" w:rsidRPr="00F52884" w:rsidRDefault="00825F03" w:rsidP="0050306B">
      <w:pPr>
        <w:pStyle w:val="ListParagraph"/>
        <w:ind w:left="0"/>
        <w:rPr>
          <w:rFonts w:cstheme="minorHAnsi"/>
          <w:b/>
          <w:bCs/>
          <w:szCs w:val="23"/>
          <w:lang w:val="fr-CA"/>
        </w:rPr>
      </w:pPr>
    </w:p>
    <w:p w14:paraId="0B8A4C64" w14:textId="0521C464" w:rsidR="00825F03" w:rsidRPr="00F52884" w:rsidRDefault="00825F03" w:rsidP="0050306B">
      <w:pPr>
        <w:pStyle w:val="ListParagraph"/>
        <w:ind w:left="0"/>
        <w:jc w:val="center"/>
        <w:rPr>
          <w:rFonts w:eastAsia="Times New Roman" w:cstheme="minorHAnsi"/>
          <w:b/>
          <w:szCs w:val="23"/>
          <w:lang w:val="fr-CA"/>
        </w:rPr>
      </w:pPr>
      <w:r w:rsidRPr="00F52884">
        <w:rPr>
          <w:rFonts w:cstheme="minorHAnsi"/>
          <w:b/>
          <w:bCs/>
          <w:szCs w:val="23"/>
          <w:lang w:val="fr-CA"/>
        </w:rPr>
        <w:t>Article 317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Considérations d’ordre commercial</w:t>
      </w:r>
    </w:p>
    <w:p w14:paraId="53A1516C" w14:textId="77777777" w:rsidR="00825F03" w:rsidRPr="00F52884" w:rsidRDefault="00825F03" w:rsidP="0050306B">
      <w:pPr>
        <w:pStyle w:val="ListParagraph"/>
        <w:ind w:left="0"/>
        <w:rPr>
          <w:rFonts w:eastAsia="Times New Roman" w:cstheme="minorHAnsi"/>
          <w:szCs w:val="23"/>
          <w:lang w:val="fr-CA"/>
        </w:rPr>
      </w:pPr>
    </w:p>
    <w:p w14:paraId="6EBD85CE" w14:textId="43A44DE7" w:rsidR="00825F03" w:rsidRPr="00F52884" w:rsidRDefault="00825F03" w:rsidP="0050306B">
      <w:pPr>
        <w:pStyle w:val="ListParagraph"/>
        <w:ind w:left="0" w:firstLine="720"/>
        <w:rPr>
          <w:rFonts w:eastAsia="Times New Roman" w:cstheme="minorHAnsi"/>
          <w:szCs w:val="23"/>
          <w:lang w:val="fr-CA"/>
        </w:rPr>
      </w:pPr>
      <w:r w:rsidRPr="00F52884">
        <w:rPr>
          <w:rFonts w:cstheme="minorHAnsi"/>
          <w:szCs w:val="23"/>
          <w:lang w:val="fr-CA"/>
        </w:rPr>
        <w:t>Chaque Partie fait en sorte que ses monopoles et entreprises publiques agissent uniquement en s’inspirant de considérations d’ordre commercial sur son territoire :</w:t>
      </w:r>
    </w:p>
    <w:p w14:paraId="77C32D6A" w14:textId="77777777" w:rsidR="00825F03" w:rsidRPr="00F52884" w:rsidRDefault="00825F03" w:rsidP="0050306B">
      <w:pPr>
        <w:pStyle w:val="ListParagraph"/>
        <w:ind w:left="0"/>
        <w:rPr>
          <w:rFonts w:eastAsia="Times New Roman" w:cstheme="minorHAnsi"/>
          <w:szCs w:val="23"/>
          <w:lang w:val="fr-CA"/>
        </w:rPr>
      </w:pPr>
    </w:p>
    <w:p w14:paraId="15B225D5" w14:textId="57B245F2" w:rsidR="00825F03" w:rsidRPr="00F52884" w:rsidRDefault="00825F03" w:rsidP="00825F03">
      <w:pPr>
        <w:pStyle w:val="ListParagraph"/>
        <w:numPr>
          <w:ilvl w:val="0"/>
          <w:numId w:val="334"/>
        </w:numPr>
        <w:ind w:left="1440" w:hanging="720"/>
        <w:rPr>
          <w:rFonts w:eastAsia="Times New Roman" w:cstheme="minorHAnsi"/>
          <w:szCs w:val="23"/>
          <w:lang w:val="fr-CA"/>
        </w:rPr>
      </w:pPr>
      <w:proofErr w:type="gramStart"/>
      <w:r w:rsidRPr="00F52884">
        <w:rPr>
          <w:rFonts w:cstheme="minorHAnsi"/>
          <w:szCs w:val="23"/>
          <w:lang w:val="fr-CA"/>
        </w:rPr>
        <w:t>dans</w:t>
      </w:r>
      <w:proofErr w:type="gramEnd"/>
      <w:r w:rsidRPr="00F52884">
        <w:rPr>
          <w:rFonts w:cstheme="minorHAnsi"/>
          <w:szCs w:val="23"/>
          <w:lang w:val="fr-CA"/>
        </w:rPr>
        <w:t xml:space="preserve"> le traitement qu’ils accordent à un investissement d’un investisseur de toute autre Partie;</w:t>
      </w:r>
    </w:p>
    <w:p w14:paraId="6E622CA0" w14:textId="77777777" w:rsidR="00825F03" w:rsidRPr="00F52884" w:rsidRDefault="00825F03" w:rsidP="0050306B">
      <w:pPr>
        <w:pStyle w:val="ListParagraph"/>
        <w:ind w:left="1440" w:hanging="720"/>
        <w:rPr>
          <w:rFonts w:eastAsia="Times New Roman" w:cstheme="minorHAnsi"/>
          <w:szCs w:val="23"/>
          <w:lang w:val="fr-CA"/>
        </w:rPr>
      </w:pPr>
    </w:p>
    <w:p w14:paraId="4756E492" w14:textId="4837F351" w:rsidR="00825F03" w:rsidRPr="00F52884" w:rsidRDefault="00825F03" w:rsidP="00825F03">
      <w:pPr>
        <w:pStyle w:val="ListParagraph"/>
        <w:numPr>
          <w:ilvl w:val="0"/>
          <w:numId w:val="334"/>
        </w:numPr>
        <w:ind w:left="1440" w:hanging="720"/>
        <w:rPr>
          <w:rFonts w:eastAsia="Times New Roman" w:cstheme="minorHAnsi"/>
          <w:szCs w:val="23"/>
          <w:lang w:val="fr-CA"/>
        </w:rPr>
      </w:pPr>
      <w:proofErr w:type="gramStart"/>
      <w:r w:rsidRPr="00F52884">
        <w:rPr>
          <w:rFonts w:eastAsia="Times New Roman" w:cstheme="minorHAnsi"/>
          <w:szCs w:val="23"/>
          <w:lang w:val="fr-CA"/>
        </w:rPr>
        <w:t>lors</w:t>
      </w:r>
      <w:proofErr w:type="gramEnd"/>
      <w:r w:rsidRPr="00F52884">
        <w:rPr>
          <w:rFonts w:eastAsia="Times New Roman" w:cstheme="minorHAnsi"/>
          <w:szCs w:val="23"/>
          <w:lang w:val="fr-CA"/>
        </w:rPr>
        <w:t xml:space="preserve"> de l’achat, de la vente ou de la fourniture de produits ou services à destination ou en provenance de toute autre Partie, y compris dans les cas où </w:t>
      </w:r>
      <w:r w:rsidRPr="00F52884">
        <w:rPr>
          <w:rFonts w:eastAsia="Times New Roman" w:cstheme="minorHAnsi"/>
          <w:szCs w:val="23"/>
          <w:lang w:val="fr-CA"/>
        </w:rPr>
        <w:lastRenderedPageBreak/>
        <w:t>ces produits ou services sont fournis à ou par un investissement d’un investisseur de toute autre Partie,</w:t>
      </w:r>
    </w:p>
    <w:p w14:paraId="6B8B84FC" w14:textId="77777777" w:rsidR="00825F03" w:rsidRPr="00F52884" w:rsidRDefault="00825F03" w:rsidP="0050306B">
      <w:pPr>
        <w:autoSpaceDE w:val="0"/>
        <w:autoSpaceDN w:val="0"/>
        <w:adjustRightInd w:val="0"/>
        <w:rPr>
          <w:rFonts w:cstheme="minorHAnsi"/>
          <w:szCs w:val="23"/>
          <w:lang w:val="fr-CA"/>
        </w:rPr>
      </w:pPr>
    </w:p>
    <w:p w14:paraId="6279B07B" w14:textId="6CC4A845" w:rsidR="00825F03" w:rsidRPr="00F52884" w:rsidRDefault="00825F03" w:rsidP="0050306B">
      <w:pPr>
        <w:autoSpaceDE w:val="0"/>
        <w:autoSpaceDN w:val="0"/>
        <w:adjustRightInd w:val="0"/>
        <w:rPr>
          <w:rFonts w:cstheme="minorHAnsi"/>
          <w:szCs w:val="23"/>
          <w:lang w:val="fr-CA"/>
        </w:rPr>
      </w:pPr>
      <w:proofErr w:type="gramStart"/>
      <w:r w:rsidRPr="00F52884">
        <w:rPr>
          <w:rFonts w:cstheme="minorHAnsi"/>
          <w:szCs w:val="23"/>
          <w:lang w:val="fr-CA"/>
        </w:rPr>
        <w:t>sauf</w:t>
      </w:r>
      <w:proofErr w:type="gramEnd"/>
      <w:r w:rsidRPr="00F52884">
        <w:rPr>
          <w:rFonts w:cstheme="minorHAnsi"/>
          <w:szCs w:val="23"/>
          <w:lang w:val="fr-CA"/>
        </w:rPr>
        <w:t xml:space="preserve"> lorsqu’il s’agit d’accomplir le but dans lequel le monopole ou l’entreprise publique a été créé.</w:t>
      </w:r>
    </w:p>
    <w:p w14:paraId="71743F1D" w14:textId="77777777" w:rsidR="00825F03" w:rsidRPr="00F52884" w:rsidRDefault="00825F03" w:rsidP="0050306B">
      <w:pPr>
        <w:pStyle w:val="ListParagraph"/>
        <w:ind w:left="0"/>
        <w:jc w:val="center"/>
        <w:rPr>
          <w:rFonts w:cstheme="minorHAnsi"/>
          <w:b/>
          <w:bCs/>
          <w:szCs w:val="23"/>
          <w:lang w:val="fr-CA"/>
        </w:rPr>
      </w:pPr>
    </w:p>
    <w:p w14:paraId="13A632F9" w14:textId="778FC799" w:rsidR="00825F03" w:rsidRPr="00F52884" w:rsidRDefault="00825F03" w:rsidP="0050306B">
      <w:pPr>
        <w:jc w:val="center"/>
        <w:rPr>
          <w:rFonts w:cstheme="minorHAnsi"/>
          <w:b/>
          <w:szCs w:val="23"/>
          <w:lang w:val="fr-CA"/>
        </w:rPr>
      </w:pPr>
      <w:r w:rsidRPr="00F52884">
        <w:rPr>
          <w:rFonts w:cstheme="minorHAnsi"/>
          <w:b/>
          <w:bCs/>
          <w:szCs w:val="23"/>
          <w:lang w:val="fr-CA"/>
        </w:rPr>
        <w:t>Article 318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Exceptions</w:t>
      </w:r>
    </w:p>
    <w:p w14:paraId="69FE429C" w14:textId="77777777" w:rsidR="00825F03" w:rsidRPr="00F52884" w:rsidRDefault="00825F03" w:rsidP="0050306B">
      <w:pPr>
        <w:pStyle w:val="ListParagraph"/>
        <w:ind w:left="0"/>
        <w:jc w:val="center"/>
        <w:rPr>
          <w:rFonts w:cstheme="minorHAnsi"/>
          <w:b/>
          <w:bCs/>
          <w:szCs w:val="23"/>
          <w:lang w:val="fr-CA"/>
        </w:rPr>
      </w:pPr>
    </w:p>
    <w:p w14:paraId="5A4E57CD" w14:textId="1EA8B63F" w:rsidR="00825F03" w:rsidRPr="00F52884" w:rsidRDefault="00825F03" w:rsidP="0050306B">
      <w:pPr>
        <w:pStyle w:val="ListParagraph"/>
        <w:ind w:left="0" w:firstLine="720"/>
        <w:rPr>
          <w:rFonts w:cstheme="minorHAnsi"/>
          <w:szCs w:val="23"/>
          <w:lang w:val="fr-CA" w:eastAsia="ja-JP"/>
        </w:rPr>
      </w:pPr>
      <w:r w:rsidRPr="00F52884">
        <w:rPr>
          <w:rFonts w:cstheme="minorHAnsi"/>
          <w:szCs w:val="23"/>
          <w:lang w:val="fr-CA" w:eastAsia="ja-JP"/>
        </w:rPr>
        <w:t>L’article 316 et l’article 317 ne s’appliquent pas à une mesure adoptée ou maintenue par un monopole ou par une entreprise publique d’une Partie si une exception propre à la Partie relative à l’article 201 (Traitement non discriminatoire)</w:t>
      </w:r>
      <w:r w:rsidR="00FC2A4B">
        <w:rPr>
          <w:rFonts w:cstheme="minorHAnsi"/>
          <w:szCs w:val="23"/>
          <w:lang w:val="fr-CA" w:eastAsia="ja-JP"/>
        </w:rPr>
        <w:t xml:space="preserve"> </w:t>
      </w:r>
      <w:r w:rsidR="00FC2A4B" w:rsidRPr="009A780E">
        <w:rPr>
          <w:rFonts w:ascii="Arial" w:eastAsia="Times New Roman" w:hAnsi="Arial" w:cs="Arial"/>
          <w:szCs w:val="23"/>
          <w:lang w:val="fr-CA"/>
        </w:rPr>
        <w:t>ou au paragraphe 2 de l’annexe 309</w:t>
      </w:r>
      <w:r w:rsidRPr="00F52884">
        <w:rPr>
          <w:rFonts w:cstheme="minorHAnsi"/>
          <w:szCs w:val="23"/>
          <w:lang w:val="fr-CA" w:eastAsia="ja-JP"/>
        </w:rPr>
        <w:t>, telle qu’elle figure dans les listes de la Partie jointes à la partie VII (Listes des Parties), serait applicable si la même mesure avait été adoptée ou maintenue par cette Partie.</w:t>
      </w:r>
    </w:p>
    <w:p w14:paraId="0A8B3A5A" w14:textId="77777777" w:rsidR="00825F03" w:rsidRPr="00F52884" w:rsidRDefault="00825F03" w:rsidP="0050306B">
      <w:pPr>
        <w:pStyle w:val="ListParagraph"/>
        <w:ind w:left="0" w:firstLine="720"/>
        <w:rPr>
          <w:rFonts w:cstheme="minorHAnsi"/>
          <w:b/>
          <w:bCs/>
          <w:szCs w:val="23"/>
          <w:lang w:val="fr-CA"/>
        </w:rPr>
      </w:pPr>
    </w:p>
    <w:p w14:paraId="1A4A513C" w14:textId="77777777" w:rsidR="00825F03" w:rsidRPr="00F52884" w:rsidRDefault="00825F03" w:rsidP="0050306B">
      <w:pPr>
        <w:pStyle w:val="ListParagraph"/>
        <w:ind w:left="0"/>
        <w:jc w:val="center"/>
        <w:rPr>
          <w:rFonts w:cstheme="minorHAnsi"/>
          <w:b/>
          <w:bCs/>
          <w:szCs w:val="23"/>
          <w:lang w:val="fr-CA"/>
        </w:rPr>
      </w:pPr>
    </w:p>
    <w:p w14:paraId="301B29AA" w14:textId="77777777" w:rsidR="00825F03" w:rsidRPr="00F52884" w:rsidRDefault="00825F03" w:rsidP="0050306B">
      <w:pPr>
        <w:pStyle w:val="ListParagraph"/>
        <w:ind w:left="0"/>
        <w:jc w:val="center"/>
        <w:rPr>
          <w:rFonts w:cstheme="minorHAnsi"/>
          <w:b/>
          <w:bCs/>
          <w:szCs w:val="23"/>
          <w:lang w:val="fr-CA"/>
        </w:rPr>
      </w:pPr>
    </w:p>
    <w:p w14:paraId="1D1A2172" w14:textId="77777777" w:rsidR="00825F03" w:rsidRPr="00F52884" w:rsidRDefault="00825F03" w:rsidP="0050306B">
      <w:pPr>
        <w:pStyle w:val="ListParagraph"/>
        <w:ind w:left="0"/>
        <w:jc w:val="center"/>
        <w:rPr>
          <w:rFonts w:cstheme="minorHAnsi"/>
          <w:b/>
          <w:bCs/>
          <w:szCs w:val="23"/>
          <w:lang w:val="fr-CA"/>
        </w:rPr>
      </w:pPr>
    </w:p>
    <w:p w14:paraId="0E81DF38" w14:textId="77777777" w:rsidR="00825F03" w:rsidRPr="00F52884" w:rsidRDefault="00825F03" w:rsidP="0050306B">
      <w:pPr>
        <w:pStyle w:val="ListParagraph"/>
        <w:ind w:left="0"/>
        <w:jc w:val="center"/>
        <w:rPr>
          <w:rFonts w:cstheme="minorHAnsi"/>
          <w:b/>
          <w:bCs/>
          <w:szCs w:val="23"/>
          <w:lang w:val="fr-CA"/>
        </w:rPr>
      </w:pPr>
    </w:p>
    <w:p w14:paraId="275D21CA" w14:textId="77777777" w:rsidR="00825F03" w:rsidRPr="00F52884" w:rsidRDefault="00825F03" w:rsidP="0050306B">
      <w:pPr>
        <w:pStyle w:val="ListParagraph"/>
        <w:ind w:left="0"/>
        <w:jc w:val="center"/>
        <w:rPr>
          <w:rFonts w:cstheme="minorHAnsi"/>
          <w:b/>
          <w:bCs/>
          <w:szCs w:val="23"/>
          <w:lang w:val="fr-CA"/>
        </w:rPr>
      </w:pPr>
    </w:p>
    <w:p w14:paraId="3AE60FEF" w14:textId="77777777" w:rsidR="00825F03" w:rsidRPr="00F52884" w:rsidRDefault="00825F03" w:rsidP="0050306B">
      <w:pPr>
        <w:pStyle w:val="ListParagraph"/>
        <w:ind w:left="0"/>
        <w:jc w:val="center"/>
        <w:rPr>
          <w:rFonts w:cstheme="minorHAnsi"/>
          <w:b/>
          <w:bCs/>
          <w:szCs w:val="23"/>
          <w:lang w:val="fr-CA"/>
        </w:rPr>
      </w:pPr>
    </w:p>
    <w:p w14:paraId="26FE1D97" w14:textId="77777777" w:rsidR="00825F03" w:rsidRPr="00F52884" w:rsidRDefault="00825F03" w:rsidP="0050306B">
      <w:pPr>
        <w:pStyle w:val="ListParagraph"/>
        <w:ind w:left="0"/>
        <w:jc w:val="center"/>
        <w:rPr>
          <w:rFonts w:cstheme="minorHAnsi"/>
          <w:b/>
          <w:bCs/>
          <w:szCs w:val="23"/>
          <w:lang w:val="fr-CA"/>
        </w:rPr>
      </w:pPr>
    </w:p>
    <w:p w14:paraId="7DC1F48E" w14:textId="77777777" w:rsidR="00825F03" w:rsidRPr="00F52884" w:rsidRDefault="00825F03" w:rsidP="0050306B">
      <w:pPr>
        <w:pStyle w:val="ListParagraph"/>
        <w:ind w:left="0"/>
        <w:jc w:val="center"/>
        <w:rPr>
          <w:rFonts w:cstheme="minorHAnsi"/>
          <w:b/>
          <w:bCs/>
          <w:szCs w:val="23"/>
          <w:lang w:val="fr-CA"/>
        </w:rPr>
      </w:pPr>
    </w:p>
    <w:p w14:paraId="14CFEF76" w14:textId="77777777" w:rsidR="00825F03" w:rsidRPr="00F52884" w:rsidRDefault="00825F03" w:rsidP="0050306B">
      <w:pPr>
        <w:pStyle w:val="ListParagraph"/>
        <w:ind w:left="0"/>
        <w:jc w:val="center"/>
        <w:rPr>
          <w:rFonts w:cstheme="minorHAnsi"/>
          <w:b/>
          <w:bCs/>
          <w:szCs w:val="23"/>
          <w:lang w:val="fr-CA"/>
        </w:rPr>
      </w:pPr>
    </w:p>
    <w:p w14:paraId="08224FB9" w14:textId="77777777" w:rsidR="00825F03" w:rsidRPr="00F52884" w:rsidRDefault="00825F03" w:rsidP="0050306B">
      <w:pPr>
        <w:pStyle w:val="ListParagraph"/>
        <w:ind w:left="0"/>
        <w:jc w:val="center"/>
        <w:rPr>
          <w:rFonts w:cstheme="minorHAnsi"/>
          <w:b/>
          <w:bCs/>
          <w:szCs w:val="23"/>
          <w:lang w:val="fr-CA"/>
        </w:rPr>
      </w:pPr>
    </w:p>
    <w:p w14:paraId="2759151F" w14:textId="77777777" w:rsidR="00825F03" w:rsidRPr="00F52884" w:rsidRDefault="00825F03" w:rsidP="0050306B">
      <w:pPr>
        <w:pStyle w:val="ListParagraph"/>
        <w:ind w:left="0"/>
        <w:jc w:val="center"/>
        <w:rPr>
          <w:rFonts w:cstheme="minorHAnsi"/>
          <w:b/>
          <w:bCs/>
          <w:szCs w:val="23"/>
          <w:lang w:val="fr-CA"/>
        </w:rPr>
      </w:pPr>
    </w:p>
    <w:p w14:paraId="1F8C007C" w14:textId="77777777" w:rsidR="00825F03" w:rsidRPr="00F52884" w:rsidRDefault="00825F03" w:rsidP="0050306B">
      <w:pPr>
        <w:pStyle w:val="ListParagraph"/>
        <w:ind w:left="0"/>
        <w:jc w:val="center"/>
        <w:rPr>
          <w:rFonts w:cstheme="minorHAnsi"/>
          <w:b/>
          <w:bCs/>
          <w:szCs w:val="23"/>
          <w:lang w:val="fr-CA"/>
        </w:rPr>
      </w:pPr>
    </w:p>
    <w:p w14:paraId="58FB4DB1" w14:textId="77777777" w:rsidR="00825F03" w:rsidRPr="00F52884" w:rsidRDefault="00825F03" w:rsidP="0050306B">
      <w:pPr>
        <w:pStyle w:val="ListParagraph"/>
        <w:ind w:left="0"/>
        <w:jc w:val="center"/>
        <w:rPr>
          <w:rFonts w:cstheme="minorHAnsi"/>
          <w:b/>
          <w:bCs/>
          <w:szCs w:val="23"/>
          <w:lang w:val="fr-CA"/>
        </w:rPr>
      </w:pPr>
    </w:p>
    <w:p w14:paraId="3BE0656E" w14:textId="77777777" w:rsidR="00825F03" w:rsidRPr="00F52884" w:rsidRDefault="00825F03" w:rsidP="0050306B">
      <w:pPr>
        <w:pStyle w:val="ListParagraph"/>
        <w:ind w:left="0"/>
        <w:jc w:val="center"/>
        <w:rPr>
          <w:rFonts w:cstheme="minorHAnsi"/>
          <w:b/>
          <w:bCs/>
          <w:szCs w:val="23"/>
          <w:lang w:val="fr-CA"/>
        </w:rPr>
      </w:pPr>
    </w:p>
    <w:p w14:paraId="2A9FF68B" w14:textId="77777777" w:rsidR="00825F03" w:rsidRPr="00F52884" w:rsidRDefault="00825F03" w:rsidP="0050306B">
      <w:pPr>
        <w:pStyle w:val="ListParagraph"/>
        <w:ind w:left="0"/>
        <w:jc w:val="center"/>
        <w:rPr>
          <w:rFonts w:cstheme="minorHAnsi"/>
          <w:b/>
          <w:bCs/>
          <w:szCs w:val="23"/>
          <w:lang w:val="fr-CA"/>
        </w:rPr>
      </w:pPr>
    </w:p>
    <w:p w14:paraId="55C1F435" w14:textId="77777777" w:rsidR="00825F03" w:rsidRPr="00F52884" w:rsidRDefault="00825F03" w:rsidP="0050306B">
      <w:pPr>
        <w:pStyle w:val="ListParagraph"/>
        <w:ind w:left="0"/>
        <w:jc w:val="center"/>
        <w:rPr>
          <w:rFonts w:cstheme="minorHAnsi"/>
          <w:b/>
          <w:bCs/>
          <w:szCs w:val="23"/>
          <w:lang w:val="fr-CA"/>
        </w:rPr>
      </w:pPr>
    </w:p>
    <w:p w14:paraId="0CC27A8F" w14:textId="77777777" w:rsidR="00825F03" w:rsidRPr="00F52884" w:rsidRDefault="00825F03" w:rsidP="0050306B">
      <w:pPr>
        <w:pStyle w:val="ListParagraph"/>
        <w:ind w:left="0"/>
        <w:jc w:val="center"/>
        <w:rPr>
          <w:rFonts w:cstheme="minorHAnsi"/>
          <w:b/>
          <w:bCs/>
          <w:szCs w:val="23"/>
          <w:lang w:val="fr-CA"/>
        </w:rPr>
      </w:pPr>
    </w:p>
    <w:p w14:paraId="1BE4899B" w14:textId="77777777" w:rsidR="00825F03" w:rsidRPr="00F52884" w:rsidRDefault="00825F03" w:rsidP="0050306B">
      <w:pPr>
        <w:pStyle w:val="ListParagraph"/>
        <w:ind w:left="0"/>
        <w:jc w:val="center"/>
        <w:rPr>
          <w:rFonts w:cstheme="minorHAnsi"/>
          <w:b/>
          <w:bCs/>
          <w:szCs w:val="23"/>
          <w:lang w:val="fr-CA"/>
        </w:rPr>
      </w:pPr>
    </w:p>
    <w:p w14:paraId="297FC7FE" w14:textId="77777777" w:rsidR="00825F03" w:rsidRPr="00F52884" w:rsidRDefault="00825F03" w:rsidP="0050306B">
      <w:pPr>
        <w:pStyle w:val="ListParagraph"/>
        <w:ind w:left="0"/>
        <w:jc w:val="center"/>
        <w:rPr>
          <w:rFonts w:cstheme="minorHAnsi"/>
          <w:b/>
          <w:bCs/>
          <w:szCs w:val="23"/>
          <w:lang w:val="fr-CA"/>
        </w:rPr>
      </w:pPr>
    </w:p>
    <w:p w14:paraId="26281618" w14:textId="77777777" w:rsidR="00825F03" w:rsidRPr="00F52884" w:rsidRDefault="00825F03" w:rsidP="0050306B">
      <w:pPr>
        <w:pStyle w:val="ListParagraph"/>
        <w:ind w:left="0"/>
        <w:jc w:val="center"/>
        <w:rPr>
          <w:rFonts w:cstheme="minorHAnsi"/>
          <w:b/>
          <w:bCs/>
          <w:szCs w:val="23"/>
          <w:lang w:val="fr-CA"/>
        </w:rPr>
      </w:pPr>
    </w:p>
    <w:p w14:paraId="6AE460BF" w14:textId="77777777" w:rsidR="00825F03" w:rsidRPr="00F52884" w:rsidRDefault="00825F03" w:rsidP="0050306B">
      <w:pPr>
        <w:pStyle w:val="ListParagraph"/>
        <w:ind w:left="0"/>
        <w:jc w:val="center"/>
        <w:rPr>
          <w:rFonts w:cstheme="minorHAnsi"/>
          <w:b/>
          <w:bCs/>
          <w:szCs w:val="23"/>
          <w:lang w:val="fr-CA"/>
        </w:rPr>
      </w:pPr>
    </w:p>
    <w:p w14:paraId="56606AE8" w14:textId="77777777" w:rsidR="00825F03" w:rsidRPr="00F52884" w:rsidRDefault="00825F03" w:rsidP="0050306B">
      <w:pPr>
        <w:pStyle w:val="ListParagraph"/>
        <w:ind w:left="0"/>
        <w:jc w:val="center"/>
        <w:rPr>
          <w:rFonts w:cstheme="minorHAnsi"/>
          <w:b/>
          <w:bCs/>
          <w:szCs w:val="23"/>
          <w:lang w:val="fr-CA"/>
        </w:rPr>
      </w:pPr>
    </w:p>
    <w:p w14:paraId="4BF2394C" w14:textId="77777777" w:rsidR="00825F03" w:rsidRPr="00F52884" w:rsidRDefault="00825F03" w:rsidP="0050306B">
      <w:pPr>
        <w:pStyle w:val="ListParagraph"/>
        <w:ind w:left="0"/>
        <w:jc w:val="center"/>
        <w:rPr>
          <w:rFonts w:cstheme="minorHAnsi"/>
          <w:b/>
          <w:bCs/>
          <w:szCs w:val="23"/>
          <w:lang w:val="fr-CA"/>
        </w:rPr>
      </w:pPr>
    </w:p>
    <w:p w14:paraId="268CEB7B" w14:textId="77777777" w:rsidR="00825F03" w:rsidRPr="00F52884" w:rsidRDefault="00825F03" w:rsidP="0050306B">
      <w:pPr>
        <w:pStyle w:val="ListParagraph"/>
        <w:ind w:left="0"/>
        <w:jc w:val="center"/>
        <w:rPr>
          <w:rFonts w:cstheme="minorHAnsi"/>
          <w:b/>
          <w:bCs/>
          <w:szCs w:val="23"/>
          <w:lang w:val="fr-CA"/>
        </w:rPr>
      </w:pPr>
    </w:p>
    <w:p w14:paraId="0732A37B" w14:textId="77777777" w:rsidR="00825F03" w:rsidRPr="00F52884" w:rsidRDefault="00825F03" w:rsidP="0050306B">
      <w:pPr>
        <w:pStyle w:val="ListParagraph"/>
        <w:ind w:left="0"/>
        <w:jc w:val="center"/>
        <w:rPr>
          <w:rFonts w:cstheme="minorHAnsi"/>
          <w:b/>
          <w:bCs/>
          <w:szCs w:val="23"/>
          <w:lang w:val="fr-CA"/>
        </w:rPr>
      </w:pPr>
    </w:p>
    <w:p w14:paraId="3CB65856" w14:textId="77777777" w:rsidR="00825F03" w:rsidRPr="00F52884" w:rsidRDefault="00825F03" w:rsidP="0050306B">
      <w:pPr>
        <w:pStyle w:val="ListParagraph"/>
        <w:ind w:left="0"/>
        <w:jc w:val="center"/>
        <w:rPr>
          <w:rFonts w:cstheme="minorHAnsi"/>
          <w:b/>
          <w:bCs/>
          <w:szCs w:val="23"/>
          <w:lang w:val="fr-CA"/>
        </w:rPr>
      </w:pPr>
    </w:p>
    <w:p w14:paraId="3A67ACFD" w14:textId="77777777" w:rsidR="00825F03" w:rsidRPr="00F52884" w:rsidRDefault="00825F03" w:rsidP="0050306B">
      <w:pPr>
        <w:pStyle w:val="ListParagraph"/>
        <w:ind w:left="0"/>
        <w:jc w:val="center"/>
        <w:rPr>
          <w:rFonts w:cstheme="minorHAnsi"/>
          <w:b/>
          <w:bCs/>
          <w:szCs w:val="23"/>
          <w:lang w:val="fr-CA"/>
        </w:rPr>
      </w:pPr>
    </w:p>
    <w:p w14:paraId="36644645" w14:textId="77777777" w:rsidR="00825F03" w:rsidRPr="00F52884" w:rsidRDefault="00825F03" w:rsidP="0050306B">
      <w:pPr>
        <w:pStyle w:val="ListParagraph"/>
        <w:ind w:left="0"/>
        <w:jc w:val="center"/>
        <w:rPr>
          <w:rFonts w:cstheme="minorHAnsi"/>
          <w:b/>
          <w:bCs/>
          <w:szCs w:val="23"/>
          <w:lang w:val="fr-CA"/>
        </w:rPr>
      </w:pPr>
    </w:p>
    <w:p w14:paraId="3FE88F2C" w14:textId="77777777" w:rsidR="00825F03" w:rsidRPr="00F52884" w:rsidRDefault="00825F03" w:rsidP="0050306B">
      <w:pPr>
        <w:pStyle w:val="ListParagraph"/>
        <w:ind w:left="0"/>
        <w:jc w:val="center"/>
        <w:rPr>
          <w:rFonts w:cstheme="minorHAnsi"/>
          <w:b/>
          <w:bCs/>
          <w:szCs w:val="23"/>
          <w:lang w:val="fr-CA"/>
        </w:rPr>
      </w:pPr>
    </w:p>
    <w:p w14:paraId="57C9571C" w14:textId="77777777" w:rsidR="00825F03" w:rsidRPr="00F52884" w:rsidRDefault="00825F03" w:rsidP="0050306B">
      <w:pPr>
        <w:pStyle w:val="ListParagraph"/>
        <w:ind w:left="0"/>
        <w:jc w:val="center"/>
        <w:rPr>
          <w:rFonts w:cstheme="minorHAnsi"/>
          <w:b/>
          <w:bCs/>
          <w:szCs w:val="23"/>
          <w:lang w:val="fr-CA"/>
        </w:rPr>
      </w:pPr>
    </w:p>
    <w:p w14:paraId="621FBBFD" w14:textId="77777777" w:rsidR="00825F03" w:rsidRPr="00F52884" w:rsidRDefault="00825F03" w:rsidP="0050306B">
      <w:pPr>
        <w:pStyle w:val="ListParagraph"/>
        <w:ind w:left="0"/>
        <w:jc w:val="center"/>
        <w:rPr>
          <w:rFonts w:cstheme="minorHAnsi"/>
          <w:b/>
          <w:bCs/>
          <w:szCs w:val="23"/>
          <w:lang w:val="fr-CA"/>
        </w:rPr>
      </w:pPr>
    </w:p>
    <w:p w14:paraId="2C8E0D65" w14:textId="77777777" w:rsidR="00825F03" w:rsidRPr="00F52884" w:rsidRDefault="00825F03">
      <w:pPr>
        <w:rPr>
          <w:rFonts w:cstheme="minorHAnsi"/>
          <w:b/>
          <w:bCs/>
          <w:szCs w:val="23"/>
          <w:lang w:val="fr-CA"/>
        </w:rPr>
      </w:pPr>
      <w:r w:rsidRPr="00F52884">
        <w:rPr>
          <w:rFonts w:cstheme="minorHAnsi"/>
          <w:b/>
          <w:bCs/>
          <w:szCs w:val="23"/>
          <w:lang w:val="fr-CA"/>
        </w:rPr>
        <w:br w:type="page"/>
      </w:r>
    </w:p>
    <w:p w14:paraId="767BCB8C" w14:textId="74681482" w:rsidR="00825F03" w:rsidRPr="00F52884" w:rsidRDefault="00825F03" w:rsidP="00825F03">
      <w:pPr>
        <w:pStyle w:val="Heading3"/>
        <w:jc w:val="center"/>
        <w:rPr>
          <w:sz w:val="24"/>
          <w:szCs w:val="24"/>
          <w:lang w:val="fr-CA"/>
        </w:rPr>
      </w:pPr>
      <w:bookmarkStart w:id="21" w:name="_Toc156311757"/>
      <w:r w:rsidRPr="00F52884">
        <w:rPr>
          <w:sz w:val="24"/>
          <w:szCs w:val="24"/>
          <w:lang w:val="fr-CA"/>
        </w:rPr>
        <w:lastRenderedPageBreak/>
        <w:t xml:space="preserve">PARTIE E : </w:t>
      </w:r>
      <w:r w:rsidR="006710BB" w:rsidRPr="00F52884">
        <w:rPr>
          <w:sz w:val="24"/>
          <w:szCs w:val="24"/>
          <w:lang w:val="fr-CA"/>
        </w:rPr>
        <w:tab/>
      </w:r>
      <w:r w:rsidR="006710BB" w:rsidRPr="00F52884">
        <w:rPr>
          <w:sz w:val="24"/>
          <w:szCs w:val="24"/>
          <w:lang w:val="fr-CA"/>
        </w:rPr>
        <w:tab/>
      </w:r>
      <w:r w:rsidRPr="00F52884">
        <w:rPr>
          <w:sz w:val="24"/>
          <w:szCs w:val="24"/>
          <w:lang w:val="fr-CA"/>
        </w:rPr>
        <w:t>Stimulants</w:t>
      </w:r>
      <w:bookmarkEnd w:id="21"/>
    </w:p>
    <w:p w14:paraId="063CB69E" w14:textId="77777777" w:rsidR="00825F03" w:rsidRPr="00F52884" w:rsidRDefault="00825F03" w:rsidP="0050306B">
      <w:pPr>
        <w:rPr>
          <w:rFonts w:cstheme="minorHAnsi"/>
          <w:b/>
          <w:szCs w:val="23"/>
          <w:lang w:val="fr-CA"/>
        </w:rPr>
      </w:pPr>
    </w:p>
    <w:p w14:paraId="62368F82" w14:textId="19E48849" w:rsidR="00825F03" w:rsidRPr="00F52884" w:rsidRDefault="00825F03" w:rsidP="0050306B">
      <w:pPr>
        <w:jc w:val="center"/>
        <w:rPr>
          <w:rFonts w:cstheme="minorHAnsi"/>
          <w:b/>
          <w:szCs w:val="23"/>
          <w:lang w:val="fr-CA"/>
        </w:rPr>
      </w:pPr>
      <w:r w:rsidRPr="00F52884">
        <w:rPr>
          <w:rFonts w:cstheme="minorHAnsi"/>
          <w:b/>
          <w:bCs/>
          <w:szCs w:val="23"/>
          <w:lang w:val="fr-CA"/>
        </w:rPr>
        <w:t>Article 319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Champ d’application et portée</w:t>
      </w:r>
    </w:p>
    <w:p w14:paraId="622C4C56" w14:textId="77777777" w:rsidR="00825F03" w:rsidRPr="00F52884" w:rsidRDefault="00825F03" w:rsidP="0050306B">
      <w:pPr>
        <w:rPr>
          <w:rFonts w:cstheme="minorHAnsi"/>
          <w:szCs w:val="23"/>
          <w:lang w:val="fr-CA"/>
        </w:rPr>
      </w:pPr>
      <w:r w:rsidRPr="00F52884">
        <w:rPr>
          <w:rFonts w:cstheme="minorHAnsi"/>
          <w:szCs w:val="23"/>
          <w:lang w:val="fr-CA"/>
        </w:rPr>
        <w:t xml:space="preserve"> </w:t>
      </w:r>
    </w:p>
    <w:p w14:paraId="58795E7A" w14:textId="60B2173F"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szCs w:val="23"/>
          <w:lang w:val="fr-CA"/>
        </w:rPr>
        <w:t>1.</w:t>
      </w:r>
      <w:r w:rsidRPr="00F52884">
        <w:rPr>
          <w:rFonts w:eastAsia="Times New Roman" w:cstheme="minorHAnsi"/>
          <w:szCs w:val="23"/>
          <w:lang w:val="fr-CA"/>
        </w:rPr>
        <w:tab/>
        <w:t>La présente partie s’applique aux stimulants accordés à une entreprise par une Partie ou par une entité agissant au nom de la Partie.</w:t>
      </w:r>
    </w:p>
    <w:p w14:paraId="432A42FD" w14:textId="77777777"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4758C77D" w14:textId="4694E4FE" w:rsidR="00825F03" w:rsidRPr="00F52884" w:rsidRDefault="00825F03" w:rsidP="00E01368">
      <w:pPr>
        <w:pStyle w:val="ListParagraph"/>
        <w:numPr>
          <w:ilvl w:val="0"/>
          <w:numId w:val="327"/>
        </w:numPr>
        <w:autoSpaceDE w:val="0"/>
        <w:autoSpaceDN w:val="0"/>
        <w:adjustRightInd w:val="0"/>
        <w:ind w:left="0" w:firstLine="0"/>
        <w:rPr>
          <w:rFonts w:cstheme="minorHAnsi"/>
          <w:szCs w:val="23"/>
          <w:lang w:val="fr-CA"/>
        </w:rPr>
      </w:pPr>
      <w:r w:rsidRPr="00F52884">
        <w:rPr>
          <w:rFonts w:cstheme="minorHAnsi"/>
          <w:szCs w:val="23"/>
          <w:lang w:val="fr-CA"/>
        </w:rPr>
        <w:t>Les dispositions suivantes ne s’appliquent pas aux stimulants :</w:t>
      </w:r>
    </w:p>
    <w:p w14:paraId="33E9EF9C" w14:textId="77777777" w:rsidR="00825F03" w:rsidRPr="00F52884" w:rsidRDefault="00825F03" w:rsidP="0050306B">
      <w:pPr>
        <w:pStyle w:val="ListParagraph"/>
        <w:autoSpaceDE w:val="0"/>
        <w:autoSpaceDN w:val="0"/>
        <w:adjustRightInd w:val="0"/>
        <w:ind w:left="360"/>
        <w:rPr>
          <w:rFonts w:cstheme="minorHAnsi"/>
          <w:szCs w:val="23"/>
          <w:lang w:val="fr-CA"/>
        </w:rPr>
      </w:pPr>
    </w:p>
    <w:p w14:paraId="309A0E69" w14:textId="5921C4B4" w:rsidR="00825F03" w:rsidRPr="00F52884" w:rsidRDefault="00825F03" w:rsidP="00E01368">
      <w:pPr>
        <w:pStyle w:val="ListParagraph"/>
        <w:keepNext/>
        <w:numPr>
          <w:ilvl w:val="0"/>
          <w:numId w:val="335"/>
        </w:numPr>
        <w:ind w:left="1304" w:hanging="584"/>
        <w:rPr>
          <w:rFonts w:cstheme="minorHAnsi"/>
          <w:szCs w:val="23"/>
          <w:lang w:val="fr-CA"/>
        </w:rPr>
      </w:pPr>
      <w:proofErr w:type="gramStart"/>
      <w:r w:rsidRPr="00F52884">
        <w:rPr>
          <w:rFonts w:cstheme="minorHAnsi"/>
          <w:szCs w:val="23"/>
          <w:lang w:val="fr-CA"/>
        </w:rPr>
        <w:t>article</w:t>
      </w:r>
      <w:proofErr w:type="gramEnd"/>
      <w:r w:rsidRPr="00F52884">
        <w:rPr>
          <w:rFonts w:cstheme="minorHAnsi"/>
          <w:szCs w:val="23"/>
          <w:lang w:val="fr-CA"/>
        </w:rPr>
        <w:t> 201 (Traitement non discriminatoire);</w:t>
      </w:r>
    </w:p>
    <w:p w14:paraId="2127AAB6" w14:textId="77777777" w:rsidR="00825F03" w:rsidRPr="00F52884" w:rsidRDefault="00825F03" w:rsidP="00E01368">
      <w:pPr>
        <w:keepNext/>
        <w:ind w:left="1304" w:hanging="584"/>
        <w:contextualSpacing/>
        <w:rPr>
          <w:rFonts w:cstheme="minorHAnsi"/>
          <w:szCs w:val="23"/>
          <w:lang w:val="fr-CA"/>
        </w:rPr>
      </w:pPr>
    </w:p>
    <w:p w14:paraId="09CCD66C" w14:textId="7F8424D3" w:rsidR="00825F03" w:rsidRPr="00F52884" w:rsidRDefault="00825F03" w:rsidP="00E01368">
      <w:pPr>
        <w:pStyle w:val="ListParagraph"/>
        <w:keepNext/>
        <w:numPr>
          <w:ilvl w:val="0"/>
          <w:numId w:val="335"/>
        </w:numPr>
        <w:ind w:left="1304" w:hanging="584"/>
        <w:rPr>
          <w:rFonts w:eastAsia="Calibri" w:cstheme="minorHAnsi"/>
          <w:szCs w:val="23"/>
          <w:lang w:val="fr-CA"/>
        </w:rPr>
      </w:pPr>
      <w:proofErr w:type="gramStart"/>
      <w:r w:rsidRPr="00F52884">
        <w:rPr>
          <w:rFonts w:eastAsia="Calibri" w:cstheme="minorHAnsi"/>
          <w:szCs w:val="23"/>
          <w:lang w:val="fr-CA"/>
        </w:rPr>
        <w:t>partie</w:t>
      </w:r>
      <w:proofErr w:type="gramEnd"/>
      <w:r w:rsidRPr="00F52884">
        <w:rPr>
          <w:rFonts w:eastAsia="Calibri" w:cstheme="minorHAnsi"/>
          <w:szCs w:val="23"/>
          <w:lang w:val="fr-CA"/>
        </w:rPr>
        <w:t xml:space="preserve"> B;</w:t>
      </w:r>
    </w:p>
    <w:p w14:paraId="124A9998" w14:textId="77777777" w:rsidR="00825F03" w:rsidRPr="00F52884" w:rsidRDefault="00825F03" w:rsidP="00E01368">
      <w:pPr>
        <w:pStyle w:val="ListParagraph"/>
        <w:ind w:left="1304" w:hanging="584"/>
        <w:rPr>
          <w:rFonts w:eastAsia="Calibri" w:cstheme="minorHAnsi"/>
          <w:szCs w:val="23"/>
          <w:lang w:val="fr-CA"/>
        </w:rPr>
      </w:pPr>
    </w:p>
    <w:p w14:paraId="52F32413" w14:textId="207F2C16" w:rsidR="00825F03" w:rsidRPr="00F52884" w:rsidRDefault="00825F03" w:rsidP="00E01368">
      <w:pPr>
        <w:pStyle w:val="ListParagraph"/>
        <w:keepNext/>
        <w:numPr>
          <w:ilvl w:val="0"/>
          <w:numId w:val="335"/>
        </w:numPr>
        <w:ind w:left="1304" w:hanging="584"/>
        <w:rPr>
          <w:rFonts w:eastAsia="Calibri" w:cstheme="minorHAnsi"/>
          <w:szCs w:val="23"/>
          <w:lang w:val="fr-CA"/>
        </w:rPr>
      </w:pPr>
      <w:proofErr w:type="gramStart"/>
      <w:r w:rsidRPr="00F52884">
        <w:rPr>
          <w:rFonts w:eastAsia="Calibri" w:cstheme="minorHAnsi"/>
          <w:szCs w:val="23"/>
          <w:lang w:val="fr-CA"/>
        </w:rPr>
        <w:t>partie</w:t>
      </w:r>
      <w:proofErr w:type="gramEnd"/>
      <w:r w:rsidRPr="00F52884">
        <w:rPr>
          <w:rFonts w:eastAsia="Calibri" w:cstheme="minorHAnsi"/>
          <w:szCs w:val="23"/>
          <w:lang w:val="fr-CA"/>
        </w:rPr>
        <w:t xml:space="preserve"> C, à l’exception de l’article 313;</w:t>
      </w:r>
    </w:p>
    <w:p w14:paraId="54BBCE29" w14:textId="77777777" w:rsidR="00825F03" w:rsidRPr="00F52884" w:rsidRDefault="00825F03" w:rsidP="00E01368">
      <w:pPr>
        <w:keepNext/>
        <w:ind w:left="1304" w:hanging="584"/>
        <w:contextualSpacing/>
        <w:rPr>
          <w:rFonts w:cstheme="minorHAnsi"/>
          <w:szCs w:val="23"/>
          <w:lang w:val="fr-CA"/>
        </w:rPr>
      </w:pPr>
    </w:p>
    <w:p w14:paraId="43E0CBE4" w14:textId="7E1586DE" w:rsidR="00825F03" w:rsidRPr="00F52884" w:rsidRDefault="00825F03" w:rsidP="00E01368">
      <w:pPr>
        <w:pStyle w:val="ListParagraph"/>
        <w:keepNext/>
        <w:numPr>
          <w:ilvl w:val="0"/>
          <w:numId w:val="335"/>
        </w:numPr>
        <w:ind w:left="1304" w:hanging="584"/>
        <w:rPr>
          <w:rFonts w:cstheme="minorHAnsi"/>
          <w:szCs w:val="23"/>
          <w:lang w:val="fr-CA"/>
        </w:rPr>
      </w:pPr>
      <w:proofErr w:type="gramStart"/>
      <w:r w:rsidRPr="00F52884">
        <w:rPr>
          <w:rFonts w:cstheme="minorHAnsi"/>
          <w:szCs w:val="23"/>
          <w:lang w:val="fr-CA"/>
        </w:rPr>
        <w:t>chapitre</w:t>
      </w:r>
      <w:proofErr w:type="gramEnd"/>
      <w:r w:rsidRPr="00F52884">
        <w:rPr>
          <w:rFonts w:cstheme="minorHAnsi"/>
          <w:szCs w:val="23"/>
          <w:lang w:val="fr-CA"/>
        </w:rPr>
        <w:t> Dix (Règlement des différends), seulement en ce qui concerne l’article 321 et l’article 322.</w:t>
      </w:r>
    </w:p>
    <w:p w14:paraId="21FAD13B" w14:textId="77777777" w:rsidR="00825F03" w:rsidRPr="00F52884" w:rsidRDefault="00825F03" w:rsidP="0050306B">
      <w:pPr>
        <w:autoSpaceDE w:val="0"/>
        <w:autoSpaceDN w:val="0"/>
        <w:adjustRightInd w:val="0"/>
        <w:rPr>
          <w:rFonts w:cstheme="minorHAnsi"/>
          <w:szCs w:val="23"/>
          <w:lang w:val="fr-CA"/>
        </w:rPr>
      </w:pPr>
    </w:p>
    <w:p w14:paraId="2E399163" w14:textId="5E7AE6B4" w:rsidR="00825F03" w:rsidRPr="00F52884" w:rsidRDefault="00825F03" w:rsidP="0050306B">
      <w:pPr>
        <w:jc w:val="center"/>
        <w:rPr>
          <w:rFonts w:cstheme="minorHAnsi"/>
          <w:b/>
          <w:szCs w:val="23"/>
          <w:lang w:val="fr-CA"/>
        </w:rPr>
      </w:pPr>
      <w:r w:rsidRPr="00F52884">
        <w:rPr>
          <w:rFonts w:cstheme="minorHAnsi"/>
          <w:b/>
          <w:bCs/>
          <w:szCs w:val="23"/>
          <w:lang w:val="fr-CA"/>
        </w:rPr>
        <w:t xml:space="preserve">Article 320 : </w:t>
      </w:r>
      <w:r w:rsidRPr="00F52884">
        <w:rPr>
          <w:rFonts w:cstheme="minorHAnsi"/>
          <w:szCs w:val="23"/>
          <w:lang w:val="fr-CA"/>
        </w:rPr>
        <w:tab/>
      </w:r>
      <w:r w:rsidR="006710BB" w:rsidRPr="00F52884">
        <w:rPr>
          <w:rFonts w:cstheme="minorHAnsi"/>
          <w:szCs w:val="23"/>
          <w:lang w:val="fr-CA"/>
        </w:rPr>
        <w:tab/>
      </w:r>
      <w:r w:rsidRPr="00F52884">
        <w:rPr>
          <w:rFonts w:cstheme="minorHAnsi"/>
          <w:b/>
          <w:bCs/>
          <w:szCs w:val="23"/>
          <w:lang w:val="fr-CA"/>
        </w:rPr>
        <w:t>Stimulants interdits</w:t>
      </w:r>
    </w:p>
    <w:p w14:paraId="718B4B58" w14:textId="77777777" w:rsidR="00825F03" w:rsidRPr="00F52884" w:rsidRDefault="00825F03" w:rsidP="0050306B">
      <w:pPr>
        <w:pStyle w:val="ListParagraph"/>
        <w:rPr>
          <w:rFonts w:cstheme="minorHAnsi"/>
          <w:szCs w:val="23"/>
          <w:lang w:val="fr-CA"/>
        </w:rPr>
      </w:pPr>
    </w:p>
    <w:p w14:paraId="07D65AA5" w14:textId="77076C0A" w:rsidR="00825F03" w:rsidRPr="00F52884" w:rsidRDefault="00825F03" w:rsidP="00825F03">
      <w:pPr>
        <w:pStyle w:val="ListParagraph"/>
        <w:numPr>
          <w:ilvl w:val="0"/>
          <w:numId w:val="336"/>
        </w:numPr>
        <w:ind w:hanging="720"/>
        <w:rPr>
          <w:rFonts w:cstheme="minorHAnsi"/>
          <w:szCs w:val="23"/>
          <w:lang w:val="fr-CA"/>
        </w:rPr>
      </w:pPr>
      <w:r w:rsidRPr="00F52884">
        <w:rPr>
          <w:rFonts w:cstheme="minorHAnsi"/>
          <w:szCs w:val="23"/>
          <w:lang w:val="fr-CA"/>
        </w:rPr>
        <w:t>Une Partie n’accorde pas de stimulant :</w:t>
      </w:r>
    </w:p>
    <w:p w14:paraId="4560202B" w14:textId="77777777" w:rsidR="00825F03" w:rsidRPr="00F52884" w:rsidRDefault="00825F03" w:rsidP="0050306B">
      <w:pPr>
        <w:pStyle w:val="ListParagraph"/>
        <w:ind w:left="1080"/>
        <w:rPr>
          <w:rFonts w:cstheme="minorHAnsi"/>
          <w:szCs w:val="23"/>
          <w:lang w:val="fr-CA"/>
        </w:rPr>
      </w:pPr>
    </w:p>
    <w:p w14:paraId="13BEDC41" w14:textId="418E414E" w:rsidR="00825F03" w:rsidRPr="00F52884" w:rsidRDefault="00825F03" w:rsidP="00825F03">
      <w:pPr>
        <w:pStyle w:val="ListParagraph"/>
        <w:numPr>
          <w:ilvl w:val="0"/>
          <w:numId w:val="192"/>
        </w:numPr>
        <w:ind w:left="1440" w:hanging="720"/>
        <w:rPr>
          <w:rFonts w:cstheme="minorHAnsi"/>
          <w:szCs w:val="23"/>
          <w:lang w:val="fr-CA"/>
        </w:rPr>
      </w:pPr>
      <w:proofErr w:type="gramStart"/>
      <w:r w:rsidRPr="00F52884">
        <w:rPr>
          <w:rFonts w:cstheme="minorHAnsi"/>
          <w:szCs w:val="23"/>
          <w:lang w:val="fr-CA"/>
        </w:rPr>
        <w:t>qui</w:t>
      </w:r>
      <w:proofErr w:type="gramEnd"/>
      <w:r w:rsidRPr="00F52884">
        <w:rPr>
          <w:rFonts w:cstheme="minorHAnsi"/>
          <w:szCs w:val="23"/>
          <w:lang w:val="fr-CA"/>
        </w:rPr>
        <w:t xml:space="preserve"> établit une discrimination fondée sur l’un ou l’autre des motifs suivants à l’égard d’une entreprise : </w:t>
      </w:r>
    </w:p>
    <w:p w14:paraId="1C1459CB" w14:textId="77777777" w:rsidR="00825F03" w:rsidRPr="00F52884" w:rsidRDefault="00825F03" w:rsidP="0050306B">
      <w:pPr>
        <w:ind w:left="720"/>
        <w:rPr>
          <w:rFonts w:cstheme="minorHAnsi"/>
          <w:szCs w:val="23"/>
          <w:lang w:val="fr-CA"/>
        </w:rPr>
      </w:pPr>
    </w:p>
    <w:p w14:paraId="53C592B7" w14:textId="096C1306" w:rsidR="00825F03" w:rsidRPr="00F52884" w:rsidRDefault="00825F03" w:rsidP="00E01368">
      <w:pPr>
        <w:pStyle w:val="ListParagraph"/>
        <w:numPr>
          <w:ilvl w:val="0"/>
          <w:numId w:val="337"/>
        </w:numPr>
        <w:ind w:hanging="54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siège social de l’entreprise est situé sur le territoire d’une autre Partie,</w:t>
      </w:r>
    </w:p>
    <w:p w14:paraId="5D9A6BBE" w14:textId="77777777" w:rsidR="00825F03" w:rsidRPr="00F52884" w:rsidRDefault="00825F03" w:rsidP="00825F03">
      <w:pPr>
        <w:pStyle w:val="ListParagraph"/>
        <w:ind w:left="2160" w:hanging="720"/>
        <w:rPr>
          <w:rFonts w:cstheme="minorHAnsi"/>
          <w:szCs w:val="23"/>
          <w:lang w:val="fr-CA"/>
        </w:rPr>
      </w:pPr>
    </w:p>
    <w:p w14:paraId="08243C22" w14:textId="72CBE0EF" w:rsidR="00825F03" w:rsidRPr="00F52884" w:rsidRDefault="00825F03" w:rsidP="0019173B">
      <w:pPr>
        <w:pStyle w:val="ListParagraph"/>
        <w:numPr>
          <w:ilvl w:val="0"/>
          <w:numId w:val="337"/>
        </w:numPr>
        <w:ind w:hanging="540"/>
        <w:rPr>
          <w:rFonts w:cstheme="minorHAnsi"/>
          <w:szCs w:val="23"/>
          <w:lang w:val="fr-CA"/>
        </w:rPr>
      </w:pPr>
      <w:proofErr w:type="gramStart"/>
      <w:r w:rsidRPr="00F52884">
        <w:rPr>
          <w:rFonts w:cstheme="minorHAnsi"/>
          <w:szCs w:val="23"/>
          <w:lang w:val="fr-CA"/>
        </w:rPr>
        <w:t>l’entreprise</w:t>
      </w:r>
      <w:proofErr w:type="gramEnd"/>
      <w:r w:rsidRPr="00F52884">
        <w:rPr>
          <w:rFonts w:cstheme="minorHAnsi"/>
          <w:szCs w:val="23"/>
          <w:lang w:val="fr-CA"/>
        </w:rPr>
        <w:t xml:space="preserve"> appartient à un investisseur d’une autre Partie ou est contrôlée par un investisseur d’une autre Partie;</w:t>
      </w:r>
    </w:p>
    <w:p w14:paraId="71238B3D" w14:textId="77777777" w:rsidR="00825F03" w:rsidRPr="00F52884" w:rsidRDefault="00825F03" w:rsidP="0050306B">
      <w:pPr>
        <w:rPr>
          <w:rFonts w:cstheme="minorHAnsi"/>
          <w:szCs w:val="23"/>
          <w:lang w:val="fr-CA"/>
        </w:rPr>
      </w:pPr>
    </w:p>
    <w:p w14:paraId="7BA18769" w14:textId="691FA583" w:rsidR="00825F03" w:rsidRPr="00F52884" w:rsidRDefault="00825F03" w:rsidP="00825F03">
      <w:pPr>
        <w:pStyle w:val="ListParagraph"/>
        <w:numPr>
          <w:ilvl w:val="0"/>
          <w:numId w:val="192"/>
        </w:numPr>
        <w:ind w:left="1440" w:hanging="720"/>
        <w:rPr>
          <w:rFonts w:cstheme="minorHAnsi"/>
          <w:szCs w:val="23"/>
          <w:lang w:val="fr-CA"/>
        </w:rPr>
      </w:pPr>
      <w:proofErr w:type="gramStart"/>
      <w:r w:rsidRPr="00F52884">
        <w:rPr>
          <w:rFonts w:cstheme="minorHAnsi"/>
          <w:szCs w:val="23"/>
          <w:lang w:val="fr-CA"/>
        </w:rPr>
        <w:t>dont</w:t>
      </w:r>
      <w:proofErr w:type="gramEnd"/>
      <w:r w:rsidRPr="00F52884">
        <w:rPr>
          <w:rFonts w:cstheme="minorHAnsi"/>
          <w:szCs w:val="23"/>
          <w:lang w:val="fr-CA"/>
        </w:rPr>
        <w:t xml:space="preserve"> l’octroi est subordonné, en droit ou en fait, au déplacement d’un établissement existant d’une entreprise située sur le territoire de toute autre Partie sur son propre territoire ou sur le territoire d’une autre Partie, et entraînerait directement un tel déménagement;</w:t>
      </w:r>
    </w:p>
    <w:p w14:paraId="7ED4C8D8" w14:textId="77777777" w:rsidR="00825F03" w:rsidRPr="00F52884" w:rsidRDefault="00825F03" w:rsidP="00825F03">
      <w:pPr>
        <w:ind w:left="1440" w:hanging="720"/>
        <w:contextualSpacing/>
        <w:rPr>
          <w:rFonts w:cstheme="minorHAnsi"/>
          <w:szCs w:val="23"/>
          <w:lang w:val="fr-CA"/>
        </w:rPr>
      </w:pPr>
    </w:p>
    <w:p w14:paraId="4429F07E" w14:textId="6ED21334" w:rsidR="00825F03" w:rsidRPr="00F52884" w:rsidRDefault="00825F03" w:rsidP="00825F03">
      <w:pPr>
        <w:pStyle w:val="ListParagraph"/>
        <w:numPr>
          <w:ilvl w:val="0"/>
          <w:numId w:val="192"/>
        </w:numPr>
        <w:ind w:left="1440" w:hanging="720"/>
        <w:rPr>
          <w:rFonts w:cstheme="minorHAnsi"/>
          <w:szCs w:val="23"/>
          <w:lang w:val="fr-CA"/>
        </w:rPr>
      </w:pPr>
      <w:proofErr w:type="gramStart"/>
      <w:r w:rsidRPr="00F52884">
        <w:rPr>
          <w:rFonts w:cstheme="minorHAnsi"/>
          <w:szCs w:val="23"/>
          <w:lang w:val="fr-CA"/>
        </w:rPr>
        <w:t>a</w:t>
      </w:r>
      <w:proofErr w:type="gramEnd"/>
      <w:r w:rsidRPr="00F52884">
        <w:rPr>
          <w:rFonts w:cstheme="minorHAnsi"/>
          <w:szCs w:val="23"/>
          <w:lang w:val="fr-CA"/>
        </w:rPr>
        <w:t xml:space="preserve"> principalement pour objet de permettre à l’entreprise qui en bénéficie de présenter une offre plus avantageuse que ses concurrents d’une autre Partie afin d’obtenir un marché particulier sur le territoire d’une autre Partie.</w:t>
      </w:r>
    </w:p>
    <w:p w14:paraId="17FBEC84" w14:textId="77777777" w:rsidR="00825F03" w:rsidRPr="00F52884" w:rsidRDefault="00825F03" w:rsidP="0050306B">
      <w:pPr>
        <w:rPr>
          <w:rFonts w:cstheme="minorHAnsi"/>
          <w:szCs w:val="23"/>
          <w:lang w:val="fr-CA"/>
        </w:rPr>
      </w:pPr>
    </w:p>
    <w:p w14:paraId="36AD3628" w14:textId="50842B5C" w:rsidR="00825F03" w:rsidRPr="00F52884" w:rsidRDefault="00825F03" w:rsidP="0050306B">
      <w:pPr>
        <w:rPr>
          <w:rFonts w:cstheme="minorHAnsi"/>
          <w:szCs w:val="23"/>
          <w:lang w:val="fr-CA"/>
        </w:rPr>
      </w:pPr>
      <w:r w:rsidRPr="00F52884">
        <w:rPr>
          <w:rFonts w:cstheme="minorHAnsi"/>
          <w:szCs w:val="23"/>
          <w:lang w:val="fr-CA"/>
        </w:rPr>
        <w:t>2.</w:t>
      </w:r>
      <w:r w:rsidRPr="00F52884">
        <w:rPr>
          <w:rFonts w:cstheme="minorHAnsi"/>
          <w:szCs w:val="23"/>
          <w:lang w:val="fr-CA"/>
        </w:rPr>
        <w:tab/>
        <w:t>Un stimulant n’est pas considéré comme incompatible avec l’alinéa 1b) si la Partie qui l’accorde peut démontrer qu’il a été offert pour neutraliser la possibilité de déplacement de l’établissement existant en dehors du Canada et que le déplacement était imminent, notoire et activement envisagé.</w:t>
      </w:r>
    </w:p>
    <w:p w14:paraId="2E036AD5" w14:textId="77777777" w:rsidR="00825F03" w:rsidRPr="00F52884" w:rsidRDefault="00825F03" w:rsidP="0050306B">
      <w:pPr>
        <w:rPr>
          <w:rFonts w:cstheme="minorHAnsi"/>
          <w:szCs w:val="23"/>
          <w:lang w:val="fr-CA"/>
        </w:rPr>
      </w:pPr>
    </w:p>
    <w:p w14:paraId="54264019" w14:textId="77777777" w:rsidR="00825F03" w:rsidRPr="00F52884" w:rsidRDefault="00825F03" w:rsidP="0050306B">
      <w:pPr>
        <w:rPr>
          <w:rFonts w:cstheme="minorHAnsi"/>
          <w:szCs w:val="23"/>
          <w:lang w:val="fr-CA"/>
        </w:rPr>
      </w:pPr>
      <w:r w:rsidRPr="00F52884">
        <w:rPr>
          <w:rFonts w:cstheme="minorHAnsi"/>
          <w:szCs w:val="23"/>
          <w:lang w:val="fr-CA"/>
        </w:rPr>
        <w:t xml:space="preserve">3. </w:t>
      </w:r>
      <w:r w:rsidRPr="00F52884">
        <w:rPr>
          <w:rFonts w:cstheme="minorHAnsi"/>
          <w:szCs w:val="23"/>
          <w:lang w:val="fr-CA"/>
        </w:rPr>
        <w:tab/>
        <w:t>Il est entendu que :</w:t>
      </w:r>
    </w:p>
    <w:p w14:paraId="5A75ED4D" w14:textId="77777777" w:rsidR="00825F03" w:rsidRPr="00F52884" w:rsidRDefault="00825F03" w:rsidP="0050306B">
      <w:pPr>
        <w:rPr>
          <w:rFonts w:cstheme="minorHAnsi"/>
          <w:szCs w:val="23"/>
          <w:lang w:val="fr-CA"/>
        </w:rPr>
      </w:pPr>
    </w:p>
    <w:p w14:paraId="791D843A" w14:textId="59A69230" w:rsidR="00825F03" w:rsidRPr="00F52884" w:rsidRDefault="00825F03" w:rsidP="00E01368">
      <w:pPr>
        <w:pStyle w:val="ListParagraph"/>
        <w:numPr>
          <w:ilvl w:val="0"/>
          <w:numId w:val="338"/>
        </w:numPr>
        <w:ind w:left="1440" w:hanging="720"/>
        <w:rPr>
          <w:rFonts w:cstheme="minorHAnsi"/>
          <w:szCs w:val="23"/>
          <w:lang w:val="fr-CA"/>
        </w:rPr>
      </w:pPr>
      <w:proofErr w:type="gramStart"/>
      <w:r w:rsidRPr="00F52884">
        <w:rPr>
          <w:rFonts w:cstheme="minorHAnsi"/>
          <w:szCs w:val="23"/>
          <w:lang w:val="fr-CA"/>
        </w:rPr>
        <w:lastRenderedPageBreak/>
        <w:t>le</w:t>
      </w:r>
      <w:proofErr w:type="gramEnd"/>
      <w:r w:rsidRPr="00F52884">
        <w:rPr>
          <w:rFonts w:cstheme="minorHAnsi"/>
          <w:szCs w:val="23"/>
          <w:lang w:val="fr-CA"/>
        </w:rPr>
        <w:t xml:space="preserve"> paragraphe 1 ne peut être interprété comme empêchant une Partie d’exercer des activités générales de promotion de l’investissement;</w:t>
      </w:r>
    </w:p>
    <w:p w14:paraId="7C669C6D" w14:textId="77777777" w:rsidR="00825F03" w:rsidRPr="00F52884" w:rsidRDefault="00825F03" w:rsidP="00E01368">
      <w:pPr>
        <w:pStyle w:val="ListParagraph"/>
        <w:ind w:left="1440" w:hanging="720"/>
        <w:rPr>
          <w:rFonts w:cstheme="minorHAnsi"/>
          <w:szCs w:val="23"/>
          <w:lang w:val="fr-CA"/>
        </w:rPr>
      </w:pPr>
    </w:p>
    <w:p w14:paraId="078C0F71" w14:textId="3945F76D" w:rsidR="00825F03" w:rsidRPr="00F52884" w:rsidRDefault="00825F03" w:rsidP="00E01368">
      <w:pPr>
        <w:pStyle w:val="ListParagraph"/>
        <w:numPr>
          <w:ilvl w:val="0"/>
          <w:numId w:val="338"/>
        </w:numPr>
        <w:ind w:left="1440" w:hanging="720"/>
        <w:rPr>
          <w:rFonts w:cstheme="minorHAnsi"/>
          <w:szCs w:val="23"/>
          <w:lang w:val="fr-CA"/>
        </w:rPr>
      </w:pPr>
      <w:proofErr w:type="gramStart"/>
      <w:r w:rsidRPr="00F52884">
        <w:rPr>
          <w:rFonts w:cstheme="minorHAnsi"/>
          <w:szCs w:val="23"/>
          <w:lang w:val="fr-CA"/>
        </w:rPr>
        <w:t>l’alinéa</w:t>
      </w:r>
      <w:proofErr w:type="gramEnd"/>
      <w:r w:rsidRPr="00F52884">
        <w:rPr>
          <w:rFonts w:cstheme="minorHAnsi"/>
          <w:szCs w:val="23"/>
          <w:lang w:val="fr-CA"/>
        </w:rPr>
        <w:t xml:space="preserve"> 1b) ne s’applique pas aux stimulants accordés, selon le cas :</w:t>
      </w:r>
    </w:p>
    <w:p w14:paraId="23390FAF" w14:textId="77777777" w:rsidR="00825F03" w:rsidRPr="00F52884" w:rsidRDefault="00825F03" w:rsidP="0050306B">
      <w:pPr>
        <w:rPr>
          <w:rFonts w:cstheme="minorHAnsi"/>
          <w:b/>
          <w:szCs w:val="23"/>
          <w:lang w:val="fr-CA"/>
        </w:rPr>
      </w:pPr>
    </w:p>
    <w:p w14:paraId="5F1B77CD" w14:textId="45D22739" w:rsidR="00825F03" w:rsidRPr="00F52884" w:rsidRDefault="00825F03" w:rsidP="00E01368">
      <w:pPr>
        <w:numPr>
          <w:ilvl w:val="0"/>
          <w:numId w:val="339"/>
        </w:numPr>
        <w:ind w:left="2160" w:hanging="540"/>
        <w:rPr>
          <w:rFonts w:cstheme="minorHAnsi"/>
          <w:szCs w:val="23"/>
          <w:lang w:val="fr-CA"/>
        </w:rPr>
      </w:pPr>
      <w:proofErr w:type="gramStart"/>
      <w:r w:rsidRPr="00F52884">
        <w:rPr>
          <w:rFonts w:cstheme="minorHAnsi"/>
          <w:szCs w:val="23"/>
          <w:lang w:val="fr-CA"/>
        </w:rPr>
        <w:t>à</w:t>
      </w:r>
      <w:proofErr w:type="gramEnd"/>
      <w:r w:rsidRPr="00F52884">
        <w:rPr>
          <w:rFonts w:cstheme="minorHAnsi"/>
          <w:szCs w:val="23"/>
          <w:lang w:val="fr-CA"/>
        </w:rPr>
        <w:t xml:space="preserve"> une entreprise</w:t>
      </w:r>
      <w:r w:rsidRPr="00F52884" w:rsidDel="00772E77">
        <w:rPr>
          <w:rFonts w:cstheme="minorHAnsi"/>
          <w:szCs w:val="23"/>
          <w:lang w:val="fr-CA"/>
        </w:rPr>
        <w:t xml:space="preserve"> </w:t>
      </w:r>
      <w:r w:rsidRPr="00F52884">
        <w:rPr>
          <w:rFonts w:cstheme="minorHAnsi"/>
          <w:szCs w:val="23"/>
          <w:lang w:val="fr-CA"/>
        </w:rPr>
        <w:t>d’une tierce partie située sur le territoire d’une tierce partie,</w:t>
      </w:r>
    </w:p>
    <w:p w14:paraId="3BCFDB66" w14:textId="77777777" w:rsidR="00825F03" w:rsidRPr="00F52884" w:rsidRDefault="00825F03" w:rsidP="00E01368">
      <w:pPr>
        <w:ind w:left="2160" w:hanging="540"/>
        <w:rPr>
          <w:rFonts w:cstheme="minorHAnsi"/>
          <w:szCs w:val="23"/>
          <w:lang w:val="fr-CA"/>
        </w:rPr>
      </w:pPr>
    </w:p>
    <w:p w14:paraId="3020AF6C" w14:textId="1EA4DB6F" w:rsidR="00825F03" w:rsidRPr="00F52884" w:rsidRDefault="00825F03" w:rsidP="00E01368">
      <w:pPr>
        <w:numPr>
          <w:ilvl w:val="0"/>
          <w:numId w:val="339"/>
        </w:numPr>
        <w:ind w:left="2160" w:hanging="540"/>
        <w:rPr>
          <w:rFonts w:cstheme="minorHAnsi"/>
          <w:szCs w:val="23"/>
          <w:lang w:val="fr-CA"/>
        </w:rPr>
      </w:pPr>
      <w:proofErr w:type="gramStart"/>
      <w:r w:rsidRPr="00F52884">
        <w:rPr>
          <w:rFonts w:cstheme="minorHAnsi"/>
          <w:szCs w:val="23"/>
          <w:lang w:val="fr-CA"/>
        </w:rPr>
        <w:t>à</w:t>
      </w:r>
      <w:proofErr w:type="gramEnd"/>
      <w:r w:rsidRPr="00F52884">
        <w:rPr>
          <w:rFonts w:cstheme="minorHAnsi"/>
          <w:szCs w:val="23"/>
          <w:lang w:val="fr-CA"/>
        </w:rPr>
        <w:t xml:space="preserve"> une entreprise</w:t>
      </w:r>
      <w:r w:rsidRPr="00F52884" w:rsidDel="00772E77">
        <w:rPr>
          <w:rFonts w:cstheme="minorHAnsi"/>
          <w:szCs w:val="23"/>
          <w:lang w:val="fr-CA"/>
        </w:rPr>
        <w:t xml:space="preserve"> </w:t>
      </w:r>
      <w:r w:rsidRPr="00F52884">
        <w:rPr>
          <w:rFonts w:cstheme="minorHAnsi"/>
          <w:szCs w:val="23"/>
          <w:lang w:val="fr-CA"/>
        </w:rPr>
        <w:t>qui déplace les établissements existants du territoire d’une tierce partie vers le territoire d’une Partie.</w:t>
      </w:r>
    </w:p>
    <w:p w14:paraId="70F69421" w14:textId="77777777" w:rsidR="00825F03" w:rsidRPr="00F52884" w:rsidRDefault="00825F03" w:rsidP="0050306B">
      <w:pPr>
        <w:rPr>
          <w:rFonts w:cstheme="minorHAnsi"/>
          <w:b/>
          <w:szCs w:val="23"/>
          <w:lang w:val="fr-CA"/>
        </w:rPr>
      </w:pPr>
    </w:p>
    <w:p w14:paraId="3E9DA448" w14:textId="2881845D" w:rsidR="00825F03" w:rsidRPr="00F52884" w:rsidRDefault="00825F03" w:rsidP="0050306B">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jc w:val="center"/>
        <w:rPr>
          <w:rFonts w:eastAsia="Times New Roman" w:cstheme="minorHAnsi"/>
          <w:b/>
          <w:szCs w:val="23"/>
          <w:lang w:val="fr-CA"/>
        </w:rPr>
      </w:pPr>
      <w:r w:rsidRPr="00F52884">
        <w:rPr>
          <w:rFonts w:eastAsia="Times New Roman" w:cstheme="minorHAnsi"/>
          <w:b/>
          <w:bCs/>
          <w:szCs w:val="23"/>
          <w:lang w:val="fr-CA"/>
        </w:rPr>
        <w:t>Article 321 :</w:t>
      </w:r>
      <w:r w:rsidRPr="00F52884">
        <w:rPr>
          <w:rFonts w:eastAsia="Times New Roman" w:cstheme="minorHAnsi"/>
          <w:szCs w:val="23"/>
          <w:lang w:val="fr-CA"/>
        </w:rPr>
        <w:t xml:space="preserve"> </w:t>
      </w:r>
      <w:r w:rsidR="00600B9F" w:rsidRPr="00F52884">
        <w:rPr>
          <w:rFonts w:eastAsia="Times New Roman" w:cstheme="minorHAnsi"/>
          <w:szCs w:val="23"/>
          <w:lang w:val="fr-CA"/>
        </w:rPr>
        <w:tab/>
      </w:r>
      <w:r w:rsidRPr="00F52884">
        <w:rPr>
          <w:rFonts w:eastAsia="Times New Roman" w:cstheme="minorHAnsi"/>
          <w:b/>
          <w:bCs/>
          <w:szCs w:val="23"/>
          <w:lang w:val="fr-CA"/>
        </w:rPr>
        <w:t>Stimulants à éviter</w:t>
      </w:r>
    </w:p>
    <w:p w14:paraId="40B44662" w14:textId="77777777" w:rsidR="00825F03" w:rsidRPr="00F52884" w:rsidRDefault="00825F03" w:rsidP="0050306B">
      <w:pPr>
        <w:rPr>
          <w:rFonts w:eastAsia="Calibri" w:cstheme="minorHAnsi"/>
          <w:b/>
          <w:szCs w:val="23"/>
          <w:lang w:val="fr-CA"/>
        </w:rPr>
      </w:pPr>
    </w:p>
    <w:p w14:paraId="5EFCEA7A" w14:textId="2E0F312C" w:rsidR="00825F03" w:rsidRPr="00F52884" w:rsidRDefault="00825F03" w:rsidP="00825F03">
      <w:pPr>
        <w:pStyle w:val="ListParagraph"/>
        <w:numPr>
          <w:ilvl w:val="6"/>
          <w:numId w:val="327"/>
        </w:numPr>
        <w:autoSpaceDE w:val="0"/>
        <w:autoSpaceDN w:val="0"/>
        <w:adjustRightInd w:val="0"/>
        <w:ind w:left="0" w:firstLine="0"/>
        <w:rPr>
          <w:rFonts w:eastAsia="Times New Roman" w:cstheme="minorHAnsi"/>
          <w:szCs w:val="23"/>
          <w:lang w:val="fr-CA"/>
        </w:rPr>
      </w:pPr>
      <w:r w:rsidRPr="00F52884">
        <w:rPr>
          <w:rFonts w:eastAsia="Times New Roman" w:cstheme="minorHAnsi"/>
          <w:szCs w:val="23"/>
          <w:lang w:val="fr-CA"/>
        </w:rPr>
        <w:t>Les Parties confirment que l’octroi de stimulants peut faire partie des mesures de développement économique prises sur leur territoire.</w:t>
      </w:r>
    </w:p>
    <w:p w14:paraId="27BC3219" w14:textId="77777777" w:rsidR="00825F03" w:rsidRPr="00F52884" w:rsidRDefault="00825F03" w:rsidP="0050306B">
      <w:pPr>
        <w:pStyle w:val="ListParagraph"/>
        <w:autoSpaceDE w:val="0"/>
        <w:autoSpaceDN w:val="0"/>
        <w:adjustRightInd w:val="0"/>
        <w:ind w:left="0"/>
        <w:rPr>
          <w:rFonts w:eastAsia="Times New Roman" w:cstheme="minorHAnsi"/>
          <w:szCs w:val="23"/>
          <w:lang w:val="fr-CA"/>
        </w:rPr>
      </w:pPr>
    </w:p>
    <w:p w14:paraId="79DAB282" w14:textId="66508889" w:rsidR="00825F03" w:rsidRPr="00F52884" w:rsidRDefault="00825F03" w:rsidP="00825F03">
      <w:pPr>
        <w:pStyle w:val="ListParagraph"/>
        <w:numPr>
          <w:ilvl w:val="6"/>
          <w:numId w:val="327"/>
        </w:numPr>
        <w:autoSpaceDE w:val="0"/>
        <w:autoSpaceDN w:val="0"/>
        <w:adjustRightInd w:val="0"/>
        <w:ind w:left="0" w:firstLine="0"/>
        <w:rPr>
          <w:rFonts w:eastAsia="Times New Roman" w:cstheme="minorHAnsi"/>
          <w:szCs w:val="23"/>
          <w:lang w:val="fr-CA"/>
        </w:rPr>
      </w:pPr>
      <w:r w:rsidRPr="00F52884">
        <w:rPr>
          <w:rFonts w:eastAsia="Times New Roman" w:cstheme="minorHAnsi"/>
          <w:szCs w:val="23"/>
          <w:lang w:val="fr-CA"/>
        </w:rPr>
        <w:t>Nonobstant le paragraphe 1, les Parties reconnaissent que certains stimulants peuvent causer des effets défavorables pour les intérêts économiques d’autres Parties. Par conséquent, chaque Partie tient compte des intérêts économiques des autres Parties lorsqu’elle élabore et applique ses stimulants.</w:t>
      </w:r>
    </w:p>
    <w:p w14:paraId="55FF25BA" w14:textId="77777777" w:rsidR="00825F03" w:rsidRPr="00F52884" w:rsidRDefault="00825F03" w:rsidP="0050306B">
      <w:pPr>
        <w:rPr>
          <w:rFonts w:eastAsia="Calibri" w:cstheme="minorHAnsi"/>
          <w:b/>
          <w:szCs w:val="23"/>
          <w:lang w:val="fr-CA"/>
        </w:rPr>
      </w:pPr>
    </w:p>
    <w:p w14:paraId="38573E31" w14:textId="005C5691" w:rsidR="00825F03" w:rsidRPr="00F52884" w:rsidRDefault="00825F03" w:rsidP="00825F03">
      <w:pPr>
        <w:pStyle w:val="ListParagraph"/>
        <w:numPr>
          <w:ilvl w:val="0"/>
          <w:numId w:val="327"/>
        </w:numPr>
        <w:autoSpaceDE w:val="0"/>
        <w:autoSpaceDN w:val="0"/>
        <w:adjustRightInd w:val="0"/>
        <w:ind w:left="0" w:firstLine="0"/>
        <w:rPr>
          <w:rFonts w:cstheme="minorHAnsi"/>
          <w:szCs w:val="23"/>
          <w:lang w:val="fr-CA"/>
        </w:rPr>
      </w:pPr>
      <w:r w:rsidRPr="00F52884">
        <w:rPr>
          <w:rFonts w:cstheme="minorHAnsi"/>
          <w:szCs w:val="23"/>
          <w:lang w:val="fr-CA"/>
        </w:rPr>
        <w:t xml:space="preserve">En ce qui concerne le gouvernement du Canada, le paragraphe 2 signifie que celui-ci doit tenir compte du fait qu’un stimulant qu’il accorde à une entreprise dans une Province opère de manière à causer des effets défavorables pour les intérêts économiques d’une autre </w:t>
      </w:r>
      <w:r w:rsidR="007A1C46" w:rsidRPr="00F52884">
        <w:rPr>
          <w:rFonts w:cstheme="minorHAnsi"/>
          <w:szCs w:val="23"/>
          <w:lang w:val="fr-CA"/>
        </w:rPr>
        <w:t>P</w:t>
      </w:r>
      <w:r w:rsidRPr="00F52884">
        <w:rPr>
          <w:rFonts w:cstheme="minorHAnsi"/>
          <w:szCs w:val="23"/>
          <w:lang w:val="fr-CA"/>
        </w:rPr>
        <w:t>rovince.</w:t>
      </w:r>
    </w:p>
    <w:p w14:paraId="05F9ADAE" w14:textId="77777777" w:rsidR="00825F03" w:rsidRPr="00F52884" w:rsidRDefault="00825F03" w:rsidP="0050306B">
      <w:pPr>
        <w:tabs>
          <w:tab w:val="left" w:pos="720"/>
        </w:tabs>
        <w:autoSpaceDE w:val="0"/>
        <w:autoSpaceDN w:val="0"/>
        <w:adjustRightInd w:val="0"/>
        <w:rPr>
          <w:rFonts w:eastAsia="Calibri" w:cstheme="minorHAnsi"/>
          <w:b/>
          <w:szCs w:val="23"/>
          <w:lang w:val="fr-CA"/>
        </w:rPr>
      </w:pPr>
    </w:p>
    <w:p w14:paraId="56889173" w14:textId="3344AA8E" w:rsidR="00825F03" w:rsidRPr="00F52884" w:rsidRDefault="00825F03" w:rsidP="0050306B">
      <w:pPr>
        <w:autoSpaceDE w:val="0"/>
        <w:autoSpaceDN w:val="0"/>
        <w:adjustRightInd w:val="0"/>
        <w:rPr>
          <w:rFonts w:eastAsia="Times New Roman" w:cstheme="minorHAnsi"/>
          <w:szCs w:val="23"/>
          <w:lang w:val="fr-CA"/>
        </w:rPr>
      </w:pPr>
      <w:r w:rsidRPr="00F52884">
        <w:rPr>
          <w:rFonts w:eastAsia="Times New Roman" w:cstheme="minorHAnsi"/>
          <w:szCs w:val="23"/>
          <w:lang w:val="fr-CA"/>
        </w:rPr>
        <w:t>4.</w:t>
      </w:r>
      <w:r w:rsidRPr="00F52884">
        <w:rPr>
          <w:rFonts w:eastAsia="Times New Roman" w:cstheme="minorHAnsi"/>
          <w:szCs w:val="23"/>
          <w:lang w:val="fr-CA"/>
        </w:rPr>
        <w:tab/>
        <w:t>Chaque Partie s’efforce d’éviter d’accorder des stimulants qui, selon le cas :</w:t>
      </w:r>
    </w:p>
    <w:p w14:paraId="5040CD2E" w14:textId="77777777" w:rsidR="00825F03" w:rsidRPr="00F52884" w:rsidRDefault="00825F03" w:rsidP="0050306B">
      <w:pPr>
        <w:autoSpaceDE w:val="0"/>
        <w:autoSpaceDN w:val="0"/>
        <w:adjustRightInd w:val="0"/>
        <w:rPr>
          <w:rFonts w:eastAsia="Times New Roman" w:cstheme="minorHAnsi"/>
          <w:szCs w:val="23"/>
          <w:lang w:val="fr-CA"/>
        </w:rPr>
      </w:pPr>
    </w:p>
    <w:p w14:paraId="610C46D5" w14:textId="4E19F22F" w:rsidR="00825F03" w:rsidRPr="00F52884" w:rsidRDefault="00825F03" w:rsidP="0050306B">
      <w:pPr>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a)</w:t>
      </w:r>
      <w:r w:rsidRPr="00F52884">
        <w:rPr>
          <w:rFonts w:eastAsia="Times New Roman" w:cstheme="minorHAnsi"/>
          <w:szCs w:val="23"/>
          <w:lang w:val="fr-CA"/>
        </w:rPr>
        <w:tab/>
        <w:t>soutiennent, pendant une longue période, un établissement économiquement non viable dont la production a des effets défavorables sur la position concurrentielle d’une installation située sur le territoire d’une autre Partie;</w:t>
      </w:r>
    </w:p>
    <w:p w14:paraId="2F065383" w14:textId="77777777" w:rsidR="00825F03" w:rsidRPr="00F52884" w:rsidRDefault="00825F03" w:rsidP="0050306B">
      <w:pPr>
        <w:autoSpaceDE w:val="0"/>
        <w:autoSpaceDN w:val="0"/>
        <w:adjustRightInd w:val="0"/>
        <w:ind w:left="1440" w:hanging="720"/>
        <w:rPr>
          <w:rFonts w:eastAsia="Times New Roman" w:cstheme="minorHAnsi"/>
          <w:szCs w:val="23"/>
          <w:lang w:val="fr-CA"/>
        </w:rPr>
      </w:pPr>
    </w:p>
    <w:p w14:paraId="20BEA547" w14:textId="77777777" w:rsidR="00825F03" w:rsidRPr="00F52884" w:rsidRDefault="00825F03" w:rsidP="0050306B">
      <w:pPr>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b)</w:t>
      </w:r>
      <w:r w:rsidRPr="00F52884">
        <w:rPr>
          <w:rFonts w:eastAsia="Times New Roman" w:cstheme="minorHAnsi"/>
          <w:szCs w:val="23"/>
          <w:lang w:val="fr-CA"/>
        </w:rPr>
        <w:tab/>
        <w:t xml:space="preserve">augmentent la capacité de certains secteurs alors qu’une telle augmentation n’est pas justifiée par les conditions du marché; </w:t>
      </w:r>
    </w:p>
    <w:p w14:paraId="4CD762B8" w14:textId="77777777" w:rsidR="00825F03" w:rsidRPr="00F52884" w:rsidRDefault="00825F03" w:rsidP="0050306B">
      <w:pPr>
        <w:autoSpaceDE w:val="0"/>
        <w:autoSpaceDN w:val="0"/>
        <w:adjustRightInd w:val="0"/>
        <w:ind w:left="1440" w:hanging="720"/>
        <w:rPr>
          <w:rFonts w:eastAsia="Times New Roman" w:cstheme="minorHAnsi"/>
          <w:szCs w:val="23"/>
          <w:lang w:val="fr-CA"/>
        </w:rPr>
      </w:pPr>
    </w:p>
    <w:p w14:paraId="7DF30315" w14:textId="77777777" w:rsidR="00825F03" w:rsidRPr="00F52884" w:rsidRDefault="00825F03" w:rsidP="0050306B">
      <w:pPr>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c)</w:t>
      </w:r>
      <w:r w:rsidRPr="00F52884">
        <w:rPr>
          <w:rFonts w:eastAsia="Times New Roman" w:cstheme="minorHAnsi"/>
          <w:szCs w:val="23"/>
          <w:lang w:val="fr-CA"/>
        </w:rPr>
        <w:tab/>
        <w:t>sont excessifs, en termes absolus ou par rapport à la valeur totale d’un projet particulier visé par le stimulant, compte tenu de facteurs tels que la viabilité économique du projet et l’ampleur du désavantage économique que le stimulant est censé neutraliser.</w:t>
      </w:r>
    </w:p>
    <w:p w14:paraId="6ECA3F74" w14:textId="77777777" w:rsidR="00825F03" w:rsidRPr="00F52884" w:rsidRDefault="00825F03" w:rsidP="0050306B">
      <w:pPr>
        <w:autoSpaceDE w:val="0"/>
        <w:autoSpaceDN w:val="0"/>
        <w:adjustRightInd w:val="0"/>
        <w:rPr>
          <w:rFonts w:eastAsia="Times New Roman" w:cstheme="minorHAnsi"/>
          <w:szCs w:val="23"/>
          <w:lang w:val="fr-CA"/>
        </w:rPr>
      </w:pPr>
    </w:p>
    <w:p w14:paraId="5FF124AC" w14:textId="77777777" w:rsidR="00825F03" w:rsidRPr="00F52884" w:rsidRDefault="00825F03" w:rsidP="0050306B">
      <w:pPr>
        <w:autoSpaceDE w:val="0"/>
        <w:autoSpaceDN w:val="0"/>
        <w:adjustRightInd w:val="0"/>
        <w:rPr>
          <w:rFonts w:eastAsia="Times New Roman" w:cstheme="minorHAnsi"/>
          <w:szCs w:val="23"/>
          <w:lang w:val="fr-CA"/>
        </w:rPr>
      </w:pPr>
      <w:r w:rsidRPr="00F52884">
        <w:rPr>
          <w:rFonts w:cstheme="minorHAnsi"/>
          <w:szCs w:val="23"/>
          <w:lang w:val="fr-CA"/>
        </w:rPr>
        <w:t>5.</w:t>
      </w:r>
      <w:r w:rsidRPr="00F52884">
        <w:rPr>
          <w:rFonts w:cstheme="minorHAnsi"/>
          <w:szCs w:val="23"/>
          <w:lang w:val="fr-CA"/>
        </w:rPr>
        <w:tab/>
        <w:t>Chaque Partie évite de se livrer à des guerres d’enchères en vue d’attirer d’éventuels investisseurs en quête des stimulants les plus avantageux.</w:t>
      </w:r>
    </w:p>
    <w:p w14:paraId="4118CB1A" w14:textId="77777777" w:rsidR="00825F03" w:rsidRPr="00F52884" w:rsidRDefault="00825F03" w:rsidP="0050306B">
      <w:pPr>
        <w:pStyle w:val="ListParagraph"/>
        <w:rPr>
          <w:rFonts w:eastAsia="Times New Roman" w:cstheme="minorHAnsi"/>
          <w:szCs w:val="23"/>
          <w:lang w:val="fr-CA"/>
        </w:rPr>
      </w:pPr>
    </w:p>
    <w:p w14:paraId="6F347E82" w14:textId="209A3FC2" w:rsidR="00825F03" w:rsidRPr="00F52884" w:rsidRDefault="00825F03" w:rsidP="0050306B">
      <w:pPr>
        <w:keepNext/>
        <w:jc w:val="center"/>
        <w:rPr>
          <w:rFonts w:cstheme="minorHAnsi"/>
          <w:szCs w:val="23"/>
          <w:lang w:val="fr-CA"/>
        </w:rPr>
      </w:pPr>
      <w:r w:rsidRPr="00F52884">
        <w:rPr>
          <w:rFonts w:cstheme="minorHAnsi"/>
          <w:b/>
          <w:bCs/>
          <w:szCs w:val="23"/>
          <w:lang w:val="fr-CA"/>
        </w:rPr>
        <w:t>Article 322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Consultations</w:t>
      </w:r>
    </w:p>
    <w:p w14:paraId="4BE627CE" w14:textId="77777777"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5791D6F0" w14:textId="4029375C"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szCs w:val="23"/>
          <w:lang w:val="fr-CA"/>
        </w:rPr>
        <w:t>1.</w:t>
      </w:r>
      <w:r w:rsidRPr="00F52884">
        <w:rPr>
          <w:rFonts w:eastAsia="Times New Roman" w:cstheme="minorHAnsi"/>
          <w:szCs w:val="23"/>
          <w:lang w:val="fr-CA"/>
        </w:rPr>
        <w:tab/>
        <w:t>En complément de l’article 321, si une Partie estime que le stimulant accordé par une autre Partie cause ou pourrait causer des effets défavorables pour ses intérêts, elle peut demander la tenue de consultations sur la question. La Partie à laquelle la demande est adressée l’examine avec une entière et bienveillante attention.</w:t>
      </w:r>
    </w:p>
    <w:p w14:paraId="10EF8B82" w14:textId="77777777"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50C7B74B" w14:textId="684BB578"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szCs w:val="23"/>
          <w:lang w:val="fr-CA"/>
        </w:rPr>
        <w:t>2.</w:t>
      </w:r>
      <w:r w:rsidRPr="00F52884">
        <w:rPr>
          <w:rFonts w:eastAsia="Times New Roman" w:cstheme="minorHAnsi"/>
          <w:szCs w:val="23"/>
          <w:lang w:val="fr-CA"/>
        </w:rPr>
        <w:tab/>
        <w:t>Pendant les consultations, une Partie peut demander des renseignements supplémentaires concernant un stimulant de la Partie à laquelle la demande de consultations est adressée, y compris :</w:t>
      </w:r>
    </w:p>
    <w:p w14:paraId="18CF9383" w14:textId="77777777"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6E5AC534" w14:textId="505A52D4" w:rsidR="00825F03" w:rsidRPr="00F52884" w:rsidRDefault="00825F03" w:rsidP="00E01368">
      <w:pPr>
        <w:pStyle w:val="ListParagraph"/>
        <w:numPr>
          <w:ilvl w:val="0"/>
          <w:numId w:val="340"/>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l’objectif</w:t>
      </w:r>
      <w:proofErr w:type="gramEnd"/>
      <w:r w:rsidRPr="00F52884">
        <w:rPr>
          <w:rFonts w:eastAsia="Times New Roman" w:cstheme="minorHAnsi"/>
          <w:szCs w:val="23"/>
          <w:lang w:val="fr-CA"/>
        </w:rPr>
        <w:t xml:space="preserve"> général poursuivi par la Partie qui accorde le stimulant;</w:t>
      </w:r>
    </w:p>
    <w:p w14:paraId="2B4C5A12" w14:textId="77777777" w:rsidR="00825F03" w:rsidRPr="00F52884" w:rsidRDefault="00825F03" w:rsidP="00E01368">
      <w:pPr>
        <w:pStyle w:val="ListParagraph"/>
        <w:autoSpaceDE w:val="0"/>
        <w:autoSpaceDN w:val="0"/>
        <w:adjustRightInd w:val="0"/>
        <w:ind w:left="1440" w:hanging="720"/>
        <w:rPr>
          <w:rFonts w:eastAsia="Times New Roman" w:cstheme="minorHAnsi"/>
          <w:szCs w:val="23"/>
          <w:lang w:val="fr-CA"/>
        </w:rPr>
      </w:pPr>
    </w:p>
    <w:p w14:paraId="2B2839E2" w14:textId="77777777" w:rsidR="00825F03" w:rsidRPr="00F52884" w:rsidRDefault="00825F03" w:rsidP="00E01368">
      <w:pPr>
        <w:pStyle w:val="ListParagraph"/>
        <w:numPr>
          <w:ilvl w:val="0"/>
          <w:numId w:val="340"/>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le</w:t>
      </w:r>
      <w:proofErr w:type="gramEnd"/>
      <w:r w:rsidRPr="00F52884">
        <w:rPr>
          <w:rFonts w:eastAsia="Times New Roman" w:cstheme="minorHAnsi"/>
          <w:szCs w:val="23"/>
          <w:lang w:val="fr-CA"/>
        </w:rPr>
        <w:t xml:space="preserve"> montant total du stimulant;</w:t>
      </w:r>
    </w:p>
    <w:p w14:paraId="414168AB" w14:textId="77777777" w:rsidR="00825F03" w:rsidRPr="00F52884" w:rsidRDefault="00825F03" w:rsidP="00E01368">
      <w:pPr>
        <w:pStyle w:val="ListParagraph"/>
        <w:ind w:left="1440" w:hanging="720"/>
        <w:rPr>
          <w:rFonts w:eastAsia="Times New Roman" w:cstheme="minorHAnsi"/>
          <w:szCs w:val="23"/>
          <w:lang w:val="fr-CA"/>
        </w:rPr>
      </w:pPr>
    </w:p>
    <w:p w14:paraId="05595299" w14:textId="0DC705AC" w:rsidR="00825F03" w:rsidRPr="00F52884" w:rsidRDefault="00825F03" w:rsidP="00E01368">
      <w:pPr>
        <w:pStyle w:val="ListParagraph"/>
        <w:numPr>
          <w:ilvl w:val="0"/>
          <w:numId w:val="340"/>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toute</w:t>
      </w:r>
      <w:proofErr w:type="gramEnd"/>
      <w:r w:rsidRPr="00F52884">
        <w:rPr>
          <w:rFonts w:eastAsia="Times New Roman" w:cstheme="minorHAnsi"/>
          <w:szCs w:val="23"/>
          <w:lang w:val="fr-CA"/>
        </w:rPr>
        <w:t xml:space="preserve"> mesure prise pour limiter un éventuel effet de distorsion du stimulant sur le commerce.</w:t>
      </w:r>
    </w:p>
    <w:p w14:paraId="4EC26F54" w14:textId="77777777"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1435C8C1" w14:textId="4609F4A5" w:rsidR="00825F03" w:rsidRPr="00F52884" w:rsidRDefault="00825F03" w:rsidP="0050306B">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r w:rsidRPr="00F52884">
        <w:rPr>
          <w:rFonts w:eastAsia="Times New Roman" w:cstheme="minorHAnsi"/>
          <w:szCs w:val="23"/>
          <w:lang w:val="fr-CA"/>
        </w:rPr>
        <w:t>3.</w:t>
      </w:r>
      <w:r w:rsidRPr="00F52884">
        <w:rPr>
          <w:rFonts w:eastAsia="Times New Roman" w:cstheme="minorHAnsi"/>
          <w:szCs w:val="23"/>
          <w:lang w:val="fr-CA"/>
        </w:rPr>
        <w:tab/>
        <w:t>Sur la base des consultations, la Partie à laquelle la demande de consultations est adressée s’efforce d’éliminer ou de réduire au minimum tout effet défavorable du stimulant pour les intérêts de la Partie qui a demandé les consultations.</w:t>
      </w:r>
    </w:p>
    <w:p w14:paraId="6E63426B" w14:textId="77777777" w:rsidR="00825F03" w:rsidRPr="00F52884" w:rsidRDefault="00825F03" w:rsidP="0050306B">
      <w:pPr>
        <w:jc w:val="center"/>
        <w:rPr>
          <w:rFonts w:cstheme="minorHAnsi"/>
          <w:b/>
          <w:szCs w:val="23"/>
          <w:lang w:val="fr-CA"/>
        </w:rPr>
      </w:pPr>
    </w:p>
    <w:p w14:paraId="70F7E673" w14:textId="7E493799" w:rsidR="00825F03" w:rsidRPr="00F52884" w:rsidRDefault="00825F03" w:rsidP="0050306B">
      <w:pPr>
        <w:jc w:val="center"/>
        <w:rPr>
          <w:rFonts w:cstheme="minorHAnsi"/>
          <w:b/>
          <w:szCs w:val="23"/>
          <w:lang w:val="fr-CA"/>
        </w:rPr>
      </w:pPr>
      <w:r w:rsidRPr="00F52884">
        <w:rPr>
          <w:rFonts w:cstheme="minorHAnsi"/>
          <w:b/>
          <w:bCs/>
          <w:szCs w:val="23"/>
          <w:lang w:val="fr-CA"/>
        </w:rPr>
        <w:t>Article 323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Rapports</w:t>
      </w:r>
    </w:p>
    <w:p w14:paraId="7150B30D" w14:textId="77777777" w:rsidR="00825F03" w:rsidRPr="00F52884" w:rsidRDefault="00825F03" w:rsidP="0050306B">
      <w:pPr>
        <w:rPr>
          <w:rFonts w:cstheme="minorHAnsi"/>
          <w:b/>
          <w:szCs w:val="23"/>
          <w:lang w:val="fr-CA"/>
        </w:rPr>
      </w:pPr>
    </w:p>
    <w:p w14:paraId="3FF1DB81" w14:textId="6A043B92" w:rsidR="00825F03" w:rsidRPr="00F52884" w:rsidRDefault="00825F03" w:rsidP="00825F03">
      <w:pPr>
        <w:pStyle w:val="ListParagraph"/>
        <w:numPr>
          <w:ilvl w:val="6"/>
          <w:numId w:val="327"/>
        </w:numPr>
        <w:autoSpaceDE w:val="0"/>
        <w:autoSpaceDN w:val="0"/>
        <w:adjustRightInd w:val="0"/>
        <w:ind w:left="0" w:firstLine="0"/>
        <w:rPr>
          <w:rFonts w:cstheme="minorHAnsi"/>
          <w:szCs w:val="23"/>
          <w:lang w:val="fr-CA"/>
        </w:rPr>
      </w:pPr>
      <w:r w:rsidRPr="00F52884">
        <w:rPr>
          <w:rFonts w:cstheme="minorHAnsi"/>
          <w:szCs w:val="23"/>
          <w:lang w:val="fr-CA"/>
        </w:rPr>
        <w:t>Chaque Partie soumet au Secrétariat un rapport biennal sur les stimulants qui fait état des renseignements suivants pour la période concernée :</w:t>
      </w:r>
    </w:p>
    <w:p w14:paraId="3C7EBF5A" w14:textId="77777777" w:rsidR="00825F03" w:rsidRPr="00F52884" w:rsidRDefault="00825F03" w:rsidP="0050306B">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657FB137" w14:textId="3F6E3F62" w:rsidR="00825F03" w:rsidRPr="00F52884" w:rsidRDefault="00825F03" w:rsidP="0050306B">
      <w:pPr>
        <w:tabs>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r w:rsidRPr="00F52884">
        <w:rPr>
          <w:rFonts w:eastAsia="Times New Roman" w:cstheme="minorHAnsi"/>
          <w:szCs w:val="23"/>
          <w:lang w:val="fr-CA"/>
        </w:rPr>
        <w:t>a)</w:t>
      </w:r>
      <w:r w:rsidRPr="00F52884">
        <w:rPr>
          <w:rFonts w:eastAsia="Times New Roman" w:cstheme="minorHAnsi"/>
          <w:szCs w:val="23"/>
          <w:lang w:val="fr-CA"/>
        </w:rPr>
        <w:tab/>
        <w:t>une brève description de ses programmes de stimulants, indiquant notamment leurs buts et objectifs;</w:t>
      </w:r>
    </w:p>
    <w:p w14:paraId="6EBE7CCB" w14:textId="77777777" w:rsidR="00825F03" w:rsidRPr="00F52884" w:rsidRDefault="00825F03" w:rsidP="0050306B">
      <w:pPr>
        <w:tabs>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p>
    <w:p w14:paraId="1CC67494" w14:textId="670CBF30" w:rsidR="00825F03" w:rsidRPr="00F52884" w:rsidRDefault="00825F03" w:rsidP="0050306B">
      <w:pPr>
        <w:tabs>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r w:rsidRPr="00F52884">
        <w:rPr>
          <w:rFonts w:eastAsia="Times New Roman" w:cstheme="minorHAnsi"/>
          <w:szCs w:val="23"/>
          <w:lang w:val="fr-CA"/>
        </w:rPr>
        <w:t>b)</w:t>
      </w:r>
      <w:r w:rsidRPr="00F52884">
        <w:rPr>
          <w:rFonts w:eastAsia="Times New Roman" w:cstheme="minorHAnsi"/>
          <w:szCs w:val="23"/>
          <w:lang w:val="fr-CA"/>
        </w:rPr>
        <w:tab/>
        <w:t>le montant total de chacun des types de stimulants suivants accordés par la Partie à des entreprises sur son territoire :</w:t>
      </w:r>
    </w:p>
    <w:p w14:paraId="04731CEC" w14:textId="77777777" w:rsidR="00825F03" w:rsidRPr="00F52884" w:rsidRDefault="00825F03" w:rsidP="0050306B">
      <w:pPr>
        <w:tabs>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p>
    <w:p w14:paraId="3BF78401" w14:textId="6B6C6064" w:rsidR="00C47560" w:rsidRPr="00F52884" w:rsidRDefault="00825F03" w:rsidP="00C47560">
      <w:pPr>
        <w:pStyle w:val="ListParagraph"/>
        <w:numPr>
          <w:ilvl w:val="0"/>
          <w:numId w:val="421"/>
        </w:numPr>
        <w:tabs>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hanging="461"/>
        <w:rPr>
          <w:rFonts w:eastAsia="Times New Roman" w:cstheme="minorHAnsi"/>
          <w:szCs w:val="23"/>
          <w:lang w:val="fr-CA"/>
        </w:rPr>
      </w:pPr>
      <w:proofErr w:type="gramStart"/>
      <w:r w:rsidRPr="00F52884">
        <w:rPr>
          <w:rFonts w:eastAsia="Times New Roman" w:cstheme="minorHAnsi"/>
          <w:szCs w:val="23"/>
          <w:lang w:val="fr-CA"/>
        </w:rPr>
        <w:t>subventions</w:t>
      </w:r>
      <w:proofErr w:type="gramEnd"/>
      <w:r w:rsidRPr="00F52884">
        <w:rPr>
          <w:rFonts w:eastAsia="Times New Roman" w:cstheme="minorHAnsi"/>
          <w:szCs w:val="23"/>
          <w:lang w:val="fr-CA"/>
        </w:rPr>
        <w:t xml:space="preserve"> ou contributions,</w:t>
      </w:r>
    </w:p>
    <w:p w14:paraId="37BACD3F" w14:textId="77777777" w:rsidR="00C47560" w:rsidRPr="00F52884" w:rsidRDefault="00C47560" w:rsidP="00C47560">
      <w:pPr>
        <w:pStyle w:val="ListParagraph"/>
        <w:tabs>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2171" w:hanging="461"/>
        <w:rPr>
          <w:rFonts w:eastAsia="Times New Roman" w:cstheme="minorHAnsi"/>
          <w:szCs w:val="23"/>
          <w:lang w:val="fr-CA"/>
        </w:rPr>
      </w:pPr>
    </w:p>
    <w:p w14:paraId="33A37F91" w14:textId="6F0F794A" w:rsidR="00C47560" w:rsidRPr="00F52884" w:rsidRDefault="00825F03" w:rsidP="00C47560">
      <w:pPr>
        <w:pStyle w:val="ListParagraph"/>
        <w:numPr>
          <w:ilvl w:val="0"/>
          <w:numId w:val="421"/>
        </w:numPr>
        <w:tabs>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hanging="461"/>
        <w:rPr>
          <w:rFonts w:eastAsia="Times New Roman" w:cstheme="minorHAnsi"/>
          <w:szCs w:val="23"/>
          <w:lang w:val="fr-CA"/>
        </w:rPr>
      </w:pPr>
      <w:proofErr w:type="gramStart"/>
      <w:r w:rsidRPr="00F52884">
        <w:rPr>
          <w:rFonts w:eastAsia="Times New Roman" w:cstheme="minorHAnsi"/>
          <w:szCs w:val="23"/>
          <w:lang w:val="fr-CA"/>
        </w:rPr>
        <w:t>prêts</w:t>
      </w:r>
      <w:proofErr w:type="gramEnd"/>
      <w:r w:rsidRPr="00F52884">
        <w:rPr>
          <w:rFonts w:eastAsia="Times New Roman" w:cstheme="minorHAnsi"/>
          <w:szCs w:val="23"/>
          <w:lang w:val="fr-CA"/>
        </w:rPr>
        <w:t xml:space="preserve"> ou garanties d’emprunt,</w:t>
      </w:r>
    </w:p>
    <w:p w14:paraId="7408DE30" w14:textId="77777777" w:rsidR="00C47560" w:rsidRPr="00F52884" w:rsidRDefault="00C47560" w:rsidP="00C47560">
      <w:pPr>
        <w:pStyle w:val="ListParagraph"/>
        <w:ind w:hanging="461"/>
        <w:rPr>
          <w:rFonts w:eastAsia="Times New Roman" w:cstheme="minorHAnsi"/>
          <w:szCs w:val="23"/>
          <w:lang w:val="fr-CA"/>
        </w:rPr>
      </w:pPr>
    </w:p>
    <w:p w14:paraId="200FEDD7" w14:textId="3FACF874" w:rsidR="00825F03" w:rsidRPr="00F52884" w:rsidRDefault="00825F03" w:rsidP="00C47560">
      <w:pPr>
        <w:pStyle w:val="ListParagraph"/>
        <w:numPr>
          <w:ilvl w:val="0"/>
          <w:numId w:val="421"/>
        </w:numPr>
        <w:tabs>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hanging="461"/>
        <w:rPr>
          <w:rFonts w:eastAsia="Times New Roman" w:cstheme="minorHAnsi"/>
          <w:szCs w:val="23"/>
          <w:lang w:val="fr-CA"/>
        </w:rPr>
      </w:pPr>
      <w:proofErr w:type="gramStart"/>
      <w:r w:rsidRPr="00F52884">
        <w:rPr>
          <w:rFonts w:eastAsia="Times New Roman" w:cstheme="minorHAnsi"/>
          <w:szCs w:val="23"/>
          <w:lang w:val="fr-CA"/>
        </w:rPr>
        <w:t>apports</w:t>
      </w:r>
      <w:proofErr w:type="gramEnd"/>
      <w:r w:rsidRPr="00F52884">
        <w:rPr>
          <w:rFonts w:eastAsia="Times New Roman" w:cstheme="minorHAnsi"/>
          <w:szCs w:val="23"/>
          <w:lang w:val="fr-CA"/>
        </w:rPr>
        <w:t xml:space="preserve"> de capitaux;</w:t>
      </w:r>
    </w:p>
    <w:p w14:paraId="1E241C1C" w14:textId="77777777" w:rsidR="00825F03" w:rsidRPr="00F52884" w:rsidRDefault="00825F03" w:rsidP="0050306B">
      <w:pPr>
        <w:tabs>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p>
    <w:p w14:paraId="6A573131" w14:textId="2CFBC8AA" w:rsidR="00825F03" w:rsidRPr="00F52884" w:rsidRDefault="00825F03" w:rsidP="0050306B">
      <w:pPr>
        <w:tabs>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r w:rsidRPr="00F52884">
        <w:rPr>
          <w:rFonts w:eastAsia="Times New Roman" w:cstheme="minorHAnsi"/>
          <w:szCs w:val="23"/>
          <w:lang w:val="fr-CA"/>
        </w:rPr>
        <w:t>c)</w:t>
      </w:r>
      <w:r w:rsidRPr="00F52884">
        <w:rPr>
          <w:rFonts w:eastAsia="Times New Roman" w:cstheme="minorHAnsi"/>
          <w:szCs w:val="23"/>
          <w:lang w:val="fr-CA"/>
        </w:rPr>
        <w:tab/>
        <w:t xml:space="preserve">en ce qui concerne le gouvernement du Canada, le montant total, pour chaque Province, de chaque type de stimulants visé à l’alinéa b) qu’il a accordé à des entreprises dans cette </w:t>
      </w:r>
      <w:r w:rsidR="007A1C46" w:rsidRPr="00F52884">
        <w:rPr>
          <w:rFonts w:eastAsia="Times New Roman" w:cstheme="minorHAnsi"/>
          <w:szCs w:val="23"/>
          <w:lang w:val="fr-CA"/>
        </w:rPr>
        <w:t>Province</w:t>
      </w:r>
      <w:r w:rsidRPr="00F52884">
        <w:rPr>
          <w:rFonts w:eastAsia="Times New Roman" w:cstheme="minorHAnsi"/>
          <w:szCs w:val="23"/>
          <w:lang w:val="fr-CA"/>
        </w:rPr>
        <w:t xml:space="preserve">; </w:t>
      </w:r>
    </w:p>
    <w:p w14:paraId="2E070888" w14:textId="77777777" w:rsidR="00825F03" w:rsidRPr="00F52884" w:rsidRDefault="00825F03" w:rsidP="0050306B">
      <w:pPr>
        <w:tabs>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p>
    <w:p w14:paraId="5EDF1A2D" w14:textId="1E22B0D6" w:rsidR="00825F03" w:rsidRPr="00F52884" w:rsidRDefault="00825F03" w:rsidP="0050306B">
      <w:pPr>
        <w:tabs>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r w:rsidRPr="00F52884">
        <w:rPr>
          <w:rFonts w:eastAsia="Times New Roman" w:cstheme="minorHAnsi"/>
          <w:szCs w:val="23"/>
          <w:lang w:val="fr-CA"/>
        </w:rPr>
        <w:t>d)</w:t>
      </w:r>
      <w:r w:rsidRPr="00F52884">
        <w:rPr>
          <w:rFonts w:eastAsia="Times New Roman" w:cstheme="minorHAnsi"/>
          <w:szCs w:val="23"/>
          <w:lang w:val="fr-CA"/>
        </w:rPr>
        <w:tab/>
        <w:t>le montant de chacun des stimulants suivants accordés par la Partie à des entreprises sur son territoire :</w:t>
      </w:r>
    </w:p>
    <w:p w14:paraId="2FFC2935" w14:textId="77777777" w:rsidR="00825F03" w:rsidRPr="00F52884" w:rsidRDefault="00825F03" w:rsidP="0050306B">
      <w:pPr>
        <w:tabs>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p>
    <w:p w14:paraId="3B62CC7D" w14:textId="346E6357" w:rsidR="00C47560" w:rsidRPr="00F52884" w:rsidRDefault="00825F03" w:rsidP="00C47560">
      <w:pPr>
        <w:pStyle w:val="ListParagraph"/>
        <w:numPr>
          <w:ilvl w:val="0"/>
          <w:numId w:val="422"/>
        </w:numPr>
        <w:tabs>
          <w:tab w:val="left" w:pos="1440"/>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hanging="450"/>
        <w:rPr>
          <w:rFonts w:eastAsia="Times New Roman" w:cstheme="minorHAnsi"/>
          <w:szCs w:val="23"/>
          <w:lang w:val="fr-CA"/>
        </w:rPr>
      </w:pPr>
      <w:proofErr w:type="gramStart"/>
      <w:r w:rsidRPr="00F52884">
        <w:rPr>
          <w:rFonts w:eastAsia="Times New Roman" w:cstheme="minorHAnsi"/>
          <w:szCs w:val="23"/>
          <w:lang w:val="fr-CA"/>
        </w:rPr>
        <w:t>les</w:t>
      </w:r>
      <w:proofErr w:type="gramEnd"/>
      <w:r w:rsidRPr="00F52884">
        <w:rPr>
          <w:rFonts w:eastAsia="Times New Roman" w:cstheme="minorHAnsi"/>
          <w:szCs w:val="23"/>
          <w:lang w:val="fr-CA"/>
        </w:rPr>
        <w:t xml:space="preserve"> subventions ou contributions de plus de 500 000 $,</w:t>
      </w:r>
    </w:p>
    <w:p w14:paraId="09E5BD87" w14:textId="77777777" w:rsidR="00C47560" w:rsidRPr="00F52884" w:rsidRDefault="00C47560" w:rsidP="00C47560">
      <w:pPr>
        <w:pStyle w:val="ListParagraph"/>
        <w:tabs>
          <w:tab w:val="left" w:pos="1440"/>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2160"/>
        <w:rPr>
          <w:rFonts w:eastAsia="Times New Roman" w:cstheme="minorHAnsi"/>
          <w:szCs w:val="23"/>
          <w:lang w:val="fr-CA"/>
        </w:rPr>
      </w:pPr>
    </w:p>
    <w:p w14:paraId="0E248D58" w14:textId="33E6BB83" w:rsidR="00C47560" w:rsidRPr="00F52884" w:rsidRDefault="00825F03" w:rsidP="00C47560">
      <w:pPr>
        <w:pStyle w:val="ListParagraph"/>
        <w:numPr>
          <w:ilvl w:val="0"/>
          <w:numId w:val="422"/>
        </w:numPr>
        <w:tabs>
          <w:tab w:val="left" w:pos="1440"/>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hanging="450"/>
        <w:rPr>
          <w:rFonts w:eastAsia="Times New Roman" w:cstheme="minorHAnsi"/>
          <w:szCs w:val="23"/>
          <w:lang w:val="fr-CA"/>
        </w:rPr>
      </w:pPr>
      <w:proofErr w:type="gramStart"/>
      <w:r w:rsidRPr="00F52884">
        <w:rPr>
          <w:rFonts w:eastAsia="Times New Roman" w:cstheme="minorHAnsi"/>
          <w:szCs w:val="23"/>
          <w:lang w:val="fr-CA"/>
        </w:rPr>
        <w:t>les</w:t>
      </w:r>
      <w:proofErr w:type="gramEnd"/>
      <w:r w:rsidRPr="00F52884">
        <w:rPr>
          <w:rFonts w:eastAsia="Times New Roman" w:cstheme="minorHAnsi"/>
          <w:szCs w:val="23"/>
          <w:lang w:val="fr-CA"/>
        </w:rPr>
        <w:t xml:space="preserve"> prêts ou garanties d’emprunt de plus de 1 000 000 $,</w:t>
      </w:r>
    </w:p>
    <w:p w14:paraId="4C9E048D" w14:textId="77777777" w:rsidR="00C47560" w:rsidRPr="00F52884" w:rsidRDefault="00C47560" w:rsidP="00C47560">
      <w:pPr>
        <w:pStyle w:val="ListParagraph"/>
        <w:rPr>
          <w:rFonts w:eastAsia="Times New Roman" w:cstheme="minorHAnsi"/>
          <w:szCs w:val="23"/>
          <w:lang w:val="fr-CA"/>
        </w:rPr>
      </w:pPr>
    </w:p>
    <w:p w14:paraId="01762079" w14:textId="35B46C27" w:rsidR="00825F03" w:rsidRPr="00F52884" w:rsidRDefault="00825F03" w:rsidP="00C47560">
      <w:pPr>
        <w:pStyle w:val="ListParagraph"/>
        <w:numPr>
          <w:ilvl w:val="0"/>
          <w:numId w:val="422"/>
        </w:numPr>
        <w:tabs>
          <w:tab w:val="left" w:pos="1440"/>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hanging="450"/>
        <w:rPr>
          <w:rFonts w:eastAsia="Times New Roman" w:cstheme="minorHAnsi"/>
          <w:szCs w:val="23"/>
          <w:lang w:val="fr-CA"/>
        </w:rPr>
      </w:pPr>
      <w:proofErr w:type="gramStart"/>
      <w:r w:rsidRPr="00F52884">
        <w:rPr>
          <w:rFonts w:eastAsia="Times New Roman" w:cstheme="minorHAnsi"/>
          <w:szCs w:val="23"/>
          <w:lang w:val="fr-CA"/>
        </w:rPr>
        <w:t>les</w:t>
      </w:r>
      <w:proofErr w:type="gramEnd"/>
      <w:r w:rsidRPr="00F52884">
        <w:rPr>
          <w:rFonts w:eastAsia="Times New Roman" w:cstheme="minorHAnsi"/>
          <w:szCs w:val="23"/>
          <w:lang w:val="fr-CA"/>
        </w:rPr>
        <w:t xml:space="preserve"> apports de capitaux de plus de 1 000 000 $;</w:t>
      </w:r>
    </w:p>
    <w:p w14:paraId="2BC880F9" w14:textId="77777777" w:rsidR="00825F03" w:rsidRPr="00F52884" w:rsidRDefault="00825F03" w:rsidP="0050306B">
      <w:pPr>
        <w:tabs>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p>
    <w:p w14:paraId="4608A115" w14:textId="65A5ECA8" w:rsidR="00825F03" w:rsidRPr="00F52884" w:rsidRDefault="00825F03" w:rsidP="0050306B">
      <w:pPr>
        <w:tabs>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contextualSpacing/>
        <w:rPr>
          <w:rFonts w:eastAsia="Times New Roman" w:cstheme="minorHAnsi"/>
          <w:szCs w:val="23"/>
          <w:lang w:val="fr-CA"/>
        </w:rPr>
      </w:pPr>
      <w:r w:rsidRPr="00F52884">
        <w:rPr>
          <w:rFonts w:eastAsia="Times New Roman" w:cstheme="minorHAnsi"/>
          <w:szCs w:val="23"/>
          <w:lang w:val="fr-CA"/>
        </w:rPr>
        <w:t>e)</w:t>
      </w:r>
      <w:r w:rsidRPr="00F52884">
        <w:rPr>
          <w:rFonts w:eastAsia="Times New Roman" w:cstheme="minorHAnsi"/>
          <w:szCs w:val="23"/>
          <w:lang w:val="fr-CA"/>
        </w:rPr>
        <w:tab/>
        <w:t>s’il y a lieu, un résumé de toute question ayant donné lieu à des consultations au titre de l’article 322.</w:t>
      </w:r>
    </w:p>
    <w:p w14:paraId="541872B0" w14:textId="77777777" w:rsidR="00825F03" w:rsidRPr="00F52884" w:rsidRDefault="00825F03" w:rsidP="0050306B">
      <w:pPr>
        <w:rPr>
          <w:rFonts w:eastAsia="Arial" w:cstheme="minorHAnsi"/>
          <w:b/>
          <w:szCs w:val="23"/>
          <w:lang w:val="fr-CA"/>
        </w:rPr>
      </w:pPr>
    </w:p>
    <w:p w14:paraId="48F4BA2E" w14:textId="77777777" w:rsidR="00825F03" w:rsidRPr="00F52884" w:rsidRDefault="00825F03" w:rsidP="00825F03">
      <w:pPr>
        <w:pStyle w:val="ListParagraph"/>
        <w:numPr>
          <w:ilvl w:val="6"/>
          <w:numId w:val="327"/>
        </w:numPr>
        <w:ind w:left="0" w:firstLine="0"/>
        <w:rPr>
          <w:rFonts w:cstheme="minorHAnsi"/>
          <w:szCs w:val="23"/>
          <w:lang w:val="fr-CA"/>
        </w:rPr>
      </w:pPr>
      <w:r w:rsidRPr="00F52884">
        <w:rPr>
          <w:rFonts w:cstheme="minorHAnsi"/>
          <w:szCs w:val="23"/>
          <w:lang w:val="fr-CA"/>
        </w:rPr>
        <w:lastRenderedPageBreak/>
        <w:t>Le paragraphe 1 ne s’applique pas aux administrations régionales, locales, de district et autres formes d’administration municipale.</w:t>
      </w:r>
    </w:p>
    <w:p w14:paraId="6F97544B" w14:textId="77777777" w:rsidR="00825F03" w:rsidRPr="00F52884" w:rsidRDefault="00825F03" w:rsidP="0050306B">
      <w:pPr>
        <w:rPr>
          <w:rFonts w:eastAsia="Arial" w:cstheme="minorHAnsi"/>
          <w:b/>
          <w:szCs w:val="23"/>
          <w:lang w:val="fr-CA"/>
        </w:rPr>
      </w:pPr>
    </w:p>
    <w:p w14:paraId="1B89BC6E" w14:textId="77777777" w:rsidR="00825F03" w:rsidRPr="00F52884" w:rsidRDefault="00825F03">
      <w:pPr>
        <w:spacing w:after="200" w:line="276" w:lineRule="auto"/>
        <w:rPr>
          <w:rFonts w:eastAsia="Arial" w:cstheme="minorHAnsi"/>
          <w:b/>
          <w:bCs/>
          <w:szCs w:val="23"/>
          <w:lang w:val="fr-CA"/>
        </w:rPr>
      </w:pPr>
      <w:bookmarkStart w:id="22" w:name="_DV_M38"/>
      <w:bookmarkStart w:id="23" w:name="_DV_M39"/>
      <w:bookmarkStart w:id="24" w:name="_DV_M42"/>
      <w:bookmarkStart w:id="25" w:name="_DV_M43"/>
      <w:bookmarkEnd w:id="22"/>
      <w:bookmarkEnd w:id="23"/>
      <w:bookmarkEnd w:id="24"/>
      <w:bookmarkEnd w:id="25"/>
      <w:r w:rsidRPr="00F52884">
        <w:rPr>
          <w:rFonts w:eastAsia="Arial" w:cstheme="minorHAnsi"/>
          <w:b/>
          <w:bCs/>
          <w:szCs w:val="23"/>
          <w:lang w:val="fr-CA"/>
        </w:rPr>
        <w:br w:type="page"/>
      </w:r>
    </w:p>
    <w:p w14:paraId="0E0E931E" w14:textId="025E746B" w:rsidR="00825F03" w:rsidRPr="00F52884" w:rsidRDefault="00825F03" w:rsidP="0050306B">
      <w:pPr>
        <w:keepNext/>
        <w:keepLines/>
        <w:jc w:val="center"/>
        <w:rPr>
          <w:rFonts w:eastAsia="Arial" w:cs="Arial"/>
          <w:b/>
          <w:szCs w:val="23"/>
          <w:lang w:val="fr-CA"/>
        </w:rPr>
      </w:pPr>
      <w:r w:rsidRPr="00F52884">
        <w:rPr>
          <w:rFonts w:eastAsia="Arial" w:cs="Arial"/>
          <w:b/>
          <w:bCs/>
          <w:szCs w:val="23"/>
          <w:lang w:val="fr-CA"/>
        </w:rPr>
        <w:lastRenderedPageBreak/>
        <w:t>Annexe 309 :</w:t>
      </w:r>
      <w:r w:rsidRPr="00F52884">
        <w:rPr>
          <w:rFonts w:eastAsia="Arial" w:cs="Arial"/>
          <w:szCs w:val="23"/>
          <w:lang w:val="fr-CA"/>
        </w:rPr>
        <w:t xml:space="preserve"> </w:t>
      </w:r>
      <w:r w:rsidRPr="00F52884">
        <w:rPr>
          <w:rFonts w:eastAsia="Arial" w:cs="Arial"/>
          <w:b/>
          <w:bCs/>
          <w:szCs w:val="23"/>
          <w:lang w:val="fr-CA"/>
        </w:rPr>
        <w:t>Fournisseurs de services de transport d’électricité et commerce des services de transport d’électricité</w:t>
      </w:r>
    </w:p>
    <w:p w14:paraId="602EA07E" w14:textId="77777777" w:rsidR="00825F03" w:rsidRPr="00F52884" w:rsidRDefault="00825F03" w:rsidP="0050306B">
      <w:pPr>
        <w:pStyle w:val="ListParagraph"/>
        <w:keepNext/>
        <w:keepLines/>
        <w:ind w:left="0"/>
        <w:rPr>
          <w:rFonts w:eastAsia="Arial" w:cs="Arial"/>
          <w:b/>
          <w:szCs w:val="23"/>
          <w:lang w:val="fr-CA"/>
        </w:rPr>
      </w:pPr>
    </w:p>
    <w:p w14:paraId="77CFDD42" w14:textId="77777777" w:rsidR="00825F03" w:rsidRPr="00F52884" w:rsidRDefault="00825F03" w:rsidP="0050306B">
      <w:pPr>
        <w:pStyle w:val="ListParagraph"/>
        <w:keepNext/>
        <w:keepLines/>
        <w:ind w:left="0"/>
        <w:rPr>
          <w:rFonts w:eastAsia="Arial" w:cs="Arial"/>
          <w:b/>
          <w:szCs w:val="23"/>
          <w:lang w:val="fr-CA"/>
        </w:rPr>
      </w:pPr>
      <w:r w:rsidRPr="00F52884">
        <w:rPr>
          <w:rFonts w:eastAsia="Arial" w:cs="Arial"/>
          <w:b/>
          <w:szCs w:val="23"/>
          <w:lang w:val="fr-CA"/>
        </w:rPr>
        <w:t>1.</w:t>
      </w:r>
      <w:r w:rsidRPr="00F52884">
        <w:rPr>
          <w:rFonts w:eastAsia="Arial" w:cs="Arial"/>
          <w:b/>
          <w:szCs w:val="23"/>
          <w:lang w:val="fr-CA"/>
        </w:rPr>
        <w:tab/>
        <w:t>Entrée en vigueur des règles spécifiques</w:t>
      </w:r>
    </w:p>
    <w:p w14:paraId="7C6824DC" w14:textId="77777777" w:rsidR="00825F03" w:rsidRPr="00F52884" w:rsidRDefault="00825F03" w:rsidP="0050306B">
      <w:pPr>
        <w:pStyle w:val="ListParagraph"/>
        <w:keepNext/>
        <w:keepLines/>
        <w:ind w:left="0"/>
        <w:rPr>
          <w:rFonts w:eastAsia="Arial" w:cs="Arial"/>
          <w:szCs w:val="23"/>
          <w:lang w:val="fr-CA"/>
        </w:rPr>
      </w:pPr>
    </w:p>
    <w:p w14:paraId="425AFDBD" w14:textId="45DFF38D" w:rsidR="00825F03" w:rsidRPr="00F52884" w:rsidRDefault="00825F03" w:rsidP="00825F03">
      <w:pPr>
        <w:pStyle w:val="ListParagraph"/>
        <w:keepNext/>
        <w:keepLines/>
        <w:numPr>
          <w:ilvl w:val="0"/>
          <w:numId w:val="161"/>
        </w:numPr>
        <w:ind w:left="1440" w:hanging="720"/>
        <w:rPr>
          <w:rFonts w:eastAsia="Arial" w:cs="Arial"/>
          <w:szCs w:val="23"/>
          <w:lang w:val="fr-CA"/>
        </w:rPr>
      </w:pPr>
      <w:r w:rsidRPr="00F52884">
        <w:rPr>
          <w:rFonts w:eastAsia="Arial" w:cs="Arial"/>
          <w:szCs w:val="23"/>
          <w:lang w:val="fr-CA"/>
        </w:rPr>
        <w:t>Les sections 2 à 4 de la présente annexe entreront en vigueur si le Québec ou Terre</w:t>
      </w:r>
      <w:r w:rsidRPr="00F52884">
        <w:rPr>
          <w:rFonts w:eastAsia="Arial" w:cs="Arial"/>
          <w:szCs w:val="23"/>
          <w:lang w:val="fr-CA"/>
        </w:rPr>
        <w:noBreakHyphen/>
        <w:t>Neuve-et-Labrador transmettent un avis écrit à cet effet au Secrétariat au plus tôt 24 mois et au plus tard 36 mois après la date d’entrée en vigueur.</w:t>
      </w:r>
    </w:p>
    <w:p w14:paraId="37C51234" w14:textId="77777777" w:rsidR="00825F03" w:rsidRPr="00F52884" w:rsidRDefault="00825F03" w:rsidP="0050306B">
      <w:pPr>
        <w:pStyle w:val="ListParagraph"/>
        <w:keepNext/>
        <w:keepLines/>
        <w:ind w:left="1440"/>
        <w:rPr>
          <w:rFonts w:eastAsia="Arial" w:cs="Arial"/>
          <w:szCs w:val="23"/>
          <w:lang w:val="fr-CA"/>
        </w:rPr>
      </w:pPr>
    </w:p>
    <w:p w14:paraId="1E5826DD" w14:textId="55D64A9A" w:rsidR="00825F03" w:rsidRPr="00F52884" w:rsidRDefault="00825F03" w:rsidP="00825F03">
      <w:pPr>
        <w:numPr>
          <w:ilvl w:val="0"/>
          <w:numId w:val="161"/>
        </w:numPr>
        <w:ind w:left="1440" w:hanging="720"/>
        <w:rPr>
          <w:rFonts w:eastAsia="Arial" w:cs="Arial"/>
          <w:szCs w:val="23"/>
          <w:lang w:val="fr-CA"/>
        </w:rPr>
      </w:pPr>
      <w:r w:rsidRPr="00F52884">
        <w:rPr>
          <w:rFonts w:eastAsia="Arial" w:cs="Arial"/>
          <w:szCs w:val="23"/>
          <w:lang w:val="fr-CA"/>
        </w:rPr>
        <w:t>Si l’avis écrit précité est transmis au Secrétariat :</w:t>
      </w:r>
    </w:p>
    <w:p w14:paraId="36D7BB2F" w14:textId="77777777" w:rsidR="00825F03" w:rsidRPr="00F52884" w:rsidRDefault="00825F03" w:rsidP="0050306B">
      <w:pPr>
        <w:rPr>
          <w:rFonts w:eastAsia="Arial" w:cs="Arial"/>
          <w:szCs w:val="23"/>
          <w:lang w:val="fr-CA"/>
        </w:rPr>
      </w:pPr>
    </w:p>
    <w:p w14:paraId="0D34DE2F" w14:textId="47D0BCAD" w:rsidR="00825F03" w:rsidRPr="00F52884" w:rsidRDefault="00825F03" w:rsidP="0019173B">
      <w:pPr>
        <w:pStyle w:val="ListParagraph"/>
        <w:numPr>
          <w:ilvl w:val="0"/>
          <w:numId w:val="162"/>
        </w:numPr>
        <w:ind w:left="2160" w:hanging="540"/>
        <w:rPr>
          <w:rFonts w:eastAsia="Arial" w:cs="Arial"/>
          <w:szCs w:val="23"/>
          <w:lang w:val="fr-CA"/>
        </w:rPr>
      </w:pPr>
      <w:proofErr w:type="gramStart"/>
      <w:r w:rsidRPr="00F52884">
        <w:rPr>
          <w:rFonts w:eastAsia="Arial" w:cs="Arial"/>
          <w:szCs w:val="23"/>
          <w:lang w:val="fr-CA"/>
        </w:rPr>
        <w:t>les</w:t>
      </w:r>
      <w:proofErr w:type="gramEnd"/>
      <w:r w:rsidRPr="00F52884">
        <w:rPr>
          <w:rFonts w:eastAsia="Arial" w:cs="Arial"/>
          <w:szCs w:val="23"/>
          <w:lang w:val="fr-CA"/>
        </w:rPr>
        <w:t xml:space="preserve"> sections 2 à 4 de la présente annexe entreront en vigueur 90 jours après la réception de l’avis écrit par le Secrétariat,</w:t>
      </w:r>
    </w:p>
    <w:p w14:paraId="403C57F6" w14:textId="77777777" w:rsidR="00825F03" w:rsidRPr="00F52884" w:rsidRDefault="00825F03" w:rsidP="00825F03">
      <w:pPr>
        <w:pStyle w:val="ListParagraph"/>
        <w:ind w:left="2160" w:hanging="720"/>
        <w:rPr>
          <w:rFonts w:eastAsia="Arial" w:cs="Arial"/>
          <w:szCs w:val="23"/>
          <w:lang w:val="fr-CA"/>
        </w:rPr>
      </w:pPr>
    </w:p>
    <w:p w14:paraId="66075C9F" w14:textId="28EC9F0F" w:rsidR="00825F03" w:rsidRPr="00F52884" w:rsidRDefault="00825F03" w:rsidP="0019173B">
      <w:pPr>
        <w:numPr>
          <w:ilvl w:val="0"/>
          <w:numId w:val="162"/>
        </w:numPr>
        <w:ind w:left="2160" w:hanging="540"/>
        <w:rPr>
          <w:rFonts w:eastAsia="Arial" w:cs="Arial"/>
          <w:szCs w:val="23"/>
          <w:lang w:val="fr-CA"/>
        </w:rPr>
      </w:pPr>
      <w:proofErr w:type="gramStart"/>
      <w:r w:rsidRPr="00F52884">
        <w:rPr>
          <w:rFonts w:eastAsia="Arial" w:cs="Arial"/>
          <w:szCs w:val="23"/>
          <w:lang w:val="fr-CA"/>
        </w:rPr>
        <w:t>chaque</w:t>
      </w:r>
      <w:proofErr w:type="gramEnd"/>
      <w:r w:rsidRPr="00F52884">
        <w:rPr>
          <w:rFonts w:eastAsia="Arial" w:cs="Arial"/>
          <w:szCs w:val="23"/>
          <w:lang w:val="fr-CA"/>
        </w:rPr>
        <w:t xml:space="preserve"> Partie peut, pendant la période précitée de 90 jours, modifier ses exceptions énoncées dans ses listes jointes à la partie VII (Listes des Parties) pour y inclure des exceptions à la section 2, dans la mesure où elle le jugera nécessaire. Toute modification est apportée aux exceptions de la Partie énoncées dans ses listes jointes à la partie VII, le cas échéant, sur réception par le Secrétariat de l’avis écrit de cette Partie l’informant de la modification.</w:t>
      </w:r>
    </w:p>
    <w:p w14:paraId="43791AF3" w14:textId="77777777" w:rsidR="00825F03" w:rsidRPr="00F52884" w:rsidRDefault="00825F03" w:rsidP="0050306B">
      <w:pPr>
        <w:rPr>
          <w:rFonts w:eastAsia="Arial" w:cs="Arial"/>
          <w:szCs w:val="23"/>
          <w:lang w:val="fr-CA"/>
        </w:rPr>
      </w:pPr>
    </w:p>
    <w:p w14:paraId="180BB84B" w14:textId="6B6E8770" w:rsidR="00825F03" w:rsidRPr="00F52884" w:rsidRDefault="00825F03" w:rsidP="00825F03">
      <w:pPr>
        <w:pStyle w:val="ListParagraph"/>
        <w:numPr>
          <w:ilvl w:val="0"/>
          <w:numId w:val="161"/>
        </w:numPr>
        <w:ind w:left="1440" w:hanging="720"/>
        <w:rPr>
          <w:rFonts w:eastAsia="Arial" w:cs="Arial"/>
          <w:szCs w:val="23"/>
          <w:lang w:val="fr-CA"/>
        </w:rPr>
      </w:pPr>
      <w:r w:rsidRPr="00F52884">
        <w:rPr>
          <w:rFonts w:eastAsia="Arial Unicode MS" w:cs="Arial"/>
          <w:szCs w:val="23"/>
          <w:lang w:val="fr-CA" w:eastAsia="en-CA"/>
        </w:rPr>
        <w:t>Les sections 2 à 4 ne s’appliquent pas aux Territoires du Nord-Ouest, au Yukon et au Nunavut pendant les deux ans suivant la date à partir de laquelle cette Partie dispose d’une infrastructure physique raccordée à un réseau de production-transport d’électricité situé en dehors de sa juridiction.</w:t>
      </w:r>
    </w:p>
    <w:p w14:paraId="14A9CAD3" w14:textId="77777777" w:rsidR="00825F03" w:rsidRPr="00F52884" w:rsidRDefault="00825F03" w:rsidP="0050306B">
      <w:pPr>
        <w:rPr>
          <w:rFonts w:eastAsia="Arial" w:cs="Arial"/>
          <w:szCs w:val="23"/>
          <w:lang w:val="fr-CA"/>
        </w:rPr>
      </w:pPr>
    </w:p>
    <w:p w14:paraId="50D6AF42" w14:textId="0A4EC356" w:rsidR="00825F03" w:rsidRPr="00F52884" w:rsidRDefault="00825F03" w:rsidP="0050306B">
      <w:pPr>
        <w:rPr>
          <w:rFonts w:eastAsia="Arial" w:cs="Arial"/>
          <w:b/>
          <w:szCs w:val="23"/>
          <w:lang w:val="fr-CA"/>
        </w:rPr>
      </w:pPr>
      <w:r w:rsidRPr="00F52884">
        <w:rPr>
          <w:rFonts w:eastAsia="Arial" w:cs="Arial"/>
          <w:b/>
          <w:szCs w:val="23"/>
          <w:lang w:val="fr-CA"/>
        </w:rPr>
        <w:t>2.</w:t>
      </w:r>
      <w:r w:rsidRPr="00F52884">
        <w:rPr>
          <w:rFonts w:eastAsia="Arial" w:cs="Arial"/>
          <w:b/>
          <w:szCs w:val="23"/>
          <w:lang w:val="fr-CA"/>
        </w:rPr>
        <w:tab/>
        <w:t>Fourniture libre et non discriminatoire du service de transport d’électricité</w:t>
      </w:r>
    </w:p>
    <w:p w14:paraId="570E5011" w14:textId="77777777" w:rsidR="00825F03" w:rsidRPr="00F52884" w:rsidRDefault="00825F03" w:rsidP="0050306B">
      <w:pPr>
        <w:ind w:left="720" w:hanging="720"/>
        <w:rPr>
          <w:rFonts w:eastAsia="Arial" w:cs="Arial"/>
          <w:b/>
          <w:szCs w:val="23"/>
          <w:lang w:val="fr-CA"/>
        </w:rPr>
      </w:pPr>
    </w:p>
    <w:p w14:paraId="5B2274E4" w14:textId="3D4EE6F3" w:rsidR="00825F03" w:rsidRPr="00F52884" w:rsidRDefault="00825F03" w:rsidP="00825F03">
      <w:pPr>
        <w:pStyle w:val="ListParagraph"/>
        <w:numPr>
          <w:ilvl w:val="0"/>
          <w:numId w:val="163"/>
        </w:numPr>
        <w:autoSpaceDE w:val="0"/>
        <w:autoSpaceDN w:val="0"/>
        <w:adjustRightInd w:val="0"/>
        <w:ind w:left="1440" w:hanging="720"/>
        <w:rPr>
          <w:rFonts w:eastAsia="Arial Unicode MS" w:cs="Arial"/>
          <w:szCs w:val="23"/>
          <w:lang w:val="fr-CA"/>
        </w:rPr>
      </w:pPr>
      <w:r w:rsidRPr="00F52884">
        <w:rPr>
          <w:rFonts w:eastAsia="Arial Unicode MS" w:cs="Arial"/>
          <w:szCs w:val="23"/>
          <w:lang w:val="fr-CA"/>
        </w:rPr>
        <w:t>Chaque Partie fait en sorte que tout fournisseur de services de transport qui exerce des activités sur son territoire accorde à tous les clients d’un service de transport un accès libre et non discriminatoire au service de transport.</w:t>
      </w:r>
    </w:p>
    <w:p w14:paraId="53EB2B10" w14:textId="77777777" w:rsidR="00825F03" w:rsidRPr="00F52884" w:rsidRDefault="00825F03" w:rsidP="00825F03">
      <w:pPr>
        <w:pStyle w:val="ListParagraph"/>
        <w:autoSpaceDE w:val="0"/>
        <w:autoSpaceDN w:val="0"/>
        <w:adjustRightInd w:val="0"/>
        <w:ind w:left="1440" w:hanging="720"/>
        <w:rPr>
          <w:rFonts w:eastAsia="Arial Unicode MS" w:cs="Arial"/>
          <w:szCs w:val="23"/>
          <w:lang w:val="fr-CA"/>
        </w:rPr>
      </w:pPr>
    </w:p>
    <w:p w14:paraId="7FDFF5A7" w14:textId="7F27CB46" w:rsidR="00825F03" w:rsidRPr="00F52884" w:rsidRDefault="00825F03" w:rsidP="00825F03">
      <w:pPr>
        <w:pStyle w:val="ListParagraph"/>
        <w:numPr>
          <w:ilvl w:val="0"/>
          <w:numId w:val="163"/>
        </w:numPr>
        <w:autoSpaceDE w:val="0"/>
        <w:autoSpaceDN w:val="0"/>
        <w:adjustRightInd w:val="0"/>
        <w:ind w:left="1440" w:hanging="720"/>
        <w:rPr>
          <w:rFonts w:eastAsia="Arial Unicode MS" w:cs="Arial"/>
          <w:szCs w:val="23"/>
          <w:lang w:val="fr-CA"/>
        </w:rPr>
      </w:pPr>
      <w:r w:rsidRPr="00F52884">
        <w:rPr>
          <w:rFonts w:eastAsia="Arial Unicode MS" w:cs="Arial"/>
          <w:szCs w:val="23"/>
          <w:lang w:val="fr-CA"/>
        </w:rPr>
        <w:t>Pour l’application de l’alinéa a)</w:t>
      </w:r>
      <w:r w:rsidRPr="00F52884">
        <w:rPr>
          <w:rFonts w:eastAsia="Arial Unicode MS" w:cs="Arial"/>
          <w:szCs w:val="23"/>
          <w:lang w:val="fr-CA" w:eastAsia="en-CA"/>
        </w:rPr>
        <w:t>, un accès libre et non discriminatoire s’entend d’un accès qui satisfait aux conditions suivantes :</w:t>
      </w:r>
    </w:p>
    <w:p w14:paraId="4DDFF6A3" w14:textId="77777777" w:rsidR="00825F03" w:rsidRPr="00F52884" w:rsidRDefault="00825F03" w:rsidP="0050306B">
      <w:pPr>
        <w:autoSpaceDE w:val="0"/>
        <w:autoSpaceDN w:val="0"/>
        <w:adjustRightInd w:val="0"/>
        <w:rPr>
          <w:rFonts w:eastAsia="Arial Unicode MS" w:cs="Arial"/>
          <w:szCs w:val="23"/>
          <w:lang w:val="fr-CA"/>
        </w:rPr>
      </w:pPr>
    </w:p>
    <w:p w14:paraId="2405A581" w14:textId="67B97E57" w:rsidR="00825F03" w:rsidRPr="00F52884" w:rsidRDefault="00825F03" w:rsidP="0019173B">
      <w:pPr>
        <w:pStyle w:val="ListParagraph"/>
        <w:numPr>
          <w:ilvl w:val="1"/>
          <w:numId w:val="163"/>
        </w:numPr>
        <w:autoSpaceDE w:val="0"/>
        <w:autoSpaceDN w:val="0"/>
        <w:adjustRightInd w:val="0"/>
        <w:ind w:left="2160" w:hanging="540"/>
        <w:rPr>
          <w:rFonts w:eastAsia="Arial Unicode MS" w:cs="Arial"/>
          <w:szCs w:val="23"/>
          <w:lang w:val="fr-CA"/>
        </w:rPr>
      </w:pPr>
      <w:proofErr w:type="gramStart"/>
      <w:r w:rsidRPr="00F52884">
        <w:rPr>
          <w:rFonts w:eastAsia="Arial Unicode MS" w:cs="Arial"/>
          <w:szCs w:val="23"/>
          <w:lang w:val="fr-CA"/>
        </w:rPr>
        <w:t>chaque</w:t>
      </w:r>
      <w:proofErr w:type="gramEnd"/>
      <w:r w:rsidRPr="00F52884">
        <w:rPr>
          <w:rFonts w:eastAsia="Arial Unicode MS" w:cs="Arial"/>
          <w:szCs w:val="23"/>
          <w:lang w:val="fr-CA"/>
        </w:rPr>
        <w:t xml:space="preserve"> fournisseur de services de transport accorde aux clients d’un service de transport un accès au service de transport sur une base non moins favorable que l’accès que le fournisseur de services de transport s’accorde à lui-même, ou à tout propriétaire ou société affiliée du fournisseur de services de transport, ou à tout autre client du service de transport,</w:t>
      </w:r>
    </w:p>
    <w:p w14:paraId="07AB1AFC" w14:textId="5230C5FE" w:rsidR="00825F03" w:rsidRPr="00F52884" w:rsidRDefault="00825F03" w:rsidP="00825F03">
      <w:pPr>
        <w:pStyle w:val="ListParagraph"/>
        <w:autoSpaceDE w:val="0"/>
        <w:autoSpaceDN w:val="0"/>
        <w:adjustRightInd w:val="0"/>
        <w:ind w:left="2160" w:hanging="720"/>
        <w:rPr>
          <w:rFonts w:eastAsia="Arial Unicode MS" w:cs="Arial"/>
          <w:szCs w:val="23"/>
          <w:lang w:val="fr-CA"/>
        </w:rPr>
      </w:pPr>
    </w:p>
    <w:p w14:paraId="4A36F636" w14:textId="6584ECB4" w:rsidR="00825F03" w:rsidRPr="00F52884" w:rsidRDefault="00825F03" w:rsidP="0019173B">
      <w:pPr>
        <w:numPr>
          <w:ilvl w:val="1"/>
          <w:numId w:val="163"/>
        </w:numPr>
        <w:autoSpaceDE w:val="0"/>
        <w:autoSpaceDN w:val="0"/>
        <w:adjustRightInd w:val="0"/>
        <w:ind w:left="2160" w:hanging="540"/>
        <w:rPr>
          <w:rFonts w:eastAsia="Arial Unicode MS" w:cs="Arial"/>
          <w:szCs w:val="23"/>
          <w:lang w:val="fr-CA"/>
        </w:rPr>
      </w:pPr>
      <w:proofErr w:type="gramStart"/>
      <w:r w:rsidRPr="00F52884">
        <w:rPr>
          <w:rFonts w:eastAsia="Arial Unicode MS" w:cs="Arial"/>
          <w:szCs w:val="23"/>
          <w:lang w:val="fr-CA"/>
        </w:rPr>
        <w:t>chaque</w:t>
      </w:r>
      <w:proofErr w:type="gramEnd"/>
      <w:r w:rsidRPr="00F52884">
        <w:rPr>
          <w:rFonts w:eastAsia="Arial Unicode MS" w:cs="Arial"/>
          <w:szCs w:val="23"/>
          <w:lang w:val="fr-CA"/>
        </w:rPr>
        <w:t xml:space="preserve"> fournisseur de services de transport fournit les services de transport en recourant à un ensemble de politiques, procédures, règles de service et tarifs transparents, qui sont appliqués de manière non discriminatoire à tous ses clients du service de transport,</w:t>
      </w:r>
    </w:p>
    <w:p w14:paraId="39904617" w14:textId="77777777" w:rsidR="00825F03" w:rsidRPr="00F52884" w:rsidRDefault="00825F03" w:rsidP="0050306B">
      <w:pPr>
        <w:autoSpaceDE w:val="0"/>
        <w:autoSpaceDN w:val="0"/>
        <w:adjustRightInd w:val="0"/>
        <w:ind w:left="1985"/>
        <w:rPr>
          <w:rFonts w:eastAsia="Arial Unicode MS" w:cs="Arial"/>
          <w:szCs w:val="23"/>
          <w:lang w:val="fr-CA"/>
        </w:rPr>
      </w:pPr>
    </w:p>
    <w:p w14:paraId="6EDDBD57" w14:textId="4B25FC98" w:rsidR="00825F03" w:rsidRPr="00F52884" w:rsidRDefault="00825F03" w:rsidP="00C47560">
      <w:pPr>
        <w:numPr>
          <w:ilvl w:val="1"/>
          <w:numId w:val="163"/>
        </w:numPr>
        <w:autoSpaceDE w:val="0"/>
        <w:autoSpaceDN w:val="0"/>
        <w:adjustRightInd w:val="0"/>
        <w:ind w:left="2160" w:hanging="540"/>
        <w:rPr>
          <w:rFonts w:eastAsia="Arial Unicode MS" w:cs="Arial"/>
          <w:szCs w:val="23"/>
          <w:lang w:val="fr-CA"/>
        </w:rPr>
      </w:pPr>
      <w:proofErr w:type="gramStart"/>
      <w:r w:rsidRPr="00F52884">
        <w:rPr>
          <w:rFonts w:eastAsia="Arial Unicode MS" w:cs="Arial"/>
          <w:szCs w:val="23"/>
          <w:lang w:val="fr-CA"/>
        </w:rPr>
        <w:lastRenderedPageBreak/>
        <w:t>chaque</w:t>
      </w:r>
      <w:proofErr w:type="gramEnd"/>
      <w:r w:rsidRPr="00F52884">
        <w:rPr>
          <w:rFonts w:eastAsia="Arial Unicode MS" w:cs="Arial"/>
          <w:szCs w:val="23"/>
          <w:lang w:val="fr-CA"/>
        </w:rPr>
        <w:t xml:space="preserve"> fournisseur de services de transport fournit les services de transport de façon indépendante en veillant, à la fois :</w:t>
      </w:r>
    </w:p>
    <w:p w14:paraId="4BB59C67" w14:textId="77777777" w:rsidR="00825F03" w:rsidRPr="00F52884" w:rsidRDefault="00825F03" w:rsidP="0050306B">
      <w:pPr>
        <w:autoSpaceDE w:val="0"/>
        <w:autoSpaceDN w:val="0"/>
        <w:adjustRightInd w:val="0"/>
        <w:rPr>
          <w:rFonts w:eastAsia="Arial Unicode MS" w:cs="Arial"/>
          <w:szCs w:val="23"/>
          <w:lang w:val="fr-CA"/>
        </w:rPr>
      </w:pPr>
    </w:p>
    <w:p w14:paraId="113E078B" w14:textId="3CBE45DB" w:rsidR="00825F03" w:rsidRPr="00F52884" w:rsidRDefault="00825F03" w:rsidP="00825F03">
      <w:pPr>
        <w:pStyle w:val="ListParagraph"/>
        <w:numPr>
          <w:ilvl w:val="0"/>
          <w:numId w:val="341"/>
        </w:numPr>
        <w:autoSpaceDE w:val="0"/>
        <w:autoSpaceDN w:val="0"/>
        <w:adjustRightInd w:val="0"/>
        <w:ind w:left="2880" w:hanging="720"/>
        <w:rPr>
          <w:rFonts w:eastAsia="Arial" w:cs="Arial"/>
          <w:szCs w:val="23"/>
          <w:lang w:val="fr-CA"/>
        </w:rPr>
      </w:pPr>
      <w:proofErr w:type="gramStart"/>
      <w:r w:rsidRPr="00F52884">
        <w:rPr>
          <w:rFonts w:eastAsia="Arial Unicode MS" w:cs="Arial"/>
          <w:szCs w:val="23"/>
          <w:lang w:val="fr-CA" w:eastAsia="en-CA"/>
        </w:rPr>
        <w:t>à</w:t>
      </w:r>
      <w:proofErr w:type="gramEnd"/>
      <w:r w:rsidRPr="00F52884">
        <w:rPr>
          <w:rFonts w:eastAsia="Arial Unicode MS" w:cs="Arial"/>
          <w:szCs w:val="23"/>
          <w:lang w:val="fr-CA" w:eastAsia="en-CA"/>
        </w:rPr>
        <w:t xml:space="preserve"> ce que les dé</w:t>
      </w:r>
      <w:r w:rsidRPr="00F52884">
        <w:rPr>
          <w:rFonts w:eastAsia="Arial Unicode MS" w:cs="Arial"/>
          <w:szCs w:val="23"/>
          <w:lang w:val="fr-CA"/>
        </w:rPr>
        <w:t>cisions concernant l’exploitation quotidienne du réseau de transport, y compris la programmation et la fourniture du service de transport, soient prises de façon indépendante par rapport aux employés du service du marketing du fournisseur de services</w:t>
      </w:r>
      <w:r w:rsidRPr="00F52884">
        <w:rPr>
          <w:rFonts w:eastAsia="Arial Unicode MS" w:cs="Arial"/>
          <w:szCs w:val="23"/>
          <w:lang w:val="fr-CA" w:eastAsia="en-CA"/>
        </w:rPr>
        <w:t xml:space="preserve"> de transport et aux employés du service du marketing de sociétés affiliées du fournisseur de services de transport</w:t>
      </w:r>
      <w:r w:rsidRPr="00F52884">
        <w:rPr>
          <w:rFonts w:eastAsia="Arial Unicode MS" w:cs="Arial"/>
          <w:szCs w:val="23"/>
          <w:lang w:val="fr-CA"/>
        </w:rPr>
        <w:t>. Ces décisions comprennent : l’application des politiques, procédures et dispositions tarifaires du fournisseur de transport aux demandes de service de transport; l’approbation et l’enregistrement des clients du service de transport; l’administration des demandes de service de transport; la programmation en temps réel du service de transport; les décisions opérationnelles portant sur la fourniture du service de transport; et la coordination des transferts d’électricité entre deux zones de contrôle conformément aux programmes de transport approuvés</w:t>
      </w:r>
      <w:r w:rsidRPr="00F52884">
        <w:rPr>
          <w:rFonts w:eastAsia="Arial" w:cs="Arial"/>
          <w:szCs w:val="23"/>
          <w:lang w:val="fr-CA"/>
        </w:rPr>
        <w:t>;</w:t>
      </w:r>
    </w:p>
    <w:p w14:paraId="13B41719" w14:textId="77777777" w:rsidR="00825F03" w:rsidRPr="00F52884" w:rsidRDefault="00825F03" w:rsidP="00825F03">
      <w:pPr>
        <w:pStyle w:val="ListParagraph"/>
        <w:autoSpaceDE w:val="0"/>
        <w:autoSpaceDN w:val="0"/>
        <w:adjustRightInd w:val="0"/>
        <w:ind w:left="2880" w:hanging="720"/>
        <w:rPr>
          <w:rFonts w:eastAsia="Arial" w:cs="Arial"/>
          <w:szCs w:val="23"/>
          <w:lang w:val="fr-CA"/>
        </w:rPr>
      </w:pPr>
    </w:p>
    <w:p w14:paraId="7EE6C503" w14:textId="56D1C531" w:rsidR="00825F03" w:rsidRPr="00F52884" w:rsidRDefault="00825F03" w:rsidP="00825F03">
      <w:pPr>
        <w:pStyle w:val="ListParagraph"/>
        <w:numPr>
          <w:ilvl w:val="0"/>
          <w:numId w:val="341"/>
        </w:numPr>
        <w:autoSpaceDE w:val="0"/>
        <w:autoSpaceDN w:val="0"/>
        <w:adjustRightInd w:val="0"/>
        <w:ind w:left="2880" w:hanging="720"/>
        <w:rPr>
          <w:rFonts w:eastAsia="Arial" w:cs="Arial"/>
          <w:szCs w:val="23"/>
          <w:lang w:val="fr-CA"/>
        </w:rPr>
      </w:pPr>
      <w:proofErr w:type="gramStart"/>
      <w:r w:rsidRPr="00F52884">
        <w:rPr>
          <w:rFonts w:eastAsia="Arial Unicode MS" w:cs="Arial"/>
          <w:szCs w:val="23"/>
          <w:lang w:val="fr-CA" w:eastAsia="en-CA"/>
        </w:rPr>
        <w:t>à</w:t>
      </w:r>
      <w:proofErr w:type="gramEnd"/>
      <w:r w:rsidRPr="00F52884">
        <w:rPr>
          <w:rFonts w:eastAsia="Arial Unicode MS" w:cs="Arial"/>
          <w:szCs w:val="23"/>
          <w:lang w:val="fr-CA" w:eastAsia="en-CA"/>
        </w:rPr>
        <w:t xml:space="preserve"> la </w:t>
      </w:r>
      <w:r w:rsidRPr="00F52884">
        <w:rPr>
          <w:rFonts w:eastAsia="Arial Unicode MS" w:cs="Arial"/>
          <w:szCs w:val="23"/>
          <w:lang w:val="fr-CA"/>
        </w:rPr>
        <w:t>protection de l’information confidentielle concernant le réseau de transport, y compris en interdisant la divulgation de l’information concernant le réseau de transport aux employés du service du marketing du fournisseur de services de transport</w:t>
      </w:r>
      <w:r w:rsidRPr="00F52884">
        <w:rPr>
          <w:rFonts w:eastAsia="Arial Unicode MS" w:cs="Arial"/>
          <w:szCs w:val="23"/>
          <w:lang w:val="fr-CA" w:eastAsia="en-CA"/>
        </w:rPr>
        <w:t xml:space="preserve">, le cas échéant, sauf toute information qui, selon le cas : </w:t>
      </w:r>
    </w:p>
    <w:p w14:paraId="7621075C" w14:textId="77777777" w:rsidR="00825F03" w:rsidRPr="00F52884" w:rsidRDefault="00825F03" w:rsidP="0050306B">
      <w:pPr>
        <w:pStyle w:val="ListParagraph"/>
        <w:rPr>
          <w:rFonts w:eastAsia="Arial Unicode MS" w:cs="Arial"/>
          <w:szCs w:val="23"/>
          <w:lang w:val="fr-CA" w:eastAsia="en-CA"/>
        </w:rPr>
      </w:pPr>
    </w:p>
    <w:p w14:paraId="6C245D9D" w14:textId="445C57CD" w:rsidR="00825F03" w:rsidRPr="00F52884" w:rsidRDefault="00825F03" w:rsidP="00825F03">
      <w:pPr>
        <w:pStyle w:val="ListParagraph"/>
        <w:numPr>
          <w:ilvl w:val="0"/>
          <w:numId w:val="342"/>
        </w:numPr>
        <w:autoSpaceDE w:val="0"/>
        <w:autoSpaceDN w:val="0"/>
        <w:adjustRightInd w:val="0"/>
        <w:ind w:left="3600" w:hanging="720"/>
        <w:rPr>
          <w:rFonts w:eastAsia="Arial" w:cs="Arial"/>
          <w:szCs w:val="23"/>
          <w:lang w:val="fr-CA"/>
        </w:rPr>
      </w:pPr>
      <w:proofErr w:type="gramStart"/>
      <w:r w:rsidRPr="00F52884">
        <w:rPr>
          <w:rFonts w:eastAsia="Arial Unicode MS" w:cs="Arial"/>
          <w:szCs w:val="23"/>
          <w:lang w:val="fr-CA" w:eastAsia="en-CA"/>
        </w:rPr>
        <w:t>peut</w:t>
      </w:r>
      <w:proofErr w:type="gramEnd"/>
      <w:r w:rsidRPr="00F52884">
        <w:rPr>
          <w:rFonts w:eastAsia="Arial Unicode MS" w:cs="Arial"/>
          <w:szCs w:val="23"/>
          <w:lang w:val="fr-CA" w:eastAsia="en-CA"/>
        </w:rPr>
        <w:t xml:space="preserve"> être requise dans le but exprès d’assurer la sécurité de l’approvisionnement ou la planification de ressources intégrée à long terme, </w:t>
      </w:r>
    </w:p>
    <w:p w14:paraId="4A28405A" w14:textId="77777777" w:rsidR="00825F03" w:rsidRPr="00F52884" w:rsidRDefault="00825F03" w:rsidP="00825F03">
      <w:pPr>
        <w:pStyle w:val="ListParagraph"/>
        <w:autoSpaceDE w:val="0"/>
        <w:autoSpaceDN w:val="0"/>
        <w:adjustRightInd w:val="0"/>
        <w:ind w:left="3600" w:hanging="720"/>
        <w:rPr>
          <w:rFonts w:eastAsia="Arial" w:cs="Arial"/>
          <w:szCs w:val="23"/>
          <w:lang w:val="fr-CA"/>
        </w:rPr>
      </w:pPr>
    </w:p>
    <w:p w14:paraId="0539A154" w14:textId="5372EA4A" w:rsidR="00825F03" w:rsidRPr="00F52884" w:rsidRDefault="00825F03" w:rsidP="00825F03">
      <w:pPr>
        <w:pStyle w:val="ListParagraph"/>
        <w:numPr>
          <w:ilvl w:val="0"/>
          <w:numId w:val="342"/>
        </w:numPr>
        <w:autoSpaceDE w:val="0"/>
        <w:autoSpaceDN w:val="0"/>
        <w:adjustRightInd w:val="0"/>
        <w:ind w:left="3600" w:hanging="720"/>
        <w:rPr>
          <w:rFonts w:eastAsia="Arial" w:cs="Arial"/>
          <w:szCs w:val="23"/>
          <w:lang w:val="fr-CA"/>
        </w:rPr>
      </w:pPr>
      <w:proofErr w:type="gramStart"/>
      <w:r w:rsidRPr="00F52884">
        <w:rPr>
          <w:rFonts w:eastAsia="Arial Unicode MS" w:cs="Arial"/>
          <w:szCs w:val="23"/>
          <w:lang w:val="fr-CA" w:eastAsia="en-CA"/>
        </w:rPr>
        <w:t>est</w:t>
      </w:r>
      <w:proofErr w:type="gramEnd"/>
      <w:r w:rsidRPr="00F52884">
        <w:rPr>
          <w:rFonts w:eastAsia="Arial Unicode MS" w:cs="Arial"/>
          <w:szCs w:val="23"/>
          <w:lang w:val="fr-CA" w:eastAsia="en-CA"/>
        </w:rPr>
        <w:t xml:space="preserve"> mise à la disposition de tous les acteurs du marché en ligne en conformité avec l’alinéa c);</w:t>
      </w:r>
    </w:p>
    <w:p w14:paraId="0EEEC4D2" w14:textId="77777777" w:rsidR="00825F03" w:rsidRPr="00F52884" w:rsidRDefault="00825F03" w:rsidP="0050306B">
      <w:pPr>
        <w:autoSpaceDE w:val="0"/>
        <w:autoSpaceDN w:val="0"/>
        <w:adjustRightInd w:val="0"/>
        <w:rPr>
          <w:rFonts w:eastAsia="Arial" w:cs="Arial"/>
          <w:szCs w:val="23"/>
          <w:lang w:val="fr-CA"/>
        </w:rPr>
      </w:pPr>
    </w:p>
    <w:p w14:paraId="790173B1" w14:textId="77777777" w:rsidR="00825F03" w:rsidRPr="00F52884" w:rsidRDefault="00825F03" w:rsidP="00825F03">
      <w:pPr>
        <w:pStyle w:val="ListParagraph"/>
        <w:numPr>
          <w:ilvl w:val="0"/>
          <w:numId w:val="341"/>
        </w:numPr>
        <w:autoSpaceDE w:val="0"/>
        <w:autoSpaceDN w:val="0"/>
        <w:adjustRightInd w:val="0"/>
        <w:ind w:left="2880" w:hanging="720"/>
        <w:rPr>
          <w:rFonts w:eastAsia="Arial" w:cs="Arial"/>
          <w:szCs w:val="23"/>
          <w:lang w:val="fr-CA"/>
        </w:rPr>
      </w:pPr>
      <w:proofErr w:type="gramStart"/>
      <w:r w:rsidRPr="00F52884">
        <w:rPr>
          <w:rFonts w:eastAsia="Arial Unicode MS" w:cs="Arial"/>
          <w:szCs w:val="23"/>
          <w:lang w:val="fr-CA" w:eastAsia="en-CA"/>
        </w:rPr>
        <w:t>à</w:t>
      </w:r>
      <w:proofErr w:type="gramEnd"/>
      <w:r w:rsidRPr="00F52884">
        <w:rPr>
          <w:rFonts w:eastAsia="Arial Unicode MS" w:cs="Arial"/>
          <w:szCs w:val="23"/>
          <w:lang w:val="fr-CA" w:eastAsia="en-CA"/>
        </w:rPr>
        <w:t xml:space="preserve"> la protection de l’information confidentielle concernant les clients du service de transport;</w:t>
      </w:r>
    </w:p>
    <w:p w14:paraId="47C05179" w14:textId="77777777" w:rsidR="00825F03" w:rsidRPr="00F52884" w:rsidRDefault="00825F03" w:rsidP="00825F03">
      <w:pPr>
        <w:autoSpaceDE w:val="0"/>
        <w:autoSpaceDN w:val="0"/>
        <w:adjustRightInd w:val="0"/>
        <w:ind w:left="2880" w:hanging="720"/>
        <w:rPr>
          <w:rFonts w:eastAsia="Arial" w:cs="Arial"/>
          <w:szCs w:val="23"/>
          <w:lang w:val="fr-CA"/>
        </w:rPr>
      </w:pPr>
    </w:p>
    <w:p w14:paraId="380278AF" w14:textId="33E6AB7F" w:rsidR="00825F03" w:rsidRPr="00F52884" w:rsidRDefault="00825F03" w:rsidP="00825F03">
      <w:pPr>
        <w:pStyle w:val="ListParagraph"/>
        <w:numPr>
          <w:ilvl w:val="0"/>
          <w:numId w:val="341"/>
        </w:numPr>
        <w:autoSpaceDE w:val="0"/>
        <w:autoSpaceDN w:val="0"/>
        <w:adjustRightInd w:val="0"/>
        <w:ind w:left="2880" w:hanging="720"/>
        <w:rPr>
          <w:rFonts w:eastAsia="Arial" w:cs="Arial"/>
          <w:szCs w:val="23"/>
          <w:lang w:val="fr-CA"/>
        </w:rPr>
      </w:pPr>
      <w:proofErr w:type="gramStart"/>
      <w:r w:rsidRPr="00F52884">
        <w:rPr>
          <w:rFonts w:eastAsia="Arial Unicode MS" w:cs="Arial"/>
          <w:szCs w:val="23"/>
          <w:lang w:val="fr-CA" w:eastAsia="en-CA"/>
        </w:rPr>
        <w:t>s’il</w:t>
      </w:r>
      <w:proofErr w:type="gramEnd"/>
      <w:r w:rsidRPr="00F52884">
        <w:rPr>
          <w:rFonts w:eastAsia="Arial Unicode MS" w:cs="Arial"/>
          <w:szCs w:val="23"/>
          <w:lang w:val="fr-CA" w:eastAsia="en-CA"/>
        </w:rPr>
        <w:t xml:space="preserve"> y a lieu, à tenir des registres séparés et indépendants pour chacune des fonctions commerciales et de </w:t>
      </w:r>
      <w:r w:rsidRPr="00F52884">
        <w:rPr>
          <w:rFonts w:eastAsia="Arial Unicode MS" w:cs="Arial"/>
          <w:szCs w:val="23"/>
          <w:lang w:val="fr-CA"/>
        </w:rPr>
        <w:t>transport du fournisseur de services de transport.</w:t>
      </w:r>
    </w:p>
    <w:p w14:paraId="51DC905D" w14:textId="77777777" w:rsidR="00825F03" w:rsidRPr="00F52884" w:rsidRDefault="00825F03" w:rsidP="0050306B">
      <w:pPr>
        <w:autoSpaceDE w:val="0"/>
        <w:autoSpaceDN w:val="0"/>
        <w:adjustRightInd w:val="0"/>
        <w:rPr>
          <w:rFonts w:eastAsia="Arial Unicode MS" w:cs="Arial"/>
          <w:szCs w:val="23"/>
          <w:lang w:val="fr-CA"/>
        </w:rPr>
      </w:pPr>
    </w:p>
    <w:p w14:paraId="159B21DF" w14:textId="0F034725" w:rsidR="00825F03" w:rsidRPr="00F52884" w:rsidRDefault="00825F03" w:rsidP="00825F03">
      <w:pPr>
        <w:numPr>
          <w:ilvl w:val="0"/>
          <w:numId w:val="163"/>
        </w:numPr>
        <w:autoSpaceDE w:val="0"/>
        <w:autoSpaceDN w:val="0"/>
        <w:adjustRightInd w:val="0"/>
        <w:ind w:left="1440" w:hanging="720"/>
        <w:rPr>
          <w:rFonts w:eastAsia="Arial" w:cs="Arial"/>
          <w:szCs w:val="23"/>
          <w:lang w:val="fr-CA"/>
        </w:rPr>
      </w:pPr>
      <w:r w:rsidRPr="00F52884">
        <w:rPr>
          <w:rFonts w:eastAsia="Arial" w:cs="Arial"/>
          <w:szCs w:val="23"/>
          <w:lang w:val="fr-CA"/>
        </w:rPr>
        <w:t>Chaque Partie fait en sorte que tout fournisseur de services de transport qui exerce des activités sur son territoire accorde à tous les clients d’un service de transport un accès libre et non discriminatoire à des informations à jour sur la disponibilité du service de transport ainsi qu’à la législation, aux politiques, aux procédures et aux règles de service connexes accessibles en ligne aux clients du service de transport, en leur permettant d’accéder simultanément à l’information suivante, selon le cas :</w:t>
      </w:r>
    </w:p>
    <w:p w14:paraId="7B6F1291" w14:textId="77777777" w:rsidR="00825F03" w:rsidRPr="00F52884" w:rsidRDefault="00825F03" w:rsidP="0050306B">
      <w:pPr>
        <w:autoSpaceDE w:val="0"/>
        <w:autoSpaceDN w:val="0"/>
        <w:adjustRightInd w:val="0"/>
        <w:ind w:left="720"/>
        <w:rPr>
          <w:rFonts w:eastAsia="Arial" w:cs="Arial"/>
          <w:szCs w:val="23"/>
          <w:lang w:val="fr-CA"/>
        </w:rPr>
      </w:pPr>
    </w:p>
    <w:p w14:paraId="6F284B78" w14:textId="0BCCFDB5"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capacité</w:t>
      </w:r>
      <w:proofErr w:type="gramEnd"/>
      <w:r w:rsidRPr="00F52884">
        <w:rPr>
          <w:rFonts w:eastAsia="Arial" w:cs="Arial"/>
          <w:szCs w:val="23"/>
          <w:lang w:val="fr-CA"/>
        </w:rPr>
        <w:t xml:space="preserve"> de transfert disponible et information connexe,</w:t>
      </w:r>
    </w:p>
    <w:p w14:paraId="77E4321A" w14:textId="77777777" w:rsidR="00825F03" w:rsidRPr="00F52884" w:rsidRDefault="00825F03" w:rsidP="0019173B">
      <w:pPr>
        <w:ind w:left="2160" w:hanging="360"/>
        <w:rPr>
          <w:rFonts w:eastAsia="Arial" w:cs="Arial"/>
          <w:szCs w:val="23"/>
          <w:lang w:val="fr-CA"/>
        </w:rPr>
      </w:pPr>
    </w:p>
    <w:p w14:paraId="086304DD" w14:textId="522DC31F"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produits</w:t>
      </w:r>
      <w:proofErr w:type="gramEnd"/>
      <w:r w:rsidRPr="00F52884">
        <w:rPr>
          <w:rFonts w:eastAsia="Arial" w:cs="Arial"/>
          <w:szCs w:val="23"/>
          <w:lang w:val="fr-CA"/>
        </w:rPr>
        <w:t xml:space="preserve"> du service de transport et tarifs applicables, y compris les rabais disponibles,</w:t>
      </w:r>
    </w:p>
    <w:p w14:paraId="59BE37AC" w14:textId="77777777" w:rsidR="00825F03" w:rsidRPr="00F52884" w:rsidRDefault="00825F03" w:rsidP="0019173B">
      <w:pPr>
        <w:ind w:left="2160" w:hanging="360"/>
        <w:rPr>
          <w:rFonts w:eastAsia="Arial" w:cs="Arial"/>
          <w:szCs w:val="23"/>
          <w:lang w:val="fr-CA"/>
        </w:rPr>
      </w:pPr>
    </w:p>
    <w:p w14:paraId="716AB3D2" w14:textId="5807F423"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services</w:t>
      </w:r>
      <w:proofErr w:type="gramEnd"/>
      <w:r w:rsidRPr="00F52884">
        <w:rPr>
          <w:rFonts w:eastAsia="Arial" w:cs="Arial"/>
          <w:szCs w:val="23"/>
          <w:lang w:val="fr-CA"/>
        </w:rPr>
        <w:t xml:space="preserve"> auxiliaires et tarifs applicables,</w:t>
      </w:r>
    </w:p>
    <w:p w14:paraId="25818689" w14:textId="77777777" w:rsidR="00825F03" w:rsidRPr="00F52884" w:rsidRDefault="00825F03" w:rsidP="0019173B">
      <w:pPr>
        <w:ind w:left="2160" w:hanging="360"/>
        <w:rPr>
          <w:rFonts w:eastAsia="Arial" w:cs="Arial"/>
          <w:szCs w:val="23"/>
          <w:lang w:val="fr-CA"/>
        </w:rPr>
      </w:pPr>
    </w:p>
    <w:p w14:paraId="75130A5C" w14:textId="2D141DD1"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programme</w:t>
      </w:r>
      <w:proofErr w:type="gramEnd"/>
      <w:r w:rsidRPr="00F52884">
        <w:rPr>
          <w:rFonts w:eastAsia="Arial" w:cs="Arial"/>
          <w:szCs w:val="23"/>
          <w:lang w:val="fr-CA"/>
        </w:rPr>
        <w:t xml:space="preserve"> et information sur le processus du service de transport,</w:t>
      </w:r>
    </w:p>
    <w:p w14:paraId="76816E65" w14:textId="77777777" w:rsidR="00825F03" w:rsidRPr="00F52884" w:rsidRDefault="00825F03" w:rsidP="0019173B">
      <w:pPr>
        <w:ind w:left="2160" w:hanging="360"/>
        <w:rPr>
          <w:rFonts w:eastAsia="Arial" w:cs="Arial"/>
          <w:szCs w:val="23"/>
          <w:lang w:val="fr-CA"/>
        </w:rPr>
      </w:pPr>
    </w:p>
    <w:p w14:paraId="5E750603" w14:textId="0A8862CE"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autres</w:t>
      </w:r>
      <w:proofErr w:type="gramEnd"/>
      <w:r w:rsidRPr="00F52884">
        <w:rPr>
          <w:rFonts w:eastAsia="Arial" w:cs="Arial"/>
          <w:szCs w:val="23"/>
          <w:lang w:val="fr-CA"/>
        </w:rPr>
        <w:t xml:space="preserve"> communications concernant le transport, comme les pannes et l’état du réseau,</w:t>
      </w:r>
    </w:p>
    <w:p w14:paraId="4A747B87" w14:textId="77777777" w:rsidR="00825F03" w:rsidRPr="00F52884" w:rsidRDefault="00825F03" w:rsidP="0019173B">
      <w:pPr>
        <w:ind w:left="2160" w:hanging="360"/>
        <w:rPr>
          <w:rFonts w:eastAsia="Arial" w:cs="Arial"/>
          <w:szCs w:val="23"/>
          <w:lang w:val="fr-CA"/>
        </w:rPr>
      </w:pPr>
    </w:p>
    <w:p w14:paraId="71B3CD18" w14:textId="01128C91"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information</w:t>
      </w:r>
      <w:proofErr w:type="gramEnd"/>
      <w:r w:rsidRPr="00F52884">
        <w:rPr>
          <w:rFonts w:eastAsia="Arial" w:cs="Arial"/>
          <w:szCs w:val="23"/>
          <w:lang w:val="fr-CA"/>
        </w:rPr>
        <w:t xml:space="preserve"> sur les délais requis pour la réalisation des études relatives aux demandes de service de transport,</w:t>
      </w:r>
    </w:p>
    <w:p w14:paraId="19D016DE" w14:textId="77777777" w:rsidR="00825F03" w:rsidRPr="00F52884" w:rsidRDefault="00825F03" w:rsidP="0019173B">
      <w:pPr>
        <w:ind w:left="2160" w:hanging="360"/>
        <w:rPr>
          <w:rFonts w:eastAsia="Arial" w:cs="Arial"/>
          <w:szCs w:val="23"/>
          <w:lang w:val="fr-CA"/>
        </w:rPr>
      </w:pPr>
    </w:p>
    <w:p w14:paraId="5F0A13F2" w14:textId="3FA75996"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données</w:t>
      </w:r>
      <w:proofErr w:type="gramEnd"/>
      <w:r w:rsidRPr="00F52884">
        <w:rPr>
          <w:rFonts w:eastAsia="Arial" w:cs="Arial"/>
          <w:szCs w:val="23"/>
          <w:lang w:val="fr-CA"/>
        </w:rPr>
        <w:t xml:space="preserve"> sur l’octroi et le refus de service,</w:t>
      </w:r>
    </w:p>
    <w:p w14:paraId="20AC07D4" w14:textId="77777777" w:rsidR="00825F03" w:rsidRPr="00F52884" w:rsidRDefault="00825F03" w:rsidP="0019173B">
      <w:pPr>
        <w:ind w:left="2160" w:hanging="360"/>
        <w:rPr>
          <w:rFonts w:eastAsia="Arial" w:cs="Arial"/>
          <w:szCs w:val="23"/>
          <w:lang w:val="fr-CA"/>
        </w:rPr>
      </w:pPr>
    </w:p>
    <w:p w14:paraId="02B50C7D" w14:textId="1224B134" w:rsidR="00825F03" w:rsidRPr="00F52884" w:rsidRDefault="00825F03" w:rsidP="0019173B">
      <w:pPr>
        <w:numPr>
          <w:ilvl w:val="1"/>
          <w:numId w:val="163"/>
        </w:numPr>
        <w:ind w:left="2160"/>
        <w:rPr>
          <w:rFonts w:eastAsia="Arial" w:cs="Arial"/>
          <w:szCs w:val="23"/>
          <w:lang w:val="fr-CA"/>
        </w:rPr>
      </w:pPr>
      <w:proofErr w:type="gramStart"/>
      <w:r w:rsidRPr="00F52884">
        <w:rPr>
          <w:rFonts w:eastAsia="Arial" w:cs="Arial"/>
          <w:szCs w:val="23"/>
          <w:lang w:val="fr-CA"/>
        </w:rPr>
        <w:t>données</w:t>
      </w:r>
      <w:proofErr w:type="gramEnd"/>
      <w:r w:rsidRPr="00F52884">
        <w:rPr>
          <w:rFonts w:eastAsia="Arial" w:cs="Arial"/>
          <w:szCs w:val="23"/>
          <w:lang w:val="fr-CA"/>
        </w:rPr>
        <w:t xml:space="preserve"> sur le réacheminement.</w:t>
      </w:r>
    </w:p>
    <w:p w14:paraId="76ACBAEC" w14:textId="77777777" w:rsidR="00825F03" w:rsidRPr="00F52884" w:rsidRDefault="00825F03" w:rsidP="0050306B">
      <w:pPr>
        <w:rPr>
          <w:rFonts w:eastAsia="Arial" w:cs="Arial"/>
          <w:szCs w:val="23"/>
          <w:lang w:val="fr-CA"/>
        </w:rPr>
      </w:pPr>
    </w:p>
    <w:p w14:paraId="5B8BF3AF" w14:textId="16974CA3" w:rsidR="00825F03" w:rsidRPr="00F52884" w:rsidRDefault="00825F03" w:rsidP="00825F03">
      <w:pPr>
        <w:pStyle w:val="ListParagraph"/>
        <w:numPr>
          <w:ilvl w:val="0"/>
          <w:numId w:val="163"/>
        </w:numPr>
        <w:autoSpaceDE w:val="0"/>
        <w:autoSpaceDN w:val="0"/>
        <w:adjustRightInd w:val="0"/>
        <w:ind w:left="1440" w:hanging="720"/>
        <w:rPr>
          <w:rFonts w:eastAsia="Arial" w:cs="Arial"/>
          <w:b/>
          <w:szCs w:val="23"/>
          <w:lang w:val="fr-CA"/>
        </w:rPr>
      </w:pPr>
      <w:r w:rsidRPr="00F52884">
        <w:rPr>
          <w:rFonts w:eastAsia="Arial" w:cs="Arial"/>
          <w:szCs w:val="23"/>
          <w:lang w:val="fr-CA"/>
        </w:rPr>
        <w:t>La présente section n’a pas pour effet d’obliger les Parties à créer ou à exploiter un marché d’électricité concurrentiel, ou d’empêcher la vente d’électricité dans le cadre de transactions bilatérales.</w:t>
      </w:r>
    </w:p>
    <w:p w14:paraId="23106C66" w14:textId="77777777" w:rsidR="00825F03" w:rsidRPr="00F52884" w:rsidRDefault="00825F03" w:rsidP="0050306B">
      <w:pPr>
        <w:pStyle w:val="ListParagraph"/>
        <w:autoSpaceDE w:val="0"/>
        <w:autoSpaceDN w:val="0"/>
        <w:adjustRightInd w:val="0"/>
        <w:ind w:left="1440"/>
        <w:rPr>
          <w:rFonts w:eastAsia="Arial" w:cs="Arial"/>
          <w:b/>
          <w:szCs w:val="23"/>
          <w:lang w:val="fr-CA"/>
        </w:rPr>
      </w:pPr>
    </w:p>
    <w:p w14:paraId="481B4724" w14:textId="0D84B815" w:rsidR="00825F03" w:rsidRPr="00F52884" w:rsidRDefault="00825F03" w:rsidP="00825F03">
      <w:pPr>
        <w:pStyle w:val="ListParagraph"/>
        <w:numPr>
          <w:ilvl w:val="0"/>
          <w:numId w:val="163"/>
        </w:numPr>
        <w:autoSpaceDE w:val="0"/>
        <w:autoSpaceDN w:val="0"/>
        <w:adjustRightInd w:val="0"/>
        <w:ind w:left="1440" w:hanging="720"/>
        <w:rPr>
          <w:rFonts w:eastAsia="Arial" w:cs="Arial"/>
          <w:szCs w:val="23"/>
          <w:lang w:val="fr-CA"/>
        </w:rPr>
      </w:pPr>
      <w:r w:rsidRPr="00F52884">
        <w:rPr>
          <w:rFonts w:eastAsia="Arial" w:cs="Arial"/>
          <w:szCs w:val="23"/>
          <w:lang w:val="fr-CA"/>
        </w:rPr>
        <w:t>Lorsqu’ils exercent leurs pouvoirs de nature législative, réglementaire, commerciale et contractuelle, les autorités réglementaires provinciales et territoriales et les fournisseurs de services de transport :</w:t>
      </w:r>
    </w:p>
    <w:p w14:paraId="598511DC" w14:textId="77777777" w:rsidR="00825F03" w:rsidRPr="00F52884" w:rsidRDefault="00825F03" w:rsidP="0050306B">
      <w:pPr>
        <w:autoSpaceDE w:val="0"/>
        <w:autoSpaceDN w:val="0"/>
        <w:adjustRightInd w:val="0"/>
        <w:rPr>
          <w:rFonts w:eastAsia="Arial" w:cs="Arial"/>
          <w:szCs w:val="23"/>
          <w:lang w:val="fr-CA"/>
        </w:rPr>
      </w:pPr>
    </w:p>
    <w:p w14:paraId="610B0055" w14:textId="273D3652" w:rsidR="00825F03" w:rsidRPr="00F52884" w:rsidRDefault="00825F03" w:rsidP="0019173B">
      <w:pPr>
        <w:pStyle w:val="ListParagraph"/>
        <w:numPr>
          <w:ilvl w:val="1"/>
          <w:numId w:val="163"/>
        </w:numPr>
        <w:autoSpaceDE w:val="0"/>
        <w:autoSpaceDN w:val="0"/>
        <w:adjustRightInd w:val="0"/>
        <w:ind w:left="2160" w:hanging="540"/>
        <w:rPr>
          <w:rFonts w:eastAsia="Arial" w:cs="Arial"/>
          <w:szCs w:val="23"/>
          <w:lang w:val="fr-CA"/>
        </w:rPr>
      </w:pPr>
      <w:proofErr w:type="gramStart"/>
      <w:r w:rsidRPr="00F52884">
        <w:rPr>
          <w:rFonts w:eastAsia="Arial" w:cs="Arial"/>
          <w:szCs w:val="23"/>
          <w:lang w:val="fr-CA"/>
        </w:rPr>
        <w:t>conservent</w:t>
      </w:r>
      <w:proofErr w:type="gramEnd"/>
      <w:r w:rsidRPr="00F52884">
        <w:rPr>
          <w:rFonts w:eastAsia="Arial" w:cs="Arial"/>
          <w:szCs w:val="23"/>
          <w:lang w:val="fr-CA"/>
        </w:rPr>
        <w:t xml:space="preserve"> le droit d’assurer la fiabilité du réseau, </w:t>
      </w:r>
    </w:p>
    <w:p w14:paraId="7E18ADCB" w14:textId="77777777" w:rsidR="00825F03" w:rsidRPr="00F52884" w:rsidRDefault="00825F03" w:rsidP="0019173B">
      <w:pPr>
        <w:autoSpaceDE w:val="0"/>
        <w:autoSpaceDN w:val="0"/>
        <w:adjustRightInd w:val="0"/>
        <w:ind w:left="2160" w:hanging="540"/>
        <w:rPr>
          <w:rFonts w:eastAsia="Arial" w:cs="Arial"/>
          <w:szCs w:val="23"/>
          <w:lang w:val="fr-CA"/>
        </w:rPr>
      </w:pPr>
    </w:p>
    <w:p w14:paraId="13D03AB0" w14:textId="37661288" w:rsidR="00825F03" w:rsidRPr="00F52884" w:rsidRDefault="00825F03" w:rsidP="0019173B">
      <w:pPr>
        <w:pStyle w:val="ListParagraph"/>
        <w:numPr>
          <w:ilvl w:val="1"/>
          <w:numId w:val="163"/>
        </w:numPr>
        <w:autoSpaceDE w:val="0"/>
        <w:autoSpaceDN w:val="0"/>
        <w:adjustRightInd w:val="0"/>
        <w:ind w:left="2160" w:hanging="540"/>
        <w:rPr>
          <w:rFonts w:eastAsia="Arial" w:cs="Arial"/>
          <w:szCs w:val="23"/>
          <w:lang w:val="fr-CA"/>
        </w:rPr>
      </w:pPr>
      <w:proofErr w:type="gramStart"/>
      <w:r w:rsidRPr="00F52884">
        <w:rPr>
          <w:rFonts w:eastAsia="Arial" w:cs="Arial"/>
          <w:szCs w:val="23"/>
          <w:lang w:val="fr-CA"/>
        </w:rPr>
        <w:t>peuvent</w:t>
      </w:r>
      <w:proofErr w:type="gramEnd"/>
      <w:r w:rsidRPr="00F52884">
        <w:rPr>
          <w:rFonts w:eastAsia="Arial" w:cs="Arial"/>
          <w:szCs w:val="23"/>
          <w:lang w:val="fr-CA"/>
        </w:rPr>
        <w:t xml:space="preserve"> déterminer la manière dont les installations de transport commerciales sont développées et offertes sur leurs territoires respectifs en se fondant sur des critères qui ne soient pas indûment discriminatoires ou préférentiels.</w:t>
      </w:r>
    </w:p>
    <w:p w14:paraId="366821D1" w14:textId="77777777" w:rsidR="00825F03" w:rsidRPr="00F52884" w:rsidRDefault="00825F03" w:rsidP="0050306B">
      <w:pPr>
        <w:autoSpaceDE w:val="0"/>
        <w:autoSpaceDN w:val="0"/>
        <w:adjustRightInd w:val="0"/>
        <w:rPr>
          <w:rFonts w:eastAsia="Arial" w:cs="Arial"/>
          <w:szCs w:val="23"/>
          <w:lang w:val="fr-CA"/>
        </w:rPr>
      </w:pPr>
    </w:p>
    <w:p w14:paraId="53E62B63" w14:textId="29901F25" w:rsidR="00825F03" w:rsidRPr="00F52884" w:rsidRDefault="00825F03" w:rsidP="0050306B">
      <w:pPr>
        <w:autoSpaceDE w:val="0"/>
        <w:autoSpaceDN w:val="0"/>
        <w:adjustRightInd w:val="0"/>
        <w:rPr>
          <w:rFonts w:eastAsia="Arial" w:cs="Arial"/>
          <w:b/>
          <w:szCs w:val="23"/>
          <w:lang w:val="fr-CA"/>
        </w:rPr>
      </w:pPr>
      <w:r w:rsidRPr="00F52884">
        <w:rPr>
          <w:rFonts w:eastAsia="Arial" w:cs="Arial"/>
          <w:b/>
          <w:szCs w:val="23"/>
          <w:lang w:val="fr-CA"/>
        </w:rPr>
        <w:t>3.</w:t>
      </w:r>
      <w:r w:rsidRPr="00F52884">
        <w:rPr>
          <w:rFonts w:eastAsia="Arial" w:cs="Arial"/>
          <w:b/>
          <w:szCs w:val="23"/>
          <w:lang w:val="fr-CA"/>
        </w:rPr>
        <w:tab/>
        <w:t>Règlement des différends relatifs aux services de transport d’électricité</w:t>
      </w:r>
    </w:p>
    <w:p w14:paraId="401B5459" w14:textId="77777777" w:rsidR="00825F03" w:rsidRPr="00F52884" w:rsidRDefault="00825F03" w:rsidP="0050306B">
      <w:pPr>
        <w:autoSpaceDE w:val="0"/>
        <w:autoSpaceDN w:val="0"/>
        <w:adjustRightInd w:val="0"/>
        <w:rPr>
          <w:rFonts w:eastAsia="Arial" w:cs="Arial"/>
          <w:b/>
          <w:szCs w:val="23"/>
          <w:lang w:val="fr-CA"/>
        </w:rPr>
      </w:pPr>
    </w:p>
    <w:p w14:paraId="737FBCEF" w14:textId="7431297C" w:rsidR="00825F03" w:rsidRPr="00F52884" w:rsidRDefault="00825F03" w:rsidP="00825F03">
      <w:pPr>
        <w:pStyle w:val="ListParagraph"/>
        <w:numPr>
          <w:ilvl w:val="0"/>
          <w:numId w:val="164"/>
        </w:numPr>
        <w:autoSpaceDE w:val="0"/>
        <w:autoSpaceDN w:val="0"/>
        <w:adjustRightInd w:val="0"/>
        <w:ind w:left="1440" w:hanging="720"/>
        <w:rPr>
          <w:rFonts w:eastAsia="Arial" w:cs="Arial"/>
          <w:szCs w:val="23"/>
          <w:lang w:val="fr-CA"/>
        </w:rPr>
      </w:pPr>
      <w:r w:rsidRPr="00F52884">
        <w:rPr>
          <w:rFonts w:eastAsia="Arial" w:cs="Arial"/>
          <w:szCs w:val="23"/>
          <w:lang w:val="fr-CA"/>
        </w:rPr>
        <w:t>Le chapitre Dix (Règlement des différends) s’applique à tout différend portant sur l’interprétation ou l’application de la section 2, telle qu’elle est modifiée par la présente section.</w:t>
      </w:r>
    </w:p>
    <w:p w14:paraId="06801E87" w14:textId="77777777" w:rsidR="00825F03" w:rsidRPr="00F52884" w:rsidRDefault="00825F03" w:rsidP="0050306B">
      <w:pPr>
        <w:pStyle w:val="ListParagraph"/>
        <w:autoSpaceDE w:val="0"/>
        <w:autoSpaceDN w:val="0"/>
        <w:adjustRightInd w:val="0"/>
        <w:ind w:left="1440"/>
        <w:rPr>
          <w:rFonts w:eastAsia="Arial" w:cs="Arial"/>
          <w:szCs w:val="23"/>
          <w:lang w:val="fr-CA"/>
        </w:rPr>
      </w:pPr>
    </w:p>
    <w:p w14:paraId="7C1FE4B3" w14:textId="5A222F9F" w:rsidR="00825F03" w:rsidRPr="00F52884" w:rsidRDefault="00FC2A4B" w:rsidP="00825F03">
      <w:pPr>
        <w:pStyle w:val="ListParagraph"/>
        <w:numPr>
          <w:ilvl w:val="0"/>
          <w:numId w:val="164"/>
        </w:numPr>
        <w:autoSpaceDE w:val="0"/>
        <w:autoSpaceDN w:val="0"/>
        <w:adjustRightInd w:val="0"/>
        <w:ind w:left="1440" w:hanging="720"/>
        <w:rPr>
          <w:rFonts w:eastAsia="Arial" w:cs="Arial"/>
          <w:szCs w:val="23"/>
          <w:lang w:val="fr-CA"/>
        </w:rPr>
      </w:pPr>
      <w:r w:rsidRPr="009A780E">
        <w:rPr>
          <w:rFonts w:ascii="Arial" w:eastAsia="Times New Roman" w:hAnsi="Arial" w:cs="Arial"/>
          <w:szCs w:val="23"/>
          <w:lang w:val="fr-CA"/>
        </w:rPr>
        <w:t>Une fois </w:t>
      </w:r>
      <w:r w:rsidR="00825F03" w:rsidRPr="00F52884">
        <w:rPr>
          <w:rFonts w:eastAsia="Arial" w:cs="Arial"/>
          <w:szCs w:val="23"/>
          <w:lang w:val="fr-CA"/>
        </w:rPr>
        <w:t>l’entrée en vigueur des sections 2 à 4, les Parties établissent et tiennent à jour une liste d</w:t>
      </w:r>
      <w:r w:rsidR="00126685" w:rsidRPr="00F52884">
        <w:rPr>
          <w:rFonts w:eastAsia="Arial" w:cs="Arial"/>
          <w:szCs w:val="23"/>
          <w:lang w:val="fr-CA"/>
        </w:rPr>
        <w:t xml:space="preserve">’individus </w:t>
      </w:r>
      <w:r w:rsidR="00825F03" w:rsidRPr="00F52884">
        <w:rPr>
          <w:rFonts w:eastAsia="Arial" w:cs="Arial"/>
          <w:szCs w:val="23"/>
          <w:lang w:val="fr-CA"/>
        </w:rPr>
        <w:t xml:space="preserve">pouvant agir en qualité de membre d’un groupe spécial saisi d’un différend relatif au transport d’électricité. Chaque Partie nomme deux </w:t>
      </w:r>
      <w:r w:rsidR="00126685" w:rsidRPr="00F52884">
        <w:rPr>
          <w:rFonts w:eastAsia="Arial" w:cs="Arial"/>
          <w:szCs w:val="23"/>
          <w:lang w:val="fr-CA"/>
        </w:rPr>
        <w:t xml:space="preserve">individus sur cette liste </w:t>
      </w:r>
      <w:r w:rsidR="00825F03" w:rsidRPr="00F52884">
        <w:rPr>
          <w:rFonts w:eastAsia="Arial" w:cs="Arial"/>
          <w:szCs w:val="23"/>
          <w:lang w:val="fr-CA"/>
        </w:rPr>
        <w:t>pour un mandat de cinq ans. Le mandat d’un</w:t>
      </w:r>
      <w:r w:rsidR="00126685" w:rsidRPr="00F52884">
        <w:rPr>
          <w:rFonts w:eastAsia="Arial" w:cs="Arial"/>
          <w:szCs w:val="23"/>
          <w:lang w:val="fr-CA"/>
        </w:rPr>
        <w:t xml:space="preserve"> individu inscrit </w:t>
      </w:r>
      <w:r w:rsidR="00825F03" w:rsidRPr="00F52884">
        <w:rPr>
          <w:rFonts w:eastAsia="Arial" w:cs="Arial"/>
          <w:szCs w:val="23"/>
          <w:lang w:val="fr-CA"/>
        </w:rPr>
        <w:t>sur la liste peut être renouvelé un nombre illimité de fois.</w:t>
      </w:r>
    </w:p>
    <w:p w14:paraId="6E95A80D" w14:textId="77777777" w:rsidR="00825F03" w:rsidRPr="00F52884" w:rsidRDefault="00825F03" w:rsidP="0050306B">
      <w:pPr>
        <w:autoSpaceDE w:val="0"/>
        <w:autoSpaceDN w:val="0"/>
        <w:adjustRightInd w:val="0"/>
        <w:rPr>
          <w:rFonts w:eastAsia="Arial" w:cs="Arial"/>
          <w:szCs w:val="23"/>
          <w:lang w:val="fr-CA"/>
        </w:rPr>
      </w:pPr>
    </w:p>
    <w:p w14:paraId="7E5CF2D4" w14:textId="0AA3B336" w:rsidR="00825F03" w:rsidRPr="00F52884" w:rsidRDefault="00825F03" w:rsidP="00825F03">
      <w:pPr>
        <w:pStyle w:val="ListParagraph"/>
        <w:numPr>
          <w:ilvl w:val="0"/>
          <w:numId w:val="164"/>
        </w:numPr>
        <w:autoSpaceDE w:val="0"/>
        <w:autoSpaceDN w:val="0"/>
        <w:adjustRightInd w:val="0"/>
        <w:ind w:left="1440" w:hanging="720"/>
        <w:rPr>
          <w:rFonts w:eastAsia="Arial" w:cs="Arial"/>
          <w:szCs w:val="23"/>
          <w:lang w:val="fr-CA"/>
        </w:rPr>
      </w:pPr>
      <w:r w:rsidRPr="00F52884">
        <w:rPr>
          <w:rFonts w:eastAsia="Arial" w:cs="Arial"/>
          <w:szCs w:val="23"/>
          <w:lang w:val="fr-CA"/>
        </w:rPr>
        <w:t xml:space="preserve">Les </w:t>
      </w:r>
      <w:r w:rsidR="00126685" w:rsidRPr="00F52884">
        <w:rPr>
          <w:rFonts w:eastAsia="Arial" w:cs="Arial"/>
          <w:szCs w:val="23"/>
          <w:lang w:val="fr-CA"/>
        </w:rPr>
        <w:t>individus inscrit</w:t>
      </w:r>
      <w:r w:rsidR="00AF195B">
        <w:rPr>
          <w:rFonts w:eastAsia="Arial" w:cs="Arial"/>
          <w:szCs w:val="23"/>
          <w:lang w:val="fr-CA"/>
        </w:rPr>
        <w:t>s</w:t>
      </w:r>
      <w:r w:rsidRPr="00F52884">
        <w:rPr>
          <w:rFonts w:eastAsia="Arial" w:cs="Arial"/>
          <w:szCs w:val="23"/>
          <w:lang w:val="fr-CA"/>
        </w:rPr>
        <w:t xml:space="preserve"> sur la liste établie aux fins des différends relatifs au transport d’électricité doivent remplir les conditions suivantes :</w:t>
      </w:r>
    </w:p>
    <w:p w14:paraId="4EDCB5D0" w14:textId="77777777" w:rsidR="00825F03" w:rsidRPr="00F52884" w:rsidRDefault="00825F03" w:rsidP="0050306B">
      <w:pPr>
        <w:autoSpaceDE w:val="0"/>
        <w:autoSpaceDN w:val="0"/>
        <w:adjustRightInd w:val="0"/>
        <w:rPr>
          <w:rFonts w:eastAsia="Arial" w:cs="Arial"/>
          <w:szCs w:val="23"/>
          <w:lang w:val="fr-CA"/>
        </w:rPr>
      </w:pPr>
    </w:p>
    <w:p w14:paraId="0437BDB7" w14:textId="08490F21" w:rsidR="00825F03" w:rsidRPr="00F52884" w:rsidRDefault="00825F03" w:rsidP="0019173B">
      <w:pPr>
        <w:pStyle w:val="ListParagraph"/>
        <w:numPr>
          <w:ilvl w:val="0"/>
          <w:numId w:val="165"/>
        </w:numPr>
        <w:autoSpaceDE w:val="0"/>
        <w:autoSpaceDN w:val="0"/>
        <w:adjustRightInd w:val="0"/>
        <w:ind w:left="2160" w:hanging="450"/>
        <w:rPr>
          <w:rFonts w:eastAsia="Arial" w:cs="Arial"/>
          <w:szCs w:val="23"/>
          <w:lang w:val="fr-CA"/>
        </w:rPr>
      </w:pPr>
      <w:proofErr w:type="gramStart"/>
      <w:r w:rsidRPr="00F52884">
        <w:rPr>
          <w:rFonts w:eastAsia="Arial" w:cs="Arial"/>
          <w:szCs w:val="23"/>
          <w:lang w:val="fr-CA"/>
        </w:rPr>
        <w:lastRenderedPageBreak/>
        <w:t>avoir</w:t>
      </w:r>
      <w:proofErr w:type="gramEnd"/>
      <w:r w:rsidRPr="00F52884">
        <w:rPr>
          <w:rFonts w:eastAsia="Arial" w:cs="Arial"/>
          <w:szCs w:val="23"/>
          <w:lang w:val="fr-CA"/>
        </w:rPr>
        <w:t xml:space="preserve"> des connaissances spécialisées ou de l’expérience dans le domaine du droit en matière de transport d’électricité ou de la pratique connexe, ce qui peut comprendre la réglementation des fournisseurs de services de transport,</w:t>
      </w:r>
    </w:p>
    <w:p w14:paraId="6975BE17" w14:textId="77777777" w:rsidR="00825F03" w:rsidRPr="00F52884" w:rsidRDefault="00825F03" w:rsidP="0019173B">
      <w:pPr>
        <w:pStyle w:val="ListParagraph"/>
        <w:autoSpaceDE w:val="0"/>
        <w:autoSpaceDN w:val="0"/>
        <w:adjustRightInd w:val="0"/>
        <w:ind w:left="2160" w:hanging="450"/>
        <w:rPr>
          <w:rFonts w:eastAsia="Arial" w:cs="Arial"/>
          <w:szCs w:val="23"/>
          <w:lang w:val="fr-CA"/>
        </w:rPr>
      </w:pPr>
    </w:p>
    <w:p w14:paraId="650A636D" w14:textId="3EE1E00F" w:rsidR="00825F03" w:rsidRPr="00F52884" w:rsidRDefault="00825F03" w:rsidP="0019173B">
      <w:pPr>
        <w:pStyle w:val="ListParagraph"/>
        <w:numPr>
          <w:ilvl w:val="0"/>
          <w:numId w:val="165"/>
        </w:numPr>
        <w:autoSpaceDE w:val="0"/>
        <w:autoSpaceDN w:val="0"/>
        <w:adjustRightInd w:val="0"/>
        <w:ind w:left="2160" w:hanging="450"/>
        <w:rPr>
          <w:rFonts w:eastAsia="Arial" w:cs="Arial"/>
          <w:szCs w:val="23"/>
          <w:lang w:val="fr-CA"/>
        </w:rPr>
      </w:pPr>
      <w:proofErr w:type="gramStart"/>
      <w:r w:rsidRPr="00F52884">
        <w:rPr>
          <w:rFonts w:eastAsia="Arial" w:cs="Arial"/>
          <w:szCs w:val="23"/>
          <w:lang w:val="fr-CA"/>
        </w:rPr>
        <w:t>être</w:t>
      </w:r>
      <w:proofErr w:type="gramEnd"/>
      <w:r w:rsidRPr="00F52884">
        <w:rPr>
          <w:rFonts w:eastAsia="Arial" w:cs="Arial"/>
          <w:szCs w:val="23"/>
          <w:lang w:val="fr-CA"/>
        </w:rPr>
        <w:t xml:space="preserve"> choisis pour leur objectivité, leur fiabilité et leur capacité de discernement,</w:t>
      </w:r>
    </w:p>
    <w:p w14:paraId="5A953C17" w14:textId="77777777" w:rsidR="00825F03" w:rsidRPr="00F52884" w:rsidRDefault="00825F03" w:rsidP="0019173B">
      <w:pPr>
        <w:pStyle w:val="ListParagraph"/>
        <w:autoSpaceDE w:val="0"/>
        <w:autoSpaceDN w:val="0"/>
        <w:adjustRightInd w:val="0"/>
        <w:ind w:left="2160" w:hanging="450"/>
        <w:rPr>
          <w:rFonts w:eastAsia="Arial" w:cs="Arial"/>
          <w:szCs w:val="23"/>
          <w:lang w:val="fr-CA"/>
        </w:rPr>
      </w:pPr>
    </w:p>
    <w:p w14:paraId="2A2F22FC" w14:textId="2645FFAD" w:rsidR="00825F03" w:rsidRPr="00F52884" w:rsidRDefault="00825F03" w:rsidP="0019173B">
      <w:pPr>
        <w:pStyle w:val="ListParagraph"/>
        <w:numPr>
          <w:ilvl w:val="0"/>
          <w:numId w:val="165"/>
        </w:numPr>
        <w:autoSpaceDE w:val="0"/>
        <w:autoSpaceDN w:val="0"/>
        <w:adjustRightInd w:val="0"/>
        <w:ind w:left="2160" w:hanging="450"/>
        <w:rPr>
          <w:rFonts w:eastAsia="Arial" w:cs="Arial"/>
          <w:szCs w:val="23"/>
          <w:lang w:val="fr-CA"/>
        </w:rPr>
      </w:pPr>
      <w:proofErr w:type="gramStart"/>
      <w:r w:rsidRPr="00F52884">
        <w:rPr>
          <w:rFonts w:eastAsia="Arial" w:cs="Arial"/>
          <w:szCs w:val="23"/>
          <w:lang w:val="fr-CA"/>
        </w:rPr>
        <w:t>être</w:t>
      </w:r>
      <w:proofErr w:type="gramEnd"/>
      <w:r w:rsidRPr="00F52884">
        <w:rPr>
          <w:rFonts w:eastAsia="Arial" w:cs="Arial"/>
          <w:szCs w:val="23"/>
          <w:lang w:val="fr-CA"/>
        </w:rPr>
        <w:t xml:space="preserve"> indépendants de la Partie qui les a nommés et ne suivre les instructions d’aucune Partie.</w:t>
      </w:r>
    </w:p>
    <w:p w14:paraId="6D5DF536" w14:textId="77777777" w:rsidR="00825F03" w:rsidRPr="00F52884" w:rsidRDefault="00825F03" w:rsidP="0050306B">
      <w:pPr>
        <w:pStyle w:val="ListParagraph"/>
        <w:autoSpaceDE w:val="0"/>
        <w:autoSpaceDN w:val="0"/>
        <w:adjustRightInd w:val="0"/>
        <w:ind w:left="2160"/>
        <w:rPr>
          <w:rFonts w:eastAsia="Arial" w:cs="Arial"/>
          <w:szCs w:val="23"/>
          <w:lang w:val="fr-CA"/>
        </w:rPr>
      </w:pPr>
    </w:p>
    <w:p w14:paraId="48950663" w14:textId="34E4D618" w:rsidR="00825F03" w:rsidRPr="00F52884" w:rsidRDefault="00825F03" w:rsidP="00825F03">
      <w:pPr>
        <w:pStyle w:val="ListParagraph"/>
        <w:keepNext/>
        <w:keepLines/>
        <w:numPr>
          <w:ilvl w:val="0"/>
          <w:numId w:val="164"/>
        </w:numPr>
        <w:autoSpaceDE w:val="0"/>
        <w:autoSpaceDN w:val="0"/>
        <w:adjustRightInd w:val="0"/>
        <w:ind w:left="1440" w:hanging="720"/>
        <w:rPr>
          <w:rFonts w:eastAsia="Arial" w:cs="Arial"/>
          <w:szCs w:val="23"/>
          <w:lang w:val="fr-CA"/>
        </w:rPr>
      </w:pPr>
      <w:r w:rsidRPr="00F52884">
        <w:rPr>
          <w:rFonts w:eastAsia="Arial" w:cs="Arial"/>
          <w:szCs w:val="23"/>
          <w:lang w:val="fr-CA"/>
        </w:rPr>
        <w:t>Si, selon le cas :</w:t>
      </w:r>
    </w:p>
    <w:p w14:paraId="1822E1DA" w14:textId="77777777" w:rsidR="00825F03" w:rsidRPr="00F52884" w:rsidRDefault="00825F03" w:rsidP="0050306B">
      <w:pPr>
        <w:pStyle w:val="ListParagraph"/>
        <w:keepNext/>
        <w:keepLines/>
        <w:autoSpaceDE w:val="0"/>
        <w:autoSpaceDN w:val="0"/>
        <w:adjustRightInd w:val="0"/>
        <w:ind w:left="1440"/>
        <w:rPr>
          <w:rFonts w:eastAsia="Arial" w:cs="Arial"/>
          <w:szCs w:val="23"/>
          <w:lang w:val="fr-CA"/>
        </w:rPr>
      </w:pPr>
    </w:p>
    <w:p w14:paraId="0D3F3287" w14:textId="434EAFA3" w:rsidR="00825F03" w:rsidRPr="00F52884" w:rsidRDefault="00825F03" w:rsidP="0019173B">
      <w:pPr>
        <w:pStyle w:val="ListParagraph"/>
        <w:numPr>
          <w:ilvl w:val="0"/>
          <w:numId w:val="166"/>
        </w:numPr>
        <w:autoSpaceDE w:val="0"/>
        <w:autoSpaceDN w:val="0"/>
        <w:adjustRightInd w:val="0"/>
        <w:ind w:left="2160" w:hanging="540"/>
        <w:rPr>
          <w:rFonts w:eastAsia="Arial" w:cs="Arial"/>
          <w:szCs w:val="23"/>
          <w:lang w:val="fr-CA"/>
        </w:rPr>
      </w:pPr>
      <w:proofErr w:type="gramStart"/>
      <w:r w:rsidRPr="00F52884">
        <w:rPr>
          <w:rFonts w:eastAsia="Arial" w:cs="Arial"/>
          <w:szCs w:val="23"/>
          <w:lang w:val="fr-CA"/>
        </w:rPr>
        <w:t>une</w:t>
      </w:r>
      <w:proofErr w:type="gramEnd"/>
      <w:r w:rsidRPr="00F52884">
        <w:rPr>
          <w:rFonts w:eastAsia="Arial" w:cs="Arial"/>
          <w:szCs w:val="23"/>
          <w:lang w:val="fr-CA"/>
        </w:rPr>
        <w:t xml:space="preserve"> Partie plaignante ou une personne plaignante soutient dans la demande d’établissement d’un groupe spécial visée à l’article 1004.4 (Demande d’établissement d’un groupe spécial) ou à l’article 1018.3 (Demande d’établissement d’un groupe spécial),</w:t>
      </w:r>
    </w:p>
    <w:p w14:paraId="4C821FB6" w14:textId="77777777" w:rsidR="00825F03" w:rsidRPr="00F52884" w:rsidRDefault="00825F03" w:rsidP="00825F03">
      <w:pPr>
        <w:pStyle w:val="ListParagraph"/>
        <w:autoSpaceDE w:val="0"/>
        <w:autoSpaceDN w:val="0"/>
        <w:adjustRightInd w:val="0"/>
        <w:ind w:left="2160" w:hanging="720"/>
        <w:rPr>
          <w:rFonts w:eastAsia="Arial" w:cs="Arial"/>
          <w:szCs w:val="23"/>
          <w:lang w:val="fr-CA"/>
        </w:rPr>
      </w:pPr>
    </w:p>
    <w:p w14:paraId="37076B93" w14:textId="282215D0" w:rsidR="00825F03" w:rsidRPr="00F52884" w:rsidRDefault="00825F03" w:rsidP="0019173B">
      <w:pPr>
        <w:pStyle w:val="ListParagraph"/>
        <w:numPr>
          <w:ilvl w:val="0"/>
          <w:numId w:val="166"/>
        </w:numPr>
        <w:autoSpaceDE w:val="0"/>
        <w:autoSpaceDN w:val="0"/>
        <w:adjustRightInd w:val="0"/>
        <w:ind w:left="2160" w:hanging="540"/>
        <w:rPr>
          <w:rFonts w:eastAsia="Arial" w:cs="Arial"/>
          <w:szCs w:val="23"/>
          <w:lang w:val="fr-CA"/>
        </w:rPr>
      </w:pPr>
      <w:proofErr w:type="gramStart"/>
      <w:r w:rsidRPr="00F52884">
        <w:rPr>
          <w:rFonts w:eastAsia="Arial" w:cs="Arial"/>
          <w:szCs w:val="23"/>
          <w:lang w:val="fr-CA"/>
        </w:rPr>
        <w:t>le</w:t>
      </w:r>
      <w:proofErr w:type="gramEnd"/>
      <w:r w:rsidRPr="00F52884">
        <w:rPr>
          <w:rFonts w:eastAsia="Arial" w:cs="Arial"/>
          <w:szCs w:val="23"/>
          <w:lang w:val="fr-CA"/>
        </w:rPr>
        <w:t xml:space="preserve"> destinataire de la plainte soutient, conformément à l’article 1004.12 (Demande d’établissement d’un groupe spécial) ou à l’article 1018.4 (Demande d’établissement d’un groupe spécial), </w:t>
      </w:r>
    </w:p>
    <w:p w14:paraId="32B6B3CE" w14:textId="77777777" w:rsidR="00825F03" w:rsidRPr="00F52884" w:rsidRDefault="00825F03" w:rsidP="0050306B">
      <w:pPr>
        <w:pStyle w:val="ListParagraph"/>
        <w:autoSpaceDE w:val="0"/>
        <w:autoSpaceDN w:val="0"/>
        <w:adjustRightInd w:val="0"/>
        <w:ind w:left="2160"/>
        <w:rPr>
          <w:rFonts w:eastAsia="Arial" w:cs="Arial"/>
          <w:szCs w:val="23"/>
          <w:lang w:val="fr-CA"/>
        </w:rPr>
      </w:pPr>
    </w:p>
    <w:p w14:paraId="261CB1AA" w14:textId="58276597" w:rsidR="00825F03" w:rsidRPr="00F52884" w:rsidRDefault="00825F03" w:rsidP="0050306B">
      <w:pPr>
        <w:pStyle w:val="ListParagraph"/>
        <w:autoSpaceDE w:val="0"/>
        <w:autoSpaceDN w:val="0"/>
        <w:adjustRightInd w:val="0"/>
        <w:ind w:left="1440"/>
        <w:rPr>
          <w:rFonts w:eastAsia="Arial" w:cs="Arial"/>
          <w:szCs w:val="23"/>
          <w:lang w:val="fr-CA"/>
        </w:rPr>
      </w:pPr>
      <w:proofErr w:type="gramStart"/>
      <w:r w:rsidRPr="00F52884">
        <w:rPr>
          <w:rFonts w:eastAsia="Arial" w:cs="Arial"/>
          <w:szCs w:val="23"/>
          <w:lang w:val="fr-CA"/>
        </w:rPr>
        <w:t>qu’un</w:t>
      </w:r>
      <w:proofErr w:type="gramEnd"/>
      <w:r w:rsidRPr="00F52884">
        <w:rPr>
          <w:rFonts w:eastAsia="Arial" w:cs="Arial"/>
          <w:szCs w:val="23"/>
          <w:lang w:val="fr-CA"/>
        </w:rPr>
        <w:t xml:space="preserve"> différend porte sur l’interprétation ou l’application de la section 2, les procédures de sélection de l’organe décisionnel suivantes s’appliquent :</w:t>
      </w:r>
    </w:p>
    <w:p w14:paraId="35D899B4" w14:textId="77777777" w:rsidR="00825F03" w:rsidRPr="00F52884" w:rsidRDefault="00825F03" w:rsidP="0050306B">
      <w:pPr>
        <w:pStyle w:val="ListParagraph"/>
        <w:autoSpaceDE w:val="0"/>
        <w:autoSpaceDN w:val="0"/>
        <w:adjustRightInd w:val="0"/>
        <w:ind w:left="1440"/>
        <w:rPr>
          <w:rFonts w:eastAsia="Arial" w:cs="Arial"/>
          <w:szCs w:val="23"/>
          <w:lang w:val="fr-CA"/>
        </w:rPr>
      </w:pPr>
    </w:p>
    <w:p w14:paraId="518D6B27" w14:textId="0B7544FD" w:rsidR="00825F03" w:rsidRPr="00F52884" w:rsidRDefault="00825F03" w:rsidP="00825F03">
      <w:pPr>
        <w:pStyle w:val="ListParagraph"/>
        <w:numPr>
          <w:ilvl w:val="0"/>
          <w:numId w:val="343"/>
        </w:numPr>
        <w:autoSpaceDE w:val="0"/>
        <w:autoSpaceDN w:val="0"/>
        <w:adjustRightInd w:val="0"/>
        <w:ind w:left="2880" w:hanging="720"/>
        <w:rPr>
          <w:rFonts w:eastAsia="Arial" w:cs="Arial"/>
          <w:szCs w:val="23"/>
          <w:lang w:val="fr-CA"/>
        </w:rPr>
      </w:pPr>
      <w:proofErr w:type="gramStart"/>
      <w:r w:rsidRPr="00F52884">
        <w:rPr>
          <w:rFonts w:eastAsia="Arial" w:cs="Arial"/>
          <w:szCs w:val="23"/>
          <w:lang w:val="fr-CA"/>
        </w:rPr>
        <w:t>l’organe</w:t>
      </w:r>
      <w:proofErr w:type="gramEnd"/>
      <w:r w:rsidRPr="00F52884">
        <w:rPr>
          <w:rFonts w:eastAsia="Arial" w:cs="Arial"/>
          <w:szCs w:val="23"/>
          <w:lang w:val="fr-CA"/>
        </w:rPr>
        <w:t xml:space="preserve"> décisionnel établi pour examiner le différend conformément à l’article 1005 (Établissement d</w:t>
      </w:r>
      <w:r w:rsidR="002A65DC" w:rsidRPr="00F52884">
        <w:rPr>
          <w:rFonts w:eastAsia="Arial" w:cs="Arial"/>
          <w:szCs w:val="23"/>
          <w:lang w:val="fr-CA"/>
        </w:rPr>
        <w:t xml:space="preserve">’un </w:t>
      </w:r>
      <w:r w:rsidRPr="00F52884">
        <w:rPr>
          <w:rFonts w:eastAsia="Arial" w:cs="Arial"/>
          <w:szCs w:val="23"/>
          <w:lang w:val="fr-CA"/>
        </w:rPr>
        <w:t>organe décisionnel) ou à l’article 1019 (Établissement d</w:t>
      </w:r>
      <w:r w:rsidR="002A65DC" w:rsidRPr="00F52884">
        <w:rPr>
          <w:rFonts w:eastAsia="Arial" w:cs="Arial"/>
          <w:szCs w:val="23"/>
          <w:lang w:val="fr-CA"/>
        </w:rPr>
        <w:t xml:space="preserve">’un </w:t>
      </w:r>
      <w:r w:rsidRPr="00F52884">
        <w:rPr>
          <w:rFonts w:eastAsia="Arial" w:cs="Arial"/>
          <w:szCs w:val="23"/>
          <w:lang w:val="fr-CA"/>
        </w:rPr>
        <w:t>organe décisionnel) comprend cinq membres, dont trois membres choisis à partir de la liste établie aux fins des différends relatifs au transport d’électricité, et deux membres choisis à partir de la liste tenue conformément à l’article 1005.2.</w:t>
      </w:r>
    </w:p>
    <w:p w14:paraId="39548C10" w14:textId="77777777" w:rsidR="00825F03" w:rsidRPr="00F52884" w:rsidRDefault="00825F03" w:rsidP="00825F03">
      <w:pPr>
        <w:pStyle w:val="ListParagraph"/>
        <w:autoSpaceDE w:val="0"/>
        <w:autoSpaceDN w:val="0"/>
        <w:adjustRightInd w:val="0"/>
        <w:ind w:left="2880" w:hanging="720"/>
        <w:rPr>
          <w:rFonts w:eastAsia="Arial" w:cs="Arial"/>
          <w:szCs w:val="23"/>
          <w:lang w:val="fr-CA"/>
        </w:rPr>
      </w:pPr>
    </w:p>
    <w:p w14:paraId="7B8E13EE" w14:textId="0075A50C" w:rsidR="00825F03" w:rsidRPr="00F52884" w:rsidRDefault="00825F03" w:rsidP="00825F03">
      <w:pPr>
        <w:pStyle w:val="ListParagraph"/>
        <w:numPr>
          <w:ilvl w:val="0"/>
          <w:numId w:val="343"/>
        </w:numPr>
        <w:autoSpaceDE w:val="0"/>
        <w:autoSpaceDN w:val="0"/>
        <w:adjustRightInd w:val="0"/>
        <w:ind w:left="2880" w:hanging="720"/>
        <w:rPr>
          <w:rFonts w:eastAsia="Arial" w:cs="Arial"/>
          <w:szCs w:val="23"/>
          <w:lang w:val="fr-CA"/>
        </w:rPr>
      </w:pPr>
      <w:r w:rsidRPr="00F52884">
        <w:rPr>
          <w:rFonts w:eastAsia="Arial" w:cs="Arial"/>
          <w:szCs w:val="23"/>
          <w:lang w:val="fr-CA"/>
        </w:rPr>
        <w:t xml:space="preserve">Dans les 30 jours qui suivent la date de transmission, par la Partie plaignante ou la personne plaignante, d’une demande </w:t>
      </w:r>
      <w:proofErr w:type="gramStart"/>
      <w:r w:rsidRPr="00F52884">
        <w:rPr>
          <w:rFonts w:eastAsia="Arial" w:cs="Arial"/>
          <w:szCs w:val="23"/>
          <w:lang w:val="fr-CA"/>
        </w:rPr>
        <w:t>d’établissement  d’un</w:t>
      </w:r>
      <w:proofErr w:type="gramEnd"/>
      <w:r w:rsidRPr="00F52884">
        <w:rPr>
          <w:rFonts w:eastAsia="Arial" w:cs="Arial"/>
          <w:szCs w:val="23"/>
          <w:lang w:val="fr-CA"/>
        </w:rPr>
        <w:t xml:space="preserve"> organe décisionnel, chaque Partie au différend nomme un membre à partir de la liste établie aux fins des différends relatifs au</w:t>
      </w:r>
      <w:r w:rsidRPr="00F52884" w:rsidDel="00A17887">
        <w:rPr>
          <w:rFonts w:eastAsia="Arial" w:cs="Arial"/>
          <w:szCs w:val="23"/>
          <w:lang w:val="fr-CA"/>
        </w:rPr>
        <w:t xml:space="preserve"> </w:t>
      </w:r>
      <w:r w:rsidRPr="00F52884">
        <w:rPr>
          <w:rFonts w:eastAsia="Arial" w:cs="Arial"/>
          <w:szCs w:val="23"/>
          <w:lang w:val="fr-CA"/>
        </w:rPr>
        <w:t xml:space="preserve">transport d’électricité et un membre à partir de la liste tenue conformément à l’article 1005.2 possédant une expérience en droit administratif. </w:t>
      </w:r>
    </w:p>
    <w:p w14:paraId="149F94AA" w14:textId="77777777" w:rsidR="00825F03" w:rsidRPr="00F52884" w:rsidRDefault="00825F03" w:rsidP="00825F03">
      <w:pPr>
        <w:pStyle w:val="ListParagraph"/>
        <w:ind w:left="2880" w:hanging="720"/>
        <w:rPr>
          <w:rFonts w:eastAsia="Arial" w:cs="Arial"/>
          <w:szCs w:val="23"/>
          <w:lang w:val="fr-CA"/>
        </w:rPr>
      </w:pPr>
    </w:p>
    <w:p w14:paraId="4916F355" w14:textId="3EB393E8" w:rsidR="00825F03" w:rsidRPr="00F52884" w:rsidRDefault="00825F03" w:rsidP="00825F03">
      <w:pPr>
        <w:pStyle w:val="ListParagraph"/>
        <w:numPr>
          <w:ilvl w:val="0"/>
          <w:numId w:val="343"/>
        </w:numPr>
        <w:autoSpaceDE w:val="0"/>
        <w:autoSpaceDN w:val="0"/>
        <w:adjustRightInd w:val="0"/>
        <w:ind w:left="2880" w:hanging="720"/>
        <w:rPr>
          <w:rFonts w:eastAsia="Arial" w:cs="Arial"/>
          <w:szCs w:val="23"/>
          <w:lang w:val="fr-CA"/>
        </w:rPr>
      </w:pPr>
      <w:r w:rsidRPr="00F52884">
        <w:rPr>
          <w:rFonts w:eastAsia="Arial" w:cs="Arial"/>
          <w:szCs w:val="23"/>
          <w:lang w:val="fr-CA"/>
        </w:rPr>
        <w:t>Dans les 30 jours qui suivent leur nomination conformément au sous</w:t>
      </w:r>
      <w:r w:rsidRPr="00F52884">
        <w:rPr>
          <w:rFonts w:eastAsia="Arial" w:cs="Arial"/>
          <w:szCs w:val="23"/>
          <w:lang w:val="fr-CA"/>
        </w:rPr>
        <w:noBreakHyphen/>
        <w:t>paragraphe (B), les deux membres nommés à partir de la liste établie aux fins des différends relatifs au</w:t>
      </w:r>
      <w:r w:rsidRPr="00F52884" w:rsidDel="00A17887">
        <w:rPr>
          <w:rFonts w:eastAsia="Arial" w:cs="Arial"/>
          <w:szCs w:val="23"/>
          <w:lang w:val="fr-CA"/>
        </w:rPr>
        <w:t xml:space="preserve"> </w:t>
      </w:r>
      <w:r w:rsidRPr="00F52884">
        <w:rPr>
          <w:rFonts w:eastAsia="Arial" w:cs="Arial"/>
          <w:szCs w:val="23"/>
          <w:lang w:val="fr-CA"/>
        </w:rPr>
        <w:t xml:space="preserve">transport d’électricité choisissent un troisième membre à partir de cette même liste. Si ces deux membres ne s’entendent pas sur le choix d’un troisième membre dans les 30 jours, le Secrétariat sélectionne le troisième membre en question par tirage au sort à </w:t>
      </w:r>
      <w:r w:rsidRPr="00F52884">
        <w:rPr>
          <w:rFonts w:eastAsia="Arial" w:cs="Arial"/>
          <w:szCs w:val="23"/>
          <w:lang w:val="fr-CA"/>
        </w:rPr>
        <w:lastRenderedPageBreak/>
        <w:t>partir de la liste établie aux fins des différends relatifs au</w:t>
      </w:r>
      <w:r w:rsidRPr="00F52884" w:rsidDel="00A17887">
        <w:rPr>
          <w:rFonts w:eastAsia="Arial" w:cs="Arial"/>
          <w:szCs w:val="23"/>
          <w:lang w:val="fr-CA"/>
        </w:rPr>
        <w:t xml:space="preserve"> </w:t>
      </w:r>
      <w:r w:rsidRPr="00F52884">
        <w:rPr>
          <w:rFonts w:eastAsia="Arial" w:cs="Arial"/>
          <w:szCs w:val="23"/>
          <w:lang w:val="fr-CA"/>
        </w:rPr>
        <w:t>transport d’électricité.</w:t>
      </w:r>
    </w:p>
    <w:p w14:paraId="1081D8DA" w14:textId="77777777" w:rsidR="00825F03" w:rsidRPr="00F52884" w:rsidRDefault="00825F03" w:rsidP="00825F03">
      <w:pPr>
        <w:pStyle w:val="ListParagraph"/>
        <w:ind w:left="2880" w:hanging="720"/>
        <w:rPr>
          <w:rFonts w:eastAsia="Arial" w:cs="Arial"/>
          <w:szCs w:val="23"/>
          <w:lang w:val="fr-CA"/>
        </w:rPr>
      </w:pPr>
    </w:p>
    <w:p w14:paraId="6068D5EC" w14:textId="71920853" w:rsidR="00825F03" w:rsidRPr="00F52884" w:rsidRDefault="00825F03" w:rsidP="00825F03">
      <w:pPr>
        <w:pStyle w:val="ListParagraph"/>
        <w:numPr>
          <w:ilvl w:val="0"/>
          <w:numId w:val="343"/>
        </w:numPr>
        <w:autoSpaceDE w:val="0"/>
        <w:autoSpaceDN w:val="0"/>
        <w:adjustRightInd w:val="0"/>
        <w:ind w:left="2880" w:hanging="720"/>
        <w:rPr>
          <w:rFonts w:eastAsia="Arial" w:cs="Arial"/>
          <w:szCs w:val="23"/>
          <w:lang w:val="fr-CA"/>
        </w:rPr>
      </w:pPr>
      <w:r w:rsidRPr="00F52884">
        <w:rPr>
          <w:rFonts w:eastAsia="Arial" w:cs="Arial"/>
          <w:szCs w:val="23"/>
          <w:lang w:val="fr-CA"/>
        </w:rPr>
        <w:t>Dans les 10 jours, les trois membres nommés à partir de la liste d</w:t>
      </w:r>
      <w:r w:rsidR="002A65DC" w:rsidRPr="00F52884">
        <w:rPr>
          <w:rFonts w:eastAsia="Arial" w:cs="Arial"/>
          <w:szCs w:val="23"/>
          <w:lang w:val="fr-CA"/>
        </w:rPr>
        <w:t>’individus</w:t>
      </w:r>
      <w:r w:rsidRPr="00F52884">
        <w:rPr>
          <w:rFonts w:eastAsia="Arial" w:cs="Arial"/>
          <w:szCs w:val="23"/>
          <w:lang w:val="fr-CA"/>
        </w:rPr>
        <w:t xml:space="preserve"> pouvant agir en qualité de membre d’un groupe spécial saisi d’un différend relatif au transport d’électricité choisissent, à la majorité des voix, le président du groupe spécial parmi les deux membres restants nommés à partir de la liste tenue conformément à l’article 1005.2.</w:t>
      </w:r>
    </w:p>
    <w:p w14:paraId="30E39773" w14:textId="77777777" w:rsidR="00825F03" w:rsidRPr="00F52884" w:rsidRDefault="00825F03" w:rsidP="0050306B">
      <w:pPr>
        <w:autoSpaceDE w:val="0"/>
        <w:autoSpaceDN w:val="0"/>
        <w:adjustRightInd w:val="0"/>
        <w:rPr>
          <w:rFonts w:eastAsia="Arial" w:cs="Arial"/>
          <w:szCs w:val="23"/>
          <w:lang w:val="fr-CA"/>
        </w:rPr>
      </w:pPr>
    </w:p>
    <w:p w14:paraId="2635F304" w14:textId="0A273270" w:rsidR="00825F03" w:rsidRPr="00F52884" w:rsidRDefault="00825F03" w:rsidP="00825F03">
      <w:pPr>
        <w:pStyle w:val="ListParagraph"/>
        <w:numPr>
          <w:ilvl w:val="0"/>
          <w:numId w:val="164"/>
        </w:numPr>
        <w:autoSpaceDE w:val="0"/>
        <w:autoSpaceDN w:val="0"/>
        <w:adjustRightInd w:val="0"/>
        <w:ind w:left="1440" w:hanging="720"/>
        <w:rPr>
          <w:rFonts w:eastAsia="Arial" w:cs="Arial"/>
          <w:szCs w:val="23"/>
          <w:lang w:val="fr-CA"/>
        </w:rPr>
      </w:pPr>
      <w:r w:rsidRPr="00F52884">
        <w:rPr>
          <w:rFonts w:eastAsia="Arial" w:cs="Arial"/>
          <w:szCs w:val="23"/>
          <w:lang w:val="fr-CA"/>
        </w:rPr>
        <w:t xml:space="preserve">Avant de décider d’engager ou non une procédure au nom d’une </w:t>
      </w:r>
      <w:r w:rsidR="002A65DC" w:rsidRPr="00F52884">
        <w:rPr>
          <w:rFonts w:eastAsia="Arial" w:cs="Arial"/>
          <w:szCs w:val="23"/>
          <w:lang w:val="fr-CA"/>
        </w:rPr>
        <w:t xml:space="preserve">Personne </w:t>
      </w:r>
      <w:r w:rsidRPr="00F52884">
        <w:rPr>
          <w:rFonts w:eastAsia="Arial" w:cs="Arial"/>
          <w:szCs w:val="23"/>
          <w:lang w:val="fr-CA"/>
        </w:rPr>
        <w:t>conformément à l’article 1015</w:t>
      </w:r>
      <w:r w:rsidRPr="00F52884">
        <w:rPr>
          <w:rFonts w:cs="Arial"/>
          <w:szCs w:val="23"/>
          <w:lang w:val="fr-CA"/>
        </w:rPr>
        <w:t xml:space="preserve"> (</w:t>
      </w:r>
      <w:r w:rsidRPr="00F52884">
        <w:rPr>
          <w:rFonts w:eastAsia="Arial" w:cs="Arial"/>
          <w:szCs w:val="23"/>
          <w:lang w:val="fr-CA"/>
        </w:rPr>
        <w:t xml:space="preserve">Procédures engagées par un gouvernement pour le compte de Personnes), lorsqu’un différend relève de la compétence d’une autorité réglementaire dotée d’un processus administratif établi, une Partie exige de cette </w:t>
      </w:r>
      <w:r w:rsidR="002A65DC" w:rsidRPr="00F52884">
        <w:rPr>
          <w:rFonts w:eastAsia="Arial" w:cs="Arial"/>
          <w:szCs w:val="23"/>
          <w:lang w:val="fr-CA"/>
        </w:rPr>
        <w:t xml:space="preserve">Personne </w:t>
      </w:r>
      <w:r w:rsidRPr="00F52884">
        <w:rPr>
          <w:rFonts w:eastAsia="Arial" w:cs="Arial"/>
          <w:szCs w:val="23"/>
          <w:lang w:val="fr-CA"/>
        </w:rPr>
        <w:t xml:space="preserve">qu’elle épuise tous les recours administratifs à sa disposition, en lui adressant un avis écrit dans les 30 jours qui suivent la date de la transmission de la demande de la </w:t>
      </w:r>
      <w:r w:rsidR="002A65DC" w:rsidRPr="00F52884">
        <w:rPr>
          <w:rFonts w:eastAsia="Arial" w:cs="Arial"/>
          <w:szCs w:val="23"/>
          <w:lang w:val="fr-CA"/>
        </w:rPr>
        <w:t>Personne</w:t>
      </w:r>
      <w:r w:rsidRPr="00F52884">
        <w:rPr>
          <w:rFonts w:eastAsia="Arial" w:cs="Arial"/>
          <w:szCs w:val="23"/>
          <w:lang w:val="fr-CA"/>
        </w:rPr>
        <w:t xml:space="preserve">. Si, après avoir épuisé tous les recours administratifs à sa disposition, la </w:t>
      </w:r>
      <w:r w:rsidR="002A65DC" w:rsidRPr="00F52884">
        <w:rPr>
          <w:rFonts w:eastAsia="Arial" w:cs="Arial"/>
          <w:szCs w:val="23"/>
          <w:lang w:val="fr-CA"/>
        </w:rPr>
        <w:t xml:space="preserve">Personne </w:t>
      </w:r>
      <w:r w:rsidRPr="00F52884">
        <w:rPr>
          <w:rFonts w:eastAsia="Arial" w:cs="Arial"/>
          <w:szCs w:val="23"/>
          <w:lang w:val="fr-CA"/>
        </w:rPr>
        <w:t xml:space="preserve">souhaite toujours que la Partie engage une procédure en vertu de la </w:t>
      </w:r>
      <w:r w:rsidR="002A65DC" w:rsidRPr="00F52884">
        <w:rPr>
          <w:rFonts w:eastAsia="Arial" w:cs="Arial"/>
          <w:szCs w:val="23"/>
          <w:lang w:val="fr-CA"/>
        </w:rPr>
        <w:t xml:space="preserve">partie </w:t>
      </w:r>
      <w:r w:rsidRPr="00F52884">
        <w:rPr>
          <w:rFonts w:eastAsia="Arial" w:cs="Arial"/>
          <w:szCs w:val="23"/>
          <w:lang w:val="fr-CA"/>
        </w:rPr>
        <w:t xml:space="preserve">A du chapitre Dix (Règlement des différends) pour le compte de la </w:t>
      </w:r>
      <w:r w:rsidR="002A65DC" w:rsidRPr="00F52884">
        <w:rPr>
          <w:rFonts w:eastAsia="Arial" w:cs="Arial"/>
          <w:szCs w:val="23"/>
          <w:lang w:val="fr-CA"/>
        </w:rPr>
        <w:t>Personne</w:t>
      </w:r>
      <w:r w:rsidRPr="00F52884">
        <w:rPr>
          <w:rFonts w:eastAsia="Arial" w:cs="Arial"/>
          <w:szCs w:val="23"/>
          <w:lang w:val="fr-CA"/>
        </w:rPr>
        <w:t>, elle peut réitérer sa demande en adressant un autre avis écrit à la Partie.</w:t>
      </w:r>
    </w:p>
    <w:p w14:paraId="7EB8AAEE" w14:textId="77777777" w:rsidR="00825F03" w:rsidRPr="00F52884" w:rsidRDefault="00825F03" w:rsidP="0050306B">
      <w:pPr>
        <w:pStyle w:val="ListParagraph"/>
        <w:autoSpaceDE w:val="0"/>
        <w:autoSpaceDN w:val="0"/>
        <w:adjustRightInd w:val="0"/>
        <w:ind w:left="1440"/>
        <w:rPr>
          <w:rFonts w:eastAsia="Arial" w:cs="Arial"/>
          <w:szCs w:val="23"/>
          <w:lang w:val="fr-CA"/>
        </w:rPr>
      </w:pPr>
    </w:p>
    <w:p w14:paraId="0D825B6F" w14:textId="0B23B378" w:rsidR="00825F03" w:rsidRPr="00F52884" w:rsidRDefault="00825F03" w:rsidP="00E01368">
      <w:pPr>
        <w:pStyle w:val="ListParagraph"/>
        <w:numPr>
          <w:ilvl w:val="0"/>
          <w:numId w:val="345"/>
        </w:numPr>
        <w:ind w:hanging="720"/>
        <w:rPr>
          <w:rFonts w:eastAsia="Arial" w:cs="Arial"/>
          <w:b/>
          <w:szCs w:val="23"/>
          <w:lang w:val="fr-CA"/>
        </w:rPr>
      </w:pPr>
      <w:r w:rsidRPr="00F52884">
        <w:rPr>
          <w:rFonts w:eastAsia="Arial" w:cs="Arial"/>
          <w:b/>
          <w:szCs w:val="23"/>
          <w:lang w:val="fr-CA"/>
        </w:rPr>
        <w:t>Fournisseurs de services de transport d’électricité et commerce des services de transport d’électricité — Définitions particulières</w:t>
      </w:r>
    </w:p>
    <w:p w14:paraId="5CFA6540" w14:textId="77777777" w:rsidR="00825F03" w:rsidRPr="00F52884" w:rsidRDefault="00825F03" w:rsidP="0050306B">
      <w:pPr>
        <w:rPr>
          <w:rFonts w:eastAsia="Arial" w:cs="Arial"/>
          <w:b/>
          <w:szCs w:val="23"/>
          <w:lang w:val="fr-CA"/>
        </w:rPr>
      </w:pPr>
    </w:p>
    <w:p w14:paraId="0D0B1D5F" w14:textId="73A8B910" w:rsidR="00825F03" w:rsidRPr="00F52884" w:rsidRDefault="00825F03" w:rsidP="0050306B">
      <w:pPr>
        <w:rPr>
          <w:rFonts w:eastAsia="Arial" w:cs="Arial"/>
          <w:szCs w:val="23"/>
          <w:lang w:val="fr-CA"/>
        </w:rPr>
      </w:pPr>
      <w:r w:rsidRPr="00F52884">
        <w:rPr>
          <w:rFonts w:eastAsia="Arial" w:cs="Arial"/>
          <w:szCs w:val="23"/>
          <w:lang w:val="fr-CA"/>
        </w:rPr>
        <w:t>Les définitions qui suivent s’appliquent à l’article 309 et à la présente annexe :</w:t>
      </w:r>
    </w:p>
    <w:p w14:paraId="7E72862C" w14:textId="77777777" w:rsidR="00825F03" w:rsidRPr="00F52884" w:rsidRDefault="00825F03" w:rsidP="0050306B">
      <w:pPr>
        <w:rPr>
          <w:rFonts w:eastAsia="Arial" w:cs="Arial"/>
          <w:szCs w:val="23"/>
          <w:lang w:val="fr-CA"/>
        </w:rPr>
      </w:pPr>
    </w:p>
    <w:p w14:paraId="0A923CD3" w14:textId="43B6BDD6" w:rsidR="00825F03" w:rsidRPr="00F52884" w:rsidRDefault="00825F03" w:rsidP="0050306B">
      <w:pPr>
        <w:rPr>
          <w:rFonts w:eastAsia="Arial" w:cs="Arial"/>
          <w:szCs w:val="23"/>
          <w:lang w:val="fr-CA"/>
        </w:rPr>
      </w:pPr>
      <w:proofErr w:type="gramStart"/>
      <w:r w:rsidRPr="00F52884">
        <w:rPr>
          <w:rFonts w:eastAsia="Arial" w:cs="Arial"/>
          <w:b/>
          <w:szCs w:val="23"/>
          <w:lang w:val="fr-CA"/>
        </w:rPr>
        <w:t>capacité</w:t>
      </w:r>
      <w:proofErr w:type="gramEnd"/>
      <w:r w:rsidRPr="00F52884">
        <w:rPr>
          <w:rFonts w:eastAsia="Arial" w:cs="Arial"/>
          <w:b/>
          <w:szCs w:val="23"/>
          <w:lang w:val="fr-CA"/>
        </w:rPr>
        <w:t xml:space="preserve"> de transfert disponible</w:t>
      </w:r>
      <w:r w:rsidRPr="00F52884">
        <w:rPr>
          <w:rFonts w:eastAsia="Arial" w:cs="Arial"/>
          <w:szCs w:val="23"/>
          <w:lang w:val="fr-CA"/>
        </w:rPr>
        <w:t xml:space="preserve"> La capacité de transfert résiduelle du réseau physique de transport permettant d’assurer une activité commerciale en sus des utilisations déjà convenues;</w:t>
      </w:r>
    </w:p>
    <w:p w14:paraId="2734216D" w14:textId="77777777" w:rsidR="00825F03" w:rsidRPr="00F52884" w:rsidRDefault="00825F03" w:rsidP="0050306B">
      <w:pPr>
        <w:rPr>
          <w:rFonts w:eastAsia="Arial" w:cs="Arial"/>
          <w:szCs w:val="23"/>
          <w:lang w:val="fr-CA"/>
        </w:rPr>
      </w:pPr>
    </w:p>
    <w:p w14:paraId="15F323F9" w14:textId="37557FEB" w:rsidR="00825F03" w:rsidRPr="00F52884" w:rsidRDefault="00825F03" w:rsidP="0050306B">
      <w:pPr>
        <w:rPr>
          <w:rFonts w:eastAsia="Arial" w:cs="Arial"/>
          <w:szCs w:val="23"/>
          <w:lang w:val="fr-CA"/>
        </w:rPr>
      </w:pPr>
      <w:proofErr w:type="gramStart"/>
      <w:r w:rsidRPr="00F52884">
        <w:rPr>
          <w:rFonts w:eastAsia="Arial" w:cs="Arial"/>
          <w:b/>
          <w:szCs w:val="23"/>
          <w:lang w:val="fr-CA"/>
        </w:rPr>
        <w:t>client</w:t>
      </w:r>
      <w:proofErr w:type="gramEnd"/>
      <w:r w:rsidRPr="00F52884">
        <w:rPr>
          <w:rFonts w:eastAsia="Arial" w:cs="Arial"/>
          <w:b/>
          <w:szCs w:val="23"/>
          <w:lang w:val="fr-CA"/>
        </w:rPr>
        <w:t xml:space="preserve"> d’un service de transport</w:t>
      </w:r>
      <w:r w:rsidRPr="00F52884">
        <w:rPr>
          <w:rFonts w:eastAsia="Arial" w:cs="Arial"/>
          <w:szCs w:val="23"/>
          <w:lang w:val="fr-CA"/>
        </w:rPr>
        <w:t xml:space="preserve"> Toute personne qui répond à des critères commerciaux raisonnables et qui souhaite obtenir un service de transport auprès d’un fournisseur de services de transport. Sont notamment visés par la présente définition les clients d’un service de transport détenus ou contrôlés par un fournisseur de services de transport, ou liés à celui-ci, ainsi que le fournisseur de services de transport lui-même lorsqu’il s’agit d’une entité unique entièrement intégrée qui produit de l’électricité et fournit des services de transport;</w:t>
      </w:r>
    </w:p>
    <w:p w14:paraId="2BB7C4FA" w14:textId="77777777" w:rsidR="00825F03" w:rsidRPr="00F52884" w:rsidRDefault="00825F03" w:rsidP="0050306B">
      <w:pPr>
        <w:rPr>
          <w:rFonts w:eastAsia="Arial" w:cs="Arial"/>
          <w:szCs w:val="23"/>
          <w:lang w:val="fr-CA"/>
        </w:rPr>
      </w:pPr>
    </w:p>
    <w:p w14:paraId="440C632B" w14:textId="661936E8" w:rsidR="00825F03" w:rsidRPr="00F52884" w:rsidRDefault="00825F03" w:rsidP="0050306B">
      <w:pPr>
        <w:rPr>
          <w:rFonts w:eastAsia="Arial" w:cs="Arial"/>
          <w:szCs w:val="23"/>
          <w:lang w:val="fr-CA"/>
        </w:rPr>
      </w:pPr>
      <w:proofErr w:type="gramStart"/>
      <w:r w:rsidRPr="00F52884">
        <w:rPr>
          <w:rFonts w:eastAsia="Arial" w:cs="Arial"/>
          <w:b/>
          <w:szCs w:val="23"/>
          <w:lang w:val="fr-CA"/>
        </w:rPr>
        <w:t>destinataire</w:t>
      </w:r>
      <w:proofErr w:type="gramEnd"/>
      <w:r w:rsidRPr="00F52884">
        <w:rPr>
          <w:rFonts w:eastAsia="Arial" w:cs="Arial"/>
          <w:b/>
          <w:szCs w:val="23"/>
          <w:lang w:val="fr-CA"/>
        </w:rPr>
        <w:t xml:space="preserve"> de la plainte</w:t>
      </w:r>
      <w:r w:rsidRPr="00F52884">
        <w:rPr>
          <w:rFonts w:eastAsia="Arial" w:cs="Arial"/>
          <w:szCs w:val="23"/>
          <w:lang w:val="fr-CA"/>
        </w:rPr>
        <w:t xml:space="preserve"> Désigne un « destinataire de la plainte » au sens de l’article 1041 (Définitions);</w:t>
      </w:r>
    </w:p>
    <w:p w14:paraId="2A4532E0" w14:textId="77777777" w:rsidR="00825F03" w:rsidRPr="00F52884" w:rsidRDefault="00825F03" w:rsidP="0050306B">
      <w:pPr>
        <w:rPr>
          <w:rFonts w:eastAsia="Arial" w:cs="Arial"/>
          <w:szCs w:val="23"/>
          <w:lang w:val="fr-CA"/>
        </w:rPr>
      </w:pPr>
    </w:p>
    <w:p w14:paraId="3BBD9570" w14:textId="0CB2B808" w:rsidR="00825F03" w:rsidRPr="00F52884" w:rsidRDefault="00825F03" w:rsidP="0050306B">
      <w:pPr>
        <w:jc w:val="both"/>
        <w:rPr>
          <w:rFonts w:cs="Arial"/>
          <w:szCs w:val="23"/>
          <w:lang w:val="fr-CA"/>
        </w:rPr>
      </w:pPr>
      <w:proofErr w:type="gramStart"/>
      <w:r w:rsidRPr="00F52884">
        <w:rPr>
          <w:rFonts w:cs="Arial"/>
          <w:b/>
          <w:szCs w:val="23"/>
          <w:lang w:val="fr-CA"/>
        </w:rPr>
        <w:t>employé</w:t>
      </w:r>
      <w:proofErr w:type="gramEnd"/>
      <w:r w:rsidRPr="00F52884">
        <w:rPr>
          <w:rFonts w:cs="Arial"/>
          <w:b/>
          <w:szCs w:val="23"/>
          <w:lang w:val="fr-CA"/>
        </w:rPr>
        <w:t xml:space="preserve"> du service du marketing</w:t>
      </w:r>
      <w:r w:rsidRPr="00F52884">
        <w:rPr>
          <w:rFonts w:cs="Arial"/>
          <w:szCs w:val="23"/>
          <w:lang w:val="fr-CA"/>
        </w:rPr>
        <w:t xml:space="preserve"> Tout employé, entrepreneur, consultant ou mandataire d’un fournisseur de services de transport ou d’une société affiliée d’un fournisseur de services de transport qui participe activement et personnellement aux activités du service du marketing sur une base quotidienne;</w:t>
      </w:r>
    </w:p>
    <w:p w14:paraId="731AD043" w14:textId="77777777" w:rsidR="00825F03" w:rsidRPr="00F52884" w:rsidRDefault="00825F03" w:rsidP="0050306B">
      <w:pPr>
        <w:jc w:val="both"/>
        <w:rPr>
          <w:rFonts w:eastAsia="Times New Roman" w:cs="Arial"/>
          <w:szCs w:val="23"/>
          <w:lang w:val="fr-CA"/>
        </w:rPr>
      </w:pPr>
    </w:p>
    <w:p w14:paraId="66B48DBA" w14:textId="3F4AD1F0" w:rsidR="00825F03" w:rsidRPr="00F52884" w:rsidRDefault="00825F03" w:rsidP="0050306B">
      <w:pPr>
        <w:rPr>
          <w:rFonts w:eastAsia="Arial" w:cs="Arial"/>
          <w:szCs w:val="23"/>
          <w:lang w:val="fr-CA"/>
        </w:rPr>
      </w:pPr>
      <w:proofErr w:type="gramStart"/>
      <w:r w:rsidRPr="00F52884">
        <w:rPr>
          <w:rFonts w:eastAsia="Arial" w:cs="Arial"/>
          <w:b/>
          <w:szCs w:val="23"/>
          <w:lang w:val="fr-CA"/>
        </w:rPr>
        <w:lastRenderedPageBreak/>
        <w:t>fournisseur</w:t>
      </w:r>
      <w:proofErr w:type="gramEnd"/>
      <w:r w:rsidRPr="00F52884">
        <w:rPr>
          <w:rFonts w:eastAsia="Arial" w:cs="Arial"/>
          <w:b/>
          <w:szCs w:val="23"/>
          <w:lang w:val="fr-CA"/>
        </w:rPr>
        <w:t xml:space="preserve"> de services de transport</w:t>
      </w:r>
      <w:r w:rsidRPr="00F52884">
        <w:rPr>
          <w:rFonts w:eastAsia="Arial" w:cs="Arial"/>
          <w:szCs w:val="23"/>
          <w:lang w:val="fr-CA"/>
        </w:rPr>
        <w:t xml:space="preserve"> Toute personne qui détient, contrôle ou exploite des installations utilisées, ou pouvant être utilisées, pour fournir un service de transport, ou l’exploitant d’un réseau de transport, selon le cas;</w:t>
      </w:r>
    </w:p>
    <w:p w14:paraId="37AE0E49" w14:textId="77777777" w:rsidR="00825F03" w:rsidRPr="00F52884" w:rsidRDefault="00825F03" w:rsidP="0050306B">
      <w:pPr>
        <w:rPr>
          <w:rFonts w:eastAsia="Arial" w:cs="Arial"/>
          <w:szCs w:val="23"/>
          <w:lang w:val="fr-CA"/>
        </w:rPr>
      </w:pPr>
    </w:p>
    <w:p w14:paraId="2B66C7B5" w14:textId="05CD5687" w:rsidR="00825F03" w:rsidRPr="00F52884" w:rsidRDefault="00825F03" w:rsidP="0050306B">
      <w:pPr>
        <w:rPr>
          <w:rFonts w:eastAsia="Arial" w:cs="Arial"/>
          <w:szCs w:val="23"/>
          <w:lang w:val="fr-CA"/>
        </w:rPr>
      </w:pPr>
      <w:proofErr w:type="gramStart"/>
      <w:r w:rsidRPr="00F52884">
        <w:rPr>
          <w:rFonts w:eastAsia="Arial" w:cs="Arial"/>
          <w:b/>
          <w:szCs w:val="23"/>
          <w:lang w:val="fr-CA"/>
        </w:rPr>
        <w:t>installations</w:t>
      </w:r>
      <w:proofErr w:type="gramEnd"/>
      <w:r w:rsidRPr="00F52884">
        <w:rPr>
          <w:rFonts w:eastAsia="Arial" w:cs="Arial"/>
          <w:b/>
          <w:szCs w:val="23"/>
          <w:lang w:val="fr-CA"/>
        </w:rPr>
        <w:t xml:space="preserve"> de transport commerciales</w:t>
      </w:r>
      <w:r w:rsidRPr="00F52884">
        <w:rPr>
          <w:rFonts w:eastAsia="Arial" w:cs="Arial"/>
          <w:szCs w:val="23"/>
          <w:lang w:val="fr-CA"/>
        </w:rPr>
        <w:t xml:space="preserve"> Les installations dont les coûts de construction sont récupérés sur la base des tarifs négociés et non des tarifs fondés sur les coûts;</w:t>
      </w:r>
    </w:p>
    <w:p w14:paraId="210845A5" w14:textId="77777777" w:rsidR="00825F03" w:rsidRPr="00F52884" w:rsidRDefault="00825F03" w:rsidP="0050306B">
      <w:pPr>
        <w:rPr>
          <w:rFonts w:eastAsia="Arial" w:cs="Arial"/>
          <w:szCs w:val="23"/>
          <w:lang w:val="fr-CA"/>
        </w:rPr>
      </w:pPr>
    </w:p>
    <w:p w14:paraId="55648B14" w14:textId="317D3908" w:rsidR="00825F03" w:rsidRPr="00F52884" w:rsidRDefault="00825F03" w:rsidP="0050306B">
      <w:pPr>
        <w:rPr>
          <w:rFonts w:eastAsia="Arial" w:cs="Arial"/>
          <w:szCs w:val="23"/>
          <w:lang w:val="fr-CA"/>
        </w:rPr>
      </w:pPr>
      <w:r w:rsidRPr="00F52884">
        <w:rPr>
          <w:rFonts w:eastAsia="Arial" w:cs="Arial"/>
          <w:b/>
          <w:szCs w:val="23"/>
          <w:lang w:val="fr-CA"/>
        </w:rPr>
        <w:t>Partie plaignante</w:t>
      </w:r>
      <w:r w:rsidRPr="00F52884">
        <w:rPr>
          <w:rFonts w:eastAsia="Arial" w:cs="Arial"/>
          <w:szCs w:val="23"/>
          <w:lang w:val="fr-CA"/>
        </w:rPr>
        <w:t> Désigne une « Partie plaignante » au sens de l’article 1041 (Définitions);</w:t>
      </w:r>
    </w:p>
    <w:p w14:paraId="0D386AB1" w14:textId="77777777" w:rsidR="00825F03" w:rsidRPr="00F52884" w:rsidRDefault="00825F03" w:rsidP="0050306B">
      <w:pPr>
        <w:tabs>
          <w:tab w:val="left" w:pos="1545"/>
        </w:tabs>
        <w:rPr>
          <w:rFonts w:eastAsia="Arial" w:cs="Arial"/>
          <w:szCs w:val="23"/>
          <w:lang w:val="fr-CA"/>
        </w:rPr>
      </w:pPr>
      <w:r w:rsidRPr="00F52884">
        <w:rPr>
          <w:rFonts w:eastAsia="Arial" w:cs="Arial"/>
          <w:szCs w:val="23"/>
          <w:lang w:val="fr-CA"/>
        </w:rPr>
        <w:tab/>
      </w:r>
    </w:p>
    <w:p w14:paraId="2AF1E26F" w14:textId="1925E329" w:rsidR="000D0D55" w:rsidRPr="00F52884" w:rsidRDefault="000D0D55" w:rsidP="0050306B">
      <w:pPr>
        <w:rPr>
          <w:rFonts w:eastAsia="Arial" w:cs="Arial"/>
          <w:szCs w:val="23"/>
          <w:lang w:val="fr-CA"/>
        </w:rPr>
      </w:pPr>
      <w:proofErr w:type="gramStart"/>
      <w:r w:rsidRPr="00F52884">
        <w:rPr>
          <w:rFonts w:eastAsia="Arial" w:cs="Arial"/>
          <w:b/>
          <w:szCs w:val="23"/>
          <w:lang w:val="fr-CA"/>
        </w:rPr>
        <w:t>Personne</w:t>
      </w:r>
      <w:r w:rsidRPr="00F52884">
        <w:rPr>
          <w:rFonts w:eastAsia="Arial" w:cs="Arial"/>
          <w:szCs w:val="23"/>
          <w:lang w:val="fr-CA"/>
        </w:rPr>
        <w:t xml:space="preserve"> Désigne</w:t>
      </w:r>
      <w:proofErr w:type="gramEnd"/>
      <w:r w:rsidRPr="00F52884">
        <w:rPr>
          <w:rFonts w:eastAsia="Arial" w:cs="Arial"/>
          <w:szCs w:val="23"/>
          <w:lang w:val="fr-CA"/>
        </w:rPr>
        <w:t xml:space="preserve"> une « Personne » au sens de l’article 1041 (Définitions);</w:t>
      </w:r>
    </w:p>
    <w:p w14:paraId="5D8849C0" w14:textId="77777777" w:rsidR="000D0D55" w:rsidRPr="00F52884" w:rsidRDefault="000D0D55" w:rsidP="0050306B">
      <w:pPr>
        <w:rPr>
          <w:rFonts w:eastAsia="Arial" w:cs="Arial"/>
          <w:szCs w:val="23"/>
          <w:lang w:val="fr-CA"/>
        </w:rPr>
      </w:pPr>
    </w:p>
    <w:p w14:paraId="4861B568" w14:textId="2C01C664" w:rsidR="00825F03" w:rsidRPr="00F52884" w:rsidRDefault="00825F03" w:rsidP="0050306B">
      <w:pPr>
        <w:rPr>
          <w:rFonts w:eastAsia="Arial" w:cs="Arial"/>
          <w:szCs w:val="23"/>
          <w:lang w:val="fr-CA"/>
        </w:rPr>
      </w:pPr>
      <w:proofErr w:type="gramStart"/>
      <w:r w:rsidRPr="00F52884">
        <w:rPr>
          <w:rFonts w:eastAsia="Arial" w:cs="Arial"/>
          <w:b/>
          <w:szCs w:val="23"/>
          <w:lang w:val="fr-CA"/>
        </w:rPr>
        <w:t>personne</w:t>
      </w:r>
      <w:proofErr w:type="gramEnd"/>
      <w:r w:rsidRPr="00F52884">
        <w:rPr>
          <w:rFonts w:eastAsia="Arial" w:cs="Arial"/>
          <w:b/>
          <w:szCs w:val="23"/>
          <w:lang w:val="fr-CA"/>
        </w:rPr>
        <w:t xml:space="preserve"> plaignante</w:t>
      </w:r>
      <w:r w:rsidRPr="00F52884">
        <w:rPr>
          <w:rFonts w:eastAsia="Arial" w:cs="Arial"/>
          <w:szCs w:val="23"/>
          <w:lang w:val="fr-CA"/>
        </w:rPr>
        <w:t xml:space="preserve"> Désigne une « personne plaignante » au sens de l’article 1041 (Définitions);</w:t>
      </w:r>
    </w:p>
    <w:p w14:paraId="67793DF5" w14:textId="77777777" w:rsidR="00825F03" w:rsidRPr="00F52884" w:rsidRDefault="00825F03" w:rsidP="0050306B">
      <w:pPr>
        <w:rPr>
          <w:rFonts w:eastAsia="Arial" w:cs="Arial"/>
          <w:szCs w:val="23"/>
          <w:lang w:val="fr-CA"/>
        </w:rPr>
      </w:pPr>
    </w:p>
    <w:p w14:paraId="314ABE6A" w14:textId="47B2DDB5" w:rsidR="00825F03" w:rsidRPr="00F52884" w:rsidRDefault="00825F03" w:rsidP="0050306B">
      <w:pPr>
        <w:rPr>
          <w:rFonts w:cs="Arial"/>
          <w:szCs w:val="23"/>
          <w:lang w:val="fr-CA"/>
        </w:rPr>
      </w:pPr>
      <w:proofErr w:type="gramStart"/>
      <w:r w:rsidRPr="00F52884">
        <w:rPr>
          <w:rFonts w:eastAsia="Arial" w:cs="Arial"/>
          <w:b/>
          <w:szCs w:val="23"/>
          <w:lang w:val="fr-CA"/>
        </w:rPr>
        <w:t>service</w:t>
      </w:r>
      <w:proofErr w:type="gramEnd"/>
      <w:r w:rsidRPr="00F52884">
        <w:rPr>
          <w:rFonts w:eastAsia="Arial" w:cs="Arial"/>
          <w:b/>
          <w:szCs w:val="23"/>
          <w:lang w:val="fr-CA"/>
        </w:rPr>
        <w:t xml:space="preserve"> de transport</w:t>
      </w:r>
      <w:r w:rsidRPr="00F52884">
        <w:rPr>
          <w:rFonts w:eastAsia="Arial" w:cs="Arial"/>
          <w:szCs w:val="23"/>
          <w:lang w:val="fr-CA"/>
        </w:rPr>
        <w:t xml:space="preserve"> Le transfert vers, via ou à partir d’une Province, ou de toute partie d’une Province, sur un réseau de production-transport d’électricité, de l’électricité destinée à la vente entre les limites provinciales ou territoriales ou à la vente internationale. Il est entendu qu’un « service de transport » ne comprend pas le transport d’électricité assuré exclusivement à l’intérieur d’une Province;</w:t>
      </w:r>
      <w:r w:rsidRPr="00F52884">
        <w:rPr>
          <w:rFonts w:cs="Arial"/>
          <w:szCs w:val="23"/>
          <w:lang w:val="fr-CA"/>
        </w:rPr>
        <w:t xml:space="preserve"> </w:t>
      </w:r>
    </w:p>
    <w:p w14:paraId="1B77BD41" w14:textId="77777777" w:rsidR="00825F03" w:rsidRPr="00F52884" w:rsidRDefault="00825F03" w:rsidP="0050306B">
      <w:pPr>
        <w:jc w:val="both"/>
        <w:rPr>
          <w:rFonts w:cs="Arial"/>
          <w:b/>
          <w:bCs/>
          <w:szCs w:val="23"/>
          <w:lang w:val="fr-CA"/>
        </w:rPr>
      </w:pPr>
    </w:p>
    <w:p w14:paraId="5BA42ACC" w14:textId="6A915E44" w:rsidR="00825F03" w:rsidRPr="00F52884" w:rsidRDefault="00825F03" w:rsidP="0050306B">
      <w:pPr>
        <w:jc w:val="both"/>
        <w:rPr>
          <w:rFonts w:cs="Arial"/>
          <w:szCs w:val="23"/>
          <w:lang w:val="fr-CA"/>
        </w:rPr>
      </w:pPr>
      <w:proofErr w:type="gramStart"/>
      <w:r w:rsidRPr="00F52884">
        <w:rPr>
          <w:rFonts w:cs="Arial"/>
          <w:b/>
          <w:bCs/>
          <w:szCs w:val="23"/>
          <w:lang w:val="fr-CA"/>
        </w:rPr>
        <w:t>service</w:t>
      </w:r>
      <w:proofErr w:type="gramEnd"/>
      <w:r w:rsidRPr="00F52884">
        <w:rPr>
          <w:rFonts w:cs="Arial"/>
          <w:b/>
          <w:bCs/>
          <w:szCs w:val="23"/>
          <w:lang w:val="fr-CA"/>
        </w:rPr>
        <w:t xml:space="preserve"> du marketing </w:t>
      </w:r>
      <w:r w:rsidRPr="00F52884">
        <w:rPr>
          <w:rFonts w:cs="Arial"/>
          <w:bCs/>
          <w:szCs w:val="23"/>
          <w:lang w:val="fr-CA"/>
        </w:rPr>
        <w:t>L</w:t>
      </w:r>
      <w:r w:rsidRPr="00F52884">
        <w:rPr>
          <w:rFonts w:cs="Arial"/>
          <w:szCs w:val="23"/>
          <w:lang w:val="fr-CA"/>
        </w:rPr>
        <w:t>’achat en vue de la revente, ou la vente en vue de la revente de l’électricité, de la capacité et des droits de transport, y compris des produits physiques et services et des produits et droits financiers connexes;</w:t>
      </w:r>
    </w:p>
    <w:p w14:paraId="440AB930" w14:textId="77777777" w:rsidR="00825F03" w:rsidRPr="00F52884" w:rsidRDefault="00825F03" w:rsidP="0050306B">
      <w:pPr>
        <w:rPr>
          <w:rFonts w:eastAsia="Times New Roman" w:cs="Arial"/>
          <w:szCs w:val="23"/>
          <w:lang w:val="fr-CA"/>
        </w:rPr>
      </w:pPr>
    </w:p>
    <w:p w14:paraId="6A6F418C" w14:textId="32D79BF2" w:rsidR="00825F03" w:rsidRPr="00F52884" w:rsidRDefault="00825F03" w:rsidP="0050306B">
      <w:pPr>
        <w:rPr>
          <w:rFonts w:eastAsia="Arial" w:cs="Arial"/>
          <w:szCs w:val="23"/>
          <w:lang w:val="fr-CA"/>
        </w:rPr>
      </w:pPr>
      <w:proofErr w:type="gramStart"/>
      <w:r w:rsidRPr="00F52884">
        <w:rPr>
          <w:rFonts w:eastAsia="Arial" w:cs="Arial"/>
          <w:b/>
          <w:szCs w:val="23"/>
          <w:lang w:val="fr-CA"/>
        </w:rPr>
        <w:t>réseau</w:t>
      </w:r>
      <w:proofErr w:type="gramEnd"/>
      <w:r w:rsidRPr="00F52884">
        <w:rPr>
          <w:rFonts w:eastAsia="Arial" w:cs="Arial"/>
          <w:b/>
          <w:szCs w:val="23"/>
          <w:lang w:val="fr-CA"/>
        </w:rPr>
        <w:t xml:space="preserve"> de production-transport d’électricité </w:t>
      </w:r>
      <w:r w:rsidRPr="00F52884">
        <w:rPr>
          <w:rFonts w:eastAsia="Arial" w:cs="Arial"/>
          <w:szCs w:val="23"/>
          <w:lang w:val="fr-CA"/>
        </w:rPr>
        <w:t xml:space="preserve"> Tout réseau de transport d’électricité, en courant alternatif ou en courant continu, exploité à des tensions de 100 kV et plus, et les ressources de puissance réelle et réactive raccordées à des tensions de 100 kV et plus, à l’exception des installations utilisées uniquement pour la distribution locale d’électricité.</w:t>
      </w:r>
    </w:p>
    <w:p w14:paraId="49329344" w14:textId="77777777" w:rsidR="00825F03" w:rsidRPr="00F52884" w:rsidRDefault="00825F03" w:rsidP="0050306B">
      <w:pPr>
        <w:rPr>
          <w:rFonts w:eastAsiaTheme="majorEastAsia" w:cs="Arial"/>
          <w:b/>
          <w:bCs/>
          <w:szCs w:val="23"/>
          <w:lang w:val="fr-CA"/>
        </w:rPr>
      </w:pPr>
    </w:p>
    <w:p w14:paraId="344877C3" w14:textId="77777777" w:rsidR="00825F03" w:rsidRPr="00F52884" w:rsidRDefault="00825F03" w:rsidP="0050306B">
      <w:pPr>
        <w:rPr>
          <w:rFonts w:cs="Arial"/>
          <w:szCs w:val="23"/>
          <w:lang w:val="fr-CA"/>
        </w:rPr>
      </w:pPr>
    </w:p>
    <w:p w14:paraId="5B27486F" w14:textId="77777777" w:rsidR="00825F03" w:rsidRPr="00F52884" w:rsidRDefault="00825F03" w:rsidP="0050306B">
      <w:pPr>
        <w:rPr>
          <w:rFonts w:cs="Arial"/>
          <w:szCs w:val="23"/>
          <w:lang w:val="fr-CA"/>
        </w:rPr>
      </w:pPr>
    </w:p>
    <w:p w14:paraId="0D12A6F0" w14:textId="77777777" w:rsidR="00825F03" w:rsidRPr="00F52884" w:rsidRDefault="00825F03" w:rsidP="0050306B">
      <w:pPr>
        <w:spacing w:after="200" w:line="276" w:lineRule="auto"/>
        <w:rPr>
          <w:rFonts w:eastAsia="Arial" w:cstheme="minorHAnsi"/>
          <w:b/>
          <w:bCs/>
          <w:szCs w:val="23"/>
          <w:lang w:val="fr-CA"/>
        </w:rPr>
      </w:pPr>
    </w:p>
    <w:p w14:paraId="4A373708" w14:textId="7C254F00" w:rsidR="00AA05B4" w:rsidRPr="00F52884" w:rsidRDefault="00AA05B4" w:rsidP="000C25A3">
      <w:pPr>
        <w:rPr>
          <w:rFonts w:eastAsia="Times New Roman" w:cstheme="minorHAnsi"/>
          <w:szCs w:val="23"/>
          <w:lang w:val="fr-CA"/>
        </w:rPr>
      </w:pPr>
    </w:p>
    <w:p w14:paraId="434706C5" w14:textId="77777777" w:rsidR="00AA05B4" w:rsidRPr="00F52884" w:rsidRDefault="00AA05B4" w:rsidP="000C25A3">
      <w:pPr>
        <w:rPr>
          <w:rFonts w:eastAsiaTheme="majorEastAsia" w:cstheme="minorHAnsi"/>
          <w:b/>
          <w:bCs/>
          <w:szCs w:val="23"/>
          <w:lang w:val="fr-CA"/>
        </w:rPr>
      </w:pPr>
    </w:p>
    <w:p w14:paraId="16DB9DBE" w14:textId="77777777" w:rsidR="00AA05B4" w:rsidRPr="00F52884" w:rsidRDefault="00AA05B4">
      <w:pPr>
        <w:spacing w:after="200" w:line="276" w:lineRule="auto"/>
        <w:rPr>
          <w:rFonts w:cstheme="minorHAnsi"/>
          <w:szCs w:val="23"/>
          <w:lang w:val="fr-CA"/>
        </w:rPr>
      </w:pPr>
      <w:r w:rsidRPr="00F52884">
        <w:rPr>
          <w:rFonts w:cstheme="minorHAnsi"/>
          <w:szCs w:val="23"/>
          <w:lang w:val="fr-CA"/>
        </w:rPr>
        <w:br w:type="page"/>
      </w:r>
    </w:p>
    <w:p w14:paraId="1C45747F" w14:textId="7FFC2857" w:rsidR="00987511" w:rsidRPr="00F52884" w:rsidRDefault="00987511" w:rsidP="0015303D">
      <w:pPr>
        <w:pStyle w:val="Heading2"/>
        <w:jc w:val="center"/>
        <w:rPr>
          <w:rFonts w:asciiTheme="minorHAnsi" w:hAnsiTheme="minorHAnsi" w:cstheme="minorHAnsi"/>
          <w:sz w:val="24"/>
          <w:szCs w:val="24"/>
          <w:lang w:val="fr-CA"/>
        </w:rPr>
      </w:pPr>
      <w:bookmarkStart w:id="26" w:name="_Toc471907451"/>
      <w:bookmarkStart w:id="27" w:name="_Toc156311758"/>
      <w:r w:rsidRPr="00F52884">
        <w:rPr>
          <w:rFonts w:asciiTheme="minorHAnsi" w:hAnsiTheme="minorHAnsi" w:cstheme="minorHAnsi"/>
          <w:sz w:val="24"/>
          <w:szCs w:val="24"/>
          <w:lang w:val="fr-CA"/>
        </w:rPr>
        <w:lastRenderedPageBreak/>
        <w:t>Chapitre Quatre – Notification, conciliation et coopération en matière de réglementation</w:t>
      </w:r>
      <w:bookmarkEnd w:id="26"/>
      <w:bookmarkEnd w:id="27"/>
    </w:p>
    <w:p w14:paraId="2F92FE8F" w14:textId="77777777" w:rsidR="00987511" w:rsidRPr="00F52884" w:rsidRDefault="00987511" w:rsidP="0015303D">
      <w:pPr>
        <w:rPr>
          <w:rFonts w:cstheme="minorHAnsi"/>
          <w:szCs w:val="23"/>
          <w:lang w:val="fr-CA"/>
        </w:rPr>
      </w:pPr>
    </w:p>
    <w:p w14:paraId="353C864C" w14:textId="77777777" w:rsidR="00987511" w:rsidRPr="00F52884" w:rsidRDefault="00987511" w:rsidP="0015303D">
      <w:pPr>
        <w:rPr>
          <w:rFonts w:cstheme="minorHAnsi"/>
          <w:szCs w:val="23"/>
          <w:lang w:val="fr-CA"/>
        </w:rPr>
      </w:pPr>
    </w:p>
    <w:p w14:paraId="6DF8DCFC" w14:textId="469C534A" w:rsidR="00987511" w:rsidRPr="00F52884" w:rsidRDefault="00987511" w:rsidP="0015303D">
      <w:pPr>
        <w:jc w:val="center"/>
        <w:rPr>
          <w:rFonts w:cstheme="minorHAnsi"/>
          <w:b/>
          <w:szCs w:val="23"/>
          <w:lang w:val="fr-CA"/>
        </w:rPr>
      </w:pPr>
      <w:r w:rsidRPr="00F52884">
        <w:rPr>
          <w:rFonts w:cstheme="minorHAnsi"/>
          <w:b/>
          <w:bCs/>
          <w:szCs w:val="23"/>
          <w:lang w:val="fr-CA"/>
        </w:rPr>
        <w:t>Article 400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Renforcement des mesures réglementaires</w:t>
      </w:r>
    </w:p>
    <w:p w14:paraId="7F42A568" w14:textId="77777777" w:rsidR="00987511" w:rsidRPr="00F52884" w:rsidRDefault="00987511" w:rsidP="0015303D">
      <w:pPr>
        <w:rPr>
          <w:rFonts w:cstheme="minorHAnsi"/>
          <w:szCs w:val="23"/>
          <w:lang w:val="fr-CA"/>
        </w:rPr>
      </w:pPr>
    </w:p>
    <w:p w14:paraId="3AD07C58" w14:textId="0F2C39B3" w:rsidR="00987511" w:rsidRPr="00F52884" w:rsidRDefault="00987511" w:rsidP="0015303D">
      <w:pPr>
        <w:pStyle w:val="ListParagraph"/>
        <w:ind w:left="0" w:firstLine="720"/>
        <w:rPr>
          <w:rFonts w:cstheme="minorHAnsi"/>
          <w:szCs w:val="23"/>
          <w:lang w:val="fr-CA"/>
        </w:rPr>
      </w:pPr>
      <w:r w:rsidRPr="00F52884">
        <w:rPr>
          <w:rFonts w:cstheme="minorHAnsi"/>
          <w:szCs w:val="23"/>
          <w:lang w:val="fr-CA"/>
        </w:rPr>
        <w:t>Les Parties reconnaissent l’importance de poursuivre les efforts entrepris pour renforcer les mesures réglementaires existantes, telles que celles visant la protection des consommateurs et des travailleurs, la santé et la sécurité, et la protection de l’environnement, ainsi que l’efficacité des mesures connexes.</w:t>
      </w:r>
    </w:p>
    <w:p w14:paraId="6B3F15A8" w14:textId="77777777" w:rsidR="00987511" w:rsidRPr="00F52884" w:rsidRDefault="00987511" w:rsidP="0015303D">
      <w:pPr>
        <w:rPr>
          <w:rFonts w:cstheme="minorHAnsi"/>
          <w:szCs w:val="23"/>
          <w:lang w:val="fr-CA"/>
        </w:rPr>
      </w:pPr>
    </w:p>
    <w:p w14:paraId="6E2EB821" w14:textId="2F62E8D4" w:rsidR="00987511" w:rsidRPr="00F52884" w:rsidRDefault="00987511" w:rsidP="0015303D">
      <w:pPr>
        <w:jc w:val="center"/>
        <w:rPr>
          <w:rFonts w:cstheme="minorHAnsi"/>
          <w:b/>
          <w:szCs w:val="23"/>
          <w:lang w:val="fr-CA"/>
        </w:rPr>
      </w:pPr>
      <w:r w:rsidRPr="00F52884">
        <w:rPr>
          <w:rFonts w:cstheme="minorHAnsi"/>
          <w:b/>
          <w:bCs/>
          <w:szCs w:val="23"/>
          <w:lang w:val="fr-CA"/>
        </w:rPr>
        <w:t>Article 401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Application</w:t>
      </w:r>
    </w:p>
    <w:p w14:paraId="115AAB9F" w14:textId="77777777" w:rsidR="00987511" w:rsidRPr="00F52884" w:rsidRDefault="00987511" w:rsidP="0015303D">
      <w:pPr>
        <w:rPr>
          <w:rFonts w:cstheme="minorHAnsi"/>
          <w:szCs w:val="23"/>
          <w:lang w:val="fr-CA"/>
        </w:rPr>
      </w:pPr>
    </w:p>
    <w:p w14:paraId="5E76C050" w14:textId="6FCE3745" w:rsidR="00987511" w:rsidRPr="00F52884" w:rsidRDefault="00987511" w:rsidP="0015303D">
      <w:pPr>
        <w:ind w:firstLine="708"/>
        <w:rPr>
          <w:rFonts w:cstheme="minorHAnsi"/>
          <w:szCs w:val="23"/>
          <w:lang w:val="fr-CA"/>
        </w:rPr>
      </w:pPr>
      <w:r w:rsidRPr="00F52884">
        <w:rPr>
          <w:rFonts w:cstheme="minorHAnsi"/>
          <w:szCs w:val="23"/>
          <w:lang w:val="fr-CA"/>
        </w:rPr>
        <w:t>Les parties A et B ne s’appliquent pas aux administrations régionales, locales, de district et autres formes d’administration municipale.</w:t>
      </w:r>
    </w:p>
    <w:p w14:paraId="0CBC96D4" w14:textId="77777777" w:rsidR="00987511" w:rsidRPr="00F52884" w:rsidRDefault="00987511" w:rsidP="0015303D">
      <w:pPr>
        <w:ind w:left="2880" w:firstLine="720"/>
        <w:rPr>
          <w:rFonts w:cstheme="minorHAnsi"/>
          <w:b/>
          <w:iCs/>
          <w:szCs w:val="23"/>
          <w:lang w:val="fr-CA"/>
        </w:rPr>
      </w:pPr>
    </w:p>
    <w:p w14:paraId="39F30DB8" w14:textId="38D097E2" w:rsidR="00987511" w:rsidRPr="00F52884" w:rsidRDefault="00987511" w:rsidP="00600B9F">
      <w:pPr>
        <w:jc w:val="center"/>
        <w:rPr>
          <w:rFonts w:cstheme="minorHAnsi"/>
          <w:b/>
          <w:sz w:val="24"/>
          <w:szCs w:val="24"/>
          <w:lang w:val="fr-CA"/>
        </w:rPr>
      </w:pPr>
      <w:r w:rsidRPr="00F52884">
        <w:rPr>
          <w:rFonts w:cstheme="minorHAnsi"/>
          <w:b/>
          <w:iCs/>
          <w:sz w:val="24"/>
          <w:szCs w:val="24"/>
          <w:lang w:val="fr-CA"/>
        </w:rPr>
        <w:t xml:space="preserve">PARTIE A : </w:t>
      </w:r>
      <w:r w:rsidR="00600B9F" w:rsidRPr="00F52884">
        <w:rPr>
          <w:rFonts w:cstheme="minorHAnsi"/>
          <w:b/>
          <w:iCs/>
          <w:sz w:val="24"/>
          <w:szCs w:val="24"/>
          <w:lang w:val="fr-CA"/>
        </w:rPr>
        <w:tab/>
      </w:r>
      <w:r w:rsidR="00600B9F" w:rsidRPr="00F52884">
        <w:rPr>
          <w:rFonts w:cstheme="minorHAnsi"/>
          <w:b/>
          <w:iCs/>
          <w:sz w:val="24"/>
          <w:szCs w:val="24"/>
          <w:lang w:val="fr-CA"/>
        </w:rPr>
        <w:tab/>
      </w:r>
      <w:r w:rsidRPr="00F52884">
        <w:rPr>
          <w:rFonts w:cstheme="minorHAnsi"/>
          <w:b/>
          <w:iCs/>
          <w:sz w:val="24"/>
          <w:szCs w:val="24"/>
          <w:lang w:val="fr-CA"/>
        </w:rPr>
        <w:t>Notification</w:t>
      </w:r>
    </w:p>
    <w:p w14:paraId="3C62295B" w14:textId="77777777" w:rsidR="00987511" w:rsidRPr="00F52884" w:rsidRDefault="00987511" w:rsidP="0015303D">
      <w:pPr>
        <w:rPr>
          <w:rFonts w:cstheme="minorHAnsi"/>
          <w:b/>
          <w:i/>
          <w:szCs w:val="23"/>
          <w:lang w:val="fr-CA"/>
        </w:rPr>
      </w:pPr>
    </w:p>
    <w:p w14:paraId="1CD955E9" w14:textId="12F9BD2B" w:rsidR="00987511" w:rsidRPr="00F52884" w:rsidRDefault="00987511" w:rsidP="0015303D">
      <w:pPr>
        <w:jc w:val="center"/>
        <w:rPr>
          <w:rFonts w:cstheme="minorHAnsi"/>
          <w:b/>
          <w:szCs w:val="23"/>
          <w:lang w:val="fr-CA"/>
        </w:rPr>
      </w:pPr>
      <w:r w:rsidRPr="00F52884">
        <w:rPr>
          <w:rFonts w:cstheme="minorHAnsi"/>
          <w:b/>
          <w:bCs/>
          <w:szCs w:val="23"/>
          <w:lang w:val="fr-CA"/>
        </w:rPr>
        <w:t>Article 402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Notification réglementaire</w:t>
      </w:r>
    </w:p>
    <w:p w14:paraId="58C19AEB" w14:textId="77777777" w:rsidR="00987511" w:rsidRPr="00F52884" w:rsidRDefault="00987511" w:rsidP="0015303D">
      <w:pPr>
        <w:ind w:left="360"/>
        <w:contextualSpacing/>
        <w:rPr>
          <w:rFonts w:cstheme="minorHAnsi"/>
          <w:szCs w:val="23"/>
          <w:lang w:val="fr-CA"/>
        </w:rPr>
      </w:pPr>
    </w:p>
    <w:p w14:paraId="166109F5" w14:textId="057E5BEF" w:rsidR="00987511" w:rsidRPr="00F52884" w:rsidRDefault="00987511" w:rsidP="0015303D">
      <w:pPr>
        <w:rPr>
          <w:rFonts w:cstheme="minorHAnsi"/>
          <w:szCs w:val="23"/>
          <w:lang w:val="fr-CA"/>
        </w:rPr>
      </w:pPr>
      <w:r w:rsidRPr="00F52884">
        <w:rPr>
          <w:rFonts w:cstheme="minorHAnsi"/>
          <w:szCs w:val="23"/>
          <w:lang w:val="fr-CA"/>
        </w:rPr>
        <w:t>1.</w:t>
      </w:r>
      <w:r w:rsidRPr="00F52884">
        <w:rPr>
          <w:rFonts w:cstheme="minorHAnsi"/>
          <w:szCs w:val="23"/>
          <w:lang w:val="fr-CA"/>
        </w:rPr>
        <w:tab/>
        <w:t>Sous réserve des paragraphes 2 et 3 et de l’article 203.3 (Transparence), si une Partie projette d’adopter ou de modifier un règlement pouvant avoir un effet notable sur le commerce ou l’investissement à l’intérieur du Canada, la Partie :</w:t>
      </w:r>
    </w:p>
    <w:p w14:paraId="23C7B4A7" w14:textId="77777777" w:rsidR="00987511" w:rsidRPr="00F52884" w:rsidRDefault="00987511" w:rsidP="0015303D">
      <w:pPr>
        <w:rPr>
          <w:rFonts w:cstheme="minorHAnsi"/>
          <w:szCs w:val="23"/>
          <w:lang w:val="fr-CA"/>
        </w:rPr>
      </w:pPr>
    </w:p>
    <w:p w14:paraId="3F6A2A6F" w14:textId="48D486D0" w:rsidR="00987511" w:rsidRPr="00F52884" w:rsidRDefault="00987511" w:rsidP="00987511">
      <w:pPr>
        <w:numPr>
          <w:ilvl w:val="0"/>
          <w:numId w:val="63"/>
        </w:numPr>
        <w:autoSpaceDE w:val="0"/>
        <w:autoSpaceDN w:val="0"/>
        <w:adjustRightInd w:val="0"/>
        <w:rPr>
          <w:rFonts w:cstheme="minorHAnsi"/>
          <w:szCs w:val="23"/>
          <w:lang w:val="fr-CA"/>
        </w:rPr>
      </w:pPr>
      <w:proofErr w:type="gramStart"/>
      <w:r w:rsidRPr="00F52884">
        <w:rPr>
          <w:rFonts w:cstheme="minorHAnsi"/>
          <w:szCs w:val="23"/>
          <w:lang w:val="fr-CA"/>
        </w:rPr>
        <w:t>publie</w:t>
      </w:r>
      <w:proofErr w:type="gramEnd"/>
      <w:r w:rsidRPr="00F52884">
        <w:rPr>
          <w:rFonts w:cstheme="minorHAnsi"/>
          <w:szCs w:val="23"/>
          <w:lang w:val="fr-CA"/>
        </w:rPr>
        <w:t xml:space="preserve"> en ligne une description du règlement projeté assez tôt pour permettre aux Parties et aux personnes intéressées d’en prendre connaissance;</w:t>
      </w:r>
    </w:p>
    <w:p w14:paraId="66EAADE7" w14:textId="77777777" w:rsidR="00987511" w:rsidRPr="00F52884" w:rsidRDefault="00987511" w:rsidP="00987511">
      <w:pPr>
        <w:autoSpaceDE w:val="0"/>
        <w:autoSpaceDN w:val="0"/>
        <w:adjustRightInd w:val="0"/>
        <w:ind w:left="1440" w:hanging="720"/>
        <w:rPr>
          <w:rFonts w:cstheme="minorHAnsi"/>
          <w:szCs w:val="23"/>
          <w:lang w:val="fr-CA"/>
        </w:rPr>
      </w:pPr>
    </w:p>
    <w:p w14:paraId="541E5EFE" w14:textId="34533423" w:rsidR="00987511" w:rsidRPr="00F52884" w:rsidRDefault="00987511" w:rsidP="00987511">
      <w:pPr>
        <w:numPr>
          <w:ilvl w:val="0"/>
          <w:numId w:val="63"/>
        </w:numPr>
        <w:autoSpaceDE w:val="0"/>
        <w:autoSpaceDN w:val="0"/>
        <w:adjustRightInd w:val="0"/>
        <w:rPr>
          <w:rFonts w:cstheme="minorHAnsi"/>
          <w:szCs w:val="23"/>
          <w:lang w:val="fr-CA"/>
        </w:rPr>
      </w:pPr>
      <w:proofErr w:type="gramStart"/>
      <w:r w:rsidRPr="00F52884">
        <w:rPr>
          <w:rFonts w:cstheme="minorHAnsi"/>
          <w:szCs w:val="23"/>
          <w:lang w:val="fr-CA"/>
        </w:rPr>
        <w:t>ménage</w:t>
      </w:r>
      <w:proofErr w:type="gramEnd"/>
      <w:r w:rsidRPr="00F52884">
        <w:rPr>
          <w:rFonts w:cstheme="minorHAnsi"/>
          <w:szCs w:val="23"/>
          <w:lang w:val="fr-CA"/>
        </w:rPr>
        <w:t xml:space="preserve"> un délai raisonnable aux Parties et aux personnes intéressées pour leur permettre de présenter leurs observations par écrit en réponse à la description publiée conformément à l’alinéa a), et elle tient compte de ces observations; </w:t>
      </w:r>
    </w:p>
    <w:p w14:paraId="2C2F1B94" w14:textId="77777777" w:rsidR="00987511" w:rsidRPr="00F52884" w:rsidRDefault="00987511" w:rsidP="00987511">
      <w:pPr>
        <w:pStyle w:val="ListParagraph"/>
        <w:ind w:left="1440" w:hanging="720"/>
        <w:rPr>
          <w:rFonts w:cstheme="minorHAnsi"/>
          <w:szCs w:val="23"/>
          <w:lang w:val="fr-CA"/>
        </w:rPr>
      </w:pPr>
    </w:p>
    <w:p w14:paraId="2641C66C" w14:textId="1EF9E2DB" w:rsidR="00987511" w:rsidRPr="00F52884" w:rsidRDefault="00987511" w:rsidP="00987511">
      <w:pPr>
        <w:numPr>
          <w:ilvl w:val="0"/>
          <w:numId w:val="63"/>
        </w:numPr>
        <w:autoSpaceDE w:val="0"/>
        <w:autoSpaceDN w:val="0"/>
        <w:adjustRightInd w:val="0"/>
        <w:rPr>
          <w:rFonts w:cstheme="minorHAnsi"/>
          <w:szCs w:val="23"/>
          <w:lang w:val="fr-CA"/>
        </w:rPr>
      </w:pPr>
      <w:proofErr w:type="gramStart"/>
      <w:r w:rsidRPr="00F52884">
        <w:rPr>
          <w:rFonts w:cstheme="minorHAnsi"/>
          <w:szCs w:val="23"/>
          <w:lang w:val="fr-CA"/>
        </w:rPr>
        <w:t>s’efforce</w:t>
      </w:r>
      <w:proofErr w:type="gramEnd"/>
      <w:r w:rsidRPr="00F52884">
        <w:rPr>
          <w:rFonts w:cstheme="minorHAnsi"/>
          <w:szCs w:val="23"/>
          <w:lang w:val="fr-CA"/>
        </w:rPr>
        <w:t xml:space="preserve"> d’accorder au moins 30 jours pour la présentation des observations visées à l’alinéa b), en tenant compte des obligations internationales;</w:t>
      </w:r>
    </w:p>
    <w:p w14:paraId="4465E5EA" w14:textId="77777777" w:rsidR="00987511" w:rsidRPr="00F52884" w:rsidRDefault="00987511" w:rsidP="00987511">
      <w:pPr>
        <w:autoSpaceDE w:val="0"/>
        <w:autoSpaceDN w:val="0"/>
        <w:adjustRightInd w:val="0"/>
        <w:ind w:left="1440" w:hanging="720"/>
        <w:rPr>
          <w:rFonts w:cstheme="minorHAnsi"/>
          <w:szCs w:val="23"/>
          <w:lang w:val="fr-CA"/>
        </w:rPr>
      </w:pPr>
    </w:p>
    <w:p w14:paraId="14322331" w14:textId="17D9C215" w:rsidR="00987511" w:rsidRPr="00F52884" w:rsidRDefault="00987511" w:rsidP="00987511">
      <w:pPr>
        <w:numPr>
          <w:ilvl w:val="0"/>
          <w:numId w:val="63"/>
        </w:numPr>
        <w:autoSpaceDE w:val="0"/>
        <w:autoSpaceDN w:val="0"/>
        <w:adjustRightInd w:val="0"/>
        <w:rPr>
          <w:rFonts w:cstheme="minorHAnsi"/>
          <w:szCs w:val="23"/>
          <w:lang w:val="fr-CA"/>
        </w:rPr>
      </w:pPr>
      <w:proofErr w:type="gramStart"/>
      <w:r w:rsidRPr="00F52884">
        <w:rPr>
          <w:rFonts w:cstheme="minorHAnsi"/>
          <w:szCs w:val="23"/>
          <w:lang w:val="fr-CA"/>
        </w:rPr>
        <w:t>dans</w:t>
      </w:r>
      <w:proofErr w:type="gramEnd"/>
      <w:r w:rsidRPr="00F52884">
        <w:rPr>
          <w:rFonts w:cstheme="minorHAnsi"/>
          <w:szCs w:val="23"/>
          <w:lang w:val="fr-CA"/>
        </w:rPr>
        <w:t xml:space="preserve"> la mesure du possible, fournit le texte du projet de règlement à toute Partie qui en fait la demande.</w:t>
      </w:r>
    </w:p>
    <w:p w14:paraId="627CD8D4" w14:textId="77777777" w:rsidR="00987511" w:rsidRPr="00F52884" w:rsidRDefault="00987511" w:rsidP="0015303D">
      <w:pPr>
        <w:jc w:val="center"/>
        <w:rPr>
          <w:rFonts w:cstheme="minorHAnsi"/>
          <w:b/>
          <w:szCs w:val="23"/>
          <w:lang w:val="fr-CA"/>
        </w:rPr>
      </w:pPr>
    </w:p>
    <w:p w14:paraId="6A972889" w14:textId="69F9C4AB" w:rsidR="00987511" w:rsidRPr="00F52884" w:rsidRDefault="00987511" w:rsidP="0015303D">
      <w:pPr>
        <w:rPr>
          <w:rFonts w:eastAsia="Times New Roman" w:cstheme="minorHAnsi"/>
          <w:szCs w:val="23"/>
          <w:lang w:val="fr-CA"/>
        </w:rPr>
      </w:pPr>
      <w:r w:rsidRPr="00F52884">
        <w:rPr>
          <w:rFonts w:cstheme="minorHAnsi"/>
          <w:szCs w:val="23"/>
          <w:lang w:val="fr-CA"/>
        </w:rPr>
        <w:t>2.</w:t>
      </w:r>
      <w:r w:rsidRPr="00F52884">
        <w:rPr>
          <w:rFonts w:cstheme="minorHAnsi"/>
          <w:szCs w:val="23"/>
          <w:lang w:val="fr-CA"/>
        </w:rPr>
        <w:tab/>
        <w:t>Une Partie peut omettre l’une ou l’autre des démarches énumérées au paragraphe 1 si le règlement projeté concerne, selon le cas :</w:t>
      </w:r>
    </w:p>
    <w:p w14:paraId="43FB02B6" w14:textId="77777777" w:rsidR="00987511" w:rsidRPr="00F52884" w:rsidRDefault="00987511" w:rsidP="0015303D">
      <w:pPr>
        <w:rPr>
          <w:rFonts w:cstheme="minorHAnsi"/>
          <w:szCs w:val="23"/>
          <w:lang w:val="fr-CA"/>
        </w:rPr>
      </w:pPr>
    </w:p>
    <w:p w14:paraId="0FA3CC06" w14:textId="2DFAB574" w:rsidR="00987511" w:rsidRPr="00F52884" w:rsidRDefault="00987511" w:rsidP="00987511">
      <w:pPr>
        <w:numPr>
          <w:ilvl w:val="0"/>
          <w:numId w:val="101"/>
        </w:numPr>
        <w:autoSpaceDE w:val="0"/>
        <w:autoSpaceDN w:val="0"/>
        <w:adjustRightInd w:val="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fiscalité; </w:t>
      </w:r>
    </w:p>
    <w:p w14:paraId="19D6B5BC" w14:textId="77777777" w:rsidR="00987511" w:rsidRPr="00F52884" w:rsidRDefault="00987511" w:rsidP="00987511">
      <w:pPr>
        <w:autoSpaceDE w:val="0"/>
        <w:autoSpaceDN w:val="0"/>
        <w:adjustRightInd w:val="0"/>
        <w:ind w:left="1440" w:hanging="720"/>
        <w:rPr>
          <w:rFonts w:cstheme="minorHAnsi"/>
          <w:szCs w:val="23"/>
          <w:lang w:val="fr-CA"/>
        </w:rPr>
      </w:pPr>
    </w:p>
    <w:p w14:paraId="5D069F93" w14:textId="538EF4B7" w:rsidR="00987511" w:rsidRPr="00F52884" w:rsidRDefault="00987511" w:rsidP="00987511">
      <w:pPr>
        <w:numPr>
          <w:ilvl w:val="0"/>
          <w:numId w:val="101"/>
        </w:numPr>
        <w:autoSpaceDE w:val="0"/>
        <w:autoSpaceDN w:val="0"/>
        <w:adjustRightInd w:val="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production de recettes, sauf s’il s’agit d’un règlement qui concerne les formalités et processus administratifs liés à la perception de recettes publiques.</w:t>
      </w:r>
    </w:p>
    <w:p w14:paraId="62249FAB" w14:textId="77777777" w:rsidR="00987511" w:rsidRPr="00F52884" w:rsidRDefault="00987511" w:rsidP="0015303D">
      <w:pPr>
        <w:autoSpaceDE w:val="0"/>
        <w:autoSpaceDN w:val="0"/>
        <w:adjustRightInd w:val="0"/>
        <w:rPr>
          <w:rFonts w:cstheme="minorHAnsi"/>
          <w:szCs w:val="23"/>
          <w:lang w:val="fr-CA"/>
        </w:rPr>
      </w:pPr>
    </w:p>
    <w:p w14:paraId="320E5816" w14:textId="015B3E99" w:rsidR="00987511" w:rsidRPr="00F52884" w:rsidRDefault="00987511" w:rsidP="0015303D">
      <w:pPr>
        <w:autoSpaceDE w:val="0"/>
        <w:autoSpaceDN w:val="0"/>
        <w:adjustRightInd w:val="0"/>
        <w:rPr>
          <w:rFonts w:cstheme="minorHAnsi"/>
          <w:szCs w:val="23"/>
          <w:lang w:val="fr-CA"/>
        </w:rPr>
      </w:pPr>
      <w:r w:rsidRPr="00F52884">
        <w:rPr>
          <w:rFonts w:cstheme="minorHAnsi"/>
          <w:szCs w:val="23"/>
          <w:lang w:val="fr-CA"/>
        </w:rPr>
        <w:lastRenderedPageBreak/>
        <w:t>3.</w:t>
      </w:r>
      <w:r w:rsidRPr="00F52884">
        <w:rPr>
          <w:rFonts w:cstheme="minorHAnsi"/>
          <w:szCs w:val="23"/>
          <w:lang w:val="fr-CA"/>
        </w:rPr>
        <w:tab/>
        <w:t xml:space="preserve">Si un problème urgent de sécurité, de santé, de protection de l’environnement ou de sécurité nationale se pose ou menace de se poser à une Partie, cette Partie peut omettre l’une ou l’autre des démarches énumérées au paragraphe 1 si elle le juge nécessaire, à condition qu’elle se conforme aux exigences suivantes au moment où elle adopte le règlement : </w:t>
      </w:r>
    </w:p>
    <w:p w14:paraId="6B560C39" w14:textId="77777777" w:rsidR="00987511" w:rsidRPr="00F52884" w:rsidRDefault="00987511" w:rsidP="0015303D">
      <w:pPr>
        <w:autoSpaceDE w:val="0"/>
        <w:autoSpaceDN w:val="0"/>
        <w:adjustRightInd w:val="0"/>
        <w:rPr>
          <w:rFonts w:cstheme="minorHAnsi"/>
          <w:szCs w:val="23"/>
          <w:lang w:val="fr-CA"/>
        </w:rPr>
      </w:pPr>
    </w:p>
    <w:p w14:paraId="5F1FC471" w14:textId="247D35BF" w:rsidR="00987511" w:rsidRPr="00F52884" w:rsidRDefault="00987511" w:rsidP="00987511">
      <w:pPr>
        <w:numPr>
          <w:ilvl w:val="0"/>
          <w:numId w:val="86"/>
        </w:numPr>
        <w:autoSpaceDE w:val="0"/>
        <w:autoSpaceDN w:val="0"/>
        <w:adjustRightInd w:val="0"/>
        <w:rPr>
          <w:rFonts w:cstheme="minorHAnsi"/>
          <w:szCs w:val="23"/>
          <w:lang w:val="fr-CA"/>
        </w:rPr>
      </w:pPr>
      <w:proofErr w:type="gramStart"/>
      <w:r w:rsidRPr="00F52884">
        <w:rPr>
          <w:rFonts w:cstheme="minorHAnsi"/>
          <w:szCs w:val="23"/>
          <w:lang w:val="fr-CA"/>
        </w:rPr>
        <w:t>fournir</w:t>
      </w:r>
      <w:proofErr w:type="gramEnd"/>
      <w:r w:rsidRPr="00F52884">
        <w:rPr>
          <w:rFonts w:cstheme="minorHAnsi"/>
          <w:szCs w:val="23"/>
          <w:lang w:val="fr-CA"/>
        </w:rPr>
        <w:t xml:space="preserve"> immédiatement aux Parties une description du règlement, y compris une brève description du problème urgent; </w:t>
      </w:r>
    </w:p>
    <w:p w14:paraId="60C005E1" w14:textId="77777777" w:rsidR="00987511" w:rsidRPr="00F52884" w:rsidRDefault="00987511" w:rsidP="00987511">
      <w:pPr>
        <w:autoSpaceDE w:val="0"/>
        <w:autoSpaceDN w:val="0"/>
        <w:adjustRightInd w:val="0"/>
        <w:ind w:left="1440" w:hanging="720"/>
        <w:rPr>
          <w:rFonts w:cstheme="minorHAnsi"/>
          <w:szCs w:val="23"/>
          <w:lang w:val="fr-CA"/>
        </w:rPr>
      </w:pPr>
    </w:p>
    <w:p w14:paraId="41AE78FB" w14:textId="37111184" w:rsidR="00987511" w:rsidRPr="00F52884" w:rsidRDefault="00987511" w:rsidP="00987511">
      <w:pPr>
        <w:numPr>
          <w:ilvl w:val="0"/>
          <w:numId w:val="86"/>
        </w:numPr>
        <w:autoSpaceDE w:val="0"/>
        <w:autoSpaceDN w:val="0"/>
        <w:adjustRightInd w:val="0"/>
        <w:rPr>
          <w:rFonts w:cstheme="minorHAnsi"/>
          <w:szCs w:val="23"/>
          <w:lang w:val="fr-CA"/>
        </w:rPr>
      </w:pPr>
      <w:proofErr w:type="gramStart"/>
      <w:r w:rsidRPr="00F52884">
        <w:rPr>
          <w:rFonts w:cstheme="minorHAnsi"/>
          <w:szCs w:val="23"/>
          <w:lang w:val="fr-CA"/>
        </w:rPr>
        <w:t>fournir</w:t>
      </w:r>
      <w:proofErr w:type="gramEnd"/>
      <w:r w:rsidRPr="00F52884">
        <w:rPr>
          <w:rFonts w:cstheme="minorHAnsi"/>
          <w:szCs w:val="23"/>
          <w:lang w:val="fr-CA"/>
        </w:rPr>
        <w:t xml:space="preserve"> le texte du règlement à toute Partie qui en fait la demande; </w:t>
      </w:r>
    </w:p>
    <w:p w14:paraId="5D6412C4" w14:textId="77777777" w:rsidR="00987511" w:rsidRPr="00F52884" w:rsidRDefault="00987511" w:rsidP="00987511">
      <w:pPr>
        <w:autoSpaceDE w:val="0"/>
        <w:autoSpaceDN w:val="0"/>
        <w:adjustRightInd w:val="0"/>
        <w:ind w:left="1440" w:hanging="720"/>
        <w:rPr>
          <w:rFonts w:cstheme="minorHAnsi"/>
          <w:szCs w:val="23"/>
          <w:lang w:val="fr-CA"/>
        </w:rPr>
      </w:pPr>
    </w:p>
    <w:p w14:paraId="6330E462" w14:textId="5DEE5B60" w:rsidR="00987511" w:rsidRPr="00F52884" w:rsidRDefault="00987511" w:rsidP="00987511">
      <w:pPr>
        <w:numPr>
          <w:ilvl w:val="0"/>
          <w:numId w:val="86"/>
        </w:numPr>
        <w:contextualSpacing/>
        <w:rPr>
          <w:rFonts w:cstheme="minorHAnsi"/>
          <w:b/>
          <w:i/>
          <w:szCs w:val="23"/>
          <w:lang w:val="fr-CA"/>
        </w:rPr>
      </w:pPr>
      <w:proofErr w:type="gramStart"/>
      <w:r w:rsidRPr="00F52884">
        <w:rPr>
          <w:rFonts w:cstheme="minorHAnsi"/>
          <w:szCs w:val="23"/>
          <w:lang w:val="fr-CA"/>
        </w:rPr>
        <w:t>ménager</w:t>
      </w:r>
      <w:proofErr w:type="gramEnd"/>
      <w:r w:rsidRPr="00F52884">
        <w:rPr>
          <w:rFonts w:cstheme="minorHAnsi"/>
          <w:szCs w:val="23"/>
          <w:lang w:val="fr-CA"/>
        </w:rPr>
        <w:t xml:space="preserve"> aux Parties la possibilité de présenter leurs observations par écrit et discuter de ces observations si demande lui en est faite.</w:t>
      </w:r>
    </w:p>
    <w:p w14:paraId="65B6751E" w14:textId="77777777" w:rsidR="00987511" w:rsidRPr="00F52884" w:rsidRDefault="00987511" w:rsidP="0015303D">
      <w:pPr>
        <w:ind w:left="1440" w:hanging="720"/>
        <w:rPr>
          <w:rFonts w:cstheme="minorHAnsi"/>
          <w:szCs w:val="23"/>
          <w:lang w:val="fr-CA"/>
        </w:rPr>
      </w:pPr>
    </w:p>
    <w:p w14:paraId="23B7E0DC" w14:textId="1C345096" w:rsidR="00987511" w:rsidRPr="00F52884" w:rsidRDefault="00600B9F" w:rsidP="00600B9F">
      <w:pPr>
        <w:pStyle w:val="paranormaltext"/>
        <w:spacing w:before="0" w:beforeAutospacing="0" w:after="0" w:afterAutospacing="0"/>
        <w:jc w:val="center"/>
        <w:rPr>
          <w:rFonts w:asciiTheme="minorHAnsi" w:hAnsiTheme="minorHAnsi" w:cstheme="minorHAnsi"/>
          <w:b/>
          <w:sz w:val="24"/>
        </w:rPr>
      </w:pPr>
      <w:r w:rsidRPr="00F52884">
        <w:rPr>
          <w:rFonts w:asciiTheme="minorHAnsi" w:hAnsiTheme="minorHAnsi" w:cstheme="minorHAnsi"/>
          <w:b/>
          <w:iCs/>
          <w:sz w:val="24"/>
        </w:rPr>
        <w:t xml:space="preserve">PARTIE </w:t>
      </w:r>
      <w:r w:rsidR="00987511" w:rsidRPr="00F52884">
        <w:rPr>
          <w:rFonts w:asciiTheme="minorHAnsi" w:hAnsiTheme="minorHAnsi" w:cstheme="minorHAnsi"/>
          <w:b/>
          <w:iCs/>
          <w:sz w:val="24"/>
        </w:rPr>
        <w:t xml:space="preserve">B : </w:t>
      </w:r>
      <w:r w:rsidRPr="00F52884">
        <w:rPr>
          <w:rFonts w:asciiTheme="minorHAnsi" w:hAnsiTheme="minorHAnsi" w:cstheme="minorHAnsi"/>
          <w:b/>
          <w:iCs/>
          <w:sz w:val="24"/>
        </w:rPr>
        <w:tab/>
      </w:r>
      <w:r w:rsidRPr="00F52884">
        <w:rPr>
          <w:rFonts w:asciiTheme="minorHAnsi" w:hAnsiTheme="minorHAnsi" w:cstheme="minorHAnsi"/>
          <w:b/>
          <w:iCs/>
          <w:sz w:val="24"/>
        </w:rPr>
        <w:tab/>
      </w:r>
      <w:r w:rsidR="00987511" w:rsidRPr="00F52884">
        <w:rPr>
          <w:rFonts w:asciiTheme="minorHAnsi" w:hAnsiTheme="minorHAnsi" w:cstheme="minorHAnsi"/>
          <w:b/>
          <w:iCs/>
          <w:sz w:val="24"/>
        </w:rPr>
        <w:t>Conciliation</w:t>
      </w:r>
    </w:p>
    <w:p w14:paraId="603A0D0B" w14:textId="77777777" w:rsidR="00987511" w:rsidRPr="00F52884" w:rsidRDefault="00987511" w:rsidP="0015303D">
      <w:pPr>
        <w:pStyle w:val="paranormaltext"/>
        <w:spacing w:before="0" w:beforeAutospacing="0" w:after="0" w:afterAutospacing="0"/>
        <w:jc w:val="both"/>
        <w:rPr>
          <w:rFonts w:asciiTheme="minorHAnsi" w:hAnsiTheme="minorHAnsi" w:cstheme="minorHAnsi"/>
          <w:b/>
          <w:szCs w:val="23"/>
        </w:rPr>
      </w:pPr>
    </w:p>
    <w:p w14:paraId="2E1356E2" w14:textId="500AB2DB" w:rsidR="00987511" w:rsidRPr="00F52884" w:rsidRDefault="00987511" w:rsidP="0015303D">
      <w:pPr>
        <w:jc w:val="center"/>
        <w:rPr>
          <w:rFonts w:cstheme="minorHAnsi"/>
          <w:b/>
          <w:bCs/>
          <w:szCs w:val="23"/>
          <w:lang w:val="fr-CA"/>
        </w:rPr>
      </w:pPr>
      <w:r w:rsidRPr="00F52884">
        <w:rPr>
          <w:rFonts w:cstheme="minorHAnsi"/>
          <w:b/>
          <w:bCs/>
          <w:szCs w:val="23"/>
          <w:lang w:val="fr-CA"/>
        </w:rPr>
        <w:t>Article 403 :</w:t>
      </w:r>
      <w:r w:rsidRPr="00F52884">
        <w:rPr>
          <w:rFonts w:cstheme="minorHAnsi"/>
          <w:szCs w:val="23"/>
          <w:lang w:val="fr-CA"/>
        </w:rPr>
        <w:t xml:space="preserve">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Conciliation des mesures réglementaires</w:t>
      </w:r>
    </w:p>
    <w:p w14:paraId="36F8E78E" w14:textId="77777777" w:rsidR="00987511" w:rsidRPr="00F52884" w:rsidRDefault="00987511" w:rsidP="0015303D">
      <w:pPr>
        <w:rPr>
          <w:rFonts w:cstheme="minorHAnsi"/>
          <w:b/>
          <w:szCs w:val="23"/>
          <w:lang w:val="fr-CA"/>
        </w:rPr>
      </w:pPr>
    </w:p>
    <w:p w14:paraId="05D8090F" w14:textId="6487DFEE" w:rsidR="00987511" w:rsidRPr="00F52884" w:rsidRDefault="00987511" w:rsidP="0015303D">
      <w:pPr>
        <w:pStyle w:val="ListParagraph"/>
        <w:ind w:left="0"/>
        <w:rPr>
          <w:rFonts w:cstheme="minorHAnsi"/>
          <w:szCs w:val="23"/>
          <w:lang w:val="fr-CA"/>
        </w:rPr>
      </w:pPr>
      <w:r w:rsidRPr="00F52884">
        <w:rPr>
          <w:rFonts w:cstheme="minorHAnsi"/>
          <w:szCs w:val="23"/>
          <w:lang w:val="fr-CA"/>
        </w:rPr>
        <w:t>1.</w:t>
      </w:r>
      <w:r w:rsidRPr="00F52884">
        <w:rPr>
          <w:rFonts w:cstheme="minorHAnsi"/>
          <w:szCs w:val="23"/>
          <w:lang w:val="fr-CA"/>
        </w:rPr>
        <w:tab/>
        <w:t>Les Parties engagent des négociations en vue de concilier les mesures réglementaires identifiées par une Partie comme constituant un obstacle au commerce, à l’investissement ou à la mobilité de la main-d’œuvre à l’intérieur du Canada. Les mesures réglementaires ayant fait l’objet de la conciliation sont énumérées dans les accords de conciliation en conformité avec l’annexe 404.</w:t>
      </w:r>
    </w:p>
    <w:p w14:paraId="4BE02917" w14:textId="77777777" w:rsidR="00987511" w:rsidRPr="00F52884" w:rsidRDefault="00987511" w:rsidP="0015303D">
      <w:pPr>
        <w:pStyle w:val="ListParagraph"/>
        <w:ind w:left="0"/>
        <w:rPr>
          <w:rFonts w:cstheme="minorHAnsi"/>
          <w:szCs w:val="23"/>
          <w:lang w:val="fr-CA"/>
        </w:rPr>
      </w:pPr>
    </w:p>
    <w:p w14:paraId="71952A60" w14:textId="0E2F1EE4" w:rsidR="00987511" w:rsidRPr="00F52884" w:rsidRDefault="00987511" w:rsidP="0015303D">
      <w:pPr>
        <w:pStyle w:val="ListParagraph"/>
        <w:ind w:left="0"/>
        <w:rPr>
          <w:rFonts w:cstheme="minorHAnsi"/>
          <w:szCs w:val="23"/>
          <w:lang w:val="fr-CA"/>
        </w:rPr>
      </w:pPr>
      <w:r w:rsidRPr="00F52884">
        <w:rPr>
          <w:rFonts w:cstheme="minorHAnsi"/>
          <w:szCs w:val="23"/>
          <w:lang w:val="fr-CA"/>
        </w:rPr>
        <w:t xml:space="preserve">2. </w:t>
      </w:r>
      <w:r w:rsidRPr="00F52884">
        <w:rPr>
          <w:rFonts w:cstheme="minorHAnsi"/>
          <w:szCs w:val="23"/>
          <w:lang w:val="fr-CA"/>
        </w:rPr>
        <w:tab/>
        <w:t>Sous réserve de l’article 405 et de l’article 406.1, les Parties procèdent à la conciliation conformément aux accords de conciliation applicables.</w:t>
      </w:r>
    </w:p>
    <w:p w14:paraId="0287889C" w14:textId="77777777" w:rsidR="00987511" w:rsidRPr="00F52884" w:rsidRDefault="00987511" w:rsidP="0015303D">
      <w:pPr>
        <w:pStyle w:val="ListParagraph"/>
        <w:ind w:left="0"/>
        <w:rPr>
          <w:rFonts w:cstheme="minorHAnsi"/>
          <w:szCs w:val="23"/>
          <w:lang w:val="fr-CA"/>
        </w:rPr>
      </w:pPr>
    </w:p>
    <w:p w14:paraId="24907329" w14:textId="1C040553" w:rsidR="00987511" w:rsidRPr="00F52884" w:rsidRDefault="00987511" w:rsidP="0015303D">
      <w:pPr>
        <w:rPr>
          <w:rFonts w:cstheme="minorHAnsi"/>
          <w:szCs w:val="23"/>
          <w:lang w:val="fr-CA"/>
        </w:rPr>
      </w:pPr>
      <w:r w:rsidRPr="00F52884">
        <w:rPr>
          <w:rFonts w:cstheme="minorHAnsi"/>
          <w:szCs w:val="23"/>
          <w:lang w:val="fr-CA"/>
        </w:rPr>
        <w:t>3.</w:t>
      </w:r>
      <w:r w:rsidRPr="00F52884">
        <w:rPr>
          <w:rFonts w:cstheme="minorHAnsi"/>
          <w:szCs w:val="23"/>
          <w:lang w:val="fr-CA"/>
        </w:rPr>
        <w:tab/>
        <w:t>Lorsqu’une Partie a procédé à la conciliation d’une mesure réglementaire conformément à un accord de conciliation, elle ne peut modifier cette mesure réglementaire d’une façon qui contourne l’accord de conciliation.</w:t>
      </w:r>
    </w:p>
    <w:p w14:paraId="549E9EFF" w14:textId="77777777" w:rsidR="00987511" w:rsidRPr="00F52884" w:rsidRDefault="00987511" w:rsidP="0015303D">
      <w:pPr>
        <w:rPr>
          <w:rFonts w:cstheme="minorHAnsi"/>
          <w:szCs w:val="23"/>
          <w:lang w:val="fr-CA"/>
        </w:rPr>
      </w:pPr>
    </w:p>
    <w:p w14:paraId="644688D5" w14:textId="614CF8D3" w:rsidR="00987511" w:rsidRPr="00F52884" w:rsidRDefault="00987511" w:rsidP="0015303D">
      <w:pPr>
        <w:rPr>
          <w:rFonts w:cstheme="minorHAnsi"/>
          <w:szCs w:val="23"/>
          <w:lang w:val="fr-CA"/>
        </w:rPr>
      </w:pPr>
      <w:r w:rsidRPr="00F52884">
        <w:rPr>
          <w:rFonts w:cstheme="minorHAnsi"/>
          <w:szCs w:val="23"/>
          <w:lang w:val="fr-CA"/>
        </w:rPr>
        <w:t xml:space="preserve">4. </w:t>
      </w:r>
      <w:r w:rsidRPr="00F52884">
        <w:rPr>
          <w:rFonts w:cstheme="minorHAnsi"/>
          <w:szCs w:val="23"/>
          <w:lang w:val="fr-CA"/>
        </w:rPr>
        <w:tab/>
        <w:t>Les accords de conciliation et les exceptions connexes sont publiés sur le site Web du présent accord.</w:t>
      </w:r>
    </w:p>
    <w:p w14:paraId="00FC3850" w14:textId="77777777" w:rsidR="00987511" w:rsidRPr="00F52884" w:rsidRDefault="00987511" w:rsidP="0015303D">
      <w:pPr>
        <w:pStyle w:val="ListParagraph"/>
        <w:ind w:left="0"/>
        <w:rPr>
          <w:rFonts w:cstheme="minorHAnsi"/>
          <w:szCs w:val="23"/>
          <w:lang w:val="fr-CA"/>
        </w:rPr>
      </w:pPr>
    </w:p>
    <w:p w14:paraId="6708FBE0" w14:textId="60F28EEB" w:rsidR="00987511" w:rsidRPr="00F52884" w:rsidRDefault="00987511" w:rsidP="0015303D">
      <w:pPr>
        <w:pStyle w:val="ListParagraph"/>
        <w:ind w:firstLine="720"/>
        <w:jc w:val="center"/>
        <w:rPr>
          <w:rFonts w:cstheme="minorHAnsi"/>
          <w:b/>
          <w:szCs w:val="23"/>
          <w:lang w:val="fr-CA"/>
        </w:rPr>
      </w:pPr>
      <w:r w:rsidRPr="00F52884">
        <w:rPr>
          <w:rFonts w:cstheme="minorHAnsi"/>
          <w:b/>
          <w:bCs/>
          <w:szCs w:val="23"/>
          <w:lang w:val="fr-CA"/>
        </w:rPr>
        <w:t>Article 404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Table de conciliation et de coopération en matière de réglementation</w:t>
      </w:r>
    </w:p>
    <w:p w14:paraId="5EB39DA9" w14:textId="77777777" w:rsidR="00987511" w:rsidRPr="00F52884" w:rsidRDefault="00987511" w:rsidP="0015303D">
      <w:pPr>
        <w:rPr>
          <w:rFonts w:cstheme="minorHAnsi"/>
          <w:szCs w:val="23"/>
          <w:lang w:val="fr-CA"/>
        </w:rPr>
      </w:pPr>
    </w:p>
    <w:p w14:paraId="2BB4472B" w14:textId="49B36E03" w:rsidR="00987511" w:rsidRPr="00F52884" w:rsidRDefault="00987511" w:rsidP="0015303D">
      <w:pPr>
        <w:pStyle w:val="ListParagraph"/>
        <w:ind w:left="0" w:firstLine="720"/>
        <w:rPr>
          <w:rFonts w:cstheme="minorHAnsi"/>
          <w:szCs w:val="23"/>
          <w:lang w:val="fr-CA"/>
        </w:rPr>
      </w:pPr>
      <w:r w:rsidRPr="00F52884">
        <w:rPr>
          <w:rFonts w:cstheme="minorHAnsi"/>
          <w:szCs w:val="23"/>
          <w:lang w:val="fr-CA"/>
        </w:rPr>
        <w:t>Les Parties constituent une Table de conciliation et de coopération en matière de réglementation (la « TCCR ») chargée de superviser les processus de conciliation et de coopération en matière de réglementation conformément à l’annexe 404.</w:t>
      </w:r>
    </w:p>
    <w:p w14:paraId="3E1B103E" w14:textId="77777777" w:rsidR="00987511" w:rsidRPr="00F52884" w:rsidRDefault="00987511" w:rsidP="0015303D">
      <w:pPr>
        <w:rPr>
          <w:rFonts w:cstheme="minorHAnsi"/>
          <w:szCs w:val="23"/>
          <w:lang w:val="fr-CA"/>
        </w:rPr>
      </w:pPr>
    </w:p>
    <w:p w14:paraId="2F4AE946" w14:textId="75C2B859" w:rsidR="00987511" w:rsidRPr="00F52884" w:rsidRDefault="00987511" w:rsidP="0015303D">
      <w:pPr>
        <w:jc w:val="center"/>
        <w:rPr>
          <w:rFonts w:cstheme="minorHAnsi"/>
          <w:b/>
          <w:szCs w:val="23"/>
          <w:lang w:val="fr-CA"/>
        </w:rPr>
      </w:pPr>
      <w:r w:rsidRPr="00F52884">
        <w:rPr>
          <w:rFonts w:cstheme="minorHAnsi"/>
          <w:b/>
          <w:bCs/>
          <w:szCs w:val="23"/>
          <w:lang w:val="fr-CA"/>
        </w:rPr>
        <w:t>Article 405 :</w:t>
      </w:r>
      <w:r w:rsidRPr="00F52884">
        <w:rPr>
          <w:rFonts w:cstheme="minorHAnsi"/>
          <w:szCs w:val="23"/>
          <w:lang w:val="fr-CA"/>
        </w:rPr>
        <w:tab/>
        <w:t xml:space="preserve"> </w:t>
      </w:r>
      <w:r w:rsidR="00600B9F" w:rsidRPr="00F52884">
        <w:rPr>
          <w:rFonts w:cstheme="minorHAnsi"/>
          <w:szCs w:val="23"/>
          <w:lang w:val="fr-CA"/>
        </w:rPr>
        <w:tab/>
      </w:r>
      <w:r w:rsidRPr="00F52884">
        <w:rPr>
          <w:rFonts w:cstheme="minorHAnsi"/>
          <w:b/>
          <w:bCs/>
          <w:szCs w:val="23"/>
          <w:lang w:val="fr-CA"/>
        </w:rPr>
        <w:t>Exceptions à la conciliation réglementaire</w:t>
      </w:r>
    </w:p>
    <w:p w14:paraId="67E3F898" w14:textId="77777777" w:rsidR="00987511" w:rsidRPr="00F52884" w:rsidRDefault="00987511" w:rsidP="0015303D">
      <w:pPr>
        <w:rPr>
          <w:rFonts w:cstheme="minorHAnsi"/>
          <w:b/>
          <w:szCs w:val="23"/>
          <w:lang w:val="fr-CA"/>
        </w:rPr>
      </w:pPr>
    </w:p>
    <w:p w14:paraId="2FC4DB14" w14:textId="2397A195" w:rsidR="00987511" w:rsidRPr="00F52884" w:rsidRDefault="00987511" w:rsidP="0015303D">
      <w:pPr>
        <w:pStyle w:val="ListParagraph"/>
        <w:ind w:left="0" w:firstLine="720"/>
        <w:rPr>
          <w:rFonts w:cstheme="minorHAnsi"/>
          <w:szCs w:val="23"/>
          <w:lang w:val="fr-CA"/>
        </w:rPr>
      </w:pPr>
      <w:r w:rsidRPr="00F52884">
        <w:rPr>
          <w:rFonts w:cstheme="minorHAnsi"/>
          <w:szCs w:val="23"/>
          <w:lang w:val="fr-CA"/>
        </w:rPr>
        <w:t xml:space="preserve">Si une Partie ne conclut pas d’accord de conciliation, </w:t>
      </w:r>
      <w:proofErr w:type="gramStart"/>
      <w:r w:rsidRPr="00F52884">
        <w:rPr>
          <w:rFonts w:cstheme="minorHAnsi"/>
          <w:szCs w:val="23"/>
          <w:lang w:val="fr-CA"/>
        </w:rPr>
        <w:t>elle  identifie</w:t>
      </w:r>
      <w:proofErr w:type="gramEnd"/>
      <w:r w:rsidRPr="00F52884">
        <w:rPr>
          <w:rFonts w:cstheme="minorHAnsi"/>
          <w:szCs w:val="23"/>
          <w:lang w:val="fr-CA"/>
        </w:rPr>
        <w:t xml:space="preserve"> les mesures réglementaires pertinentes qui sont exclues de l’application de l’article 403.2, selon la forme et la manière spécifiées par la TCCR.</w:t>
      </w:r>
    </w:p>
    <w:p w14:paraId="2E154B69" w14:textId="77777777" w:rsidR="00987511" w:rsidRPr="00F52884" w:rsidRDefault="00987511" w:rsidP="0015303D">
      <w:pPr>
        <w:rPr>
          <w:rFonts w:cstheme="minorHAnsi"/>
          <w:szCs w:val="23"/>
          <w:lang w:val="fr-CA"/>
        </w:rPr>
      </w:pPr>
    </w:p>
    <w:p w14:paraId="01FAB704" w14:textId="0B1E89DA" w:rsidR="00987511" w:rsidRPr="00F52884" w:rsidRDefault="00987511" w:rsidP="0015303D">
      <w:pPr>
        <w:jc w:val="center"/>
        <w:rPr>
          <w:rFonts w:cstheme="minorHAnsi"/>
          <w:b/>
          <w:szCs w:val="23"/>
          <w:lang w:val="fr-CA"/>
        </w:rPr>
      </w:pPr>
      <w:r w:rsidRPr="00F52884">
        <w:rPr>
          <w:rFonts w:cstheme="minorHAnsi"/>
          <w:b/>
          <w:bCs/>
          <w:szCs w:val="23"/>
          <w:lang w:val="fr-CA"/>
        </w:rPr>
        <w:t>Article 406 :</w:t>
      </w:r>
      <w:r w:rsidRPr="00F52884">
        <w:rPr>
          <w:rFonts w:cstheme="minorHAnsi"/>
          <w:szCs w:val="23"/>
          <w:lang w:val="fr-CA"/>
        </w:rPr>
        <w:tab/>
        <w:t xml:space="preserve"> </w:t>
      </w:r>
      <w:r w:rsidR="00600B9F" w:rsidRPr="00F52884">
        <w:rPr>
          <w:rFonts w:cstheme="minorHAnsi"/>
          <w:szCs w:val="23"/>
          <w:lang w:val="fr-CA"/>
        </w:rPr>
        <w:tab/>
      </w:r>
      <w:r w:rsidRPr="00F52884">
        <w:rPr>
          <w:rFonts w:cstheme="minorHAnsi"/>
          <w:b/>
          <w:bCs/>
          <w:szCs w:val="23"/>
          <w:lang w:val="fr-CA"/>
        </w:rPr>
        <w:t>Absence de mesures réglementaires à concilier</w:t>
      </w:r>
    </w:p>
    <w:p w14:paraId="0A4BCCF4" w14:textId="77777777" w:rsidR="00987511" w:rsidRPr="00F52884" w:rsidRDefault="00987511" w:rsidP="0015303D">
      <w:pPr>
        <w:pStyle w:val="ListParagraph"/>
        <w:rPr>
          <w:rFonts w:cstheme="minorHAnsi"/>
          <w:szCs w:val="23"/>
          <w:highlight w:val="yellow"/>
          <w:lang w:val="fr-CA"/>
        </w:rPr>
      </w:pPr>
    </w:p>
    <w:p w14:paraId="19025E79" w14:textId="5A4ED7F3" w:rsidR="00987511" w:rsidRPr="00F52884" w:rsidRDefault="00987511" w:rsidP="00987511">
      <w:pPr>
        <w:pStyle w:val="ListParagraph"/>
        <w:numPr>
          <w:ilvl w:val="0"/>
          <w:numId w:val="77"/>
        </w:numPr>
        <w:ind w:left="0" w:firstLine="0"/>
        <w:rPr>
          <w:rFonts w:cstheme="minorHAnsi"/>
          <w:szCs w:val="23"/>
          <w:lang w:val="fr-CA"/>
        </w:rPr>
      </w:pPr>
      <w:r w:rsidRPr="00F52884">
        <w:rPr>
          <w:rFonts w:cstheme="minorHAnsi"/>
          <w:szCs w:val="23"/>
          <w:lang w:val="fr-CA"/>
        </w:rPr>
        <w:t>Si une Partie n’a pas de mesure réglementaire à concilier dans un domaine visé par la conciliation, elle n’est pas soumise à l’article 403.</w:t>
      </w:r>
    </w:p>
    <w:p w14:paraId="0AEF0A6A" w14:textId="77777777" w:rsidR="00987511" w:rsidRPr="00F52884" w:rsidRDefault="00987511" w:rsidP="0015303D">
      <w:pPr>
        <w:pStyle w:val="ListParagraph"/>
        <w:ind w:left="0"/>
        <w:rPr>
          <w:rFonts w:cstheme="minorHAnsi"/>
          <w:szCs w:val="23"/>
          <w:lang w:val="fr-CA"/>
        </w:rPr>
      </w:pPr>
    </w:p>
    <w:p w14:paraId="0F6F2D29" w14:textId="3468C7C1" w:rsidR="00987511" w:rsidRPr="00F52884" w:rsidRDefault="00987511" w:rsidP="00987511">
      <w:pPr>
        <w:pStyle w:val="ListParagraph"/>
        <w:numPr>
          <w:ilvl w:val="0"/>
          <w:numId w:val="77"/>
        </w:numPr>
        <w:ind w:left="0" w:firstLine="0"/>
        <w:rPr>
          <w:rFonts w:cstheme="minorHAnsi"/>
          <w:szCs w:val="23"/>
          <w:lang w:val="fr-CA"/>
        </w:rPr>
      </w:pPr>
      <w:r w:rsidRPr="00F52884">
        <w:rPr>
          <w:rFonts w:cstheme="minorHAnsi"/>
          <w:szCs w:val="23"/>
          <w:lang w:val="fr-CA"/>
        </w:rPr>
        <w:t>Si une Partie qui n’a pas de mesure réglementaire à concilier participe à la négociation d’un accord de conciliation, son statut est limité à celui d’observateur.</w:t>
      </w:r>
    </w:p>
    <w:p w14:paraId="372432E8" w14:textId="77777777" w:rsidR="00987511" w:rsidRPr="00F52884" w:rsidRDefault="00987511" w:rsidP="0015303D">
      <w:pPr>
        <w:pStyle w:val="ListParagraph"/>
        <w:ind w:left="0"/>
        <w:rPr>
          <w:rFonts w:cstheme="minorHAnsi"/>
          <w:szCs w:val="23"/>
          <w:lang w:val="fr-CA"/>
        </w:rPr>
      </w:pPr>
    </w:p>
    <w:p w14:paraId="02C1C889" w14:textId="5BAFC267" w:rsidR="00987511" w:rsidRPr="00F52884" w:rsidRDefault="00987511" w:rsidP="00987511">
      <w:pPr>
        <w:pStyle w:val="ListParagraph"/>
        <w:numPr>
          <w:ilvl w:val="0"/>
          <w:numId w:val="77"/>
        </w:numPr>
        <w:ind w:left="0" w:firstLine="0"/>
        <w:rPr>
          <w:rFonts w:cstheme="minorHAnsi"/>
          <w:szCs w:val="23"/>
          <w:lang w:val="fr-CA"/>
        </w:rPr>
      </w:pPr>
      <w:r w:rsidRPr="00F52884">
        <w:rPr>
          <w:rFonts w:cstheme="minorHAnsi"/>
          <w:szCs w:val="23"/>
          <w:lang w:val="fr-CA"/>
        </w:rPr>
        <w:t>Si une Partie qui n’a pas de mesure réglementaire à concilier adopte ultérieurement une mesure réglementaire comparable, elle est encouragée à participer à toute négociation d’un accord de conciliation, ou à devenir partie à un tel accord, à défaut de quoi elle identifie sa mesure réglementaire en tant qu’exception conformément à l’article 405.</w:t>
      </w:r>
    </w:p>
    <w:p w14:paraId="5F36EE42" w14:textId="77777777" w:rsidR="00987511" w:rsidRPr="00F52884" w:rsidRDefault="00987511" w:rsidP="0015303D">
      <w:pPr>
        <w:rPr>
          <w:rFonts w:cstheme="minorHAnsi"/>
          <w:szCs w:val="23"/>
          <w:lang w:val="fr-CA"/>
        </w:rPr>
      </w:pPr>
    </w:p>
    <w:p w14:paraId="595F468C" w14:textId="00C1E009" w:rsidR="00987511" w:rsidRPr="00F52884" w:rsidRDefault="00987511" w:rsidP="0015303D">
      <w:pPr>
        <w:jc w:val="center"/>
        <w:rPr>
          <w:rFonts w:cstheme="minorHAnsi"/>
          <w:b/>
          <w:szCs w:val="23"/>
          <w:lang w:val="fr-CA"/>
        </w:rPr>
      </w:pPr>
      <w:r w:rsidRPr="00F52884">
        <w:rPr>
          <w:rFonts w:cstheme="minorHAnsi"/>
          <w:b/>
          <w:bCs/>
          <w:szCs w:val="23"/>
          <w:lang w:val="fr-CA"/>
        </w:rPr>
        <w:t xml:space="preserve">Article 407 : </w:t>
      </w:r>
      <w:r w:rsidRPr="00F52884">
        <w:rPr>
          <w:rFonts w:cstheme="minorHAnsi"/>
          <w:szCs w:val="23"/>
          <w:lang w:val="fr-CA"/>
        </w:rPr>
        <w:tab/>
      </w:r>
      <w:r w:rsidR="00600B9F" w:rsidRPr="00F52884">
        <w:rPr>
          <w:rFonts w:cstheme="minorHAnsi"/>
          <w:szCs w:val="23"/>
          <w:lang w:val="fr-CA"/>
        </w:rPr>
        <w:tab/>
      </w:r>
      <w:r w:rsidRPr="00F52884">
        <w:rPr>
          <w:rFonts w:cstheme="minorHAnsi"/>
          <w:b/>
          <w:bCs/>
          <w:szCs w:val="23"/>
          <w:lang w:val="fr-CA"/>
        </w:rPr>
        <w:t>Examen</w:t>
      </w:r>
    </w:p>
    <w:p w14:paraId="37226145" w14:textId="77777777" w:rsidR="00987511" w:rsidRPr="00F52884" w:rsidRDefault="00987511" w:rsidP="0015303D">
      <w:pPr>
        <w:rPr>
          <w:rFonts w:cstheme="minorHAnsi"/>
          <w:szCs w:val="23"/>
          <w:lang w:val="fr-CA"/>
        </w:rPr>
      </w:pPr>
    </w:p>
    <w:p w14:paraId="3CFA69EF" w14:textId="0D999B77" w:rsidR="00987511" w:rsidRPr="00F52884" w:rsidRDefault="00987511" w:rsidP="0015303D">
      <w:pPr>
        <w:rPr>
          <w:rFonts w:cstheme="minorHAnsi"/>
          <w:szCs w:val="23"/>
          <w:lang w:val="fr-CA"/>
        </w:rPr>
      </w:pPr>
      <w:r w:rsidRPr="00F52884">
        <w:rPr>
          <w:rFonts w:cstheme="minorHAnsi"/>
          <w:szCs w:val="23"/>
          <w:lang w:val="fr-CA"/>
        </w:rPr>
        <w:tab/>
        <w:t>Dans les cinq ans qui suivent la date d’entrée en vigueur, les Parties procèdent à un examen du fonctionnement et de l’efficacité de la présente partie.</w:t>
      </w:r>
    </w:p>
    <w:p w14:paraId="6DBED5CE" w14:textId="77777777" w:rsidR="00987511" w:rsidRPr="00F52884" w:rsidRDefault="00987511" w:rsidP="0015303D">
      <w:pPr>
        <w:rPr>
          <w:rFonts w:cstheme="minorHAnsi"/>
          <w:sz w:val="24"/>
          <w:szCs w:val="24"/>
          <w:lang w:val="fr-CA"/>
        </w:rPr>
      </w:pPr>
    </w:p>
    <w:p w14:paraId="4D1D33D3" w14:textId="58EDD72E" w:rsidR="00987511" w:rsidRPr="00F52884" w:rsidRDefault="00987511" w:rsidP="00600B9F">
      <w:pPr>
        <w:jc w:val="center"/>
        <w:rPr>
          <w:rFonts w:cstheme="minorHAnsi"/>
          <w:b/>
          <w:szCs w:val="23"/>
          <w:lang w:val="fr-CA"/>
        </w:rPr>
      </w:pPr>
      <w:r w:rsidRPr="00F52884">
        <w:rPr>
          <w:rFonts w:eastAsia="Arial" w:cstheme="minorHAnsi"/>
          <w:b/>
          <w:iCs/>
          <w:sz w:val="24"/>
          <w:szCs w:val="24"/>
          <w:lang w:val="fr-CA"/>
        </w:rPr>
        <w:t xml:space="preserve">PARTIE C : </w:t>
      </w:r>
      <w:r w:rsidR="00600B9F" w:rsidRPr="00F52884">
        <w:rPr>
          <w:rFonts w:eastAsia="Arial" w:cstheme="minorHAnsi"/>
          <w:b/>
          <w:iCs/>
          <w:sz w:val="24"/>
          <w:szCs w:val="24"/>
          <w:lang w:val="fr-CA"/>
        </w:rPr>
        <w:tab/>
      </w:r>
      <w:r w:rsidR="00600B9F" w:rsidRPr="00F52884">
        <w:rPr>
          <w:rFonts w:eastAsia="Arial" w:cstheme="minorHAnsi"/>
          <w:b/>
          <w:iCs/>
          <w:sz w:val="24"/>
          <w:szCs w:val="24"/>
          <w:lang w:val="fr-CA"/>
        </w:rPr>
        <w:tab/>
      </w:r>
      <w:r w:rsidRPr="00F52884">
        <w:rPr>
          <w:rFonts w:eastAsia="Arial" w:cstheme="minorHAnsi"/>
          <w:b/>
          <w:iCs/>
          <w:sz w:val="24"/>
          <w:szCs w:val="24"/>
          <w:lang w:val="fr-CA"/>
        </w:rPr>
        <w:t>Coopération en matière de réglementation</w:t>
      </w:r>
    </w:p>
    <w:p w14:paraId="745A0662" w14:textId="77777777" w:rsidR="00987511" w:rsidRPr="00F52884" w:rsidRDefault="00987511" w:rsidP="0015303D">
      <w:pPr>
        <w:rPr>
          <w:rFonts w:cstheme="minorHAnsi"/>
          <w:b/>
          <w:szCs w:val="23"/>
          <w:lang w:val="fr-CA"/>
        </w:rPr>
      </w:pPr>
    </w:p>
    <w:p w14:paraId="3CB3CA8C" w14:textId="3764ED55" w:rsidR="00987511" w:rsidRPr="00F52884" w:rsidRDefault="00987511" w:rsidP="0015303D">
      <w:pPr>
        <w:ind w:firstLine="720"/>
        <w:jc w:val="center"/>
        <w:rPr>
          <w:rFonts w:eastAsia="Arial" w:cstheme="minorHAnsi"/>
          <w:b/>
          <w:szCs w:val="23"/>
          <w:lang w:val="fr-CA"/>
        </w:rPr>
      </w:pPr>
      <w:r w:rsidRPr="00F52884">
        <w:rPr>
          <w:rFonts w:eastAsia="Arial" w:cstheme="minorHAnsi"/>
          <w:b/>
          <w:bCs/>
          <w:szCs w:val="23"/>
          <w:lang w:val="fr-CA"/>
        </w:rPr>
        <w:t>Article 408 :</w:t>
      </w:r>
      <w:r w:rsidRPr="00F52884">
        <w:rPr>
          <w:rFonts w:eastAsia="Arial" w:cstheme="minorHAnsi"/>
          <w:szCs w:val="23"/>
          <w:lang w:val="fr-CA"/>
        </w:rPr>
        <w:tab/>
      </w:r>
      <w:r w:rsidR="00600B9F" w:rsidRPr="00F52884">
        <w:rPr>
          <w:rFonts w:eastAsia="Arial" w:cstheme="minorHAnsi"/>
          <w:szCs w:val="23"/>
          <w:lang w:val="fr-CA"/>
        </w:rPr>
        <w:tab/>
      </w:r>
      <w:r w:rsidRPr="00F52884">
        <w:rPr>
          <w:rFonts w:eastAsia="Arial" w:cstheme="minorHAnsi"/>
          <w:b/>
          <w:bCs/>
          <w:szCs w:val="23"/>
          <w:lang w:val="fr-CA"/>
        </w:rPr>
        <w:t>Élaboration conjointe de futures mesures réglementaires</w:t>
      </w:r>
    </w:p>
    <w:p w14:paraId="586E3AE5" w14:textId="77777777" w:rsidR="00987511" w:rsidRPr="00F52884" w:rsidRDefault="00987511" w:rsidP="0015303D">
      <w:pPr>
        <w:rPr>
          <w:rFonts w:eastAsia="Arial" w:cstheme="minorHAnsi"/>
          <w:b/>
          <w:szCs w:val="23"/>
          <w:lang w:val="fr-CA"/>
        </w:rPr>
      </w:pPr>
    </w:p>
    <w:p w14:paraId="17D63B76" w14:textId="070558E3" w:rsidR="00987511" w:rsidRPr="00F52884" w:rsidRDefault="00987511" w:rsidP="0015303D">
      <w:pPr>
        <w:rPr>
          <w:rFonts w:eastAsia="Arial" w:cstheme="minorHAnsi"/>
          <w:szCs w:val="23"/>
          <w:lang w:val="fr-CA"/>
        </w:rPr>
      </w:pPr>
      <w:r w:rsidRPr="00F52884">
        <w:rPr>
          <w:rFonts w:eastAsia="Arial" w:cstheme="minorHAnsi"/>
          <w:szCs w:val="23"/>
          <w:lang w:val="fr-CA"/>
        </w:rPr>
        <w:t>1.</w:t>
      </w:r>
      <w:r w:rsidRPr="00F52884">
        <w:rPr>
          <w:rFonts w:eastAsia="Arial" w:cstheme="minorHAnsi"/>
          <w:szCs w:val="23"/>
          <w:lang w:val="fr-CA"/>
        </w:rPr>
        <w:tab/>
        <w:t>Une Partie peut identifier et proposer à la TCCR que les Parties coopèrent, à l’élaboration de futures mesures réglementaires dans le but, selon le cas :</w:t>
      </w:r>
    </w:p>
    <w:p w14:paraId="10B3D04C" w14:textId="77777777" w:rsidR="00987511" w:rsidRPr="00F52884" w:rsidRDefault="00987511" w:rsidP="0015303D">
      <w:pPr>
        <w:rPr>
          <w:rFonts w:eastAsia="Arial" w:cstheme="minorHAnsi"/>
          <w:szCs w:val="23"/>
          <w:lang w:val="fr-CA"/>
        </w:rPr>
      </w:pPr>
    </w:p>
    <w:p w14:paraId="5D4AB073" w14:textId="406ED507" w:rsidR="00987511" w:rsidRPr="00F52884" w:rsidRDefault="00987511" w:rsidP="00987511">
      <w:pPr>
        <w:pStyle w:val="ListParagraph"/>
        <w:numPr>
          <w:ilvl w:val="0"/>
          <w:numId w:val="58"/>
        </w:numPr>
        <w:ind w:left="1440" w:hanging="720"/>
        <w:rPr>
          <w:rFonts w:eastAsia="Arial" w:cstheme="minorHAnsi"/>
          <w:szCs w:val="23"/>
          <w:lang w:val="fr-CA"/>
        </w:rPr>
      </w:pPr>
      <w:proofErr w:type="gramStart"/>
      <w:r w:rsidRPr="00F52884">
        <w:rPr>
          <w:rFonts w:eastAsia="Arial" w:cstheme="minorHAnsi"/>
          <w:szCs w:val="23"/>
          <w:lang w:val="fr-CA"/>
        </w:rPr>
        <w:t>d'éviter</w:t>
      </w:r>
      <w:proofErr w:type="gramEnd"/>
      <w:r w:rsidRPr="00F52884">
        <w:rPr>
          <w:rFonts w:eastAsia="Arial" w:cstheme="minorHAnsi"/>
          <w:szCs w:val="23"/>
          <w:lang w:val="fr-CA"/>
        </w:rPr>
        <w:t xml:space="preserve"> des divergences entre les réglementations susceptibles d’entraver le commerce, l’investissement ou la mobilité de la main-d’œuvre à l’intérieur du Canada;</w:t>
      </w:r>
    </w:p>
    <w:p w14:paraId="15601880" w14:textId="77777777" w:rsidR="00987511" w:rsidRPr="00F52884" w:rsidRDefault="00987511" w:rsidP="00987511">
      <w:pPr>
        <w:pStyle w:val="ListParagraph"/>
        <w:ind w:left="1440" w:hanging="720"/>
        <w:rPr>
          <w:rFonts w:eastAsia="Arial" w:cstheme="minorHAnsi"/>
          <w:szCs w:val="23"/>
          <w:lang w:val="fr-CA"/>
        </w:rPr>
      </w:pPr>
    </w:p>
    <w:p w14:paraId="2298AF7B" w14:textId="76EF4D4C" w:rsidR="00987511" w:rsidRPr="00F52884" w:rsidRDefault="00987511" w:rsidP="00987511">
      <w:pPr>
        <w:pStyle w:val="ListParagraph"/>
        <w:numPr>
          <w:ilvl w:val="0"/>
          <w:numId w:val="58"/>
        </w:numPr>
        <w:ind w:left="1440" w:hanging="720"/>
        <w:rPr>
          <w:rFonts w:eastAsia="Arial" w:cstheme="minorHAnsi"/>
          <w:szCs w:val="23"/>
          <w:lang w:val="fr-CA"/>
        </w:rPr>
      </w:pPr>
      <w:proofErr w:type="gramStart"/>
      <w:r w:rsidRPr="00F52884">
        <w:rPr>
          <w:rFonts w:eastAsia="Arial" w:cstheme="minorHAnsi"/>
          <w:szCs w:val="23"/>
          <w:lang w:val="fr-CA"/>
        </w:rPr>
        <w:t>de</w:t>
      </w:r>
      <w:proofErr w:type="gramEnd"/>
      <w:r w:rsidRPr="00F52884">
        <w:rPr>
          <w:rFonts w:eastAsia="Arial" w:cstheme="minorHAnsi"/>
          <w:szCs w:val="23"/>
          <w:lang w:val="fr-CA"/>
        </w:rPr>
        <w:t xml:space="preserve"> stimuler l’innovation, la concurrence ou la croissance dans les industries, les technologies ou les secteurs émergents;</w:t>
      </w:r>
    </w:p>
    <w:p w14:paraId="5690D860" w14:textId="77777777" w:rsidR="00987511" w:rsidRPr="00F52884" w:rsidRDefault="00987511" w:rsidP="00987511">
      <w:pPr>
        <w:pStyle w:val="ListParagraph"/>
        <w:ind w:left="1440" w:hanging="720"/>
        <w:rPr>
          <w:rFonts w:eastAsia="Arial" w:cstheme="minorHAnsi"/>
          <w:szCs w:val="23"/>
          <w:lang w:val="fr-CA"/>
        </w:rPr>
      </w:pPr>
    </w:p>
    <w:p w14:paraId="0DC9BAC9" w14:textId="6A3B4584" w:rsidR="00987511" w:rsidRPr="00F52884" w:rsidRDefault="00987511" w:rsidP="00987511">
      <w:pPr>
        <w:pStyle w:val="ListParagraph"/>
        <w:numPr>
          <w:ilvl w:val="0"/>
          <w:numId w:val="58"/>
        </w:numPr>
        <w:ind w:left="1440" w:hanging="720"/>
        <w:rPr>
          <w:rFonts w:eastAsia="Arial" w:cstheme="minorHAnsi"/>
          <w:szCs w:val="23"/>
          <w:lang w:val="fr-CA"/>
        </w:rPr>
      </w:pPr>
      <w:proofErr w:type="gramStart"/>
      <w:r w:rsidRPr="00F52884">
        <w:rPr>
          <w:rFonts w:eastAsia="Arial" w:cstheme="minorHAnsi"/>
          <w:szCs w:val="23"/>
          <w:lang w:val="fr-CA"/>
        </w:rPr>
        <w:t>de</w:t>
      </w:r>
      <w:proofErr w:type="gramEnd"/>
      <w:r w:rsidRPr="00F52884">
        <w:rPr>
          <w:rFonts w:eastAsia="Arial" w:cstheme="minorHAnsi"/>
          <w:szCs w:val="23"/>
          <w:lang w:val="fr-CA"/>
        </w:rPr>
        <w:t xml:space="preserve"> faire en sorte que, lorsque cela est possible, des processus communs aux Parties existent pour la mise en œuvre de futures mesures réglementaires afin de simplifier les processus d’approbation et de réduire au minimum la charge administrative pour les entreprises qui exercent des activités dans plusieurs </w:t>
      </w:r>
      <w:r w:rsidR="007A1C46" w:rsidRPr="00F52884">
        <w:rPr>
          <w:rFonts w:eastAsia="Arial" w:cstheme="minorHAnsi"/>
          <w:szCs w:val="23"/>
          <w:lang w:val="fr-CA"/>
        </w:rPr>
        <w:t>Provinces</w:t>
      </w:r>
      <w:r w:rsidRPr="00F52884">
        <w:rPr>
          <w:rFonts w:eastAsia="Arial" w:cstheme="minorHAnsi"/>
          <w:szCs w:val="23"/>
          <w:lang w:val="fr-CA"/>
        </w:rPr>
        <w:t>.</w:t>
      </w:r>
    </w:p>
    <w:p w14:paraId="0F0F77AE" w14:textId="77777777" w:rsidR="00987511" w:rsidRPr="00F52884" w:rsidRDefault="00987511" w:rsidP="0015303D">
      <w:pPr>
        <w:rPr>
          <w:rFonts w:eastAsia="Arial" w:cstheme="minorHAnsi"/>
          <w:szCs w:val="23"/>
          <w:lang w:val="fr-CA"/>
        </w:rPr>
      </w:pPr>
    </w:p>
    <w:p w14:paraId="5F6F0CB3" w14:textId="037C2C9E" w:rsidR="00987511" w:rsidRPr="00F52884" w:rsidRDefault="00987511" w:rsidP="0015303D">
      <w:pPr>
        <w:rPr>
          <w:rFonts w:cstheme="minorHAnsi"/>
          <w:b/>
          <w:szCs w:val="23"/>
          <w:lang w:val="fr-CA"/>
        </w:rPr>
      </w:pPr>
      <w:r w:rsidRPr="00F52884">
        <w:rPr>
          <w:rFonts w:eastAsia="Arial" w:cstheme="minorHAnsi"/>
          <w:szCs w:val="23"/>
          <w:lang w:val="fr-CA"/>
        </w:rPr>
        <w:t>2.</w:t>
      </w:r>
      <w:r w:rsidRPr="00F52884">
        <w:rPr>
          <w:rFonts w:eastAsia="Arial" w:cstheme="minorHAnsi"/>
          <w:szCs w:val="23"/>
          <w:lang w:val="fr-CA"/>
        </w:rPr>
        <w:tab/>
        <w:t>Une Partie n’est pas tenue de participer à l’élaboration de la future mesure réglementaire ni d’adopter la future mesure réglementaire à l’issue d’un processus d’élaboration conjointe.</w:t>
      </w:r>
    </w:p>
    <w:p w14:paraId="42471B99" w14:textId="77777777" w:rsidR="00987511" w:rsidRPr="00F52884" w:rsidRDefault="00987511" w:rsidP="0015303D">
      <w:pPr>
        <w:rPr>
          <w:rFonts w:cstheme="minorHAnsi"/>
          <w:b/>
          <w:bCs/>
          <w:szCs w:val="23"/>
          <w:lang w:val="fr-CA"/>
        </w:rPr>
      </w:pPr>
    </w:p>
    <w:p w14:paraId="7F406C03" w14:textId="77777777" w:rsidR="00600B9F" w:rsidRPr="00F52884" w:rsidRDefault="00600B9F">
      <w:pPr>
        <w:rPr>
          <w:rFonts w:cstheme="minorHAnsi"/>
          <w:b/>
          <w:bCs/>
          <w:szCs w:val="23"/>
          <w:lang w:val="fr-CA"/>
        </w:rPr>
      </w:pPr>
      <w:r w:rsidRPr="00F52884">
        <w:rPr>
          <w:rFonts w:cstheme="minorHAnsi"/>
          <w:b/>
          <w:bCs/>
          <w:szCs w:val="23"/>
          <w:lang w:val="fr-CA"/>
        </w:rPr>
        <w:br w:type="page"/>
      </w:r>
    </w:p>
    <w:p w14:paraId="3CFA9DFD" w14:textId="4DC866C4" w:rsidR="00987511" w:rsidRPr="00F52884" w:rsidRDefault="00987511" w:rsidP="0015303D">
      <w:pPr>
        <w:jc w:val="center"/>
        <w:rPr>
          <w:rFonts w:cstheme="minorHAnsi"/>
          <w:b/>
          <w:szCs w:val="23"/>
          <w:lang w:val="fr-CA"/>
        </w:rPr>
      </w:pPr>
      <w:r w:rsidRPr="00F52884">
        <w:rPr>
          <w:rFonts w:cstheme="minorHAnsi"/>
          <w:b/>
          <w:bCs/>
          <w:szCs w:val="23"/>
          <w:lang w:val="fr-CA"/>
        </w:rPr>
        <w:lastRenderedPageBreak/>
        <w:t>Annexe 404 :</w:t>
      </w:r>
      <w:r w:rsidRPr="00F52884">
        <w:rPr>
          <w:rFonts w:cstheme="minorHAnsi"/>
          <w:szCs w:val="23"/>
          <w:lang w:val="fr-CA"/>
        </w:rPr>
        <w:t xml:space="preserve"> </w:t>
      </w:r>
      <w:r w:rsidR="00600B9F" w:rsidRPr="00F52884">
        <w:rPr>
          <w:rFonts w:cstheme="minorHAnsi"/>
          <w:szCs w:val="23"/>
          <w:lang w:val="fr-CA"/>
        </w:rPr>
        <w:tab/>
      </w:r>
      <w:r w:rsidRPr="00F52884">
        <w:rPr>
          <w:rFonts w:cstheme="minorHAnsi"/>
          <w:b/>
          <w:bCs/>
          <w:szCs w:val="23"/>
          <w:lang w:val="fr-CA"/>
        </w:rPr>
        <w:t>Conciliation et coopération en matière de réglementation</w:t>
      </w:r>
    </w:p>
    <w:p w14:paraId="758BD1D7" w14:textId="77777777" w:rsidR="00987511" w:rsidRPr="00F52884" w:rsidRDefault="00987511" w:rsidP="0015303D">
      <w:pPr>
        <w:rPr>
          <w:rFonts w:cstheme="minorHAnsi"/>
          <w:szCs w:val="23"/>
          <w:lang w:val="fr-CA"/>
        </w:rPr>
      </w:pPr>
    </w:p>
    <w:p w14:paraId="0FFE2AA2" w14:textId="1C1B3DFA" w:rsidR="00987511" w:rsidRPr="00F52884" w:rsidRDefault="00987511" w:rsidP="0015303D">
      <w:pPr>
        <w:rPr>
          <w:rFonts w:cstheme="minorHAnsi"/>
          <w:i/>
          <w:szCs w:val="23"/>
          <w:lang w:val="fr-CA"/>
        </w:rPr>
      </w:pPr>
      <w:r w:rsidRPr="00F52884">
        <w:rPr>
          <w:rFonts w:cstheme="minorHAnsi"/>
          <w:i/>
          <w:szCs w:val="23"/>
          <w:lang w:val="fr-CA"/>
        </w:rPr>
        <w:t>Dispositions générales</w:t>
      </w:r>
    </w:p>
    <w:p w14:paraId="24B63057" w14:textId="77777777" w:rsidR="00987511" w:rsidRPr="00F52884" w:rsidRDefault="00987511" w:rsidP="0015303D">
      <w:pPr>
        <w:rPr>
          <w:rFonts w:cstheme="minorHAnsi"/>
          <w:szCs w:val="23"/>
          <w:lang w:val="fr-CA"/>
        </w:rPr>
      </w:pPr>
    </w:p>
    <w:p w14:paraId="7C6948E0" w14:textId="35354E48" w:rsidR="00987511" w:rsidRPr="00F52884" w:rsidRDefault="00987511" w:rsidP="00600B9F">
      <w:pPr>
        <w:pStyle w:val="ListParagraph"/>
        <w:numPr>
          <w:ilvl w:val="6"/>
          <w:numId w:val="431"/>
        </w:numPr>
        <w:ind w:left="720" w:hanging="720"/>
        <w:rPr>
          <w:rFonts w:cstheme="minorHAnsi"/>
          <w:szCs w:val="23"/>
          <w:lang w:val="fr-CA"/>
        </w:rPr>
      </w:pPr>
      <w:r w:rsidRPr="00F52884">
        <w:rPr>
          <w:rFonts w:cstheme="minorHAnsi"/>
          <w:szCs w:val="23"/>
          <w:lang w:val="fr-CA"/>
        </w:rPr>
        <w:t>En ce qui concerne la conciliation réglementaire, chaque Partie reconnaît :</w:t>
      </w:r>
    </w:p>
    <w:p w14:paraId="6E1DC052" w14:textId="77777777" w:rsidR="00987511" w:rsidRPr="00F52884" w:rsidRDefault="00987511" w:rsidP="0015303D">
      <w:pPr>
        <w:ind w:left="720" w:hanging="720"/>
        <w:rPr>
          <w:rFonts w:cstheme="minorHAnsi"/>
          <w:szCs w:val="23"/>
          <w:lang w:val="fr-CA"/>
        </w:rPr>
      </w:pPr>
    </w:p>
    <w:p w14:paraId="0667E8E0" w14:textId="5EF392F5" w:rsidR="00987511" w:rsidRPr="00F52884" w:rsidRDefault="00987511" w:rsidP="00987511">
      <w:pPr>
        <w:pStyle w:val="ListParagraph"/>
        <w:numPr>
          <w:ilvl w:val="1"/>
          <w:numId w:val="96"/>
        </w:numPr>
        <w:ind w:hanging="720"/>
        <w:rPr>
          <w:rFonts w:cstheme="minorHAnsi"/>
          <w:szCs w:val="23"/>
          <w:lang w:val="fr-CA"/>
        </w:rPr>
      </w:pPr>
      <w:proofErr w:type="gramStart"/>
      <w:r w:rsidRPr="00F52884">
        <w:rPr>
          <w:rFonts w:cstheme="minorHAnsi"/>
          <w:szCs w:val="23"/>
          <w:lang w:val="fr-CA"/>
        </w:rPr>
        <w:t>d’une</w:t>
      </w:r>
      <w:proofErr w:type="gramEnd"/>
      <w:r w:rsidRPr="00F52884">
        <w:rPr>
          <w:rFonts w:cstheme="minorHAnsi"/>
          <w:szCs w:val="23"/>
          <w:lang w:val="fr-CA"/>
        </w:rPr>
        <w:t xml:space="preserve"> part, l’importance d’obtenir la participation des parties prenantes concernées pour faciliter la détermination des principales priorités qui relèvent de sa compétence;</w:t>
      </w:r>
    </w:p>
    <w:p w14:paraId="5B5DA02E" w14:textId="77777777" w:rsidR="00987511" w:rsidRPr="00F52884" w:rsidRDefault="00987511" w:rsidP="00987511">
      <w:pPr>
        <w:pStyle w:val="ListParagraph"/>
        <w:ind w:left="1440" w:hanging="720"/>
        <w:rPr>
          <w:rFonts w:cstheme="minorHAnsi"/>
          <w:szCs w:val="23"/>
          <w:lang w:val="fr-CA"/>
        </w:rPr>
      </w:pPr>
    </w:p>
    <w:p w14:paraId="31D6F781" w14:textId="71D6FDAC" w:rsidR="00987511" w:rsidRPr="00F52884" w:rsidRDefault="00987511" w:rsidP="00987511">
      <w:pPr>
        <w:pStyle w:val="ListParagraph"/>
        <w:numPr>
          <w:ilvl w:val="1"/>
          <w:numId w:val="96"/>
        </w:numPr>
        <w:ind w:hanging="720"/>
        <w:rPr>
          <w:rFonts w:cstheme="minorHAnsi"/>
          <w:szCs w:val="23"/>
          <w:lang w:val="fr-CA"/>
        </w:rPr>
      </w:pPr>
      <w:proofErr w:type="gramStart"/>
      <w:r w:rsidRPr="00F52884">
        <w:rPr>
          <w:rFonts w:cstheme="minorHAnsi"/>
          <w:szCs w:val="23"/>
          <w:lang w:val="fr-CA"/>
        </w:rPr>
        <w:t>d’autre</w:t>
      </w:r>
      <w:proofErr w:type="gramEnd"/>
      <w:r w:rsidRPr="00F52884">
        <w:rPr>
          <w:rFonts w:cstheme="minorHAnsi"/>
          <w:szCs w:val="23"/>
          <w:lang w:val="fr-CA"/>
        </w:rPr>
        <w:t xml:space="preserve"> part, que toute modification d’une mesure réglementaire de nature législative nécessitera l’approbation du Parlement du Canada ou d’une législature, selon le cas.</w:t>
      </w:r>
    </w:p>
    <w:p w14:paraId="1EE1CDD5" w14:textId="77777777" w:rsidR="00987511" w:rsidRPr="00F52884" w:rsidRDefault="00987511" w:rsidP="0015303D">
      <w:pPr>
        <w:pStyle w:val="ListParagraph"/>
        <w:spacing w:after="240"/>
        <w:ind w:left="1440" w:right="851"/>
        <w:rPr>
          <w:rFonts w:cstheme="minorHAnsi"/>
          <w:szCs w:val="23"/>
          <w:lang w:val="fr-CA"/>
        </w:rPr>
      </w:pPr>
    </w:p>
    <w:p w14:paraId="57A2202C" w14:textId="164B0F4B"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Chaque Partie désigne un représentant, nommé par son premier ministre, habilité à siéger à la TCCR.</w:t>
      </w:r>
    </w:p>
    <w:p w14:paraId="01B90FE1" w14:textId="77777777" w:rsidR="00987511" w:rsidRPr="00F52884" w:rsidRDefault="00987511" w:rsidP="0015303D">
      <w:pPr>
        <w:rPr>
          <w:rFonts w:cstheme="minorHAnsi"/>
          <w:szCs w:val="23"/>
          <w:lang w:val="fr-CA"/>
        </w:rPr>
      </w:pPr>
    </w:p>
    <w:p w14:paraId="33A2E0B0" w14:textId="50E6FFAA"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La TCCR dirige les travaux visant à :</w:t>
      </w:r>
    </w:p>
    <w:p w14:paraId="0A929164" w14:textId="77777777" w:rsidR="00987511" w:rsidRPr="00F52884" w:rsidRDefault="00987511" w:rsidP="0015303D">
      <w:pPr>
        <w:ind w:left="720" w:hanging="720"/>
        <w:rPr>
          <w:rFonts w:cstheme="minorHAnsi"/>
          <w:szCs w:val="23"/>
          <w:lang w:val="fr-CA"/>
        </w:rPr>
      </w:pPr>
    </w:p>
    <w:p w14:paraId="33E05E74" w14:textId="3288E155" w:rsidR="00987511" w:rsidRPr="00F52884" w:rsidRDefault="00987511" w:rsidP="00987511">
      <w:pPr>
        <w:pStyle w:val="ListParagraph"/>
        <w:numPr>
          <w:ilvl w:val="0"/>
          <w:numId w:val="61"/>
        </w:numPr>
        <w:ind w:hanging="720"/>
        <w:rPr>
          <w:rFonts w:cstheme="minorHAnsi"/>
          <w:szCs w:val="23"/>
          <w:lang w:val="fr-CA"/>
        </w:rPr>
      </w:pPr>
      <w:proofErr w:type="gramStart"/>
      <w:r w:rsidRPr="00F52884">
        <w:rPr>
          <w:rFonts w:cstheme="minorHAnsi"/>
          <w:szCs w:val="23"/>
          <w:lang w:val="fr-CA"/>
        </w:rPr>
        <w:t>concilier</w:t>
      </w:r>
      <w:proofErr w:type="gramEnd"/>
      <w:r w:rsidRPr="00F52884">
        <w:rPr>
          <w:rFonts w:cstheme="minorHAnsi"/>
          <w:szCs w:val="23"/>
          <w:lang w:val="fr-CA"/>
        </w:rPr>
        <w:t xml:space="preserve"> les mesures réglementaires identifiées conformément à l’article 403.1;</w:t>
      </w:r>
    </w:p>
    <w:p w14:paraId="419459AA" w14:textId="77777777" w:rsidR="00987511" w:rsidRPr="00F52884" w:rsidRDefault="00987511" w:rsidP="00987511">
      <w:pPr>
        <w:ind w:left="1440" w:hanging="720"/>
        <w:rPr>
          <w:rFonts w:cstheme="minorHAnsi"/>
          <w:szCs w:val="23"/>
          <w:lang w:val="fr-CA"/>
        </w:rPr>
      </w:pPr>
    </w:p>
    <w:p w14:paraId="73409A35" w14:textId="483943FC" w:rsidR="00987511" w:rsidRPr="00F52884" w:rsidRDefault="00987511" w:rsidP="00987511">
      <w:pPr>
        <w:pStyle w:val="ListParagraph"/>
        <w:numPr>
          <w:ilvl w:val="0"/>
          <w:numId w:val="61"/>
        </w:numPr>
        <w:ind w:hanging="720"/>
        <w:rPr>
          <w:rFonts w:cstheme="minorHAnsi"/>
          <w:szCs w:val="23"/>
          <w:lang w:val="fr-CA"/>
        </w:rPr>
      </w:pPr>
      <w:proofErr w:type="gramStart"/>
      <w:r w:rsidRPr="00F52884">
        <w:rPr>
          <w:rFonts w:cstheme="minorHAnsi"/>
          <w:szCs w:val="23"/>
          <w:lang w:val="fr-CA"/>
        </w:rPr>
        <w:t>coopérer</w:t>
      </w:r>
      <w:proofErr w:type="gramEnd"/>
      <w:r w:rsidRPr="00F52884">
        <w:rPr>
          <w:rFonts w:cstheme="minorHAnsi"/>
          <w:szCs w:val="23"/>
          <w:lang w:val="fr-CA"/>
        </w:rPr>
        <w:t xml:space="preserve"> à l’élaboration de futures mesures réglementaires conformément à l’article 408.</w:t>
      </w:r>
    </w:p>
    <w:p w14:paraId="1068E016" w14:textId="77777777" w:rsidR="00987511" w:rsidRPr="00F52884" w:rsidRDefault="00987511" w:rsidP="0015303D">
      <w:pPr>
        <w:pStyle w:val="ListParagraph"/>
        <w:ind w:hanging="720"/>
        <w:rPr>
          <w:rFonts w:cstheme="minorHAnsi"/>
          <w:szCs w:val="23"/>
          <w:lang w:val="fr-CA"/>
        </w:rPr>
      </w:pPr>
    </w:p>
    <w:p w14:paraId="22697726" w14:textId="762B434D"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La TCCR peut établir les pratiques administratives qu’elle considère comme nécessaires à la réalisation de son mandat.</w:t>
      </w:r>
    </w:p>
    <w:p w14:paraId="430CA766" w14:textId="77777777" w:rsidR="00987511" w:rsidRPr="00F52884" w:rsidRDefault="00987511" w:rsidP="0015303D">
      <w:pPr>
        <w:rPr>
          <w:rFonts w:cstheme="minorHAnsi"/>
          <w:szCs w:val="23"/>
          <w:lang w:val="fr-CA"/>
        </w:rPr>
      </w:pPr>
    </w:p>
    <w:p w14:paraId="577ECF8B" w14:textId="4AE00494"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Chaque Partie prenant part à un processus de conciliation fait en sorte que ses mesures réglementaires ayant fait l’objet de la conciliation soient compatibles avec le présent accord.</w:t>
      </w:r>
    </w:p>
    <w:p w14:paraId="36ECD905" w14:textId="77777777" w:rsidR="00987511" w:rsidRPr="00F52884" w:rsidRDefault="00987511" w:rsidP="0015303D">
      <w:pPr>
        <w:rPr>
          <w:rFonts w:cstheme="minorHAnsi"/>
          <w:szCs w:val="23"/>
          <w:lang w:val="fr-CA"/>
        </w:rPr>
      </w:pPr>
    </w:p>
    <w:p w14:paraId="374E6045" w14:textId="300D288B"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Les Parties qui procèdent à la conciliation devraient prendre en considération toutes les obligations internationales pertinentes.</w:t>
      </w:r>
    </w:p>
    <w:p w14:paraId="54D00D88" w14:textId="77777777" w:rsidR="00987511" w:rsidRPr="00F52884" w:rsidRDefault="00987511" w:rsidP="0015303D">
      <w:pPr>
        <w:rPr>
          <w:rFonts w:cstheme="minorHAnsi"/>
          <w:szCs w:val="23"/>
          <w:lang w:val="fr-CA"/>
        </w:rPr>
      </w:pPr>
    </w:p>
    <w:p w14:paraId="4CA40BC6" w14:textId="0521FA53"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La TCCR dresse un rapport annuel de ses travaux, qui sera publié sur le site Web du présent accord.</w:t>
      </w:r>
    </w:p>
    <w:p w14:paraId="4C647DF3" w14:textId="77777777" w:rsidR="00987511" w:rsidRPr="00F52884" w:rsidRDefault="00987511" w:rsidP="0015303D">
      <w:pPr>
        <w:rPr>
          <w:rFonts w:cstheme="minorHAnsi"/>
          <w:szCs w:val="23"/>
          <w:lang w:val="fr-CA"/>
        </w:rPr>
      </w:pPr>
    </w:p>
    <w:p w14:paraId="4640B702" w14:textId="77777777" w:rsidR="00987511" w:rsidRPr="00F52884" w:rsidRDefault="00987511" w:rsidP="0015303D">
      <w:pPr>
        <w:rPr>
          <w:rFonts w:cstheme="minorHAnsi"/>
          <w:i/>
          <w:szCs w:val="23"/>
          <w:lang w:val="fr-CA"/>
        </w:rPr>
      </w:pPr>
      <w:r w:rsidRPr="00F52884">
        <w:rPr>
          <w:rFonts w:cstheme="minorHAnsi"/>
          <w:i/>
          <w:szCs w:val="23"/>
          <w:lang w:val="fr-CA"/>
        </w:rPr>
        <w:t>Plans de travail</w:t>
      </w:r>
    </w:p>
    <w:p w14:paraId="3BB99880" w14:textId="77777777" w:rsidR="00987511" w:rsidRPr="00F52884" w:rsidRDefault="00987511" w:rsidP="0015303D">
      <w:pPr>
        <w:rPr>
          <w:rFonts w:cstheme="minorHAnsi"/>
          <w:szCs w:val="23"/>
          <w:lang w:val="fr-CA"/>
        </w:rPr>
      </w:pPr>
    </w:p>
    <w:p w14:paraId="5A1C38FF" w14:textId="5CD1F5C5"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Sur la base des mesures réglementaires identifiées conformément à l’article 403.1, la TCCR présente au Comité un plan de travail annuel qui mentionne notamment :</w:t>
      </w:r>
    </w:p>
    <w:p w14:paraId="07C367F4" w14:textId="77777777" w:rsidR="00987511" w:rsidRPr="00F52884" w:rsidRDefault="00987511" w:rsidP="0015303D">
      <w:pPr>
        <w:pStyle w:val="ListParagraph"/>
        <w:ind w:hanging="720"/>
        <w:rPr>
          <w:rFonts w:cstheme="minorHAnsi"/>
          <w:szCs w:val="23"/>
          <w:lang w:val="fr-CA"/>
        </w:rPr>
      </w:pPr>
    </w:p>
    <w:p w14:paraId="6E77C2E5" w14:textId="7DCE78D4" w:rsidR="00987511" w:rsidRPr="00F52884" w:rsidRDefault="00987511" w:rsidP="00987511">
      <w:pPr>
        <w:pStyle w:val="ListParagraph"/>
        <w:numPr>
          <w:ilvl w:val="0"/>
          <w:numId w:val="62"/>
        </w:numPr>
        <w:ind w:left="1440"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accords de conciliation devant être conclus au cours de l’année à venir ou des deux années à venir;</w:t>
      </w:r>
    </w:p>
    <w:p w14:paraId="037CC16F" w14:textId="77777777" w:rsidR="00987511" w:rsidRPr="00F52884" w:rsidRDefault="00987511" w:rsidP="00987511">
      <w:pPr>
        <w:pStyle w:val="ListParagraph"/>
        <w:ind w:left="1440" w:hanging="720"/>
        <w:rPr>
          <w:rFonts w:cstheme="minorHAnsi"/>
          <w:szCs w:val="23"/>
          <w:lang w:val="fr-CA"/>
        </w:rPr>
      </w:pPr>
    </w:p>
    <w:p w14:paraId="641564B6" w14:textId="5D4DDEE3" w:rsidR="00987511" w:rsidRPr="00F52884" w:rsidRDefault="00987511" w:rsidP="00987511">
      <w:pPr>
        <w:pStyle w:val="ListParagraph"/>
        <w:numPr>
          <w:ilvl w:val="0"/>
          <w:numId w:val="62"/>
        </w:numPr>
        <w:ind w:left="1440"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mesures réglementaires devant faire l’objet d’accords de conciliation; </w:t>
      </w:r>
    </w:p>
    <w:p w14:paraId="23C58C76" w14:textId="77777777" w:rsidR="00987511" w:rsidRPr="00F52884" w:rsidRDefault="00987511" w:rsidP="00987511">
      <w:pPr>
        <w:ind w:left="1440" w:hanging="720"/>
        <w:rPr>
          <w:rFonts w:cstheme="minorHAnsi"/>
          <w:szCs w:val="23"/>
          <w:lang w:val="fr-CA"/>
        </w:rPr>
      </w:pPr>
    </w:p>
    <w:p w14:paraId="6CAA4562" w14:textId="77777777" w:rsidR="00987511" w:rsidRPr="00F52884" w:rsidRDefault="00987511" w:rsidP="00987511">
      <w:pPr>
        <w:pStyle w:val="ListParagraph"/>
        <w:numPr>
          <w:ilvl w:val="0"/>
          <w:numId w:val="62"/>
        </w:numPr>
        <w:ind w:left="1440" w:hanging="72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résultat souhaité pour chaque accord de conciliation;</w:t>
      </w:r>
    </w:p>
    <w:p w14:paraId="5B34BB7C" w14:textId="77777777" w:rsidR="00987511" w:rsidRPr="00F52884" w:rsidRDefault="00987511" w:rsidP="00987511">
      <w:pPr>
        <w:ind w:left="1440" w:hanging="720"/>
        <w:rPr>
          <w:rFonts w:cstheme="minorHAnsi"/>
          <w:szCs w:val="23"/>
          <w:lang w:val="fr-CA"/>
        </w:rPr>
      </w:pPr>
    </w:p>
    <w:p w14:paraId="110959B1" w14:textId="64944A98" w:rsidR="00987511" w:rsidRPr="00F52884" w:rsidRDefault="00987511" w:rsidP="00987511">
      <w:pPr>
        <w:pStyle w:val="ListParagraph"/>
        <w:numPr>
          <w:ilvl w:val="0"/>
          <w:numId w:val="62"/>
        </w:numPr>
        <w:ind w:left="1440" w:hanging="720"/>
        <w:rPr>
          <w:rFonts w:cstheme="minorHAnsi"/>
          <w:szCs w:val="23"/>
          <w:lang w:val="fr-CA"/>
        </w:rPr>
      </w:pPr>
      <w:proofErr w:type="gramStart"/>
      <w:r w:rsidRPr="00F52884">
        <w:rPr>
          <w:rFonts w:cstheme="minorHAnsi"/>
          <w:szCs w:val="23"/>
          <w:lang w:val="fr-CA"/>
        </w:rPr>
        <w:t>toute</w:t>
      </w:r>
      <w:proofErr w:type="gramEnd"/>
      <w:r w:rsidRPr="00F52884">
        <w:rPr>
          <w:rFonts w:cstheme="minorHAnsi"/>
          <w:szCs w:val="23"/>
          <w:lang w:val="fr-CA"/>
        </w:rPr>
        <w:t xml:space="preserve"> mesure réglementaire identifiée qui sera reportée à un plan de travail ultérieur.</w:t>
      </w:r>
    </w:p>
    <w:p w14:paraId="2EC2A661" w14:textId="77777777" w:rsidR="00987511" w:rsidRPr="00F52884" w:rsidRDefault="00987511" w:rsidP="0015303D">
      <w:pPr>
        <w:ind w:left="720" w:hanging="720"/>
        <w:rPr>
          <w:rFonts w:cstheme="minorHAnsi"/>
          <w:szCs w:val="23"/>
          <w:lang w:val="fr-CA"/>
        </w:rPr>
      </w:pPr>
    </w:p>
    <w:p w14:paraId="7C75B139" w14:textId="6C43ED9B"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La TCCR peut, par consensus, retirer d’un plan travail des mesures réglementaires identifiées antérieurement.</w:t>
      </w:r>
    </w:p>
    <w:p w14:paraId="4A1CDDAE" w14:textId="77777777" w:rsidR="00987511" w:rsidRPr="00F52884" w:rsidRDefault="00987511" w:rsidP="0015303D">
      <w:pPr>
        <w:pStyle w:val="ListParagraph"/>
        <w:rPr>
          <w:rFonts w:cstheme="minorHAnsi"/>
          <w:szCs w:val="23"/>
          <w:lang w:val="fr-CA"/>
        </w:rPr>
      </w:pPr>
    </w:p>
    <w:p w14:paraId="50712D5C" w14:textId="77777777" w:rsidR="00987511" w:rsidRPr="00F52884" w:rsidRDefault="00987511" w:rsidP="0015303D">
      <w:pPr>
        <w:rPr>
          <w:rFonts w:cstheme="minorHAnsi"/>
          <w:i/>
          <w:szCs w:val="23"/>
          <w:lang w:val="fr-CA"/>
        </w:rPr>
      </w:pPr>
      <w:r w:rsidRPr="00F52884">
        <w:rPr>
          <w:rFonts w:cstheme="minorHAnsi"/>
          <w:i/>
          <w:szCs w:val="23"/>
          <w:lang w:val="fr-CA"/>
        </w:rPr>
        <w:t>Plans d’action et accords de conciliation</w:t>
      </w:r>
    </w:p>
    <w:p w14:paraId="20E5F166" w14:textId="77777777" w:rsidR="00987511" w:rsidRPr="00F52884" w:rsidRDefault="00987511" w:rsidP="0015303D">
      <w:pPr>
        <w:pStyle w:val="ListParagraph"/>
        <w:rPr>
          <w:rFonts w:cstheme="minorHAnsi"/>
          <w:szCs w:val="23"/>
          <w:lang w:val="fr-CA"/>
        </w:rPr>
      </w:pPr>
    </w:p>
    <w:p w14:paraId="306A9AC4" w14:textId="49C31327"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Pour chaque élément d’un plan de travail, la TCCR constitue un groupe de travail composé de représentants de chaque Partie, à l’exception des représentants des Parties qui ont formulé une exception conformément à l’article 405 et qui n’ont pas de mesure réglementaire à concilier au sens de l’article 406.1, sous réserve de l’article 406.2.</w:t>
      </w:r>
    </w:p>
    <w:p w14:paraId="04C01A56" w14:textId="77777777" w:rsidR="00987511" w:rsidRPr="00F52884" w:rsidRDefault="00987511" w:rsidP="0015303D">
      <w:pPr>
        <w:rPr>
          <w:rFonts w:cstheme="minorHAnsi"/>
          <w:szCs w:val="23"/>
          <w:lang w:val="fr-CA"/>
        </w:rPr>
      </w:pPr>
    </w:p>
    <w:p w14:paraId="58BF1382" w14:textId="4B373078"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 xml:space="preserve">Si un élément du plan de travail concerne des mesures réglementaires visées par l’alinéa 701.1b) (Champ d’application et portée), le groupe de travail constitué en vertu du paragraphe 10 peut aussi comprendre des coordonnateurs de la mobilité de la main-d’œuvre désignés par une Partie. </w:t>
      </w:r>
    </w:p>
    <w:p w14:paraId="355C39E5" w14:textId="77777777" w:rsidR="00987511" w:rsidRPr="00F52884" w:rsidRDefault="00987511" w:rsidP="0015303D">
      <w:pPr>
        <w:pStyle w:val="ListParagraph"/>
        <w:ind w:left="0"/>
        <w:rPr>
          <w:rFonts w:cstheme="minorHAnsi"/>
          <w:szCs w:val="23"/>
          <w:lang w:val="fr-CA"/>
        </w:rPr>
      </w:pPr>
    </w:p>
    <w:p w14:paraId="2E25CD99" w14:textId="2C14FE91"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Le groupe de travail élabore un plan d’action en vue de la conclusion d’un accord de conciliation. Chaque plan d’action comprend :</w:t>
      </w:r>
    </w:p>
    <w:p w14:paraId="7B4D4464" w14:textId="77777777" w:rsidR="00987511" w:rsidRPr="00F52884" w:rsidRDefault="00987511" w:rsidP="0015303D">
      <w:pPr>
        <w:ind w:left="720" w:hanging="720"/>
        <w:rPr>
          <w:rFonts w:cstheme="minorHAnsi"/>
          <w:szCs w:val="23"/>
          <w:lang w:val="fr-CA"/>
        </w:rPr>
      </w:pPr>
    </w:p>
    <w:p w14:paraId="5E459A0D" w14:textId="6E2D3FEE" w:rsidR="00987511" w:rsidRPr="00F52884" w:rsidRDefault="00987511" w:rsidP="00987511">
      <w:pPr>
        <w:pStyle w:val="ListParagraph"/>
        <w:numPr>
          <w:ilvl w:val="0"/>
          <w:numId w:val="78"/>
        </w:numPr>
        <w:ind w:left="1440" w:hanging="72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calendrier de négociation de l’accord de conciliation;</w:t>
      </w:r>
    </w:p>
    <w:p w14:paraId="2F33C9F4" w14:textId="77777777" w:rsidR="00987511" w:rsidRPr="00F52884" w:rsidRDefault="00987511" w:rsidP="00987511">
      <w:pPr>
        <w:pStyle w:val="ListParagraph"/>
        <w:ind w:left="1440" w:hanging="720"/>
        <w:rPr>
          <w:rFonts w:cstheme="minorHAnsi"/>
          <w:szCs w:val="23"/>
          <w:lang w:val="fr-CA"/>
        </w:rPr>
      </w:pPr>
    </w:p>
    <w:p w14:paraId="70D75853" w14:textId="78E80B00" w:rsidR="00987511" w:rsidRPr="00F52884" w:rsidRDefault="00987511" w:rsidP="00987511">
      <w:pPr>
        <w:pStyle w:val="ListParagraph"/>
        <w:numPr>
          <w:ilvl w:val="0"/>
          <w:numId w:val="78"/>
        </w:numPr>
        <w:ind w:left="1440"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délais fixés dans le cadre du processus de conciliation à l’intérieur desquels une Partie peut formuler une exception relativement à une mesure réglementaire conformément à l’article 405;</w:t>
      </w:r>
    </w:p>
    <w:p w14:paraId="10645B52" w14:textId="77777777" w:rsidR="00987511" w:rsidRPr="00F52884" w:rsidRDefault="00987511" w:rsidP="00987511">
      <w:pPr>
        <w:ind w:left="1440" w:hanging="720"/>
        <w:rPr>
          <w:rFonts w:cstheme="minorHAnsi"/>
          <w:szCs w:val="23"/>
          <w:lang w:val="fr-CA"/>
        </w:rPr>
      </w:pPr>
    </w:p>
    <w:p w14:paraId="7510134E" w14:textId="77777777" w:rsidR="00987511" w:rsidRPr="00F52884" w:rsidRDefault="00987511" w:rsidP="00987511">
      <w:pPr>
        <w:pStyle w:val="ListParagraph"/>
        <w:numPr>
          <w:ilvl w:val="0"/>
          <w:numId w:val="78"/>
        </w:numPr>
        <w:ind w:left="1440" w:hanging="720"/>
        <w:rPr>
          <w:rFonts w:cstheme="minorHAnsi"/>
          <w:szCs w:val="23"/>
          <w:lang w:val="fr-CA"/>
        </w:rPr>
      </w:pPr>
      <w:proofErr w:type="gramStart"/>
      <w:r w:rsidRPr="00F52884">
        <w:rPr>
          <w:rFonts w:cstheme="minorHAnsi"/>
          <w:szCs w:val="23"/>
          <w:lang w:val="fr-CA"/>
        </w:rPr>
        <w:t>toute</w:t>
      </w:r>
      <w:proofErr w:type="gramEnd"/>
      <w:r w:rsidRPr="00F52884">
        <w:rPr>
          <w:rFonts w:cstheme="minorHAnsi"/>
          <w:szCs w:val="23"/>
          <w:lang w:val="fr-CA"/>
        </w:rPr>
        <w:t xml:space="preserve"> autre considération devant être portée à l’attention de la TCCR.</w:t>
      </w:r>
    </w:p>
    <w:p w14:paraId="04C19239" w14:textId="77777777" w:rsidR="00987511" w:rsidRPr="00F52884" w:rsidRDefault="00987511" w:rsidP="0015303D">
      <w:pPr>
        <w:pStyle w:val="ListParagraph"/>
        <w:ind w:left="360"/>
        <w:rPr>
          <w:rFonts w:cstheme="minorHAnsi"/>
          <w:szCs w:val="23"/>
          <w:lang w:val="fr-CA"/>
        </w:rPr>
      </w:pPr>
    </w:p>
    <w:p w14:paraId="111343FD" w14:textId="1B27DBAA"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Conformément au plan d’action et avec le soutien de la TCCR, le groupe de travail élabore l’accord de conciliation visé à l’article 403.</w:t>
      </w:r>
    </w:p>
    <w:p w14:paraId="2B240BFD" w14:textId="77777777" w:rsidR="00987511" w:rsidRPr="00F52884" w:rsidRDefault="00987511" w:rsidP="0015303D">
      <w:pPr>
        <w:rPr>
          <w:rFonts w:cstheme="minorHAnsi"/>
          <w:szCs w:val="23"/>
          <w:lang w:val="fr-CA"/>
        </w:rPr>
      </w:pPr>
    </w:p>
    <w:p w14:paraId="20ECC2E7" w14:textId="4A1CF31E"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w:t>
      </w:r>
      <w:r w:rsidRPr="00F52884">
        <w:rPr>
          <w:rStyle w:val="Strong"/>
          <w:rFonts w:cstheme="minorHAnsi"/>
          <w:b w:val="0"/>
          <w:szCs w:val="23"/>
          <w:lang w:val="fr-CA"/>
        </w:rPr>
        <w:t>accord de conciliation</w:t>
      </w:r>
      <w:r w:rsidRPr="00F52884">
        <w:rPr>
          <w:rFonts w:cstheme="minorHAnsi"/>
          <w:b/>
          <w:szCs w:val="23"/>
          <w:lang w:val="fr-CA"/>
        </w:rPr>
        <w:t xml:space="preserve"> </w:t>
      </w:r>
      <w:r w:rsidRPr="00F52884">
        <w:rPr>
          <w:rFonts w:cstheme="minorHAnsi"/>
          <w:szCs w:val="23"/>
          <w:lang w:val="fr-CA"/>
        </w:rPr>
        <w:t>mentionne notamment :</w:t>
      </w:r>
    </w:p>
    <w:p w14:paraId="35FDD12A" w14:textId="77777777" w:rsidR="00987511" w:rsidRPr="00F52884" w:rsidRDefault="00987511" w:rsidP="0015303D">
      <w:pPr>
        <w:pStyle w:val="NormalWeb"/>
        <w:spacing w:before="0" w:beforeAutospacing="0" w:after="0" w:afterAutospacing="0"/>
        <w:ind w:left="720" w:hanging="720"/>
        <w:jc w:val="both"/>
        <w:rPr>
          <w:rFonts w:asciiTheme="minorHAnsi" w:hAnsiTheme="minorHAnsi" w:cstheme="minorHAnsi"/>
          <w:szCs w:val="23"/>
          <w:lang w:val="fr-CA"/>
        </w:rPr>
      </w:pPr>
    </w:p>
    <w:p w14:paraId="654E0967" w14:textId="77777777" w:rsidR="00987511" w:rsidRPr="00F52884" w:rsidRDefault="00987511" w:rsidP="00C47560">
      <w:pPr>
        <w:pStyle w:val="NormalWeb"/>
        <w:numPr>
          <w:ilvl w:val="0"/>
          <w:numId w:val="64"/>
        </w:numPr>
        <w:spacing w:before="0" w:beforeAutospacing="0" w:after="0" w:afterAutospacing="0"/>
        <w:ind w:left="1440"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les</w:t>
      </w:r>
      <w:proofErr w:type="gramEnd"/>
      <w:r w:rsidRPr="00F52884">
        <w:rPr>
          <w:rFonts w:asciiTheme="minorHAnsi" w:hAnsiTheme="minorHAnsi" w:cstheme="minorHAnsi"/>
          <w:szCs w:val="23"/>
          <w:lang w:val="fr-CA"/>
        </w:rPr>
        <w:t xml:space="preserve"> mesures réglementaires faisant l’objet de la conciliation;</w:t>
      </w:r>
    </w:p>
    <w:p w14:paraId="7DCBA9C1" w14:textId="77777777" w:rsidR="00987511" w:rsidRPr="00F52884" w:rsidRDefault="00987511" w:rsidP="00C47560">
      <w:pPr>
        <w:pStyle w:val="NormalWeb"/>
        <w:spacing w:before="0" w:beforeAutospacing="0" w:after="0" w:afterAutospacing="0"/>
        <w:ind w:left="1440" w:hanging="720"/>
        <w:rPr>
          <w:rFonts w:asciiTheme="minorHAnsi" w:hAnsiTheme="minorHAnsi" w:cstheme="minorHAnsi"/>
          <w:szCs w:val="23"/>
          <w:lang w:val="fr-CA"/>
        </w:rPr>
      </w:pPr>
    </w:p>
    <w:p w14:paraId="093C3C31" w14:textId="62F29ACF" w:rsidR="00987511" w:rsidRPr="00F52884" w:rsidRDefault="00987511" w:rsidP="00C47560">
      <w:pPr>
        <w:pStyle w:val="NormalWeb"/>
        <w:numPr>
          <w:ilvl w:val="0"/>
          <w:numId w:val="64"/>
        </w:numPr>
        <w:spacing w:before="0" w:beforeAutospacing="0" w:after="0" w:afterAutospacing="0"/>
        <w:ind w:left="1440"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les</w:t>
      </w:r>
      <w:proofErr w:type="gramEnd"/>
      <w:r w:rsidRPr="00F52884">
        <w:rPr>
          <w:rFonts w:asciiTheme="minorHAnsi" w:hAnsiTheme="minorHAnsi" w:cstheme="minorHAnsi"/>
          <w:szCs w:val="23"/>
          <w:lang w:val="fr-CA"/>
        </w:rPr>
        <w:t xml:space="preserve"> obligations de réaliser la conciliation par des moyens comme : </w:t>
      </w:r>
    </w:p>
    <w:p w14:paraId="66DDC6A4" w14:textId="77777777" w:rsidR="00987511" w:rsidRPr="00F52884" w:rsidRDefault="00987511" w:rsidP="0015303D">
      <w:pPr>
        <w:pStyle w:val="NormalWeb"/>
        <w:spacing w:before="0" w:beforeAutospacing="0" w:after="0" w:afterAutospacing="0"/>
        <w:ind w:left="1440" w:hanging="720"/>
        <w:rPr>
          <w:rFonts w:asciiTheme="minorHAnsi" w:hAnsiTheme="minorHAnsi" w:cstheme="minorHAnsi"/>
          <w:szCs w:val="23"/>
          <w:lang w:val="fr-CA"/>
        </w:rPr>
      </w:pPr>
    </w:p>
    <w:p w14:paraId="651A6D2C" w14:textId="1029D35D" w:rsidR="00987511" w:rsidRPr="00F52884" w:rsidRDefault="00987511" w:rsidP="007F3179">
      <w:pPr>
        <w:pStyle w:val="NormalWeb"/>
        <w:numPr>
          <w:ilvl w:val="0"/>
          <w:numId w:val="94"/>
        </w:numPr>
        <w:spacing w:before="0" w:beforeAutospacing="0" w:after="0" w:afterAutospacing="0"/>
        <w:ind w:left="2160" w:hanging="450"/>
        <w:rPr>
          <w:rFonts w:asciiTheme="minorHAnsi" w:hAnsiTheme="minorHAnsi" w:cstheme="minorHAnsi"/>
          <w:szCs w:val="23"/>
          <w:lang w:val="fr-CA"/>
        </w:rPr>
      </w:pPr>
      <w:proofErr w:type="gramStart"/>
      <w:r w:rsidRPr="00F52884">
        <w:rPr>
          <w:rFonts w:asciiTheme="minorHAnsi" w:hAnsiTheme="minorHAnsi" w:cstheme="minorHAnsi"/>
          <w:szCs w:val="23"/>
          <w:lang w:val="fr-CA"/>
        </w:rPr>
        <w:t>l’harmonisation</w:t>
      </w:r>
      <w:proofErr w:type="gramEnd"/>
      <w:r w:rsidRPr="00F52884">
        <w:rPr>
          <w:rFonts w:asciiTheme="minorHAnsi" w:hAnsiTheme="minorHAnsi" w:cstheme="minorHAnsi"/>
          <w:szCs w:val="23"/>
          <w:lang w:val="fr-CA"/>
        </w:rPr>
        <w:t xml:space="preserve">, </w:t>
      </w:r>
    </w:p>
    <w:p w14:paraId="41DB2AE5" w14:textId="77777777" w:rsidR="00987511" w:rsidRPr="00F52884" w:rsidRDefault="00987511" w:rsidP="007F3179">
      <w:pPr>
        <w:pStyle w:val="NormalWeb"/>
        <w:spacing w:before="0" w:beforeAutospacing="0" w:after="0" w:afterAutospacing="0"/>
        <w:ind w:left="2160" w:hanging="450"/>
        <w:rPr>
          <w:rFonts w:asciiTheme="minorHAnsi" w:hAnsiTheme="minorHAnsi" w:cstheme="minorHAnsi"/>
          <w:szCs w:val="23"/>
          <w:lang w:val="fr-CA"/>
        </w:rPr>
      </w:pPr>
    </w:p>
    <w:p w14:paraId="10095AFA" w14:textId="2F9E5A4C" w:rsidR="00987511" w:rsidRPr="00F52884" w:rsidRDefault="00987511" w:rsidP="007F3179">
      <w:pPr>
        <w:pStyle w:val="NormalWeb"/>
        <w:numPr>
          <w:ilvl w:val="0"/>
          <w:numId w:val="94"/>
        </w:numPr>
        <w:spacing w:before="0" w:beforeAutospacing="0" w:after="0" w:afterAutospacing="0"/>
        <w:ind w:left="2160" w:hanging="450"/>
        <w:rPr>
          <w:rFonts w:asciiTheme="minorHAnsi" w:hAnsiTheme="minorHAnsi" w:cstheme="minorHAnsi"/>
          <w:szCs w:val="23"/>
          <w:lang w:val="fr-CA"/>
        </w:rPr>
      </w:pPr>
      <w:proofErr w:type="gramStart"/>
      <w:r w:rsidRPr="00F52884">
        <w:rPr>
          <w:rFonts w:asciiTheme="minorHAnsi" w:hAnsiTheme="minorHAnsi" w:cstheme="minorHAnsi"/>
          <w:szCs w:val="23"/>
          <w:lang w:val="fr-CA"/>
        </w:rPr>
        <w:t>la</w:t>
      </w:r>
      <w:proofErr w:type="gramEnd"/>
      <w:r w:rsidRPr="00F52884">
        <w:rPr>
          <w:rFonts w:asciiTheme="minorHAnsi" w:hAnsiTheme="minorHAnsi" w:cstheme="minorHAnsi"/>
          <w:szCs w:val="23"/>
          <w:lang w:val="fr-CA"/>
        </w:rPr>
        <w:t xml:space="preserve"> reconnaissance mutuelle, </w:t>
      </w:r>
    </w:p>
    <w:p w14:paraId="51F3DCBF" w14:textId="77777777" w:rsidR="00987511" w:rsidRPr="00F52884" w:rsidRDefault="00987511" w:rsidP="007F3179">
      <w:pPr>
        <w:pStyle w:val="NormalWeb"/>
        <w:spacing w:before="0" w:beforeAutospacing="0" w:after="0" w:afterAutospacing="0"/>
        <w:ind w:left="2160" w:hanging="450"/>
        <w:rPr>
          <w:rFonts w:asciiTheme="minorHAnsi" w:hAnsiTheme="minorHAnsi" w:cstheme="minorHAnsi"/>
          <w:szCs w:val="23"/>
          <w:lang w:val="fr-CA"/>
        </w:rPr>
      </w:pPr>
    </w:p>
    <w:p w14:paraId="13686082" w14:textId="68FAE255" w:rsidR="00987511" w:rsidRPr="00F52884" w:rsidRDefault="00987511" w:rsidP="007F3179">
      <w:pPr>
        <w:pStyle w:val="NormalWeb"/>
        <w:numPr>
          <w:ilvl w:val="0"/>
          <w:numId w:val="94"/>
        </w:numPr>
        <w:spacing w:before="0" w:beforeAutospacing="0" w:after="0" w:afterAutospacing="0"/>
        <w:ind w:left="2160" w:hanging="450"/>
        <w:rPr>
          <w:rFonts w:asciiTheme="minorHAnsi" w:hAnsiTheme="minorHAnsi" w:cstheme="minorHAnsi"/>
          <w:szCs w:val="23"/>
          <w:lang w:val="fr-CA"/>
        </w:rPr>
      </w:pPr>
      <w:proofErr w:type="gramStart"/>
      <w:r w:rsidRPr="00F52884">
        <w:rPr>
          <w:rFonts w:asciiTheme="minorHAnsi" w:hAnsiTheme="minorHAnsi" w:cstheme="minorHAnsi"/>
          <w:szCs w:val="23"/>
          <w:lang w:val="fr-CA"/>
        </w:rPr>
        <w:t>l’équivalence</w:t>
      </w:r>
      <w:proofErr w:type="gramEnd"/>
      <w:r w:rsidRPr="00F52884">
        <w:rPr>
          <w:rFonts w:asciiTheme="minorHAnsi" w:hAnsiTheme="minorHAnsi" w:cstheme="minorHAnsi"/>
          <w:szCs w:val="23"/>
          <w:lang w:val="fr-CA"/>
        </w:rPr>
        <w:t>,</w:t>
      </w:r>
    </w:p>
    <w:p w14:paraId="264B1BE4" w14:textId="77777777" w:rsidR="00987511" w:rsidRPr="00F52884" w:rsidRDefault="00987511" w:rsidP="007F3179">
      <w:pPr>
        <w:pStyle w:val="NormalWeb"/>
        <w:spacing w:before="0" w:beforeAutospacing="0" w:after="0" w:afterAutospacing="0"/>
        <w:ind w:left="2160" w:hanging="450"/>
        <w:rPr>
          <w:rFonts w:asciiTheme="minorHAnsi" w:hAnsiTheme="minorHAnsi" w:cstheme="minorHAnsi"/>
          <w:szCs w:val="23"/>
          <w:lang w:val="fr-CA"/>
        </w:rPr>
      </w:pPr>
    </w:p>
    <w:p w14:paraId="2A79CA4E" w14:textId="77777777" w:rsidR="00987511" w:rsidRPr="00F52884" w:rsidRDefault="00987511" w:rsidP="007F3179">
      <w:pPr>
        <w:pStyle w:val="NormalWeb"/>
        <w:numPr>
          <w:ilvl w:val="0"/>
          <w:numId w:val="94"/>
        </w:numPr>
        <w:spacing w:before="0" w:beforeAutospacing="0" w:after="0" w:afterAutospacing="0"/>
        <w:ind w:left="2160" w:hanging="450"/>
        <w:rPr>
          <w:rFonts w:asciiTheme="minorHAnsi" w:hAnsiTheme="minorHAnsi" w:cstheme="minorHAnsi"/>
          <w:szCs w:val="23"/>
          <w:lang w:val="fr-CA"/>
        </w:rPr>
      </w:pPr>
      <w:proofErr w:type="gramStart"/>
      <w:r w:rsidRPr="00F52884">
        <w:rPr>
          <w:rFonts w:asciiTheme="minorHAnsi" w:hAnsiTheme="minorHAnsi" w:cstheme="minorHAnsi"/>
          <w:szCs w:val="23"/>
          <w:lang w:val="fr-CA"/>
        </w:rPr>
        <w:t>toute</w:t>
      </w:r>
      <w:proofErr w:type="gramEnd"/>
      <w:r w:rsidRPr="00F52884">
        <w:rPr>
          <w:rFonts w:asciiTheme="minorHAnsi" w:hAnsiTheme="minorHAnsi" w:cstheme="minorHAnsi"/>
          <w:szCs w:val="23"/>
          <w:lang w:val="fr-CA"/>
        </w:rPr>
        <w:t xml:space="preserve"> autre méthode dont pourraient convenir les Parties;</w:t>
      </w:r>
    </w:p>
    <w:p w14:paraId="1D52C8F6" w14:textId="77777777" w:rsidR="00987511" w:rsidRPr="00F52884" w:rsidRDefault="00987511" w:rsidP="0015303D">
      <w:pPr>
        <w:pStyle w:val="NormalWeb"/>
        <w:spacing w:before="0" w:beforeAutospacing="0" w:after="0" w:afterAutospacing="0"/>
        <w:ind w:left="1440" w:hanging="720"/>
        <w:rPr>
          <w:rFonts w:asciiTheme="minorHAnsi" w:hAnsiTheme="minorHAnsi" w:cstheme="minorHAnsi"/>
          <w:szCs w:val="23"/>
          <w:lang w:val="fr-CA"/>
        </w:rPr>
      </w:pPr>
    </w:p>
    <w:p w14:paraId="0BF448CE" w14:textId="6CC3ED82" w:rsidR="00987511" w:rsidRPr="00F52884" w:rsidRDefault="00987511" w:rsidP="00987511">
      <w:pPr>
        <w:pStyle w:val="NormalWeb"/>
        <w:numPr>
          <w:ilvl w:val="0"/>
          <w:numId w:val="64"/>
        </w:numPr>
        <w:spacing w:before="0" w:beforeAutospacing="0" w:after="0" w:afterAutospacing="0"/>
        <w:ind w:left="1440"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la</w:t>
      </w:r>
      <w:proofErr w:type="gramEnd"/>
      <w:r w:rsidRPr="00F52884">
        <w:rPr>
          <w:rFonts w:asciiTheme="minorHAnsi" w:hAnsiTheme="minorHAnsi" w:cstheme="minorHAnsi"/>
          <w:szCs w:val="23"/>
          <w:lang w:val="fr-CA"/>
        </w:rPr>
        <w:t xml:space="preserve"> mesure dans laquelle l’accord de conciliation permet de remédier à l’obstacle identifié par une Partie conformément à l’article 403.1; </w:t>
      </w:r>
    </w:p>
    <w:p w14:paraId="3599CC98" w14:textId="77777777" w:rsidR="00987511" w:rsidRPr="00F52884" w:rsidRDefault="00987511" w:rsidP="00987511">
      <w:pPr>
        <w:pStyle w:val="NormalWeb"/>
        <w:spacing w:before="0" w:beforeAutospacing="0" w:after="0" w:afterAutospacing="0"/>
        <w:ind w:left="1440" w:hanging="720"/>
        <w:rPr>
          <w:rFonts w:asciiTheme="minorHAnsi" w:hAnsiTheme="minorHAnsi" w:cstheme="minorHAnsi"/>
          <w:szCs w:val="23"/>
          <w:lang w:val="fr-CA"/>
        </w:rPr>
      </w:pPr>
    </w:p>
    <w:p w14:paraId="684AC12D" w14:textId="27532DC6" w:rsidR="00987511" w:rsidRPr="00F52884" w:rsidRDefault="00987511" w:rsidP="00987511">
      <w:pPr>
        <w:pStyle w:val="NormalWeb"/>
        <w:numPr>
          <w:ilvl w:val="0"/>
          <w:numId w:val="64"/>
        </w:numPr>
        <w:spacing w:before="0" w:beforeAutospacing="0" w:after="0" w:afterAutospacing="0"/>
        <w:ind w:left="1440"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un</w:t>
      </w:r>
      <w:proofErr w:type="gramEnd"/>
      <w:r w:rsidRPr="00F52884">
        <w:rPr>
          <w:rFonts w:asciiTheme="minorHAnsi" w:hAnsiTheme="minorHAnsi" w:cstheme="minorHAnsi"/>
          <w:szCs w:val="23"/>
          <w:lang w:val="fr-CA"/>
        </w:rPr>
        <w:t xml:space="preserve"> calendrier de mise en œuvre;</w:t>
      </w:r>
    </w:p>
    <w:p w14:paraId="16E1D303" w14:textId="77777777" w:rsidR="00987511" w:rsidRPr="00F52884" w:rsidRDefault="00987511" w:rsidP="00987511">
      <w:pPr>
        <w:pStyle w:val="NormalWeb"/>
        <w:spacing w:before="0" w:beforeAutospacing="0" w:after="0" w:afterAutospacing="0"/>
        <w:ind w:left="1440" w:hanging="720"/>
        <w:rPr>
          <w:rFonts w:asciiTheme="minorHAnsi" w:hAnsiTheme="minorHAnsi" w:cstheme="minorHAnsi"/>
          <w:szCs w:val="23"/>
          <w:lang w:val="fr-CA"/>
        </w:rPr>
      </w:pPr>
    </w:p>
    <w:p w14:paraId="7068D0A3" w14:textId="3D0FDF98" w:rsidR="00987511" w:rsidRPr="00F52884" w:rsidRDefault="00987511" w:rsidP="00987511">
      <w:pPr>
        <w:pStyle w:val="NormalWeb"/>
        <w:numPr>
          <w:ilvl w:val="0"/>
          <w:numId w:val="64"/>
        </w:numPr>
        <w:spacing w:before="0" w:beforeAutospacing="0" w:after="0" w:afterAutospacing="0"/>
        <w:ind w:left="1440" w:hanging="720"/>
        <w:rPr>
          <w:rFonts w:asciiTheme="minorHAnsi" w:hAnsiTheme="minorHAnsi" w:cstheme="minorHAnsi"/>
          <w:szCs w:val="23"/>
          <w:lang w:val="fr-CA"/>
        </w:rPr>
      </w:pPr>
      <w:proofErr w:type="gramStart"/>
      <w:r w:rsidRPr="00F52884">
        <w:rPr>
          <w:rFonts w:asciiTheme="minorHAnsi" w:hAnsiTheme="minorHAnsi" w:cstheme="minorHAnsi"/>
          <w:szCs w:val="23"/>
          <w:lang w:val="fr-CA"/>
        </w:rPr>
        <w:t>un</w:t>
      </w:r>
      <w:proofErr w:type="gramEnd"/>
      <w:r w:rsidRPr="00F52884">
        <w:rPr>
          <w:rFonts w:asciiTheme="minorHAnsi" w:hAnsiTheme="minorHAnsi" w:cstheme="minorHAnsi"/>
          <w:szCs w:val="23"/>
          <w:lang w:val="fr-CA"/>
        </w:rPr>
        <w:t xml:space="preserve"> processus pour répondre aux changements de circonstances.</w:t>
      </w:r>
    </w:p>
    <w:p w14:paraId="0018E00D" w14:textId="77777777" w:rsidR="00987511" w:rsidRPr="00F52884" w:rsidRDefault="00987511" w:rsidP="0015303D">
      <w:pPr>
        <w:pStyle w:val="NormalWeb"/>
        <w:spacing w:before="0" w:beforeAutospacing="0" w:after="0" w:afterAutospacing="0"/>
        <w:rPr>
          <w:rFonts w:asciiTheme="minorHAnsi" w:hAnsiTheme="minorHAnsi" w:cstheme="minorHAnsi"/>
          <w:szCs w:val="23"/>
          <w:lang w:val="fr-CA"/>
        </w:rPr>
      </w:pPr>
    </w:p>
    <w:p w14:paraId="5557F650" w14:textId="17F0BD5B"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 xml:space="preserve">L’accord de conciliation peut comporter un mécanisme de règlement des différends comme la médiation, en conformité avec l’article 1000.2 (Coopération), pour aider à prévenir les différends pouvant survenir dans le cadre de l’accord de conciliation. </w:t>
      </w:r>
    </w:p>
    <w:p w14:paraId="2A913F9F" w14:textId="77777777" w:rsidR="00987511" w:rsidRPr="00F52884" w:rsidRDefault="00987511" w:rsidP="0015303D">
      <w:pPr>
        <w:pStyle w:val="ListParagraph"/>
        <w:ind w:left="0"/>
        <w:rPr>
          <w:rFonts w:cstheme="minorHAnsi"/>
          <w:szCs w:val="23"/>
          <w:lang w:val="fr-CA"/>
        </w:rPr>
      </w:pPr>
    </w:p>
    <w:p w14:paraId="21426EBC" w14:textId="3B2A2B9C"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L’accord de conciliation est entériné collectivement par les représentants des Parties au sein de la TCCR, à l’exception des représentants des Parties qui ont formulé une exception conformément à l’article 405 et qui n’ont pas de mesure réglementaire à concilier au sens de l’article 406.1, avant d’être envoyé à leurs Parties pour signature.</w:t>
      </w:r>
    </w:p>
    <w:p w14:paraId="0C9EF013" w14:textId="77777777" w:rsidR="00987511" w:rsidRPr="00F52884" w:rsidRDefault="00987511" w:rsidP="0015303D">
      <w:pPr>
        <w:rPr>
          <w:rFonts w:cstheme="minorHAnsi"/>
          <w:szCs w:val="23"/>
          <w:lang w:val="fr-CA"/>
        </w:rPr>
      </w:pPr>
    </w:p>
    <w:p w14:paraId="11A2C2F6" w14:textId="5BD7E1C0" w:rsidR="00987511" w:rsidRPr="00F52884" w:rsidRDefault="00987511" w:rsidP="0015303D">
      <w:pPr>
        <w:rPr>
          <w:rFonts w:cstheme="minorHAnsi"/>
          <w:i/>
          <w:szCs w:val="23"/>
          <w:lang w:val="fr-CA"/>
        </w:rPr>
      </w:pPr>
      <w:r w:rsidRPr="00F52884">
        <w:rPr>
          <w:rFonts w:cstheme="minorHAnsi"/>
          <w:i/>
          <w:szCs w:val="23"/>
          <w:lang w:val="fr-CA"/>
        </w:rPr>
        <w:t>Élaboration conjointe de futures mesures réglementaires</w:t>
      </w:r>
    </w:p>
    <w:p w14:paraId="2C1E0FA4" w14:textId="77777777" w:rsidR="00987511" w:rsidRPr="00F52884" w:rsidRDefault="00987511" w:rsidP="0015303D">
      <w:pPr>
        <w:pStyle w:val="ListParagraph"/>
        <w:ind w:hanging="720"/>
        <w:rPr>
          <w:rFonts w:cstheme="minorHAnsi"/>
          <w:szCs w:val="23"/>
          <w:lang w:val="fr-CA"/>
        </w:rPr>
      </w:pPr>
    </w:p>
    <w:p w14:paraId="184AC9DE" w14:textId="03FC7A0A" w:rsidR="00987511" w:rsidRPr="00F52884" w:rsidRDefault="00987511" w:rsidP="00600B9F">
      <w:pPr>
        <w:pStyle w:val="ListParagraph"/>
        <w:numPr>
          <w:ilvl w:val="6"/>
          <w:numId w:val="431"/>
        </w:numPr>
        <w:ind w:left="0" w:firstLine="0"/>
        <w:rPr>
          <w:rFonts w:cstheme="minorHAnsi"/>
          <w:szCs w:val="23"/>
          <w:lang w:val="fr-CA"/>
        </w:rPr>
      </w:pPr>
      <w:r w:rsidRPr="00F52884">
        <w:rPr>
          <w:rFonts w:cstheme="minorHAnsi"/>
          <w:szCs w:val="23"/>
          <w:lang w:val="fr-CA"/>
        </w:rPr>
        <w:t>Dans le cadre des engagements de coopération visés à l’article 408, la TCCR peut :</w:t>
      </w:r>
    </w:p>
    <w:p w14:paraId="082F0179" w14:textId="77777777" w:rsidR="00987511" w:rsidRPr="00F52884" w:rsidRDefault="00987511" w:rsidP="0015303D">
      <w:pPr>
        <w:pStyle w:val="ListParagraph"/>
        <w:ind w:hanging="720"/>
        <w:rPr>
          <w:rFonts w:cstheme="minorHAnsi"/>
          <w:szCs w:val="23"/>
          <w:lang w:val="fr-CA"/>
        </w:rPr>
      </w:pPr>
    </w:p>
    <w:p w14:paraId="0E583ECD" w14:textId="07E28BB5" w:rsidR="00987511" w:rsidRPr="00F52884" w:rsidRDefault="00987511" w:rsidP="00987511">
      <w:pPr>
        <w:numPr>
          <w:ilvl w:val="0"/>
          <w:numId w:val="60"/>
        </w:numPr>
        <w:ind w:left="1440" w:hanging="720"/>
        <w:contextualSpacing/>
        <w:rPr>
          <w:rFonts w:eastAsia="Arial" w:cstheme="minorHAnsi"/>
          <w:szCs w:val="23"/>
          <w:lang w:val="fr-CA"/>
        </w:rPr>
      </w:pPr>
      <w:proofErr w:type="gramStart"/>
      <w:r w:rsidRPr="00F52884">
        <w:rPr>
          <w:rFonts w:cstheme="minorHAnsi"/>
          <w:szCs w:val="23"/>
          <w:lang w:val="fr-CA"/>
        </w:rPr>
        <w:t>fournir</w:t>
      </w:r>
      <w:proofErr w:type="gramEnd"/>
      <w:r w:rsidRPr="00F52884">
        <w:rPr>
          <w:rFonts w:cstheme="minorHAnsi"/>
          <w:szCs w:val="23"/>
          <w:lang w:val="fr-CA"/>
        </w:rPr>
        <w:t xml:space="preserve"> une tribune aux Parties pour discuter de futures mesures réglementaires;</w:t>
      </w:r>
    </w:p>
    <w:p w14:paraId="6A6DE8A8" w14:textId="77777777" w:rsidR="00987511" w:rsidRPr="00F52884" w:rsidRDefault="00987511" w:rsidP="0015303D">
      <w:pPr>
        <w:ind w:left="1304" w:hanging="629"/>
        <w:contextualSpacing/>
        <w:rPr>
          <w:rFonts w:eastAsia="Arial" w:cstheme="minorHAnsi"/>
          <w:szCs w:val="23"/>
          <w:lang w:val="fr-CA"/>
        </w:rPr>
      </w:pPr>
    </w:p>
    <w:p w14:paraId="158358FD" w14:textId="1DE746FE" w:rsidR="00987511" w:rsidRPr="00F52884" w:rsidRDefault="00987511" w:rsidP="00987511">
      <w:pPr>
        <w:numPr>
          <w:ilvl w:val="0"/>
          <w:numId w:val="60"/>
        </w:numPr>
        <w:ind w:left="1440" w:hanging="720"/>
        <w:contextualSpacing/>
        <w:rPr>
          <w:rFonts w:eastAsia="Arial" w:cstheme="minorHAnsi"/>
          <w:szCs w:val="23"/>
          <w:lang w:val="fr-CA"/>
        </w:rPr>
      </w:pPr>
      <w:proofErr w:type="gramStart"/>
      <w:r w:rsidRPr="00F52884">
        <w:rPr>
          <w:rFonts w:eastAsia="Arial" w:cstheme="minorHAnsi"/>
          <w:szCs w:val="23"/>
          <w:lang w:val="fr-CA"/>
        </w:rPr>
        <w:t>examiner</w:t>
      </w:r>
      <w:proofErr w:type="gramEnd"/>
      <w:r w:rsidRPr="00F52884">
        <w:rPr>
          <w:rFonts w:eastAsia="Arial" w:cstheme="minorHAnsi"/>
          <w:szCs w:val="23"/>
          <w:lang w:val="fr-CA"/>
        </w:rPr>
        <w:t xml:space="preserve"> les mesures réglementaires identifiées par une Partie comme se prêtant à une élaboration conjointe; </w:t>
      </w:r>
    </w:p>
    <w:p w14:paraId="6AF9A139" w14:textId="77777777" w:rsidR="00987511" w:rsidRPr="00F52884" w:rsidRDefault="00987511" w:rsidP="00987511">
      <w:pPr>
        <w:ind w:left="1440" w:hanging="720"/>
        <w:contextualSpacing/>
        <w:rPr>
          <w:rFonts w:eastAsia="Arial" w:cstheme="minorHAnsi"/>
          <w:szCs w:val="23"/>
          <w:lang w:val="fr-CA"/>
        </w:rPr>
      </w:pPr>
    </w:p>
    <w:p w14:paraId="05AAF435" w14:textId="43C6D592" w:rsidR="00987511" w:rsidRPr="00F52884" w:rsidRDefault="00987511" w:rsidP="00987511">
      <w:pPr>
        <w:numPr>
          <w:ilvl w:val="0"/>
          <w:numId w:val="60"/>
        </w:numPr>
        <w:ind w:left="1440" w:hanging="720"/>
        <w:contextualSpacing/>
        <w:rPr>
          <w:rFonts w:eastAsia="Arial" w:cstheme="minorHAnsi"/>
          <w:szCs w:val="23"/>
          <w:lang w:val="fr-CA"/>
        </w:rPr>
      </w:pPr>
      <w:proofErr w:type="gramStart"/>
      <w:r w:rsidRPr="00F52884">
        <w:rPr>
          <w:rFonts w:eastAsia="Arial" w:cstheme="minorHAnsi"/>
          <w:szCs w:val="23"/>
          <w:lang w:val="fr-CA"/>
        </w:rPr>
        <w:t>aider</w:t>
      </w:r>
      <w:proofErr w:type="gramEnd"/>
      <w:r w:rsidRPr="00F52884">
        <w:rPr>
          <w:rFonts w:eastAsia="Arial" w:cstheme="minorHAnsi"/>
          <w:szCs w:val="23"/>
          <w:lang w:val="fr-CA"/>
        </w:rPr>
        <w:t xml:space="preserve"> les Parties dans l’élaboration conjointe de futures mesures réglementaires.</w:t>
      </w:r>
    </w:p>
    <w:p w14:paraId="0A674955" w14:textId="77777777" w:rsidR="00987511" w:rsidRPr="00F52884" w:rsidRDefault="00987511" w:rsidP="0015303D">
      <w:pPr>
        <w:ind w:left="720" w:hanging="720"/>
        <w:rPr>
          <w:rFonts w:cstheme="minorHAnsi"/>
          <w:szCs w:val="23"/>
          <w:lang w:val="fr-CA"/>
        </w:rPr>
      </w:pPr>
    </w:p>
    <w:p w14:paraId="3774FE92" w14:textId="77777777" w:rsidR="00987511" w:rsidRPr="00F52884" w:rsidRDefault="00987511" w:rsidP="0015303D">
      <w:pPr>
        <w:rPr>
          <w:lang w:val="fr-CA"/>
        </w:rPr>
      </w:pPr>
    </w:p>
    <w:p w14:paraId="71C12747" w14:textId="77777777" w:rsidR="00987511" w:rsidRPr="00F52884" w:rsidRDefault="00987511">
      <w:pPr>
        <w:rPr>
          <w:rFonts w:eastAsiaTheme="majorEastAsia" w:cstheme="minorHAnsi"/>
          <w:b/>
          <w:bCs/>
          <w:szCs w:val="23"/>
          <w:lang w:val="fr-CA"/>
        </w:rPr>
      </w:pPr>
      <w:r w:rsidRPr="00F52884">
        <w:rPr>
          <w:rFonts w:cstheme="minorHAnsi"/>
          <w:szCs w:val="23"/>
          <w:lang w:val="fr-CA"/>
        </w:rPr>
        <w:br w:type="page"/>
      </w:r>
    </w:p>
    <w:p w14:paraId="2D744358" w14:textId="3DFC2E03" w:rsidR="0050306B" w:rsidRPr="00F52884" w:rsidRDefault="0050306B" w:rsidP="0050306B">
      <w:pPr>
        <w:pStyle w:val="Heading2"/>
        <w:jc w:val="center"/>
        <w:rPr>
          <w:rFonts w:asciiTheme="minorHAnsi" w:hAnsiTheme="minorHAnsi" w:cstheme="minorHAnsi"/>
          <w:sz w:val="24"/>
          <w:szCs w:val="24"/>
          <w:lang w:val="fr-CA"/>
        </w:rPr>
      </w:pPr>
      <w:bookmarkStart w:id="28" w:name="_Toc471907452"/>
      <w:bookmarkStart w:id="29" w:name="_Toc156311759"/>
      <w:r w:rsidRPr="00F52884">
        <w:rPr>
          <w:rFonts w:asciiTheme="minorHAnsi" w:hAnsiTheme="minorHAnsi" w:cstheme="minorHAnsi"/>
          <w:sz w:val="24"/>
          <w:szCs w:val="24"/>
          <w:lang w:val="fr-CA"/>
        </w:rPr>
        <w:lastRenderedPageBreak/>
        <w:t>Chapitre Cinq – Marchés publics</w:t>
      </w:r>
      <w:bookmarkEnd w:id="28"/>
      <w:bookmarkEnd w:id="29"/>
    </w:p>
    <w:p w14:paraId="604857AA" w14:textId="77777777" w:rsidR="0050306B" w:rsidRPr="00F52884" w:rsidRDefault="0050306B" w:rsidP="0050306B">
      <w:pPr>
        <w:rPr>
          <w:rFonts w:eastAsia="Calibri" w:cstheme="minorHAnsi"/>
          <w:b/>
          <w:szCs w:val="23"/>
          <w:lang w:val="fr-CA"/>
        </w:rPr>
      </w:pPr>
    </w:p>
    <w:p w14:paraId="525806A6" w14:textId="77777777" w:rsidR="0050306B" w:rsidRPr="00F52884" w:rsidRDefault="0050306B" w:rsidP="0050306B">
      <w:pPr>
        <w:rPr>
          <w:rFonts w:eastAsia="Calibri" w:cstheme="minorHAnsi"/>
          <w:b/>
          <w:szCs w:val="23"/>
          <w:lang w:val="fr-CA"/>
        </w:rPr>
      </w:pPr>
    </w:p>
    <w:p w14:paraId="1603EBBE" w14:textId="4EFF8307"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500 :</w:t>
      </w:r>
      <w:r w:rsidRPr="00F52884">
        <w:rPr>
          <w:rFonts w:eastAsia="Calibri" w:cstheme="minorHAnsi"/>
          <w:szCs w:val="23"/>
          <w:lang w:val="fr-CA"/>
        </w:rPr>
        <w:tab/>
      </w:r>
      <w:r w:rsidR="00600B9F" w:rsidRPr="00F52884">
        <w:rPr>
          <w:rFonts w:eastAsia="Calibri" w:cstheme="minorHAnsi"/>
          <w:szCs w:val="23"/>
          <w:lang w:val="fr-CA"/>
        </w:rPr>
        <w:tab/>
      </w:r>
      <w:r w:rsidRPr="00F52884">
        <w:rPr>
          <w:rFonts w:eastAsia="Calibri" w:cstheme="minorHAnsi"/>
          <w:b/>
          <w:bCs/>
          <w:szCs w:val="23"/>
          <w:lang w:val="fr-CA"/>
        </w:rPr>
        <w:t>Objet</w:t>
      </w:r>
    </w:p>
    <w:p w14:paraId="2F779EE8" w14:textId="77777777" w:rsidR="0050306B" w:rsidRPr="00F52884" w:rsidRDefault="0050306B" w:rsidP="0050306B">
      <w:pPr>
        <w:rPr>
          <w:rFonts w:eastAsia="Calibri" w:cstheme="minorHAnsi"/>
          <w:szCs w:val="23"/>
          <w:u w:val="single"/>
          <w:lang w:val="fr-CA"/>
        </w:rPr>
      </w:pPr>
    </w:p>
    <w:p w14:paraId="1B17FDAE" w14:textId="0AA3709D" w:rsidR="0050306B" w:rsidRPr="00F52884" w:rsidRDefault="0050306B" w:rsidP="0050306B">
      <w:pPr>
        <w:ind w:firstLine="720"/>
        <w:rPr>
          <w:rFonts w:eastAsia="Calibri" w:cstheme="minorHAnsi"/>
          <w:szCs w:val="23"/>
          <w:lang w:val="fr-CA"/>
        </w:rPr>
      </w:pPr>
      <w:r w:rsidRPr="00F52884">
        <w:rPr>
          <w:rFonts w:eastAsia="Calibri" w:cstheme="minorHAnsi"/>
          <w:szCs w:val="23"/>
          <w:lang w:val="fr-CA"/>
        </w:rPr>
        <w:t>Le présent chapitre vise à établir un cadre transparent et efficient afin d’assurer à tous les fournisseurs canadiens un accès ouvert et équitable aux possibilités de passation de marchés publics.</w:t>
      </w:r>
    </w:p>
    <w:p w14:paraId="026BB60F" w14:textId="77777777" w:rsidR="0050306B" w:rsidRPr="00F52884" w:rsidRDefault="0050306B" w:rsidP="0050306B">
      <w:pPr>
        <w:ind w:firstLine="720"/>
        <w:rPr>
          <w:rFonts w:eastAsia="Calibri" w:cstheme="minorHAnsi"/>
          <w:szCs w:val="23"/>
          <w:u w:val="single"/>
          <w:lang w:val="fr-CA"/>
        </w:rPr>
      </w:pPr>
    </w:p>
    <w:p w14:paraId="7934199D" w14:textId="752D964E"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501 :</w:t>
      </w:r>
      <w:r w:rsidRPr="00F52884">
        <w:rPr>
          <w:rFonts w:eastAsia="Calibri" w:cstheme="minorHAnsi"/>
          <w:szCs w:val="23"/>
          <w:lang w:val="fr-CA"/>
        </w:rPr>
        <w:tab/>
      </w:r>
      <w:r w:rsidR="00600B9F" w:rsidRPr="00F52884">
        <w:rPr>
          <w:rFonts w:eastAsia="Calibri" w:cstheme="minorHAnsi"/>
          <w:szCs w:val="23"/>
          <w:lang w:val="fr-CA"/>
        </w:rPr>
        <w:tab/>
      </w:r>
      <w:r w:rsidRPr="00F52884">
        <w:rPr>
          <w:rFonts w:eastAsia="Calibri" w:cstheme="minorHAnsi"/>
          <w:b/>
          <w:bCs/>
          <w:szCs w:val="23"/>
          <w:lang w:val="fr-CA"/>
        </w:rPr>
        <w:t>Application des règles générales</w:t>
      </w:r>
    </w:p>
    <w:p w14:paraId="5EC796C5" w14:textId="77777777" w:rsidR="0050306B" w:rsidRPr="00F52884" w:rsidRDefault="0050306B" w:rsidP="0050306B">
      <w:pPr>
        <w:ind w:firstLine="720"/>
        <w:rPr>
          <w:rFonts w:eastAsia="Calibri" w:cstheme="minorHAnsi"/>
          <w:szCs w:val="23"/>
          <w:lang w:val="fr-CA"/>
        </w:rPr>
      </w:pPr>
    </w:p>
    <w:p w14:paraId="29EFE25A" w14:textId="1F04DEF5" w:rsidR="0050306B" w:rsidRPr="00F52884" w:rsidRDefault="0050306B" w:rsidP="0050306B">
      <w:pPr>
        <w:ind w:firstLine="720"/>
        <w:rPr>
          <w:rFonts w:eastAsia="Calibri" w:cstheme="minorHAnsi"/>
          <w:szCs w:val="23"/>
          <w:lang w:val="fr-CA"/>
        </w:rPr>
      </w:pPr>
      <w:r w:rsidRPr="00F52884">
        <w:rPr>
          <w:rFonts w:cstheme="minorHAnsi"/>
          <w:szCs w:val="23"/>
          <w:lang w:val="fr-CA"/>
        </w:rPr>
        <w:t>Nonobstant l’article 200.2 (Application), l’article 202 (Objectifs légitimes) s’applique aux mesures ayant trait aux marchés couverts.</w:t>
      </w:r>
    </w:p>
    <w:p w14:paraId="72CB67EA" w14:textId="77777777" w:rsidR="0050306B" w:rsidRPr="00F52884" w:rsidRDefault="0050306B" w:rsidP="0050306B">
      <w:pPr>
        <w:ind w:firstLine="720"/>
        <w:rPr>
          <w:rFonts w:eastAsia="Calibri" w:cstheme="minorHAnsi"/>
          <w:szCs w:val="23"/>
          <w:lang w:val="fr-CA"/>
        </w:rPr>
      </w:pPr>
    </w:p>
    <w:p w14:paraId="005E7851" w14:textId="167A188A"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502 :</w:t>
      </w:r>
      <w:r w:rsidRPr="00F52884">
        <w:rPr>
          <w:rFonts w:eastAsia="Calibri" w:cstheme="minorHAnsi"/>
          <w:szCs w:val="23"/>
          <w:lang w:val="fr-CA"/>
        </w:rPr>
        <w:tab/>
      </w:r>
      <w:r w:rsidR="00600B9F" w:rsidRPr="00F52884">
        <w:rPr>
          <w:rFonts w:eastAsia="Calibri" w:cstheme="minorHAnsi"/>
          <w:szCs w:val="23"/>
          <w:lang w:val="fr-CA"/>
        </w:rPr>
        <w:tab/>
      </w:r>
      <w:r w:rsidRPr="00F52884">
        <w:rPr>
          <w:rFonts w:eastAsia="Calibri" w:cstheme="minorHAnsi"/>
          <w:b/>
          <w:bCs/>
          <w:szCs w:val="23"/>
          <w:lang w:val="fr-CA"/>
        </w:rPr>
        <w:t>Principes généraux</w:t>
      </w:r>
    </w:p>
    <w:p w14:paraId="433A7C17" w14:textId="77777777" w:rsidR="0050306B" w:rsidRPr="00F52884" w:rsidRDefault="0050306B" w:rsidP="0050306B">
      <w:pPr>
        <w:rPr>
          <w:rFonts w:eastAsia="Calibri" w:cstheme="minorHAnsi"/>
          <w:b/>
          <w:szCs w:val="23"/>
          <w:lang w:val="fr-CA"/>
        </w:rPr>
      </w:pPr>
    </w:p>
    <w:p w14:paraId="35B74ED5" w14:textId="252F221B" w:rsidR="0050306B" w:rsidRPr="00F52884" w:rsidRDefault="0050306B" w:rsidP="0050306B">
      <w:pPr>
        <w:numPr>
          <w:ilvl w:val="0"/>
          <w:numId w:val="346"/>
        </w:numPr>
        <w:tabs>
          <w:tab w:val="left" w:pos="0"/>
          <w:tab w:val="left" w:pos="709"/>
        </w:tabs>
        <w:ind w:left="0" w:firstLine="0"/>
        <w:contextualSpacing/>
        <w:rPr>
          <w:rFonts w:eastAsia="Calibri" w:cstheme="minorHAnsi"/>
          <w:szCs w:val="23"/>
          <w:lang w:val="fr-CA"/>
        </w:rPr>
      </w:pPr>
      <w:r w:rsidRPr="00F52884">
        <w:rPr>
          <w:rFonts w:eastAsia="Calibri" w:cstheme="minorHAnsi"/>
          <w:szCs w:val="23"/>
          <w:lang w:val="fr-CA"/>
        </w:rPr>
        <w:t>Chaque Partie accorde un accès ouvert, transparent et non discriminatoire aux marchés couverts de ses entités contractantes.</w:t>
      </w:r>
    </w:p>
    <w:p w14:paraId="54580663" w14:textId="77777777" w:rsidR="0050306B" w:rsidRPr="00F52884" w:rsidRDefault="0050306B" w:rsidP="0050306B">
      <w:pPr>
        <w:autoSpaceDE w:val="0"/>
        <w:autoSpaceDN w:val="0"/>
        <w:adjustRightInd w:val="0"/>
        <w:rPr>
          <w:rFonts w:eastAsia="Calibri" w:cstheme="minorHAnsi"/>
          <w:b/>
          <w:bCs/>
          <w:szCs w:val="23"/>
          <w:lang w:val="fr-CA"/>
        </w:rPr>
      </w:pPr>
    </w:p>
    <w:p w14:paraId="4FF9E8F8" w14:textId="1C3C2AE5" w:rsidR="0050306B" w:rsidRPr="00F52884" w:rsidRDefault="0050306B" w:rsidP="0050306B">
      <w:pPr>
        <w:numPr>
          <w:ilvl w:val="0"/>
          <w:numId w:val="346"/>
        </w:numPr>
        <w:tabs>
          <w:tab w:val="left" w:pos="0"/>
          <w:tab w:val="left" w:pos="709"/>
        </w:tabs>
        <w:ind w:left="0" w:firstLine="0"/>
        <w:contextualSpacing/>
        <w:rPr>
          <w:rFonts w:eastAsia="Calibri" w:cstheme="minorHAnsi"/>
          <w:szCs w:val="23"/>
          <w:lang w:val="fr-CA"/>
        </w:rPr>
      </w:pPr>
      <w:r w:rsidRPr="00F52884">
        <w:rPr>
          <w:rFonts w:eastAsia="Calibri" w:cstheme="minorHAnsi"/>
          <w:szCs w:val="23"/>
          <w:lang w:val="fr-CA"/>
        </w:rPr>
        <w:t>En ce qui concerne toute mesure ayant trait aux marchés couverts, chaque Partie accorde :</w:t>
      </w:r>
    </w:p>
    <w:p w14:paraId="416B463D" w14:textId="77777777" w:rsidR="0050306B" w:rsidRPr="00F52884" w:rsidRDefault="0050306B" w:rsidP="0050306B">
      <w:pPr>
        <w:autoSpaceDE w:val="0"/>
        <w:autoSpaceDN w:val="0"/>
        <w:adjustRightInd w:val="0"/>
        <w:rPr>
          <w:rFonts w:eastAsia="Calibri" w:cstheme="minorHAnsi"/>
          <w:szCs w:val="23"/>
          <w:lang w:val="fr-CA"/>
        </w:rPr>
      </w:pPr>
    </w:p>
    <w:p w14:paraId="4B726B53" w14:textId="215361AE" w:rsidR="0050306B" w:rsidRPr="00F52884" w:rsidRDefault="0050306B" w:rsidP="00CF31F2">
      <w:pPr>
        <w:numPr>
          <w:ilvl w:val="0"/>
          <w:numId w:val="347"/>
        </w:numPr>
        <w:autoSpaceDE w:val="0"/>
        <w:autoSpaceDN w:val="0"/>
        <w:adjustRightInd w:val="0"/>
        <w:ind w:left="1440" w:hanging="720"/>
        <w:contextualSpacing/>
        <w:rPr>
          <w:rFonts w:eastAsia="Calibri" w:cstheme="minorHAnsi"/>
          <w:szCs w:val="23"/>
          <w:lang w:val="fr-CA"/>
        </w:rPr>
      </w:pPr>
      <w:proofErr w:type="gramStart"/>
      <w:r w:rsidRPr="00F52884">
        <w:rPr>
          <w:rFonts w:eastAsia="Calibri" w:cstheme="minorHAnsi"/>
          <w:szCs w:val="23"/>
          <w:lang w:val="fr-CA"/>
        </w:rPr>
        <w:t>aux</w:t>
      </w:r>
      <w:proofErr w:type="gramEnd"/>
      <w:r w:rsidRPr="00F52884">
        <w:rPr>
          <w:rFonts w:eastAsia="Calibri" w:cstheme="minorHAnsi"/>
          <w:szCs w:val="23"/>
          <w:lang w:val="fr-CA"/>
        </w:rPr>
        <w:t xml:space="preserve"> produits et aux services de toute autre Partie, y compris aux produits et aux services inclus dans les marchés de construction, un traitement non moins favorable que le meilleur traitement qu’elle accorde à ses propres produits et services;</w:t>
      </w:r>
    </w:p>
    <w:p w14:paraId="7F8C2ED5" w14:textId="77777777" w:rsidR="0050306B" w:rsidRPr="00F52884" w:rsidRDefault="0050306B" w:rsidP="00CF31F2">
      <w:pPr>
        <w:autoSpaceDE w:val="0"/>
        <w:autoSpaceDN w:val="0"/>
        <w:adjustRightInd w:val="0"/>
        <w:ind w:left="1440" w:hanging="720"/>
        <w:contextualSpacing/>
        <w:rPr>
          <w:rFonts w:eastAsia="Calibri" w:cstheme="minorHAnsi"/>
          <w:szCs w:val="23"/>
          <w:lang w:val="fr-CA"/>
        </w:rPr>
      </w:pPr>
    </w:p>
    <w:p w14:paraId="3FED9FDC" w14:textId="63D435D3" w:rsidR="0050306B" w:rsidRPr="00F52884" w:rsidRDefault="0050306B" w:rsidP="00CF31F2">
      <w:pPr>
        <w:numPr>
          <w:ilvl w:val="0"/>
          <w:numId w:val="347"/>
        </w:numPr>
        <w:autoSpaceDE w:val="0"/>
        <w:autoSpaceDN w:val="0"/>
        <w:adjustRightInd w:val="0"/>
        <w:ind w:left="1440" w:hanging="720"/>
        <w:contextualSpacing/>
        <w:rPr>
          <w:rFonts w:eastAsia="Calibri" w:cstheme="minorHAnsi"/>
          <w:szCs w:val="23"/>
          <w:lang w:val="fr-CA"/>
        </w:rPr>
      </w:pPr>
      <w:proofErr w:type="gramStart"/>
      <w:r w:rsidRPr="00F52884">
        <w:rPr>
          <w:rFonts w:eastAsia="Calibri" w:cstheme="minorHAnsi"/>
          <w:szCs w:val="23"/>
          <w:lang w:val="fr-CA"/>
        </w:rPr>
        <w:t>aux</w:t>
      </w:r>
      <w:proofErr w:type="gramEnd"/>
      <w:r w:rsidRPr="00F52884">
        <w:rPr>
          <w:rFonts w:eastAsia="Calibri" w:cstheme="minorHAnsi"/>
          <w:szCs w:val="23"/>
          <w:lang w:val="fr-CA"/>
        </w:rPr>
        <w:t xml:space="preserve"> fournisseurs de produits et de services de toute autre Partie, y compris les produits et services inclus dans les marchés de construction, un traitement non moins favorable que le meilleur traitement qu’elle accorde à ses propres fournisseurs de tels produits et services.</w:t>
      </w:r>
    </w:p>
    <w:p w14:paraId="1A1A85C7" w14:textId="77777777" w:rsidR="0050306B" w:rsidRPr="00F52884" w:rsidRDefault="0050306B" w:rsidP="0050306B">
      <w:pPr>
        <w:autoSpaceDE w:val="0"/>
        <w:autoSpaceDN w:val="0"/>
        <w:adjustRightInd w:val="0"/>
        <w:ind w:left="1440" w:hanging="720"/>
        <w:rPr>
          <w:rFonts w:eastAsia="Calibri" w:cstheme="minorHAnsi"/>
          <w:szCs w:val="23"/>
          <w:lang w:val="fr-CA"/>
        </w:rPr>
      </w:pPr>
      <w:r w:rsidRPr="00F52884">
        <w:rPr>
          <w:rFonts w:eastAsia="Calibri" w:cstheme="minorHAnsi"/>
          <w:szCs w:val="23"/>
          <w:lang w:val="fr-CA"/>
        </w:rPr>
        <w:t xml:space="preserve"> </w:t>
      </w:r>
    </w:p>
    <w:p w14:paraId="068AE861" w14:textId="0F298F3F" w:rsidR="0050306B" w:rsidRPr="00F52884" w:rsidRDefault="0050306B" w:rsidP="0050306B">
      <w:pPr>
        <w:numPr>
          <w:ilvl w:val="0"/>
          <w:numId w:val="346"/>
        </w:numPr>
        <w:tabs>
          <w:tab w:val="left" w:pos="0"/>
          <w:tab w:val="left" w:pos="709"/>
        </w:tabs>
        <w:ind w:left="0" w:firstLine="0"/>
        <w:contextualSpacing/>
        <w:rPr>
          <w:rFonts w:eastAsia="Calibri" w:cstheme="minorHAnsi"/>
          <w:szCs w:val="23"/>
          <w:lang w:val="fr-CA"/>
        </w:rPr>
      </w:pPr>
      <w:r w:rsidRPr="00F52884">
        <w:rPr>
          <w:rFonts w:eastAsia="Calibri" w:cstheme="minorHAnsi"/>
          <w:szCs w:val="23"/>
          <w:lang w:val="fr-CA"/>
        </w:rPr>
        <w:t>En ce qui concerne le gouvernement du Canada, le paragraphe 2 signifie que celui-ci n’établit pas de discrimination :</w:t>
      </w:r>
    </w:p>
    <w:p w14:paraId="1A0196D9" w14:textId="77777777" w:rsidR="0050306B" w:rsidRPr="00F52884" w:rsidRDefault="0050306B" w:rsidP="0050306B">
      <w:pPr>
        <w:autoSpaceDE w:val="0"/>
        <w:autoSpaceDN w:val="0"/>
        <w:adjustRightInd w:val="0"/>
        <w:rPr>
          <w:rFonts w:eastAsia="Calibri" w:cstheme="minorHAnsi"/>
          <w:szCs w:val="23"/>
          <w:lang w:val="fr-CA"/>
        </w:rPr>
      </w:pPr>
    </w:p>
    <w:p w14:paraId="4A04D2DB" w14:textId="36F784EF" w:rsidR="0050306B" w:rsidRPr="00F52884" w:rsidRDefault="0050306B" w:rsidP="00CF31F2">
      <w:pPr>
        <w:numPr>
          <w:ilvl w:val="0"/>
          <w:numId w:val="348"/>
        </w:numPr>
        <w:autoSpaceDE w:val="0"/>
        <w:autoSpaceDN w:val="0"/>
        <w:adjustRightInd w:val="0"/>
        <w:ind w:left="1440" w:hanging="720"/>
        <w:contextualSpacing/>
        <w:rPr>
          <w:rFonts w:eastAsia="Calibri" w:cstheme="minorHAnsi"/>
          <w:szCs w:val="23"/>
          <w:lang w:val="fr-CA"/>
        </w:rPr>
      </w:pPr>
      <w:proofErr w:type="gramStart"/>
      <w:r w:rsidRPr="00F52884">
        <w:rPr>
          <w:rFonts w:eastAsia="Calibri" w:cstheme="minorHAnsi"/>
          <w:szCs w:val="23"/>
          <w:lang w:val="fr-CA"/>
        </w:rPr>
        <w:t>entre</w:t>
      </w:r>
      <w:proofErr w:type="gramEnd"/>
      <w:r w:rsidRPr="00F52884">
        <w:rPr>
          <w:rFonts w:eastAsia="Calibri" w:cstheme="minorHAnsi"/>
          <w:szCs w:val="23"/>
          <w:lang w:val="fr-CA"/>
        </w:rPr>
        <w:t xml:space="preserve"> les produits ou services d’une Province ou d’une région particulière, y compris les produits et services inclus dans les marchés de construction, et les produits ou services de toute autre Province ou région;</w:t>
      </w:r>
    </w:p>
    <w:p w14:paraId="3619F519" w14:textId="77777777" w:rsidR="0050306B" w:rsidRPr="00F52884" w:rsidRDefault="0050306B" w:rsidP="00CF31F2">
      <w:pPr>
        <w:autoSpaceDE w:val="0"/>
        <w:autoSpaceDN w:val="0"/>
        <w:adjustRightInd w:val="0"/>
        <w:ind w:left="1440" w:hanging="720"/>
        <w:contextualSpacing/>
        <w:rPr>
          <w:rFonts w:eastAsia="Calibri" w:cstheme="minorHAnsi"/>
          <w:szCs w:val="23"/>
          <w:lang w:val="fr-CA"/>
        </w:rPr>
      </w:pPr>
    </w:p>
    <w:p w14:paraId="1CDC9C3F" w14:textId="7FAC77AB" w:rsidR="0050306B" w:rsidRPr="00F52884" w:rsidRDefault="0050306B" w:rsidP="00CF31F2">
      <w:pPr>
        <w:numPr>
          <w:ilvl w:val="0"/>
          <w:numId w:val="348"/>
        </w:numPr>
        <w:autoSpaceDE w:val="0"/>
        <w:autoSpaceDN w:val="0"/>
        <w:adjustRightInd w:val="0"/>
        <w:ind w:left="1440" w:hanging="720"/>
        <w:contextualSpacing/>
        <w:rPr>
          <w:rFonts w:eastAsia="Calibri" w:cstheme="minorHAnsi"/>
          <w:szCs w:val="23"/>
          <w:lang w:val="fr-CA"/>
        </w:rPr>
      </w:pPr>
      <w:proofErr w:type="gramStart"/>
      <w:r w:rsidRPr="00F52884">
        <w:rPr>
          <w:rFonts w:eastAsia="Calibri" w:cstheme="minorHAnsi"/>
          <w:szCs w:val="23"/>
          <w:lang w:val="fr-CA"/>
        </w:rPr>
        <w:t>entre</w:t>
      </w:r>
      <w:proofErr w:type="gramEnd"/>
      <w:r w:rsidRPr="00F52884">
        <w:rPr>
          <w:rFonts w:eastAsia="Calibri" w:cstheme="minorHAnsi"/>
          <w:szCs w:val="23"/>
          <w:lang w:val="fr-CA"/>
        </w:rPr>
        <w:t xml:space="preserve"> les fournisseurs de tels produits ou services d’une Province ou d’une région particulière et les fournisseurs de toute autre Province ou région.</w:t>
      </w:r>
    </w:p>
    <w:p w14:paraId="5662E065" w14:textId="77777777" w:rsidR="0050306B" w:rsidRPr="00F52884" w:rsidRDefault="0050306B" w:rsidP="0050306B">
      <w:pPr>
        <w:keepNext/>
        <w:rPr>
          <w:rFonts w:eastAsia="Calibri" w:cstheme="minorHAnsi"/>
          <w:szCs w:val="23"/>
          <w:lang w:val="fr-CA"/>
        </w:rPr>
      </w:pPr>
    </w:p>
    <w:p w14:paraId="2A4775C8" w14:textId="4D941851" w:rsidR="0050306B" w:rsidRPr="00F52884" w:rsidRDefault="0050306B" w:rsidP="0050306B">
      <w:pPr>
        <w:keepNext/>
        <w:jc w:val="center"/>
        <w:rPr>
          <w:rFonts w:eastAsia="Calibri" w:cstheme="minorHAnsi"/>
          <w:b/>
          <w:szCs w:val="23"/>
          <w:lang w:val="fr-CA"/>
        </w:rPr>
      </w:pPr>
      <w:r w:rsidRPr="00F52884">
        <w:rPr>
          <w:rFonts w:eastAsia="Calibri" w:cstheme="minorHAnsi"/>
          <w:b/>
          <w:bCs/>
          <w:szCs w:val="23"/>
          <w:lang w:val="fr-CA"/>
        </w:rPr>
        <w:t>Article 503 :</w:t>
      </w:r>
      <w:r w:rsidRPr="00F52884">
        <w:rPr>
          <w:rFonts w:eastAsia="Calibri" w:cstheme="minorHAnsi"/>
          <w:szCs w:val="23"/>
          <w:lang w:val="fr-CA"/>
        </w:rPr>
        <w:tab/>
      </w:r>
      <w:r w:rsidR="00600B9F" w:rsidRPr="00F52884">
        <w:rPr>
          <w:rFonts w:eastAsia="Calibri" w:cstheme="minorHAnsi"/>
          <w:szCs w:val="23"/>
          <w:lang w:val="fr-CA"/>
        </w:rPr>
        <w:tab/>
      </w:r>
      <w:r w:rsidRPr="00F52884">
        <w:rPr>
          <w:rFonts w:eastAsia="Calibri" w:cstheme="minorHAnsi"/>
          <w:b/>
          <w:bCs/>
          <w:szCs w:val="23"/>
          <w:lang w:val="fr-CA"/>
        </w:rPr>
        <w:t>Règles générales concernant les marchés publics</w:t>
      </w:r>
    </w:p>
    <w:p w14:paraId="127E5380" w14:textId="77777777" w:rsidR="0050306B" w:rsidRPr="00F52884" w:rsidRDefault="0050306B" w:rsidP="0050306B">
      <w:pPr>
        <w:keepNext/>
        <w:rPr>
          <w:rFonts w:eastAsia="Calibri" w:cstheme="minorHAnsi"/>
          <w:szCs w:val="23"/>
          <w:lang w:val="fr-CA"/>
        </w:rPr>
      </w:pPr>
    </w:p>
    <w:p w14:paraId="135600D0" w14:textId="29D7A493" w:rsidR="0050306B" w:rsidRPr="00F52884" w:rsidRDefault="0050306B" w:rsidP="0050306B">
      <w:pPr>
        <w:numPr>
          <w:ilvl w:val="0"/>
          <w:numId w:val="349"/>
        </w:numPr>
        <w:tabs>
          <w:tab w:val="left" w:pos="0"/>
          <w:tab w:val="left" w:pos="709"/>
        </w:tabs>
        <w:ind w:left="0" w:firstLine="0"/>
        <w:contextualSpacing/>
        <w:rPr>
          <w:rFonts w:eastAsia="Calibri" w:cstheme="minorHAnsi"/>
          <w:szCs w:val="23"/>
          <w:lang w:val="fr-CA"/>
        </w:rPr>
      </w:pPr>
      <w:r w:rsidRPr="00F52884">
        <w:rPr>
          <w:rFonts w:cstheme="minorHAnsi"/>
          <w:szCs w:val="23"/>
          <w:lang w:val="fr-CA"/>
        </w:rPr>
        <w:t xml:space="preserve">Une entité contractante ne prépare, élabore ou autrement </w:t>
      </w:r>
      <w:proofErr w:type="gramStart"/>
      <w:r w:rsidRPr="00F52884">
        <w:rPr>
          <w:rFonts w:cstheme="minorHAnsi"/>
          <w:szCs w:val="23"/>
          <w:lang w:val="fr-CA"/>
        </w:rPr>
        <w:t>structure  un</w:t>
      </w:r>
      <w:proofErr w:type="gramEnd"/>
      <w:r w:rsidRPr="00F52884">
        <w:rPr>
          <w:rFonts w:cstheme="minorHAnsi"/>
          <w:szCs w:val="23"/>
          <w:lang w:val="fr-CA"/>
        </w:rPr>
        <w:t xml:space="preserve"> marché, ni choisit une méthode d’évaluation ou fractionne les prescriptions d’un marché en vue de se soustraire aux obligations prévues au présent accord. Cela comprend le fractionnement des quantités requises de produits ou de services devant faire l’objet du marché, ou le </w:t>
      </w:r>
      <w:r w:rsidRPr="00F52884">
        <w:rPr>
          <w:rFonts w:cstheme="minorHAnsi"/>
          <w:szCs w:val="23"/>
          <w:lang w:val="fr-CA"/>
        </w:rPr>
        <w:lastRenderedPageBreak/>
        <w:t>détournement de fonds vers des entités non couvertes par le présent chapitre ou vers des consortiums d’achat de manière à se soustraire aux obligations prévues au présent chapitre.</w:t>
      </w:r>
    </w:p>
    <w:p w14:paraId="6569DE96" w14:textId="77777777" w:rsidR="0050306B" w:rsidRPr="00F52884" w:rsidRDefault="0050306B" w:rsidP="0050306B">
      <w:pPr>
        <w:tabs>
          <w:tab w:val="left" w:pos="0"/>
          <w:tab w:val="left" w:pos="709"/>
        </w:tabs>
        <w:rPr>
          <w:rFonts w:eastAsia="Calibri" w:cstheme="minorHAnsi"/>
          <w:szCs w:val="23"/>
          <w:lang w:val="fr-CA"/>
        </w:rPr>
      </w:pPr>
    </w:p>
    <w:p w14:paraId="298D1515" w14:textId="01C2FA40" w:rsidR="0050306B" w:rsidRPr="00F52884" w:rsidRDefault="0050306B" w:rsidP="0050306B">
      <w:pPr>
        <w:numPr>
          <w:ilvl w:val="0"/>
          <w:numId w:val="349"/>
        </w:numPr>
        <w:tabs>
          <w:tab w:val="left" w:pos="0"/>
          <w:tab w:val="left" w:pos="709"/>
        </w:tabs>
        <w:ind w:left="0" w:firstLine="0"/>
        <w:contextualSpacing/>
        <w:rPr>
          <w:rFonts w:eastAsia="Calibri" w:cstheme="minorHAnsi"/>
          <w:szCs w:val="23"/>
          <w:lang w:val="fr-CA"/>
        </w:rPr>
      </w:pPr>
      <w:r w:rsidRPr="00F52884">
        <w:rPr>
          <w:rFonts w:eastAsia="Calibri" w:cstheme="minorHAnsi"/>
          <w:szCs w:val="23"/>
          <w:lang w:val="fr-CA"/>
        </w:rPr>
        <w:t>Une entité contractante n’utilise pas d’options, n’annule pas de marché ni ne modifie un marché adjugé de manière à contourner les obligations prévues au présent chapitre.</w:t>
      </w:r>
    </w:p>
    <w:p w14:paraId="246E9262" w14:textId="77777777" w:rsidR="0050306B" w:rsidRPr="00F52884" w:rsidRDefault="0050306B" w:rsidP="0050306B">
      <w:pPr>
        <w:ind w:left="720"/>
        <w:contextualSpacing/>
        <w:rPr>
          <w:rFonts w:eastAsia="Calibri" w:cstheme="minorHAnsi"/>
          <w:szCs w:val="23"/>
          <w:lang w:val="fr-CA"/>
        </w:rPr>
      </w:pPr>
    </w:p>
    <w:p w14:paraId="40F28594" w14:textId="186ABECB" w:rsidR="0050306B" w:rsidRPr="00F52884" w:rsidRDefault="0050306B" w:rsidP="0050306B">
      <w:pPr>
        <w:numPr>
          <w:ilvl w:val="0"/>
          <w:numId w:val="349"/>
        </w:numPr>
        <w:tabs>
          <w:tab w:val="left" w:pos="0"/>
          <w:tab w:val="left" w:pos="709"/>
        </w:tabs>
        <w:ind w:left="0" w:firstLine="0"/>
        <w:contextualSpacing/>
        <w:rPr>
          <w:rFonts w:eastAsia="Calibri" w:cstheme="minorHAnsi"/>
          <w:szCs w:val="23"/>
          <w:lang w:val="fr-CA"/>
        </w:rPr>
      </w:pPr>
      <w:r w:rsidRPr="00F52884">
        <w:rPr>
          <w:rFonts w:eastAsia="Calibri" w:cstheme="minorHAnsi"/>
          <w:szCs w:val="23"/>
          <w:lang w:val="fr-CA"/>
        </w:rPr>
        <w:t>Une entité contractante n’impose ni ne prend en considération, lors de l’évaluation des soumissions ou de l’adjudication des marchés, des critères reposant sur la teneur en éléments d’origine locale ou sur d’autres avantages économiques qui sont conçus pour favoriser :</w:t>
      </w:r>
    </w:p>
    <w:p w14:paraId="32FB5FA6" w14:textId="77777777" w:rsidR="0050306B" w:rsidRPr="00F52884" w:rsidRDefault="0050306B" w:rsidP="0050306B">
      <w:pPr>
        <w:rPr>
          <w:rFonts w:eastAsia="Calibri" w:cstheme="minorHAnsi"/>
          <w:szCs w:val="23"/>
          <w:lang w:val="fr-CA"/>
        </w:rPr>
      </w:pPr>
    </w:p>
    <w:p w14:paraId="709137D2" w14:textId="1E71563B" w:rsidR="0050306B" w:rsidRPr="00F52884" w:rsidRDefault="0050306B" w:rsidP="00CF31F2">
      <w:pPr>
        <w:numPr>
          <w:ilvl w:val="0"/>
          <w:numId w:val="350"/>
        </w:numPr>
        <w:ind w:left="1440" w:hanging="720"/>
        <w:contextualSpacing/>
        <w:rPr>
          <w:rFonts w:eastAsia="Calibri" w:cstheme="minorHAnsi"/>
          <w:szCs w:val="23"/>
          <w:lang w:val="fr-CA"/>
        </w:rPr>
      </w:pPr>
      <w:proofErr w:type="gramStart"/>
      <w:r w:rsidRPr="00F52884">
        <w:rPr>
          <w:rFonts w:eastAsia="Calibri" w:cstheme="minorHAnsi"/>
          <w:szCs w:val="23"/>
          <w:lang w:val="fr-CA"/>
        </w:rPr>
        <w:t>soit</w:t>
      </w:r>
      <w:proofErr w:type="gramEnd"/>
      <w:r w:rsidRPr="00F52884">
        <w:rPr>
          <w:rFonts w:eastAsia="Calibri" w:cstheme="minorHAnsi"/>
          <w:szCs w:val="23"/>
          <w:lang w:val="fr-CA"/>
        </w:rPr>
        <w:t xml:space="preserve"> les produits ou les services d’une Province ou d’une région particulière, y compris les produits et services inclus dans les marchés de construction;</w:t>
      </w:r>
    </w:p>
    <w:p w14:paraId="0E176F4C" w14:textId="77777777" w:rsidR="0050306B" w:rsidRPr="00F52884" w:rsidRDefault="0050306B" w:rsidP="00CF31F2">
      <w:pPr>
        <w:ind w:left="1440" w:hanging="720"/>
        <w:contextualSpacing/>
        <w:rPr>
          <w:rFonts w:eastAsia="Calibri" w:cstheme="minorHAnsi"/>
          <w:szCs w:val="23"/>
          <w:lang w:val="fr-CA"/>
        </w:rPr>
      </w:pPr>
    </w:p>
    <w:p w14:paraId="341581C3" w14:textId="7D05E60E" w:rsidR="0050306B" w:rsidRPr="00F52884" w:rsidRDefault="0050306B" w:rsidP="00CF31F2">
      <w:pPr>
        <w:numPr>
          <w:ilvl w:val="0"/>
          <w:numId w:val="350"/>
        </w:numPr>
        <w:ind w:left="1440" w:hanging="720"/>
        <w:contextualSpacing/>
        <w:rPr>
          <w:rFonts w:eastAsia="Calibri" w:cstheme="minorHAnsi"/>
          <w:szCs w:val="23"/>
          <w:lang w:val="fr-CA"/>
        </w:rPr>
      </w:pPr>
      <w:proofErr w:type="gramStart"/>
      <w:r w:rsidRPr="00F52884">
        <w:rPr>
          <w:rFonts w:eastAsia="Calibri" w:cstheme="minorHAnsi"/>
          <w:szCs w:val="23"/>
          <w:lang w:val="fr-CA"/>
        </w:rPr>
        <w:t>soit</w:t>
      </w:r>
      <w:proofErr w:type="gramEnd"/>
      <w:r w:rsidRPr="00F52884">
        <w:rPr>
          <w:rFonts w:eastAsia="Calibri" w:cstheme="minorHAnsi"/>
          <w:szCs w:val="23"/>
          <w:lang w:val="fr-CA"/>
        </w:rPr>
        <w:t xml:space="preserve"> les fournisseurs de tels produits ou services d’une Province ou d’une région particulière.</w:t>
      </w:r>
    </w:p>
    <w:p w14:paraId="381FF6CC" w14:textId="77777777" w:rsidR="0050306B" w:rsidRPr="00F52884" w:rsidRDefault="0050306B" w:rsidP="0050306B">
      <w:pPr>
        <w:rPr>
          <w:rFonts w:eastAsia="Calibri" w:cstheme="minorHAnsi"/>
          <w:szCs w:val="23"/>
          <w:u w:val="single"/>
          <w:lang w:val="fr-CA"/>
        </w:rPr>
      </w:pPr>
    </w:p>
    <w:p w14:paraId="3D4BCB99" w14:textId="230C284E" w:rsidR="0050306B" w:rsidRPr="00F52884" w:rsidRDefault="0050306B" w:rsidP="0050306B">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szCs w:val="23"/>
          <w:lang w:val="fr-CA"/>
        </w:rPr>
      </w:pPr>
      <w:r w:rsidRPr="00F52884">
        <w:rPr>
          <w:rFonts w:cstheme="minorHAnsi"/>
          <w:szCs w:val="23"/>
          <w:lang w:val="fr-CA"/>
        </w:rPr>
        <w:t>4.</w:t>
      </w:r>
      <w:r w:rsidRPr="00F52884">
        <w:rPr>
          <w:rFonts w:cstheme="minorHAnsi"/>
          <w:szCs w:val="23"/>
          <w:lang w:val="fr-CA"/>
        </w:rPr>
        <w:tab/>
        <w:t>Sauf dans la mesure requise pour se conformer à des obligations internationales, et à condition que son objectif ne soit pas d’éviter la concurrence ou d’établir une discrimination à l’égard de produits, de services ou de fournisseurs de toute autre Partie, aucune disposition du présent chapitre n’a pour effet d’empêcher une entité contractante :</w:t>
      </w:r>
    </w:p>
    <w:p w14:paraId="1FCE7E1B" w14:textId="77777777" w:rsidR="0050306B" w:rsidRPr="00F52884" w:rsidRDefault="0050306B" w:rsidP="0050306B">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szCs w:val="23"/>
          <w:lang w:val="fr-CA"/>
        </w:rPr>
      </w:pPr>
    </w:p>
    <w:p w14:paraId="4FC89D43" w14:textId="6CF05A10" w:rsidR="0050306B" w:rsidRPr="00F52884" w:rsidRDefault="0050306B" w:rsidP="00CF31F2">
      <w:pPr>
        <w:tabs>
          <w:tab w:val="left" w:pos="-720"/>
        </w:tabs>
        <w:autoSpaceDE w:val="0"/>
        <w:autoSpaceDN w:val="0"/>
        <w:adjustRightInd w:val="0"/>
        <w:ind w:left="1440" w:hanging="720"/>
        <w:rPr>
          <w:rFonts w:cstheme="minorHAnsi"/>
          <w:szCs w:val="23"/>
          <w:lang w:val="fr-CA"/>
        </w:rPr>
      </w:pPr>
      <w:r w:rsidRPr="00F52884">
        <w:rPr>
          <w:rFonts w:cstheme="minorHAnsi"/>
          <w:szCs w:val="23"/>
          <w:lang w:val="fr-CA"/>
        </w:rPr>
        <w:t>a)</w:t>
      </w:r>
      <w:r w:rsidRPr="00F52884">
        <w:rPr>
          <w:rFonts w:cstheme="minorHAnsi"/>
          <w:szCs w:val="23"/>
          <w:lang w:val="fr-CA"/>
        </w:rPr>
        <w:tab/>
        <w:t>d’accorder une préférence en fonction de la valeur ajoutée canadienne;</w:t>
      </w:r>
    </w:p>
    <w:p w14:paraId="5E45E9CE" w14:textId="77777777" w:rsidR="0050306B" w:rsidRPr="00F52884" w:rsidRDefault="0050306B" w:rsidP="00CF31F2">
      <w:pPr>
        <w:tabs>
          <w:tab w:val="left" w:pos="-720"/>
          <w:tab w:val="left" w:pos="0"/>
          <w:tab w:val="left" w:pos="720"/>
          <w:tab w:val="left" w:pos="1440"/>
          <w:tab w:val="left" w:pos="2160"/>
          <w:tab w:val="left" w:pos="2880"/>
          <w:tab w:val="left" w:pos="3600"/>
          <w:tab w:val="left" w:pos="4320"/>
        </w:tabs>
        <w:autoSpaceDE w:val="0"/>
        <w:autoSpaceDN w:val="0"/>
        <w:adjustRightInd w:val="0"/>
        <w:ind w:left="1440" w:hanging="720"/>
        <w:rPr>
          <w:rFonts w:cstheme="minorHAnsi"/>
          <w:szCs w:val="23"/>
          <w:lang w:val="fr-CA"/>
        </w:rPr>
      </w:pPr>
    </w:p>
    <w:p w14:paraId="3B277534" w14:textId="5BBC07DE" w:rsidR="0050306B" w:rsidRPr="00F52884" w:rsidRDefault="0050306B" w:rsidP="00CF31F2">
      <w:pPr>
        <w:tabs>
          <w:tab w:val="left" w:pos="-90"/>
          <w:tab w:val="left" w:pos="709"/>
          <w:tab w:val="left" w:pos="2160"/>
        </w:tabs>
        <w:ind w:left="1440" w:hanging="720"/>
        <w:contextualSpacing/>
        <w:rPr>
          <w:rFonts w:cstheme="minorHAnsi"/>
          <w:szCs w:val="23"/>
          <w:lang w:val="fr-CA"/>
        </w:rPr>
      </w:pPr>
      <w:r w:rsidRPr="00F52884">
        <w:rPr>
          <w:rFonts w:cstheme="minorHAnsi"/>
          <w:szCs w:val="23"/>
          <w:lang w:val="fr-CA"/>
        </w:rPr>
        <w:t>b)</w:t>
      </w:r>
      <w:r w:rsidRPr="00F52884">
        <w:rPr>
          <w:rFonts w:cstheme="minorHAnsi"/>
          <w:szCs w:val="23"/>
          <w:lang w:val="fr-CA"/>
        </w:rPr>
        <w:tab/>
        <w:t>de limiter ses appels d’offres à des produits, à des services ou à des fournisseurs canadiens.</w:t>
      </w:r>
    </w:p>
    <w:p w14:paraId="73C81EE9" w14:textId="77777777" w:rsidR="0050306B" w:rsidRPr="00F52884" w:rsidRDefault="0050306B" w:rsidP="0050306B">
      <w:pPr>
        <w:tabs>
          <w:tab w:val="left" w:pos="0"/>
          <w:tab w:val="left" w:pos="709"/>
        </w:tabs>
        <w:rPr>
          <w:rFonts w:cstheme="minorHAnsi"/>
          <w:szCs w:val="23"/>
          <w:lang w:val="fr-CA"/>
        </w:rPr>
      </w:pPr>
    </w:p>
    <w:p w14:paraId="5F56B45F" w14:textId="270400CE" w:rsidR="0050306B" w:rsidRPr="00F52884" w:rsidRDefault="0050306B" w:rsidP="0050306B">
      <w:pPr>
        <w:tabs>
          <w:tab w:val="left" w:pos="0"/>
          <w:tab w:val="left" w:pos="709"/>
        </w:tabs>
        <w:rPr>
          <w:rFonts w:eastAsia="Calibri" w:cstheme="minorHAnsi"/>
          <w:szCs w:val="23"/>
          <w:lang w:val="fr-CA"/>
        </w:rPr>
      </w:pPr>
      <w:r w:rsidRPr="00F52884">
        <w:rPr>
          <w:rFonts w:cstheme="minorHAnsi"/>
          <w:szCs w:val="23"/>
          <w:lang w:val="fr-CA"/>
        </w:rPr>
        <w:t xml:space="preserve">5. </w:t>
      </w:r>
      <w:r w:rsidRPr="00F52884">
        <w:rPr>
          <w:rFonts w:cstheme="minorHAnsi"/>
          <w:szCs w:val="23"/>
          <w:lang w:val="fr-CA"/>
        </w:rPr>
        <w:tab/>
        <w:t>Sauf disposition contraire du présent chapitre, y compris de l’article 513, la liste qui suit énumère, à titre indicatif, les pratiques considérées comme incompatibles avec les articles 502.1, 502.2 ou 502.3 :</w:t>
      </w:r>
    </w:p>
    <w:p w14:paraId="1C5297BA" w14:textId="77777777" w:rsidR="0050306B" w:rsidRPr="00F52884" w:rsidRDefault="0050306B" w:rsidP="0050306B">
      <w:pPr>
        <w:tabs>
          <w:tab w:val="left" w:pos="720"/>
          <w:tab w:val="left" w:pos="1440"/>
        </w:tabs>
        <w:rPr>
          <w:rFonts w:eastAsia="Calibri" w:cstheme="minorHAnsi"/>
          <w:szCs w:val="23"/>
          <w:lang w:val="fr-CA"/>
        </w:rPr>
      </w:pPr>
    </w:p>
    <w:p w14:paraId="27936DAC" w14:textId="67D0308F"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accorder</w:t>
      </w:r>
      <w:proofErr w:type="gramEnd"/>
      <w:r w:rsidRPr="00F52884">
        <w:rPr>
          <w:rFonts w:eastAsia="Calibri" w:cstheme="minorHAnsi"/>
          <w:szCs w:val="23"/>
          <w:lang w:val="fr-CA"/>
        </w:rPr>
        <w:t xml:space="preserve"> une préférence à des produits, services ou fournisseurs locaux;</w:t>
      </w:r>
    </w:p>
    <w:p w14:paraId="5DE334AD" w14:textId="77777777" w:rsidR="0050306B" w:rsidRPr="00F52884" w:rsidRDefault="0050306B" w:rsidP="00CF31F2">
      <w:pPr>
        <w:ind w:left="1440" w:hanging="720"/>
        <w:contextualSpacing/>
        <w:rPr>
          <w:rFonts w:eastAsia="Calibri" w:cstheme="minorHAnsi"/>
          <w:szCs w:val="23"/>
          <w:lang w:val="fr-CA"/>
        </w:rPr>
      </w:pPr>
    </w:p>
    <w:p w14:paraId="7068BED7" w14:textId="15EE70F3"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établir</w:t>
      </w:r>
      <w:proofErr w:type="gramEnd"/>
      <w:r w:rsidRPr="00F52884">
        <w:rPr>
          <w:rFonts w:eastAsia="Calibri" w:cstheme="minorHAnsi"/>
          <w:szCs w:val="23"/>
          <w:lang w:val="fr-CA"/>
        </w:rPr>
        <w:t xml:space="preserve"> le calendrier du processus d’appel d’offres de façon à empêcher les fournisseurs de présenter des soumissions; </w:t>
      </w:r>
    </w:p>
    <w:p w14:paraId="7D6E30D1" w14:textId="77777777" w:rsidR="0050306B" w:rsidRPr="00F52884" w:rsidRDefault="0050306B" w:rsidP="00CF31F2">
      <w:pPr>
        <w:ind w:left="1440" w:hanging="720"/>
        <w:contextualSpacing/>
        <w:rPr>
          <w:rFonts w:eastAsia="Calibri" w:cstheme="minorHAnsi"/>
          <w:szCs w:val="23"/>
          <w:lang w:val="fr-CA"/>
        </w:rPr>
      </w:pPr>
    </w:p>
    <w:p w14:paraId="0753C5BA" w14:textId="48164283"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fixer</w:t>
      </w:r>
      <w:proofErr w:type="gramEnd"/>
      <w:r w:rsidRPr="00F52884">
        <w:rPr>
          <w:rFonts w:eastAsia="Calibri" w:cstheme="minorHAnsi"/>
          <w:szCs w:val="23"/>
          <w:lang w:val="fr-CA"/>
        </w:rPr>
        <w:t xml:space="preserve"> les quantités ou les calendriers de livraison des produits ou services devant être fournis de façon à empêcher les fournisseurs de satisfaire aux prescriptions du marché;</w:t>
      </w:r>
    </w:p>
    <w:p w14:paraId="33D53787" w14:textId="77777777" w:rsidR="0050306B" w:rsidRPr="00F52884" w:rsidRDefault="0050306B" w:rsidP="00CF31F2">
      <w:pPr>
        <w:ind w:left="1440" w:hanging="720"/>
        <w:contextualSpacing/>
        <w:rPr>
          <w:rFonts w:eastAsia="Calibri" w:cstheme="minorHAnsi"/>
          <w:szCs w:val="23"/>
          <w:lang w:val="fr-CA"/>
        </w:rPr>
      </w:pPr>
    </w:p>
    <w:p w14:paraId="15C01069" w14:textId="12C76C43"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appliquer</w:t>
      </w:r>
      <w:proofErr w:type="gramEnd"/>
      <w:r w:rsidRPr="00F52884">
        <w:rPr>
          <w:rFonts w:eastAsia="Calibri" w:cstheme="minorHAnsi"/>
          <w:szCs w:val="23"/>
          <w:lang w:val="fr-CA"/>
        </w:rPr>
        <w:t xml:space="preserve"> des remises ou des marges préférentielles de façon à favoriser des fournisseurs particuliers; </w:t>
      </w:r>
    </w:p>
    <w:p w14:paraId="044241DF" w14:textId="77777777" w:rsidR="0050306B" w:rsidRPr="00F52884" w:rsidRDefault="0050306B" w:rsidP="00CF31F2">
      <w:pPr>
        <w:ind w:left="1440" w:hanging="720"/>
        <w:contextualSpacing/>
        <w:rPr>
          <w:rFonts w:eastAsia="Calibri" w:cstheme="minorHAnsi"/>
          <w:szCs w:val="23"/>
          <w:lang w:val="fr-CA"/>
        </w:rPr>
      </w:pPr>
    </w:p>
    <w:p w14:paraId="7CE5C48D" w14:textId="601BBF56"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limiter</w:t>
      </w:r>
      <w:proofErr w:type="gramEnd"/>
      <w:r w:rsidRPr="00F52884">
        <w:rPr>
          <w:rFonts w:eastAsia="Calibri" w:cstheme="minorHAnsi"/>
          <w:szCs w:val="23"/>
          <w:lang w:val="fr-CA"/>
        </w:rPr>
        <w:t xml:space="preserve"> la participation à un marché aux seuls fournisseurs qui ont préalablement obtenu un ou plusieurs marchés d’une entité contractante;</w:t>
      </w:r>
    </w:p>
    <w:p w14:paraId="15B24C70" w14:textId="77777777" w:rsidR="0050306B" w:rsidRPr="00F52884" w:rsidRDefault="0050306B" w:rsidP="00CF31F2">
      <w:pPr>
        <w:ind w:left="1440" w:hanging="720"/>
        <w:contextualSpacing/>
        <w:rPr>
          <w:rFonts w:eastAsia="Calibri" w:cstheme="minorHAnsi"/>
          <w:szCs w:val="23"/>
          <w:lang w:val="fr-CA"/>
        </w:rPr>
      </w:pPr>
    </w:p>
    <w:p w14:paraId="742B17DC" w14:textId="53BEC2F9"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exiger</w:t>
      </w:r>
      <w:proofErr w:type="gramEnd"/>
      <w:r w:rsidRPr="00F52884">
        <w:rPr>
          <w:rFonts w:eastAsia="Calibri" w:cstheme="minorHAnsi"/>
          <w:szCs w:val="23"/>
          <w:lang w:val="fr-CA"/>
        </w:rPr>
        <w:t xml:space="preserve"> une expérience préalable si cela n’est pas essentiel pour qu’il soit satisfait aux prescriptions du marché; </w:t>
      </w:r>
    </w:p>
    <w:p w14:paraId="343F5573" w14:textId="77777777" w:rsidR="0050306B" w:rsidRPr="00F52884" w:rsidRDefault="0050306B" w:rsidP="00CF31F2">
      <w:pPr>
        <w:ind w:left="1440" w:hanging="720"/>
        <w:contextualSpacing/>
        <w:rPr>
          <w:rFonts w:eastAsia="Calibri" w:cstheme="minorHAnsi"/>
          <w:szCs w:val="23"/>
          <w:lang w:val="fr-CA"/>
        </w:rPr>
      </w:pPr>
    </w:p>
    <w:p w14:paraId="7CBDE06F" w14:textId="0F835D0D"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lastRenderedPageBreak/>
        <w:t>fournir</w:t>
      </w:r>
      <w:proofErr w:type="gramEnd"/>
      <w:r w:rsidRPr="00F52884">
        <w:rPr>
          <w:rFonts w:eastAsia="Calibri" w:cstheme="minorHAnsi"/>
          <w:szCs w:val="23"/>
          <w:lang w:val="fr-CA"/>
        </w:rPr>
        <w:t xml:space="preserve"> des renseignements à un fournisseur de façon à lui donner un avantage sur d’autres fournisseurs;</w:t>
      </w:r>
    </w:p>
    <w:p w14:paraId="1B58035A" w14:textId="77777777" w:rsidR="0050306B" w:rsidRPr="00F52884" w:rsidRDefault="0050306B" w:rsidP="00CF31F2">
      <w:pPr>
        <w:ind w:left="1440" w:hanging="720"/>
        <w:contextualSpacing/>
        <w:rPr>
          <w:rFonts w:eastAsia="Calibri" w:cstheme="minorHAnsi"/>
          <w:szCs w:val="23"/>
          <w:lang w:val="fr-CA"/>
        </w:rPr>
      </w:pPr>
    </w:p>
    <w:p w14:paraId="1A856572" w14:textId="666F38EE" w:rsidR="0050306B" w:rsidRPr="00F52884" w:rsidRDefault="0050306B" w:rsidP="00CF31F2">
      <w:pPr>
        <w:numPr>
          <w:ilvl w:val="0"/>
          <w:numId w:val="351"/>
        </w:numPr>
        <w:ind w:left="1440" w:hanging="720"/>
        <w:contextualSpacing/>
        <w:rPr>
          <w:rFonts w:eastAsia="Calibri" w:cstheme="minorHAnsi"/>
          <w:szCs w:val="23"/>
          <w:lang w:val="fr-CA"/>
        </w:rPr>
      </w:pPr>
      <w:proofErr w:type="gramStart"/>
      <w:r w:rsidRPr="00F52884">
        <w:rPr>
          <w:rFonts w:eastAsia="Calibri" w:cstheme="minorHAnsi"/>
          <w:szCs w:val="23"/>
          <w:lang w:val="fr-CA"/>
        </w:rPr>
        <w:t>adopter</w:t>
      </w:r>
      <w:proofErr w:type="gramEnd"/>
      <w:r w:rsidRPr="00F52884">
        <w:rPr>
          <w:rFonts w:eastAsia="Calibri" w:cstheme="minorHAnsi"/>
          <w:szCs w:val="23"/>
          <w:lang w:val="fr-CA"/>
        </w:rPr>
        <w:t xml:space="preserve"> ou appliquer un système d’enregistrement ou une procédure de qualification ayant pour but ou pour effet de créer des obstacles non nécessaires à la participation des fournisseurs de toute autre Partie à ses marchés.</w:t>
      </w:r>
    </w:p>
    <w:p w14:paraId="0A91806A" w14:textId="77777777" w:rsidR="0050306B" w:rsidRPr="00F52884" w:rsidRDefault="0050306B" w:rsidP="0050306B">
      <w:pPr>
        <w:keepNext/>
        <w:jc w:val="center"/>
        <w:rPr>
          <w:rFonts w:eastAsia="Calibri" w:cstheme="minorHAnsi"/>
          <w:b/>
          <w:szCs w:val="23"/>
          <w:lang w:val="fr-CA"/>
        </w:rPr>
      </w:pPr>
    </w:p>
    <w:p w14:paraId="0AF80641" w14:textId="53E7E3F1" w:rsidR="0050306B" w:rsidRPr="00F52884" w:rsidRDefault="0050306B" w:rsidP="0050306B">
      <w:pPr>
        <w:keepNext/>
        <w:jc w:val="center"/>
        <w:rPr>
          <w:rFonts w:eastAsia="Calibri" w:cstheme="minorHAnsi"/>
          <w:b/>
          <w:szCs w:val="23"/>
          <w:lang w:val="fr-CA"/>
        </w:rPr>
      </w:pPr>
      <w:r w:rsidRPr="00F52884">
        <w:rPr>
          <w:rFonts w:eastAsia="Calibri" w:cstheme="minorHAnsi"/>
          <w:b/>
          <w:bCs/>
          <w:szCs w:val="23"/>
          <w:lang w:val="fr-CA"/>
        </w:rPr>
        <w:t xml:space="preserve">Article 504 : </w:t>
      </w:r>
      <w:r w:rsidRPr="00F52884">
        <w:rPr>
          <w:rFonts w:eastAsia="Calibri" w:cstheme="minorHAnsi"/>
          <w:szCs w:val="23"/>
          <w:lang w:val="fr-CA"/>
        </w:rPr>
        <w:tab/>
      </w:r>
      <w:r w:rsidR="00600B9F" w:rsidRPr="00F52884">
        <w:rPr>
          <w:rFonts w:eastAsia="Calibri" w:cstheme="minorHAnsi"/>
          <w:szCs w:val="23"/>
          <w:lang w:val="fr-CA"/>
        </w:rPr>
        <w:tab/>
      </w:r>
      <w:r w:rsidRPr="00F52884">
        <w:rPr>
          <w:rFonts w:eastAsia="Calibri" w:cstheme="minorHAnsi"/>
          <w:b/>
          <w:bCs/>
          <w:szCs w:val="23"/>
          <w:lang w:val="fr-CA"/>
        </w:rPr>
        <w:t>Champ d’application et portée</w:t>
      </w:r>
    </w:p>
    <w:p w14:paraId="68149160" w14:textId="77777777" w:rsidR="0050306B" w:rsidRPr="00F52884" w:rsidRDefault="0050306B" w:rsidP="0050306B">
      <w:pPr>
        <w:rPr>
          <w:rFonts w:eastAsia="Calibri" w:cstheme="minorHAnsi"/>
          <w:i/>
          <w:szCs w:val="23"/>
          <w:lang w:val="fr-CA"/>
        </w:rPr>
      </w:pPr>
    </w:p>
    <w:p w14:paraId="7819FEB1"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Application</w:t>
      </w:r>
    </w:p>
    <w:p w14:paraId="184CBEF2" w14:textId="77777777" w:rsidR="0050306B" w:rsidRPr="00F52884" w:rsidRDefault="0050306B" w:rsidP="0050306B">
      <w:pPr>
        <w:rPr>
          <w:rFonts w:eastAsia="Calibri" w:cstheme="minorHAnsi"/>
          <w:b/>
          <w:szCs w:val="23"/>
          <w:lang w:val="fr-CA"/>
        </w:rPr>
      </w:pPr>
    </w:p>
    <w:p w14:paraId="5345FA18" w14:textId="33068F2E" w:rsidR="0050306B" w:rsidRPr="00F52884" w:rsidRDefault="0050306B" w:rsidP="0050306B">
      <w:pPr>
        <w:numPr>
          <w:ilvl w:val="0"/>
          <w:numId w:val="352"/>
        </w:numPr>
        <w:ind w:left="0" w:firstLine="0"/>
        <w:contextualSpacing/>
        <w:rPr>
          <w:rFonts w:eastAsia="Times New Roman" w:cstheme="minorHAnsi"/>
          <w:szCs w:val="23"/>
          <w:lang w:val="fr-CA"/>
        </w:rPr>
      </w:pPr>
      <w:r w:rsidRPr="00F52884">
        <w:rPr>
          <w:rFonts w:eastAsia="Times New Roman" w:cstheme="minorHAnsi"/>
          <w:szCs w:val="23"/>
          <w:lang w:val="fr-CA"/>
        </w:rPr>
        <w:t>Le présent chapitre s’applique à toute mesure ayant trait aux marchés couverts passés au Canada.</w:t>
      </w:r>
    </w:p>
    <w:p w14:paraId="3E983CB1" w14:textId="77777777" w:rsidR="0050306B" w:rsidRPr="00F52884" w:rsidRDefault="0050306B" w:rsidP="0050306B">
      <w:pPr>
        <w:rPr>
          <w:rFonts w:eastAsia="Times New Roman" w:cstheme="minorHAnsi"/>
          <w:szCs w:val="23"/>
          <w:lang w:val="fr-CA"/>
        </w:rPr>
      </w:pPr>
    </w:p>
    <w:p w14:paraId="715D2133" w14:textId="7770AF5B" w:rsidR="0050306B" w:rsidRPr="00F52884" w:rsidRDefault="0050306B" w:rsidP="0050306B">
      <w:pPr>
        <w:numPr>
          <w:ilvl w:val="0"/>
          <w:numId w:val="352"/>
        </w:numPr>
        <w:ind w:left="0" w:firstLine="0"/>
        <w:contextualSpacing/>
        <w:rPr>
          <w:rFonts w:eastAsia="Times New Roman" w:cstheme="minorHAnsi"/>
          <w:szCs w:val="23"/>
          <w:lang w:val="fr-CA"/>
        </w:rPr>
      </w:pPr>
      <w:r w:rsidRPr="00F52884">
        <w:rPr>
          <w:rFonts w:eastAsia="Times New Roman" w:cstheme="minorHAnsi"/>
          <w:szCs w:val="23"/>
          <w:lang w:val="fr-CA"/>
        </w:rPr>
        <w:t>Pour l’application du présent chapitre, l’expression marché couvert désigne un marché passé pour les besoins des pouvoirs publics :</w:t>
      </w:r>
    </w:p>
    <w:p w14:paraId="1CCF85A2" w14:textId="77777777" w:rsidR="0050306B" w:rsidRPr="00F52884" w:rsidRDefault="0050306B" w:rsidP="0050306B">
      <w:pPr>
        <w:ind w:left="1353"/>
        <w:contextualSpacing/>
        <w:rPr>
          <w:rFonts w:eastAsia="Times New Roman" w:cstheme="minorHAnsi"/>
          <w:szCs w:val="23"/>
          <w:lang w:val="fr-CA"/>
        </w:rPr>
      </w:pPr>
    </w:p>
    <w:p w14:paraId="6046651A" w14:textId="77777777" w:rsidR="0050306B" w:rsidRPr="00F52884" w:rsidRDefault="0050306B" w:rsidP="00CF31F2">
      <w:pPr>
        <w:numPr>
          <w:ilvl w:val="0"/>
          <w:numId w:val="353"/>
        </w:numPr>
        <w:ind w:left="1440" w:hanging="720"/>
        <w:contextualSpacing/>
        <w:rPr>
          <w:rFonts w:eastAsia="Times New Roman" w:cstheme="minorHAnsi"/>
          <w:szCs w:val="23"/>
          <w:lang w:val="fr-CA"/>
        </w:rPr>
      </w:pPr>
      <w:proofErr w:type="gramStart"/>
      <w:r w:rsidRPr="00F52884">
        <w:rPr>
          <w:rFonts w:eastAsia="Times New Roman" w:cstheme="minorHAnsi"/>
          <w:szCs w:val="23"/>
          <w:lang w:val="fr-CA"/>
        </w:rPr>
        <w:t>par</w:t>
      </w:r>
      <w:proofErr w:type="gramEnd"/>
      <w:r w:rsidRPr="00F52884">
        <w:rPr>
          <w:rFonts w:eastAsia="Times New Roman" w:cstheme="minorHAnsi"/>
          <w:szCs w:val="23"/>
          <w:lang w:val="fr-CA"/>
        </w:rPr>
        <w:t xml:space="preserve"> une entité contractante; </w:t>
      </w:r>
    </w:p>
    <w:p w14:paraId="07A17AB4" w14:textId="77777777" w:rsidR="0050306B" w:rsidRPr="00F52884" w:rsidRDefault="0050306B" w:rsidP="00CF31F2">
      <w:pPr>
        <w:ind w:left="1440" w:hanging="720"/>
        <w:contextualSpacing/>
        <w:rPr>
          <w:rFonts w:eastAsia="Times New Roman" w:cstheme="minorHAnsi"/>
          <w:szCs w:val="23"/>
          <w:lang w:val="fr-CA"/>
        </w:rPr>
      </w:pPr>
    </w:p>
    <w:p w14:paraId="58ED0037" w14:textId="3F966425" w:rsidR="0050306B" w:rsidRPr="00F52884" w:rsidRDefault="0050306B" w:rsidP="00CF31F2">
      <w:pPr>
        <w:numPr>
          <w:ilvl w:val="0"/>
          <w:numId w:val="353"/>
        </w:numPr>
        <w:ind w:left="1440" w:hanging="720"/>
        <w:contextualSpacing/>
        <w:rPr>
          <w:rFonts w:eastAsia="Times New Roman" w:cstheme="minorHAnsi"/>
          <w:szCs w:val="23"/>
          <w:lang w:val="fr-CA"/>
        </w:rPr>
      </w:pPr>
      <w:proofErr w:type="gramStart"/>
      <w:r w:rsidRPr="00F52884">
        <w:rPr>
          <w:rFonts w:cstheme="minorHAnsi"/>
          <w:szCs w:val="23"/>
          <w:lang w:val="fr-CA"/>
        </w:rPr>
        <w:t>d’un</w:t>
      </w:r>
      <w:proofErr w:type="gramEnd"/>
      <w:r w:rsidRPr="00F52884">
        <w:rPr>
          <w:rFonts w:cstheme="minorHAnsi"/>
          <w:szCs w:val="23"/>
          <w:lang w:val="fr-CA"/>
        </w:rPr>
        <w:t xml:space="preserve"> produit, d’un service, ou d’une combinaison des deux, qui ne sont pas acquis pour être vendus ou revendus dans le commerce ni pour servir à la production ou à la fourniture d’un produit ou d’un service destiné à la vente ou à la revente dans le commerce; </w:t>
      </w:r>
    </w:p>
    <w:p w14:paraId="172E19FF" w14:textId="77777777" w:rsidR="0050306B" w:rsidRPr="00F52884" w:rsidRDefault="0050306B" w:rsidP="00CF31F2">
      <w:pPr>
        <w:ind w:left="1440" w:hanging="720"/>
        <w:rPr>
          <w:rFonts w:eastAsia="Times New Roman" w:cstheme="minorHAnsi"/>
          <w:szCs w:val="23"/>
          <w:lang w:val="fr-CA"/>
        </w:rPr>
      </w:pPr>
    </w:p>
    <w:p w14:paraId="5EA80135" w14:textId="77777777" w:rsidR="0050306B" w:rsidRPr="00F52884" w:rsidRDefault="0050306B" w:rsidP="00CF31F2">
      <w:pPr>
        <w:numPr>
          <w:ilvl w:val="0"/>
          <w:numId w:val="353"/>
        </w:numPr>
        <w:ind w:left="1440" w:hanging="720"/>
        <w:contextualSpacing/>
        <w:rPr>
          <w:rFonts w:eastAsia="Times New Roman" w:cstheme="minorHAnsi"/>
          <w:szCs w:val="23"/>
          <w:lang w:val="fr-CA"/>
        </w:rPr>
      </w:pPr>
      <w:proofErr w:type="gramStart"/>
      <w:r w:rsidRPr="00F52884">
        <w:rPr>
          <w:rFonts w:eastAsia="Times New Roman" w:cstheme="minorHAnsi"/>
          <w:szCs w:val="23"/>
          <w:lang w:val="fr-CA"/>
        </w:rPr>
        <w:t>par</w:t>
      </w:r>
      <w:proofErr w:type="gramEnd"/>
      <w:r w:rsidRPr="00F52884">
        <w:rPr>
          <w:rFonts w:eastAsia="Times New Roman" w:cstheme="minorHAnsi"/>
          <w:szCs w:val="23"/>
          <w:lang w:val="fr-CA"/>
        </w:rPr>
        <w:t xml:space="preserve"> tout moyen contractuel, y compris l’achat, le crédit-bail et la location, avec ou sans option d’achat;</w:t>
      </w:r>
    </w:p>
    <w:p w14:paraId="6E434995" w14:textId="77777777" w:rsidR="0050306B" w:rsidRPr="00F52884" w:rsidRDefault="0050306B" w:rsidP="00CF31F2">
      <w:pPr>
        <w:pStyle w:val="ListParagraph"/>
        <w:ind w:left="1440" w:hanging="720"/>
        <w:rPr>
          <w:rFonts w:eastAsia="Times New Roman" w:cstheme="minorHAnsi"/>
          <w:szCs w:val="23"/>
          <w:lang w:val="fr-CA"/>
        </w:rPr>
      </w:pPr>
    </w:p>
    <w:p w14:paraId="266AD895" w14:textId="3C597494" w:rsidR="0050306B" w:rsidRPr="00F52884" w:rsidRDefault="0050306B" w:rsidP="00CF31F2">
      <w:pPr>
        <w:numPr>
          <w:ilvl w:val="0"/>
          <w:numId w:val="353"/>
        </w:numPr>
        <w:ind w:left="1440" w:hanging="720"/>
        <w:contextualSpacing/>
        <w:rPr>
          <w:rFonts w:eastAsia="Times New Roman" w:cstheme="minorHAnsi"/>
          <w:szCs w:val="23"/>
          <w:lang w:val="fr-CA"/>
        </w:rPr>
      </w:pPr>
      <w:proofErr w:type="gramStart"/>
      <w:r w:rsidRPr="00F52884">
        <w:rPr>
          <w:rFonts w:eastAsia="Times New Roman" w:cstheme="minorHAnsi"/>
          <w:szCs w:val="23"/>
          <w:lang w:val="fr-CA"/>
        </w:rPr>
        <w:t>dont</w:t>
      </w:r>
      <w:proofErr w:type="gramEnd"/>
      <w:r w:rsidRPr="00F52884">
        <w:rPr>
          <w:rFonts w:eastAsia="Times New Roman" w:cstheme="minorHAnsi"/>
          <w:szCs w:val="23"/>
          <w:lang w:val="fr-CA"/>
        </w:rPr>
        <w:t xml:space="preserve"> la valeur, telle qu’estimée conformément à l’article 505, est égale ou supérieure à la valeur de seuil spécifiée au paragraphe 3 du présent article, au moment de la publication de l’avis d’appel d’offres visé à l’article 506; et</w:t>
      </w:r>
    </w:p>
    <w:p w14:paraId="6C03A4EB" w14:textId="77777777" w:rsidR="0050306B" w:rsidRPr="00F52884" w:rsidRDefault="0050306B" w:rsidP="00CF31F2">
      <w:pPr>
        <w:pStyle w:val="ListParagraph"/>
        <w:ind w:left="1440" w:hanging="720"/>
        <w:rPr>
          <w:rFonts w:eastAsia="Times New Roman" w:cstheme="minorHAnsi"/>
          <w:szCs w:val="23"/>
          <w:lang w:val="fr-CA"/>
        </w:rPr>
      </w:pPr>
    </w:p>
    <w:p w14:paraId="62DAAE93" w14:textId="4FC6CFAA" w:rsidR="0050306B" w:rsidRPr="00F52884" w:rsidRDefault="0050306B" w:rsidP="00CF31F2">
      <w:pPr>
        <w:numPr>
          <w:ilvl w:val="0"/>
          <w:numId w:val="353"/>
        </w:numPr>
        <w:ind w:left="1440" w:hanging="720"/>
        <w:contextualSpacing/>
        <w:rPr>
          <w:rFonts w:eastAsia="Times New Roman" w:cstheme="minorHAnsi"/>
          <w:szCs w:val="23"/>
          <w:lang w:val="fr-CA"/>
        </w:rPr>
      </w:pPr>
      <w:proofErr w:type="gramStart"/>
      <w:r w:rsidRPr="00F52884">
        <w:rPr>
          <w:rFonts w:eastAsia="Times New Roman" w:cstheme="minorHAnsi"/>
          <w:szCs w:val="23"/>
          <w:lang w:val="fr-CA"/>
        </w:rPr>
        <w:t>qui</w:t>
      </w:r>
      <w:proofErr w:type="gramEnd"/>
      <w:r w:rsidRPr="00F52884">
        <w:rPr>
          <w:rFonts w:eastAsia="Times New Roman" w:cstheme="minorHAnsi"/>
          <w:szCs w:val="23"/>
          <w:lang w:val="fr-CA"/>
        </w:rPr>
        <w:t xml:space="preserve"> n’est pas autrement exclu de son champ d’application en vertu du paragraphe 11 ou dans une liste d’une Partie jointe à l’annexe 5</w:t>
      </w:r>
      <w:r w:rsidR="0009540F">
        <w:rPr>
          <w:rFonts w:eastAsia="Times New Roman" w:cstheme="minorHAnsi"/>
          <w:szCs w:val="23"/>
          <w:lang w:val="fr-CA"/>
        </w:rPr>
        <w:t>19</w:t>
      </w:r>
      <w:r w:rsidRPr="00F52884">
        <w:rPr>
          <w:rFonts w:eastAsia="Times New Roman" w:cstheme="minorHAnsi"/>
          <w:szCs w:val="23"/>
          <w:lang w:val="fr-CA"/>
        </w:rPr>
        <w:t>.1.</w:t>
      </w:r>
    </w:p>
    <w:p w14:paraId="7A682A1F" w14:textId="77777777" w:rsidR="0050306B" w:rsidRPr="00F52884" w:rsidRDefault="0050306B" w:rsidP="0050306B">
      <w:pPr>
        <w:ind w:left="1440" w:hanging="720"/>
        <w:contextualSpacing/>
        <w:rPr>
          <w:rFonts w:eastAsia="Calibri" w:cstheme="minorHAnsi"/>
          <w:szCs w:val="23"/>
          <w:lang w:val="fr-CA"/>
        </w:rPr>
      </w:pPr>
    </w:p>
    <w:p w14:paraId="0924D69C" w14:textId="500C42EA" w:rsidR="0050306B" w:rsidRPr="00F52884" w:rsidRDefault="0050306B" w:rsidP="0050306B">
      <w:pPr>
        <w:rPr>
          <w:rFonts w:eastAsia="Calibri" w:cstheme="minorHAnsi"/>
          <w:i/>
          <w:szCs w:val="23"/>
          <w:lang w:val="fr-CA"/>
        </w:rPr>
      </w:pPr>
      <w:r w:rsidRPr="00F52884">
        <w:rPr>
          <w:rFonts w:eastAsia="Calibri" w:cstheme="minorHAnsi"/>
          <w:i/>
          <w:iCs/>
          <w:szCs w:val="23"/>
          <w:lang w:val="fr-CA"/>
        </w:rPr>
        <w:t>Valeurs de seuil</w:t>
      </w:r>
    </w:p>
    <w:p w14:paraId="6549CF26" w14:textId="77777777" w:rsidR="0050306B" w:rsidRPr="00F52884" w:rsidRDefault="0050306B" w:rsidP="0050306B">
      <w:pPr>
        <w:rPr>
          <w:rFonts w:eastAsia="Calibri" w:cstheme="minorHAnsi"/>
          <w:szCs w:val="23"/>
          <w:lang w:val="fr-CA"/>
        </w:rPr>
      </w:pPr>
    </w:p>
    <w:p w14:paraId="5B9CD2A6" w14:textId="016FF616" w:rsidR="0050306B" w:rsidRPr="00F52884" w:rsidRDefault="0050306B" w:rsidP="0050306B">
      <w:pPr>
        <w:numPr>
          <w:ilvl w:val="0"/>
          <w:numId w:val="352"/>
        </w:numPr>
        <w:tabs>
          <w:tab w:val="left" w:pos="709"/>
        </w:tabs>
        <w:ind w:left="0" w:firstLine="0"/>
        <w:contextualSpacing/>
        <w:rPr>
          <w:rFonts w:eastAsia="Calibri" w:cstheme="minorHAnsi"/>
          <w:szCs w:val="23"/>
          <w:lang w:val="fr-CA"/>
        </w:rPr>
      </w:pPr>
      <w:r w:rsidRPr="00F52884">
        <w:rPr>
          <w:rFonts w:eastAsia="Calibri" w:cstheme="minorHAnsi"/>
          <w:szCs w:val="23"/>
          <w:lang w:val="fr-CA"/>
        </w:rPr>
        <w:t>Les valeurs de seuil pour les marchés couverts sont les suivantes :</w:t>
      </w:r>
    </w:p>
    <w:p w14:paraId="2A4A0F16" w14:textId="77777777" w:rsidR="0050306B" w:rsidRPr="00F52884" w:rsidRDefault="0050306B" w:rsidP="0050306B">
      <w:pPr>
        <w:rPr>
          <w:rFonts w:eastAsia="Calibri" w:cstheme="minorHAnsi"/>
          <w:szCs w:val="23"/>
          <w:lang w:val="fr-CA"/>
        </w:rPr>
      </w:pPr>
    </w:p>
    <w:p w14:paraId="76317E3B" w14:textId="3BAC5CAF" w:rsidR="0050306B" w:rsidRPr="00F52884" w:rsidRDefault="0050306B" w:rsidP="00CF31F2">
      <w:pPr>
        <w:numPr>
          <w:ilvl w:val="0"/>
          <w:numId w:val="354"/>
        </w:numPr>
        <w:ind w:left="1440" w:hanging="720"/>
        <w:contextualSpacing/>
        <w:rPr>
          <w:rFonts w:eastAsia="Calibri" w:cstheme="minorHAnsi"/>
          <w:szCs w:val="23"/>
          <w:lang w:val="fr-CA"/>
        </w:rPr>
      </w:pPr>
      <w:proofErr w:type="gramStart"/>
      <w:r w:rsidRPr="00F52884">
        <w:rPr>
          <w:rFonts w:eastAsia="Calibri" w:cstheme="minorHAnsi"/>
          <w:szCs w:val="23"/>
          <w:lang w:val="fr-CA"/>
        </w:rPr>
        <w:t>dans</w:t>
      </w:r>
      <w:proofErr w:type="gramEnd"/>
      <w:r w:rsidRPr="00F52884">
        <w:rPr>
          <w:rFonts w:eastAsia="Calibri" w:cstheme="minorHAnsi"/>
          <w:szCs w:val="23"/>
          <w:lang w:val="fr-CA"/>
        </w:rPr>
        <w:t xml:space="preserve"> le cas des ministères, agences, offices, bureaux, conseils, comités, commissions et organismes semblables d’une Partie :</w:t>
      </w:r>
    </w:p>
    <w:p w14:paraId="63C482F6" w14:textId="77777777" w:rsidR="0050306B" w:rsidRPr="00F52884" w:rsidRDefault="0050306B" w:rsidP="0050306B">
      <w:pPr>
        <w:ind w:left="1440"/>
        <w:contextualSpacing/>
        <w:rPr>
          <w:rFonts w:eastAsia="Calibri" w:cstheme="minorHAnsi"/>
          <w:szCs w:val="23"/>
          <w:lang w:val="fr-CA"/>
        </w:rPr>
      </w:pPr>
    </w:p>
    <w:p w14:paraId="04E0F601" w14:textId="4967E4CF" w:rsidR="0050306B" w:rsidRPr="00F52884" w:rsidRDefault="0050306B" w:rsidP="00C47560">
      <w:pPr>
        <w:numPr>
          <w:ilvl w:val="0"/>
          <w:numId w:val="355"/>
        </w:numPr>
        <w:ind w:left="2160" w:hanging="450"/>
        <w:contextualSpacing/>
        <w:rPr>
          <w:rFonts w:eastAsia="Calibri" w:cstheme="minorHAnsi"/>
          <w:szCs w:val="23"/>
          <w:lang w:val="fr-CA"/>
        </w:rPr>
      </w:pPr>
      <w:r w:rsidRPr="00F52884">
        <w:rPr>
          <w:rFonts w:eastAsia="Calibri" w:cstheme="minorHAnsi"/>
          <w:szCs w:val="23"/>
          <w:lang w:val="fr-CA"/>
        </w:rPr>
        <w:t>25 000 $ ou plus pour les produits, si le marché porte principalement sur des produits,</w:t>
      </w:r>
    </w:p>
    <w:p w14:paraId="454A47A6" w14:textId="77777777" w:rsidR="0050306B" w:rsidRPr="00F52884" w:rsidRDefault="0050306B" w:rsidP="00C47560">
      <w:pPr>
        <w:ind w:left="2160" w:hanging="450"/>
        <w:contextualSpacing/>
        <w:rPr>
          <w:rFonts w:eastAsia="Calibri" w:cstheme="minorHAnsi"/>
          <w:szCs w:val="23"/>
          <w:lang w:val="fr-CA"/>
        </w:rPr>
      </w:pPr>
    </w:p>
    <w:p w14:paraId="4DAB897D" w14:textId="77BBDE70" w:rsidR="0050306B" w:rsidRPr="00F52884" w:rsidRDefault="0050306B" w:rsidP="00C47560">
      <w:pPr>
        <w:numPr>
          <w:ilvl w:val="0"/>
          <w:numId w:val="355"/>
        </w:numPr>
        <w:ind w:left="2160" w:hanging="450"/>
        <w:contextualSpacing/>
        <w:rPr>
          <w:rFonts w:eastAsia="Calibri" w:cstheme="minorHAnsi"/>
          <w:szCs w:val="23"/>
          <w:lang w:val="fr-CA"/>
        </w:rPr>
      </w:pPr>
      <w:r w:rsidRPr="00F52884">
        <w:rPr>
          <w:rFonts w:eastAsia="Calibri" w:cstheme="minorHAnsi"/>
          <w:szCs w:val="23"/>
          <w:lang w:val="fr-CA"/>
        </w:rPr>
        <w:t>100 000 $ ou plus pour les services, à l’exception des services de construction, si le marché porte principalement sur des services,</w:t>
      </w:r>
    </w:p>
    <w:p w14:paraId="48C6669D" w14:textId="77777777" w:rsidR="0050306B" w:rsidRPr="00F52884" w:rsidRDefault="0050306B" w:rsidP="00C47560">
      <w:pPr>
        <w:ind w:left="2160" w:hanging="450"/>
        <w:contextualSpacing/>
        <w:rPr>
          <w:rFonts w:eastAsia="Calibri" w:cstheme="minorHAnsi"/>
          <w:szCs w:val="23"/>
          <w:lang w:val="fr-CA"/>
        </w:rPr>
      </w:pPr>
    </w:p>
    <w:p w14:paraId="7E5B6594" w14:textId="5D0A6B82" w:rsidR="0050306B" w:rsidRPr="00F52884" w:rsidRDefault="0050306B" w:rsidP="00C47560">
      <w:pPr>
        <w:numPr>
          <w:ilvl w:val="0"/>
          <w:numId w:val="355"/>
        </w:numPr>
        <w:ind w:left="2160" w:hanging="450"/>
        <w:contextualSpacing/>
        <w:rPr>
          <w:rFonts w:eastAsia="Calibri" w:cstheme="minorHAnsi"/>
          <w:szCs w:val="23"/>
          <w:lang w:val="fr-CA"/>
        </w:rPr>
      </w:pPr>
      <w:r w:rsidRPr="00F52884">
        <w:rPr>
          <w:rFonts w:eastAsia="Calibri" w:cstheme="minorHAnsi"/>
          <w:szCs w:val="23"/>
          <w:lang w:val="fr-CA"/>
        </w:rPr>
        <w:t>100 000 $ ou plus pour les services de construction;</w:t>
      </w:r>
    </w:p>
    <w:p w14:paraId="1354E916" w14:textId="77777777" w:rsidR="0050306B" w:rsidRPr="00F52884" w:rsidRDefault="0050306B" w:rsidP="0050306B">
      <w:pPr>
        <w:ind w:left="1440" w:hanging="720"/>
        <w:contextualSpacing/>
        <w:rPr>
          <w:rFonts w:eastAsia="Calibri" w:cstheme="minorHAnsi"/>
          <w:szCs w:val="23"/>
          <w:lang w:val="fr-CA"/>
        </w:rPr>
      </w:pPr>
    </w:p>
    <w:p w14:paraId="3B7EB075" w14:textId="38D69103" w:rsidR="0050306B" w:rsidRPr="00F52884" w:rsidRDefault="0050306B" w:rsidP="00CF31F2">
      <w:pPr>
        <w:numPr>
          <w:ilvl w:val="0"/>
          <w:numId w:val="354"/>
        </w:numPr>
        <w:ind w:left="1440" w:hanging="720"/>
        <w:contextualSpacing/>
        <w:rPr>
          <w:rFonts w:eastAsia="Calibri" w:cstheme="minorHAnsi"/>
          <w:szCs w:val="23"/>
          <w:lang w:val="fr-CA"/>
        </w:rPr>
      </w:pPr>
      <w:proofErr w:type="gramStart"/>
      <w:r w:rsidRPr="00F52884">
        <w:rPr>
          <w:rFonts w:eastAsia="Calibri" w:cstheme="minorHAnsi"/>
          <w:szCs w:val="23"/>
          <w:lang w:val="fr-CA"/>
        </w:rPr>
        <w:t>dans</w:t>
      </w:r>
      <w:proofErr w:type="gramEnd"/>
      <w:r w:rsidRPr="00F52884">
        <w:rPr>
          <w:rFonts w:eastAsia="Calibri" w:cstheme="minorHAnsi"/>
          <w:szCs w:val="23"/>
          <w:lang w:val="fr-CA"/>
        </w:rPr>
        <w:t xml:space="preserve"> le cas des administrations régionales, locales, de district et autres formes d’administration municipale, des organismes municipaux, des commissions scolaires et des organismes responsables de l’enseignement, de la santé et des services sociaux bénéficiant d’un financement public, ainsi que de toute personne morale ou entité détenue ou contrôlée par les entités précitées :</w:t>
      </w:r>
    </w:p>
    <w:p w14:paraId="06444C94" w14:textId="77777777" w:rsidR="0050306B" w:rsidRPr="00F52884" w:rsidRDefault="0050306B" w:rsidP="0050306B">
      <w:pPr>
        <w:ind w:left="1440"/>
        <w:contextualSpacing/>
        <w:rPr>
          <w:rFonts w:eastAsia="Calibri" w:cstheme="minorHAnsi"/>
          <w:szCs w:val="23"/>
          <w:lang w:val="fr-CA"/>
        </w:rPr>
      </w:pPr>
    </w:p>
    <w:p w14:paraId="053A759A" w14:textId="190FF347" w:rsidR="0050306B" w:rsidRPr="00F52884" w:rsidRDefault="0050306B" w:rsidP="00C47560">
      <w:pPr>
        <w:numPr>
          <w:ilvl w:val="1"/>
          <w:numId w:val="18"/>
        </w:numPr>
        <w:ind w:left="2160" w:hanging="540"/>
        <w:contextualSpacing/>
        <w:rPr>
          <w:rFonts w:eastAsia="Calibri" w:cstheme="minorHAnsi"/>
          <w:szCs w:val="23"/>
          <w:lang w:val="fr-CA"/>
        </w:rPr>
      </w:pPr>
      <w:r w:rsidRPr="00F52884">
        <w:rPr>
          <w:rFonts w:eastAsia="Calibri" w:cstheme="minorHAnsi"/>
          <w:szCs w:val="23"/>
          <w:lang w:val="fr-CA"/>
        </w:rPr>
        <w:t>100 000 $ ou plus pour les produits ou services, à l’exception des services de construction,</w:t>
      </w:r>
    </w:p>
    <w:p w14:paraId="2EBE5263" w14:textId="77777777" w:rsidR="0050306B" w:rsidRPr="00F52884" w:rsidRDefault="0050306B" w:rsidP="00C47560">
      <w:pPr>
        <w:ind w:left="2160" w:hanging="540"/>
        <w:contextualSpacing/>
        <w:rPr>
          <w:rFonts w:eastAsia="Calibri" w:cstheme="minorHAnsi"/>
          <w:szCs w:val="23"/>
          <w:lang w:val="fr-CA"/>
        </w:rPr>
      </w:pPr>
    </w:p>
    <w:p w14:paraId="566B77B4" w14:textId="2C261AB2" w:rsidR="0050306B" w:rsidRPr="00F52884" w:rsidRDefault="0050306B" w:rsidP="00C47560">
      <w:pPr>
        <w:numPr>
          <w:ilvl w:val="1"/>
          <w:numId w:val="18"/>
        </w:numPr>
        <w:ind w:left="2160" w:hanging="540"/>
        <w:contextualSpacing/>
        <w:rPr>
          <w:rFonts w:eastAsia="Calibri" w:cstheme="minorHAnsi"/>
          <w:szCs w:val="23"/>
          <w:lang w:val="fr-CA"/>
        </w:rPr>
      </w:pPr>
      <w:r w:rsidRPr="00F52884">
        <w:rPr>
          <w:rFonts w:eastAsia="Calibri" w:cstheme="minorHAnsi"/>
          <w:szCs w:val="23"/>
          <w:lang w:val="fr-CA"/>
        </w:rPr>
        <w:t>250 000 $ ou plus pour les services de construction;</w:t>
      </w:r>
    </w:p>
    <w:p w14:paraId="73DC2920" w14:textId="77777777" w:rsidR="0050306B" w:rsidRPr="00F52884" w:rsidRDefault="0050306B" w:rsidP="0050306B">
      <w:pPr>
        <w:ind w:left="2160" w:hanging="720"/>
        <w:contextualSpacing/>
        <w:rPr>
          <w:rFonts w:eastAsia="Calibri" w:cstheme="minorHAnsi"/>
          <w:szCs w:val="23"/>
          <w:lang w:val="fr-CA"/>
        </w:rPr>
      </w:pPr>
    </w:p>
    <w:p w14:paraId="6022B0AD" w14:textId="46429817" w:rsidR="0050306B" w:rsidRPr="00F52884" w:rsidRDefault="0050306B" w:rsidP="00CF31F2">
      <w:pPr>
        <w:numPr>
          <w:ilvl w:val="0"/>
          <w:numId w:val="354"/>
        </w:numPr>
        <w:ind w:left="1440" w:hanging="720"/>
        <w:contextualSpacing/>
        <w:rPr>
          <w:rFonts w:eastAsia="Calibri" w:cstheme="minorHAnsi"/>
          <w:szCs w:val="23"/>
          <w:lang w:val="fr-CA"/>
        </w:rPr>
      </w:pPr>
      <w:proofErr w:type="gramStart"/>
      <w:r w:rsidRPr="00F52884">
        <w:rPr>
          <w:rFonts w:eastAsia="Calibri" w:cstheme="minorHAnsi"/>
          <w:szCs w:val="23"/>
          <w:lang w:val="fr-CA"/>
        </w:rPr>
        <w:t>dans</w:t>
      </w:r>
      <w:proofErr w:type="gramEnd"/>
      <w:r w:rsidRPr="00F52884">
        <w:rPr>
          <w:rFonts w:eastAsia="Calibri" w:cstheme="minorHAnsi"/>
          <w:szCs w:val="23"/>
          <w:lang w:val="fr-CA"/>
        </w:rPr>
        <w:t xml:space="preserve"> le cas des sociétés d’État, des entreprises publiques et d’autres entités détenues ou contrôlées par une Partie au moyen d’une participation au capital : </w:t>
      </w:r>
    </w:p>
    <w:p w14:paraId="2DE0C706" w14:textId="77777777" w:rsidR="0050306B" w:rsidRPr="00F52884" w:rsidRDefault="0050306B" w:rsidP="0050306B">
      <w:pPr>
        <w:ind w:left="1440"/>
        <w:contextualSpacing/>
        <w:rPr>
          <w:rFonts w:eastAsia="Calibri" w:cstheme="minorHAnsi"/>
          <w:szCs w:val="23"/>
          <w:lang w:val="fr-CA"/>
        </w:rPr>
      </w:pPr>
    </w:p>
    <w:p w14:paraId="233FF36B" w14:textId="63B60030" w:rsidR="0050306B" w:rsidRPr="00F52884" w:rsidRDefault="0050306B" w:rsidP="00C47560">
      <w:pPr>
        <w:numPr>
          <w:ilvl w:val="0"/>
          <w:numId w:val="356"/>
        </w:numPr>
        <w:ind w:left="2160" w:hanging="540"/>
        <w:contextualSpacing/>
        <w:rPr>
          <w:rFonts w:eastAsia="Calibri" w:cstheme="minorHAnsi"/>
          <w:szCs w:val="23"/>
          <w:lang w:val="fr-CA"/>
        </w:rPr>
      </w:pPr>
      <w:r w:rsidRPr="00F52884">
        <w:rPr>
          <w:rFonts w:eastAsia="Calibri" w:cstheme="minorHAnsi"/>
          <w:szCs w:val="23"/>
          <w:lang w:val="fr-CA"/>
        </w:rPr>
        <w:t xml:space="preserve">500 000 $ ou plus pour les produits ou services, à l’exception des services de construction, </w:t>
      </w:r>
    </w:p>
    <w:p w14:paraId="676A1939" w14:textId="77777777" w:rsidR="0050306B" w:rsidRPr="00F52884" w:rsidRDefault="0050306B" w:rsidP="00C47560">
      <w:pPr>
        <w:ind w:left="2160" w:hanging="540"/>
        <w:contextualSpacing/>
        <w:rPr>
          <w:rFonts w:eastAsia="Calibri" w:cstheme="minorHAnsi"/>
          <w:szCs w:val="23"/>
          <w:lang w:val="fr-CA"/>
        </w:rPr>
      </w:pPr>
    </w:p>
    <w:p w14:paraId="6C56993D" w14:textId="00A27697" w:rsidR="0050306B" w:rsidRPr="00F52884" w:rsidRDefault="0050306B" w:rsidP="00C47560">
      <w:pPr>
        <w:numPr>
          <w:ilvl w:val="0"/>
          <w:numId w:val="356"/>
        </w:numPr>
        <w:ind w:left="2160" w:hanging="540"/>
        <w:contextualSpacing/>
        <w:rPr>
          <w:rFonts w:eastAsia="Calibri" w:cstheme="minorHAnsi"/>
          <w:szCs w:val="23"/>
          <w:lang w:val="fr-CA"/>
        </w:rPr>
      </w:pPr>
      <w:r w:rsidRPr="00F52884">
        <w:rPr>
          <w:rFonts w:eastAsia="Calibri" w:cstheme="minorHAnsi"/>
          <w:szCs w:val="23"/>
          <w:lang w:val="fr-CA"/>
        </w:rPr>
        <w:t>5 000 000 $ ou plus pour les services de construction.</w:t>
      </w:r>
    </w:p>
    <w:p w14:paraId="5141AAD3" w14:textId="77777777" w:rsidR="0050306B" w:rsidRPr="00F52884" w:rsidRDefault="0050306B" w:rsidP="0050306B">
      <w:pPr>
        <w:rPr>
          <w:rFonts w:eastAsia="Calibri" w:cstheme="minorHAnsi"/>
          <w:szCs w:val="23"/>
          <w:lang w:val="fr-CA"/>
        </w:rPr>
      </w:pPr>
    </w:p>
    <w:p w14:paraId="5F434F9F" w14:textId="542FCA6E" w:rsidR="0050306B" w:rsidRPr="00F52884" w:rsidRDefault="0050306B" w:rsidP="0050306B">
      <w:pPr>
        <w:numPr>
          <w:ilvl w:val="0"/>
          <w:numId w:val="352"/>
        </w:numPr>
        <w:ind w:left="0" w:firstLine="0"/>
        <w:contextualSpacing/>
        <w:rPr>
          <w:rFonts w:eastAsia="Calibri" w:cstheme="minorHAnsi"/>
          <w:szCs w:val="23"/>
          <w:lang w:val="fr-CA"/>
        </w:rPr>
      </w:pPr>
      <w:r w:rsidRPr="00F52884">
        <w:rPr>
          <w:rFonts w:eastAsia="Calibri" w:cstheme="minorHAnsi"/>
          <w:szCs w:val="23"/>
          <w:lang w:val="fr-CA"/>
        </w:rPr>
        <w:t>Les valeurs de seuil précitées seront indexées sur l’inflation conformément à l’annexe 504.4.</w:t>
      </w:r>
    </w:p>
    <w:p w14:paraId="345260FA" w14:textId="77777777" w:rsidR="0050306B" w:rsidRPr="00F52884" w:rsidRDefault="0050306B" w:rsidP="0050306B">
      <w:pPr>
        <w:tabs>
          <w:tab w:val="left" w:pos="709"/>
        </w:tabs>
        <w:rPr>
          <w:rFonts w:eastAsia="Calibri" w:cstheme="minorHAnsi"/>
          <w:szCs w:val="23"/>
          <w:lang w:val="fr-CA"/>
        </w:rPr>
      </w:pPr>
    </w:p>
    <w:p w14:paraId="575F24F8" w14:textId="77777777" w:rsidR="0050306B" w:rsidRPr="00F52884" w:rsidRDefault="0050306B" w:rsidP="0050306B">
      <w:pPr>
        <w:tabs>
          <w:tab w:val="left" w:pos="709"/>
        </w:tabs>
        <w:rPr>
          <w:rFonts w:eastAsia="Calibri" w:cstheme="minorHAnsi"/>
          <w:i/>
          <w:szCs w:val="23"/>
          <w:lang w:val="fr-CA"/>
        </w:rPr>
      </w:pPr>
      <w:r w:rsidRPr="00F52884">
        <w:rPr>
          <w:rFonts w:eastAsia="Calibri" w:cstheme="minorHAnsi"/>
          <w:i/>
          <w:iCs/>
          <w:szCs w:val="23"/>
          <w:lang w:val="fr-CA"/>
        </w:rPr>
        <w:t>Consortiums d’achat</w:t>
      </w:r>
    </w:p>
    <w:p w14:paraId="781A293D" w14:textId="77777777" w:rsidR="0050306B" w:rsidRPr="00F52884" w:rsidRDefault="0050306B" w:rsidP="0050306B">
      <w:pPr>
        <w:tabs>
          <w:tab w:val="left" w:pos="709"/>
        </w:tabs>
        <w:rPr>
          <w:rFonts w:eastAsia="Calibri" w:cstheme="minorHAnsi"/>
          <w:szCs w:val="23"/>
          <w:lang w:val="fr-CA"/>
        </w:rPr>
      </w:pPr>
    </w:p>
    <w:p w14:paraId="1EACFFA0" w14:textId="528FC1A0" w:rsidR="0050306B" w:rsidRPr="00F52884" w:rsidRDefault="0050306B" w:rsidP="0050306B">
      <w:pPr>
        <w:pStyle w:val="ListParagraph"/>
        <w:numPr>
          <w:ilvl w:val="0"/>
          <w:numId w:val="352"/>
        </w:numPr>
        <w:ind w:left="0" w:firstLine="0"/>
        <w:rPr>
          <w:rFonts w:cstheme="minorHAnsi"/>
          <w:szCs w:val="23"/>
          <w:lang w:val="fr-CA"/>
        </w:rPr>
      </w:pPr>
      <w:r w:rsidRPr="00F52884">
        <w:rPr>
          <w:rFonts w:cstheme="minorHAnsi"/>
          <w:szCs w:val="23"/>
          <w:lang w:val="fr-CA"/>
        </w:rPr>
        <w:t>Une entité contractante fait en sorte que tout marché effectué par l’intermédiaire d’un consortium d’achat soit compatible avec les dispositions du présent chapitre.</w:t>
      </w:r>
    </w:p>
    <w:p w14:paraId="6DD75758" w14:textId="77777777" w:rsidR="0050306B" w:rsidRPr="00F52884" w:rsidRDefault="0050306B" w:rsidP="0050306B">
      <w:pPr>
        <w:pStyle w:val="ListParagraph"/>
        <w:tabs>
          <w:tab w:val="left" w:pos="709"/>
        </w:tabs>
        <w:ind w:left="0"/>
        <w:rPr>
          <w:rFonts w:cstheme="minorHAnsi"/>
          <w:szCs w:val="23"/>
          <w:lang w:val="fr-CA"/>
        </w:rPr>
      </w:pPr>
    </w:p>
    <w:p w14:paraId="793EA9FA" w14:textId="7DF32662" w:rsidR="0050306B" w:rsidRPr="00F52884" w:rsidRDefault="0050306B" w:rsidP="0050306B">
      <w:pPr>
        <w:pStyle w:val="ListParagraph"/>
        <w:numPr>
          <w:ilvl w:val="0"/>
          <w:numId w:val="352"/>
        </w:numPr>
        <w:ind w:left="0" w:firstLine="0"/>
        <w:rPr>
          <w:rFonts w:cstheme="minorHAnsi"/>
          <w:szCs w:val="23"/>
          <w:lang w:val="fr-CA"/>
        </w:rPr>
      </w:pPr>
      <w:r w:rsidRPr="00F52884">
        <w:rPr>
          <w:rFonts w:cstheme="minorHAnsi"/>
          <w:szCs w:val="23"/>
          <w:lang w:val="fr-CA"/>
        </w:rPr>
        <w:t>Un consortium d’achat publie un avis pour chaque marché. L’avis énumère les entités contractantes participantes et spécifie que d’autres entités contractantes pourraient participer au marché après la mise en place d</w:t>
      </w:r>
      <w:r w:rsidR="007806A6" w:rsidRPr="00F52884">
        <w:rPr>
          <w:rFonts w:cstheme="minorHAnsi"/>
          <w:szCs w:val="23"/>
          <w:lang w:val="fr-CA"/>
        </w:rPr>
        <w:t>u</w:t>
      </w:r>
      <w:r w:rsidRPr="00F52884">
        <w:rPr>
          <w:rFonts w:cstheme="minorHAnsi"/>
          <w:szCs w:val="23"/>
          <w:lang w:val="fr-CA"/>
        </w:rPr>
        <w:t xml:space="preserve"> document d’achat. </w:t>
      </w:r>
    </w:p>
    <w:p w14:paraId="740BC1F2" w14:textId="77777777" w:rsidR="0050306B" w:rsidRPr="00F52884" w:rsidRDefault="0050306B" w:rsidP="0050306B">
      <w:pPr>
        <w:rPr>
          <w:rFonts w:cstheme="minorHAnsi"/>
          <w:szCs w:val="23"/>
          <w:lang w:val="fr-CA"/>
        </w:rPr>
      </w:pPr>
    </w:p>
    <w:p w14:paraId="021C50F0" w14:textId="5C81248E" w:rsidR="0050306B" w:rsidRPr="00F52884" w:rsidRDefault="0050306B" w:rsidP="0050306B">
      <w:pPr>
        <w:pStyle w:val="ListParagraph"/>
        <w:numPr>
          <w:ilvl w:val="0"/>
          <w:numId w:val="352"/>
        </w:numPr>
        <w:ind w:left="0" w:firstLine="0"/>
        <w:rPr>
          <w:rFonts w:cstheme="minorHAnsi"/>
          <w:szCs w:val="23"/>
          <w:lang w:val="fr-CA"/>
        </w:rPr>
      </w:pPr>
      <w:r w:rsidRPr="00F52884">
        <w:rPr>
          <w:rFonts w:cstheme="minorHAnsi"/>
          <w:szCs w:val="23"/>
          <w:lang w:val="fr-CA"/>
        </w:rPr>
        <w:t xml:space="preserve">Une entité contractante publie un avis faisant état de sa participation au consortium d’achat au moins une fois par année sur un des sites Web ou systèmes d’appel d’offres désignés par sa Partie. L’avis en question dirige les fournisseurs potentiels vers le site Web sur lequel sont publiés les avis d’appel d’offres du consortium d’achat, si celui-ci est différent des sites Web ou systèmes d’appel d’offres de sa Partie. </w:t>
      </w:r>
    </w:p>
    <w:p w14:paraId="1359A995" w14:textId="77777777" w:rsidR="0050306B" w:rsidRPr="00F52884" w:rsidRDefault="0050306B" w:rsidP="0050306B">
      <w:pPr>
        <w:rPr>
          <w:rFonts w:cstheme="minorHAnsi"/>
          <w:szCs w:val="23"/>
          <w:lang w:val="fr-CA"/>
        </w:rPr>
      </w:pPr>
    </w:p>
    <w:p w14:paraId="71CB7AEA" w14:textId="3D6C9D04" w:rsidR="0050306B" w:rsidRPr="00F52884" w:rsidRDefault="0050306B" w:rsidP="0050306B">
      <w:pPr>
        <w:pStyle w:val="ListParagraph"/>
        <w:numPr>
          <w:ilvl w:val="0"/>
          <w:numId w:val="352"/>
        </w:numPr>
        <w:ind w:left="0" w:firstLine="0"/>
        <w:rPr>
          <w:rFonts w:cstheme="minorHAnsi"/>
          <w:szCs w:val="23"/>
          <w:lang w:val="fr-CA"/>
        </w:rPr>
      </w:pPr>
      <w:r w:rsidRPr="00F52884">
        <w:rPr>
          <w:rFonts w:cstheme="minorHAnsi"/>
          <w:szCs w:val="23"/>
          <w:lang w:val="fr-CA"/>
        </w:rPr>
        <w:t xml:space="preserve">Sous réserve de l’article 503.1, lorsqu’une entité contractante </w:t>
      </w:r>
      <w:proofErr w:type="gramStart"/>
      <w:r w:rsidRPr="00F52884">
        <w:rPr>
          <w:rFonts w:cstheme="minorHAnsi"/>
          <w:szCs w:val="23"/>
          <w:lang w:val="fr-CA"/>
        </w:rPr>
        <w:t>qui  effectue</w:t>
      </w:r>
      <w:proofErr w:type="gramEnd"/>
      <w:r w:rsidRPr="00F52884">
        <w:rPr>
          <w:rFonts w:cstheme="minorHAnsi"/>
          <w:szCs w:val="23"/>
          <w:lang w:val="fr-CA"/>
        </w:rPr>
        <w:t xml:space="preserve"> un marché par l’intermédiaire d’un consortium d’achat n’exerce que peu ou pas de contrôle sur le processus de passation du marché, elle n’est pas tenue de faire en sorte que le marché soit compatible avec le présent chapitre.</w:t>
      </w:r>
    </w:p>
    <w:p w14:paraId="26376649" w14:textId="77777777" w:rsidR="0050306B" w:rsidRPr="00F52884" w:rsidRDefault="0050306B" w:rsidP="0050306B">
      <w:pPr>
        <w:pStyle w:val="ListParagraph"/>
        <w:ind w:left="0"/>
        <w:rPr>
          <w:rFonts w:cstheme="minorHAnsi"/>
          <w:szCs w:val="23"/>
          <w:lang w:val="fr-CA"/>
        </w:rPr>
      </w:pPr>
    </w:p>
    <w:p w14:paraId="365BBAFD" w14:textId="5C31F10B" w:rsidR="0050306B" w:rsidRPr="00F52884" w:rsidRDefault="0050306B" w:rsidP="0050306B">
      <w:pPr>
        <w:pStyle w:val="ListParagraph"/>
        <w:numPr>
          <w:ilvl w:val="0"/>
          <w:numId w:val="352"/>
        </w:numPr>
        <w:ind w:left="0" w:firstLine="0"/>
        <w:rPr>
          <w:rFonts w:cstheme="minorHAnsi"/>
          <w:szCs w:val="23"/>
          <w:lang w:val="fr-CA"/>
        </w:rPr>
      </w:pPr>
      <w:r w:rsidRPr="00F52884">
        <w:rPr>
          <w:rFonts w:cstheme="minorHAnsi"/>
          <w:szCs w:val="23"/>
          <w:lang w:val="fr-CA"/>
        </w:rPr>
        <w:t>Les paragraphes 5 à 8 ne s’appliquent pas à la sous-traitance au titre d’un marché couvert à condition que cette sous-traitance ne comprenne pas les situations où le fournisseur est autorisé à agir en qualité de mandataire de l’entité contractante et à passer des marchés exécutoires qui lient l’entité contractante.</w:t>
      </w:r>
    </w:p>
    <w:p w14:paraId="782145C9" w14:textId="77777777" w:rsidR="0050306B" w:rsidRPr="00F52884" w:rsidRDefault="0050306B" w:rsidP="0050306B">
      <w:pPr>
        <w:rPr>
          <w:rFonts w:eastAsia="Calibri" w:cstheme="minorHAnsi"/>
          <w:szCs w:val="23"/>
          <w:lang w:val="fr-CA"/>
        </w:rPr>
      </w:pPr>
    </w:p>
    <w:p w14:paraId="2F7F33F8"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Partenariats public-privé</w:t>
      </w:r>
    </w:p>
    <w:p w14:paraId="3DF985FD" w14:textId="77777777" w:rsidR="0050306B" w:rsidRPr="00F52884" w:rsidRDefault="0050306B" w:rsidP="0050306B">
      <w:pPr>
        <w:rPr>
          <w:rFonts w:eastAsia="Calibri" w:cstheme="minorHAnsi"/>
          <w:szCs w:val="23"/>
          <w:lang w:val="fr-CA"/>
        </w:rPr>
      </w:pPr>
    </w:p>
    <w:p w14:paraId="28960D09" w14:textId="5194FDDC" w:rsidR="0050306B" w:rsidRPr="00F52884" w:rsidRDefault="0050306B" w:rsidP="0050306B">
      <w:pPr>
        <w:rPr>
          <w:rFonts w:eastAsia="Calibri" w:cstheme="minorHAnsi"/>
          <w:szCs w:val="23"/>
          <w:lang w:val="fr-CA"/>
        </w:rPr>
      </w:pPr>
      <w:r w:rsidRPr="00F52884">
        <w:rPr>
          <w:rFonts w:cstheme="minorHAnsi"/>
          <w:szCs w:val="23"/>
          <w:lang w:val="fr-CA"/>
        </w:rPr>
        <w:t>10.</w:t>
      </w:r>
      <w:r w:rsidRPr="00F52884">
        <w:rPr>
          <w:rFonts w:cstheme="minorHAnsi"/>
          <w:szCs w:val="23"/>
          <w:lang w:val="fr-CA"/>
        </w:rPr>
        <w:tab/>
        <w:t xml:space="preserve">Les paragraphes 5 à 9, l’alinéa 506.6g), les articles 508.2 à 508.4, l’article 508.6, l’article 514 et les articles 516.3 à 516.5 ne s’appliquent pas à une entité contractante qui passe un </w:t>
      </w:r>
      <w:proofErr w:type="gramStart"/>
      <w:r w:rsidRPr="00F52884">
        <w:rPr>
          <w:rFonts w:cstheme="minorHAnsi"/>
          <w:szCs w:val="23"/>
          <w:lang w:val="fr-CA"/>
        </w:rPr>
        <w:t>marché  dans</w:t>
      </w:r>
      <w:proofErr w:type="gramEnd"/>
      <w:r w:rsidRPr="00F52884">
        <w:rPr>
          <w:rFonts w:cstheme="minorHAnsi"/>
          <w:szCs w:val="23"/>
          <w:lang w:val="fr-CA"/>
        </w:rPr>
        <w:t xml:space="preserve"> le cadre d’un partenariat public-privé.</w:t>
      </w:r>
    </w:p>
    <w:p w14:paraId="1F7EC8BF" w14:textId="77777777" w:rsidR="0050306B" w:rsidRPr="00F52884" w:rsidRDefault="0050306B" w:rsidP="0050306B">
      <w:pPr>
        <w:rPr>
          <w:rFonts w:eastAsia="Calibri" w:cstheme="minorHAnsi"/>
          <w:szCs w:val="23"/>
          <w:lang w:val="fr-CA"/>
        </w:rPr>
      </w:pPr>
    </w:p>
    <w:p w14:paraId="5DE7FCE2"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Non-application</w:t>
      </w:r>
    </w:p>
    <w:p w14:paraId="27DD5E78" w14:textId="77777777" w:rsidR="0050306B" w:rsidRPr="00F52884" w:rsidRDefault="0050306B" w:rsidP="0050306B">
      <w:pPr>
        <w:ind w:left="720"/>
        <w:contextualSpacing/>
        <w:rPr>
          <w:rFonts w:eastAsia="Calibri" w:cstheme="minorHAnsi"/>
          <w:szCs w:val="23"/>
          <w:lang w:val="fr-CA"/>
        </w:rPr>
      </w:pPr>
    </w:p>
    <w:p w14:paraId="727DD870" w14:textId="16E94467" w:rsidR="0050306B" w:rsidRPr="00F52884" w:rsidRDefault="0050306B" w:rsidP="0050306B">
      <w:pPr>
        <w:rPr>
          <w:rFonts w:eastAsia="Calibri" w:cstheme="minorHAnsi"/>
          <w:szCs w:val="23"/>
          <w:lang w:val="fr-CA"/>
        </w:rPr>
      </w:pPr>
      <w:r w:rsidRPr="00F52884">
        <w:rPr>
          <w:rFonts w:cstheme="minorHAnsi"/>
          <w:szCs w:val="23"/>
          <w:lang w:val="fr-CA"/>
        </w:rPr>
        <w:t>11.</w:t>
      </w:r>
      <w:r w:rsidRPr="00F52884">
        <w:rPr>
          <w:rFonts w:cstheme="minorHAnsi"/>
          <w:szCs w:val="23"/>
          <w:lang w:val="fr-CA"/>
        </w:rPr>
        <w:tab/>
        <w:t>Le présent chapitre ne s’applique pas :</w:t>
      </w:r>
      <w:r w:rsidRPr="00F52884">
        <w:rPr>
          <w:rFonts w:cstheme="minorHAnsi"/>
          <w:szCs w:val="23"/>
          <w:lang w:val="fr-CA"/>
        </w:rPr>
        <w:br/>
      </w:r>
      <w:r w:rsidRPr="00F52884">
        <w:rPr>
          <w:rFonts w:cstheme="minorHAnsi"/>
          <w:szCs w:val="23"/>
          <w:lang w:val="fr-CA"/>
        </w:rPr>
        <w:tab/>
        <w:t xml:space="preserve"> </w:t>
      </w:r>
    </w:p>
    <w:p w14:paraId="60E53F64" w14:textId="77777777"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eastAsia="Calibri" w:cstheme="minorHAnsi"/>
          <w:szCs w:val="23"/>
          <w:lang w:val="fr-CA"/>
        </w:rPr>
        <w:t>aux</w:t>
      </w:r>
      <w:proofErr w:type="gramEnd"/>
      <w:r w:rsidRPr="00F52884">
        <w:rPr>
          <w:rFonts w:eastAsia="Calibri" w:cstheme="minorHAnsi"/>
          <w:szCs w:val="23"/>
          <w:lang w:val="fr-CA"/>
        </w:rPr>
        <w:t xml:space="preserve"> contrats d’emploi public;</w:t>
      </w:r>
    </w:p>
    <w:p w14:paraId="55BDBF29" w14:textId="77777777" w:rsidR="0050306B" w:rsidRPr="00F52884" w:rsidRDefault="0050306B" w:rsidP="00CF31F2">
      <w:pPr>
        <w:ind w:left="1440" w:hanging="720"/>
        <w:contextualSpacing/>
        <w:rPr>
          <w:rFonts w:eastAsia="Calibri" w:cstheme="minorHAnsi"/>
          <w:szCs w:val="23"/>
          <w:lang w:val="fr-CA"/>
        </w:rPr>
      </w:pPr>
    </w:p>
    <w:p w14:paraId="6B5B6DF2" w14:textId="77777777"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cstheme="minorHAnsi"/>
          <w:szCs w:val="23"/>
          <w:lang w:val="fr-CA"/>
        </w:rPr>
        <w:t>aux</w:t>
      </w:r>
      <w:proofErr w:type="gramEnd"/>
      <w:r w:rsidRPr="00F52884">
        <w:rPr>
          <w:rFonts w:cstheme="minorHAnsi"/>
          <w:szCs w:val="23"/>
          <w:lang w:val="fr-CA"/>
        </w:rPr>
        <w:t xml:space="preserve"> accords juridiquement non contraignants;</w:t>
      </w:r>
    </w:p>
    <w:p w14:paraId="2D95C5E4" w14:textId="77777777" w:rsidR="0050306B" w:rsidRPr="00F52884" w:rsidRDefault="0050306B" w:rsidP="00CF31F2">
      <w:pPr>
        <w:ind w:left="1440" w:hanging="720"/>
        <w:contextualSpacing/>
        <w:rPr>
          <w:rFonts w:eastAsia="Calibri" w:cstheme="minorHAnsi"/>
          <w:szCs w:val="23"/>
          <w:lang w:val="fr-CA"/>
        </w:rPr>
      </w:pPr>
    </w:p>
    <w:p w14:paraId="65D581BC" w14:textId="77777777"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eastAsia="Calibri" w:cstheme="minorHAnsi"/>
          <w:szCs w:val="23"/>
          <w:lang w:val="fr-CA"/>
        </w:rPr>
        <w:t>à</w:t>
      </w:r>
      <w:proofErr w:type="gramEnd"/>
      <w:r w:rsidRPr="00F52884">
        <w:rPr>
          <w:rFonts w:eastAsia="Calibri" w:cstheme="minorHAnsi"/>
          <w:szCs w:val="23"/>
          <w:lang w:val="fr-CA"/>
        </w:rPr>
        <w:t xml:space="preserve"> toute forme d’aide, y compris les dons, les prêts, les participations au capital social, les garanties et les incitations fiscales; </w:t>
      </w:r>
    </w:p>
    <w:p w14:paraId="4ADEF531" w14:textId="77777777" w:rsidR="0050306B" w:rsidRPr="00F52884" w:rsidRDefault="0050306B" w:rsidP="00CF31F2">
      <w:pPr>
        <w:pStyle w:val="ListParagraph"/>
        <w:ind w:left="1440" w:hanging="720"/>
        <w:rPr>
          <w:rFonts w:eastAsia="Times New Roman" w:cstheme="minorHAnsi"/>
          <w:szCs w:val="23"/>
          <w:lang w:val="fr-CA"/>
        </w:rPr>
      </w:pPr>
    </w:p>
    <w:p w14:paraId="66714838" w14:textId="781B1E3C"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eastAsia="Calibri" w:cstheme="minorHAnsi"/>
          <w:szCs w:val="23"/>
          <w:lang w:val="fr-CA"/>
        </w:rPr>
        <w:t>à</w:t>
      </w:r>
      <w:proofErr w:type="gramEnd"/>
      <w:r w:rsidRPr="00F52884">
        <w:rPr>
          <w:rFonts w:eastAsia="Calibri" w:cstheme="minorHAnsi"/>
          <w:szCs w:val="23"/>
          <w:lang w:val="fr-CA"/>
        </w:rPr>
        <w:t xml:space="preserve"> un marché adjugé en vertu d’un accord de coopération entre une Partie et une organisation de coopération internationale</w:t>
      </w:r>
      <w:r w:rsidRPr="00F52884">
        <w:rPr>
          <w:rFonts w:cstheme="minorHAnsi"/>
          <w:szCs w:val="23"/>
          <w:lang w:val="fr-CA"/>
        </w:rPr>
        <w:t xml:space="preserve">, si le marché est financé, en tout ou partie, par l’organisation en question, mais uniquement dans la mesure où cet accord prévoit des règles d’adjudication des marchés qui diffèrent des obligations prévues au présent chapitre; </w:t>
      </w:r>
    </w:p>
    <w:p w14:paraId="22EC6A02" w14:textId="77777777" w:rsidR="0050306B" w:rsidRPr="00F52884" w:rsidRDefault="0050306B" w:rsidP="00CF31F2">
      <w:pPr>
        <w:ind w:left="1440" w:hanging="720"/>
        <w:contextualSpacing/>
        <w:rPr>
          <w:rFonts w:eastAsia="Calibri" w:cstheme="minorHAnsi"/>
          <w:szCs w:val="23"/>
          <w:lang w:val="fr-CA"/>
        </w:rPr>
      </w:pPr>
    </w:p>
    <w:p w14:paraId="62AB8426" w14:textId="77777777"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eastAsia="Calibri" w:cstheme="minorHAnsi"/>
          <w:szCs w:val="23"/>
          <w:lang w:val="fr-CA"/>
        </w:rPr>
        <w:t>à</w:t>
      </w:r>
      <w:proofErr w:type="gramEnd"/>
      <w:r w:rsidRPr="00F52884">
        <w:rPr>
          <w:rFonts w:eastAsia="Calibri" w:cstheme="minorHAnsi"/>
          <w:szCs w:val="23"/>
          <w:lang w:val="fr-CA"/>
        </w:rPr>
        <w:t xml:space="preserve"> l’acquisition ou à la location de terrains, de bâtiments existants ou d’autres biens immeubles, ou aux droits y afférents; </w:t>
      </w:r>
    </w:p>
    <w:p w14:paraId="68F99333" w14:textId="77777777" w:rsidR="0050306B" w:rsidRPr="00F52884" w:rsidRDefault="0050306B" w:rsidP="00CF31F2">
      <w:pPr>
        <w:ind w:left="1440" w:hanging="720"/>
        <w:contextualSpacing/>
        <w:rPr>
          <w:rFonts w:eastAsia="Calibri" w:cstheme="minorHAnsi"/>
          <w:szCs w:val="23"/>
          <w:lang w:val="fr-CA"/>
        </w:rPr>
      </w:pPr>
    </w:p>
    <w:p w14:paraId="4990ECDC" w14:textId="112675F7"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eastAsia="Calibri" w:cstheme="minorHAnsi"/>
          <w:szCs w:val="23"/>
          <w:lang w:val="fr-CA"/>
        </w:rPr>
        <w:t>aux</w:t>
      </w:r>
      <w:proofErr w:type="gramEnd"/>
      <w:r w:rsidRPr="00F52884">
        <w:rPr>
          <w:rFonts w:eastAsia="Calibri" w:cstheme="minorHAnsi"/>
          <w:szCs w:val="23"/>
          <w:lang w:val="fr-CA"/>
        </w:rPr>
        <w:t xml:space="preserve"> mesures nécessaires à la protection de la propriété intellectuelle, sous réserve que ces mesures ne soient pas appliquées de façon à constituer soit un moyen de discrimination arbitraire ou injustifiable entre les Parties où les mêmes conditions existent, soit une restriction déguisée au commerce;</w:t>
      </w:r>
    </w:p>
    <w:p w14:paraId="57DB8BE3" w14:textId="77777777" w:rsidR="0050306B" w:rsidRPr="00F52884" w:rsidRDefault="0050306B" w:rsidP="00CF31F2">
      <w:pPr>
        <w:ind w:left="1440" w:hanging="720"/>
        <w:contextualSpacing/>
        <w:rPr>
          <w:rFonts w:eastAsia="Calibri" w:cstheme="minorHAnsi"/>
          <w:szCs w:val="23"/>
          <w:lang w:val="fr-CA"/>
        </w:rPr>
      </w:pPr>
    </w:p>
    <w:p w14:paraId="1C9266BF" w14:textId="77777777" w:rsidR="0050306B" w:rsidRPr="00F52884" w:rsidRDefault="0050306B" w:rsidP="00CF31F2">
      <w:pPr>
        <w:numPr>
          <w:ilvl w:val="0"/>
          <w:numId w:val="357"/>
        </w:numPr>
        <w:ind w:left="1440" w:hanging="720"/>
        <w:contextualSpacing/>
        <w:rPr>
          <w:rFonts w:eastAsia="Calibri" w:cstheme="minorHAnsi"/>
          <w:szCs w:val="23"/>
          <w:lang w:val="fr-CA"/>
        </w:rPr>
      </w:pPr>
      <w:proofErr w:type="gramStart"/>
      <w:r w:rsidRPr="00F52884">
        <w:rPr>
          <w:rFonts w:eastAsia="Calibri" w:cstheme="minorHAnsi"/>
          <w:szCs w:val="23"/>
          <w:lang w:val="fr-CA"/>
        </w:rPr>
        <w:t>aux</w:t>
      </w:r>
      <w:proofErr w:type="gramEnd"/>
      <w:r w:rsidRPr="00F52884">
        <w:rPr>
          <w:rFonts w:eastAsia="Calibri" w:cstheme="minorHAnsi"/>
          <w:szCs w:val="23"/>
          <w:lang w:val="fr-CA"/>
        </w:rPr>
        <w:t xml:space="preserve"> marchés ou à l’acquisition, selon le cas :</w:t>
      </w:r>
    </w:p>
    <w:p w14:paraId="377C7AB7" w14:textId="77777777" w:rsidR="0050306B" w:rsidRPr="00F52884" w:rsidRDefault="0050306B" w:rsidP="0050306B">
      <w:pPr>
        <w:pStyle w:val="ListParagraph"/>
        <w:rPr>
          <w:rFonts w:eastAsia="Calibri" w:cstheme="minorHAnsi"/>
          <w:szCs w:val="23"/>
          <w:lang w:val="fr-CA"/>
        </w:rPr>
      </w:pPr>
    </w:p>
    <w:p w14:paraId="3D7C8357" w14:textId="06D7F8CA" w:rsidR="0050306B" w:rsidRPr="00F52884" w:rsidRDefault="0050306B" w:rsidP="00C47560">
      <w:pPr>
        <w:pStyle w:val="ListParagraph"/>
        <w:numPr>
          <w:ilvl w:val="1"/>
          <w:numId w:val="354"/>
        </w:numPr>
        <w:ind w:left="2160" w:hanging="450"/>
        <w:rPr>
          <w:rFonts w:eastAsia="Calibri" w:cstheme="minorHAnsi"/>
          <w:szCs w:val="23"/>
          <w:lang w:val="fr-CA"/>
        </w:rPr>
      </w:pPr>
      <w:proofErr w:type="gramStart"/>
      <w:r w:rsidRPr="00F52884">
        <w:rPr>
          <w:rFonts w:eastAsia="Calibri" w:cstheme="minorHAnsi"/>
          <w:szCs w:val="23"/>
          <w:lang w:val="fr-CA"/>
        </w:rPr>
        <w:t>de</w:t>
      </w:r>
      <w:proofErr w:type="gramEnd"/>
      <w:r w:rsidRPr="00F52884">
        <w:rPr>
          <w:rFonts w:eastAsia="Calibri" w:cstheme="minorHAnsi"/>
          <w:szCs w:val="23"/>
          <w:lang w:val="fr-CA"/>
        </w:rPr>
        <w:t xml:space="preserve"> services de dépositaire et agent financier,</w:t>
      </w:r>
    </w:p>
    <w:p w14:paraId="6CC777AB" w14:textId="77777777" w:rsidR="0050306B" w:rsidRPr="00F52884" w:rsidRDefault="0050306B" w:rsidP="00C47560">
      <w:pPr>
        <w:pStyle w:val="ListParagraph"/>
        <w:ind w:left="2160" w:hanging="450"/>
        <w:rPr>
          <w:rFonts w:eastAsia="Calibri" w:cstheme="minorHAnsi"/>
          <w:szCs w:val="23"/>
          <w:lang w:val="fr-CA"/>
        </w:rPr>
      </w:pPr>
    </w:p>
    <w:p w14:paraId="3B46DDDF" w14:textId="56BABE32" w:rsidR="0050306B" w:rsidRPr="00F52884" w:rsidRDefault="0050306B" w:rsidP="00C47560">
      <w:pPr>
        <w:pStyle w:val="ListParagraph"/>
        <w:numPr>
          <w:ilvl w:val="1"/>
          <w:numId w:val="354"/>
        </w:numPr>
        <w:ind w:left="2160" w:hanging="450"/>
        <w:rPr>
          <w:rFonts w:eastAsia="Calibri" w:cstheme="minorHAnsi"/>
          <w:szCs w:val="23"/>
          <w:lang w:val="fr-CA"/>
        </w:rPr>
      </w:pPr>
      <w:proofErr w:type="gramStart"/>
      <w:r w:rsidRPr="00F52884">
        <w:rPr>
          <w:rFonts w:eastAsia="Calibri" w:cstheme="minorHAnsi"/>
          <w:szCs w:val="23"/>
          <w:lang w:val="fr-CA"/>
        </w:rPr>
        <w:t>de</w:t>
      </w:r>
      <w:proofErr w:type="gramEnd"/>
      <w:r w:rsidRPr="00F52884">
        <w:rPr>
          <w:rFonts w:eastAsia="Calibri" w:cstheme="minorHAnsi"/>
          <w:szCs w:val="23"/>
          <w:lang w:val="fr-CA"/>
        </w:rPr>
        <w:t xml:space="preserve"> services de liquidation et de gestion destinés aux établissements financiers réglementés,</w:t>
      </w:r>
    </w:p>
    <w:p w14:paraId="28BA8C81" w14:textId="77777777" w:rsidR="0050306B" w:rsidRPr="00F52884" w:rsidRDefault="0050306B" w:rsidP="00C47560">
      <w:pPr>
        <w:ind w:left="2160" w:hanging="450"/>
        <w:rPr>
          <w:rFonts w:eastAsia="Calibri" w:cstheme="minorHAnsi"/>
          <w:szCs w:val="23"/>
          <w:lang w:val="fr-CA"/>
        </w:rPr>
      </w:pPr>
    </w:p>
    <w:p w14:paraId="17ACF833" w14:textId="5265FCDE" w:rsidR="0050306B" w:rsidRPr="00F52884" w:rsidRDefault="0050306B" w:rsidP="00C47560">
      <w:pPr>
        <w:pStyle w:val="ListParagraph"/>
        <w:numPr>
          <w:ilvl w:val="1"/>
          <w:numId w:val="354"/>
        </w:numPr>
        <w:ind w:left="2160" w:hanging="450"/>
        <w:rPr>
          <w:rFonts w:eastAsia="Calibri" w:cstheme="minorHAnsi"/>
          <w:szCs w:val="23"/>
          <w:lang w:val="fr-CA"/>
        </w:rPr>
      </w:pPr>
      <w:proofErr w:type="gramStart"/>
      <w:r w:rsidRPr="00F52884">
        <w:rPr>
          <w:rFonts w:eastAsia="Calibri" w:cstheme="minorHAnsi"/>
          <w:szCs w:val="23"/>
          <w:lang w:val="fr-CA"/>
        </w:rPr>
        <w:t>de</w:t>
      </w:r>
      <w:proofErr w:type="gramEnd"/>
      <w:r w:rsidRPr="00F52884">
        <w:rPr>
          <w:rFonts w:eastAsia="Calibri" w:cstheme="minorHAnsi"/>
          <w:szCs w:val="23"/>
          <w:lang w:val="fr-CA"/>
        </w:rPr>
        <w:t xml:space="preserve"> services liés à la vente, au rachat et au placement de la dette publique, y compris les prêts et les obligations, les bons et autres titres publics;</w:t>
      </w:r>
    </w:p>
    <w:p w14:paraId="61BA6D01" w14:textId="77777777" w:rsidR="0050306B" w:rsidRPr="00F52884" w:rsidRDefault="0050306B" w:rsidP="0050306B">
      <w:pPr>
        <w:pStyle w:val="ListParagraph"/>
        <w:rPr>
          <w:rFonts w:eastAsia="Calibri" w:cstheme="minorHAnsi"/>
          <w:szCs w:val="23"/>
          <w:lang w:val="fr-CA"/>
        </w:rPr>
      </w:pPr>
    </w:p>
    <w:p w14:paraId="47F4AD35" w14:textId="2DA2A458" w:rsidR="0050306B" w:rsidRPr="00F52884" w:rsidRDefault="0050306B" w:rsidP="00CF31F2">
      <w:pPr>
        <w:pStyle w:val="ListParagraph"/>
        <w:numPr>
          <w:ilvl w:val="0"/>
          <w:numId w:val="358"/>
        </w:numPr>
        <w:ind w:left="1440" w:hanging="720"/>
        <w:rPr>
          <w:rFonts w:cstheme="minorHAnsi"/>
          <w:szCs w:val="23"/>
          <w:lang w:val="fr-CA"/>
        </w:rPr>
      </w:pPr>
      <w:proofErr w:type="gramStart"/>
      <w:r w:rsidRPr="00F52884">
        <w:rPr>
          <w:rFonts w:cstheme="minorHAnsi"/>
          <w:szCs w:val="23"/>
          <w:lang w:val="fr-CA"/>
        </w:rPr>
        <w:t>aux</w:t>
      </w:r>
      <w:proofErr w:type="gramEnd"/>
      <w:r w:rsidRPr="00F52884">
        <w:rPr>
          <w:rFonts w:cstheme="minorHAnsi"/>
          <w:szCs w:val="23"/>
          <w:lang w:val="fr-CA"/>
        </w:rPr>
        <w:t xml:space="preserve"> marchés portant, selon le cas :</w:t>
      </w:r>
    </w:p>
    <w:p w14:paraId="10A5AF09" w14:textId="77777777" w:rsidR="0050306B" w:rsidRPr="00F52884" w:rsidRDefault="0050306B" w:rsidP="0050306B">
      <w:pPr>
        <w:ind w:left="675"/>
        <w:rPr>
          <w:rFonts w:cstheme="minorHAnsi"/>
          <w:szCs w:val="23"/>
          <w:lang w:val="fr-CA"/>
        </w:rPr>
      </w:pPr>
    </w:p>
    <w:p w14:paraId="3F38AB82" w14:textId="209219A5" w:rsidR="0050306B" w:rsidRPr="00F52884" w:rsidRDefault="0050306B" w:rsidP="00C47560">
      <w:pPr>
        <w:pStyle w:val="ListParagraph"/>
        <w:numPr>
          <w:ilvl w:val="1"/>
          <w:numId w:val="353"/>
        </w:numPr>
        <w:ind w:left="2160" w:hanging="450"/>
        <w:rPr>
          <w:rFonts w:cstheme="minorHAnsi"/>
          <w:szCs w:val="23"/>
          <w:lang w:val="fr-CA"/>
        </w:rPr>
      </w:pPr>
      <w:proofErr w:type="gramStart"/>
      <w:r w:rsidRPr="00F52884">
        <w:rPr>
          <w:rFonts w:cstheme="minorHAnsi"/>
          <w:szCs w:val="23"/>
          <w:lang w:val="fr-CA"/>
        </w:rPr>
        <w:t>sur</w:t>
      </w:r>
      <w:proofErr w:type="gramEnd"/>
      <w:r w:rsidRPr="00F52884">
        <w:rPr>
          <w:rFonts w:cstheme="minorHAnsi"/>
          <w:szCs w:val="23"/>
          <w:lang w:val="fr-CA"/>
        </w:rPr>
        <w:t xml:space="preserve"> des services financiers se rapportant à la gestion des actifs et passifs financiers des administrations publiques (c.-à-d. les opérations de trésorerie), y compris les services accessoires de consultation et </w:t>
      </w:r>
      <w:r w:rsidRPr="00F52884">
        <w:rPr>
          <w:rFonts w:cstheme="minorHAnsi"/>
          <w:szCs w:val="23"/>
          <w:lang w:val="fr-CA"/>
        </w:rPr>
        <w:lastRenderedPageBreak/>
        <w:t>d’information, qu’ils soient ou non fournis par un établissement financier,</w:t>
      </w:r>
    </w:p>
    <w:p w14:paraId="7C187FC0" w14:textId="77777777" w:rsidR="0050306B" w:rsidRPr="00F52884" w:rsidRDefault="0050306B" w:rsidP="00C47560">
      <w:pPr>
        <w:pStyle w:val="ListParagraph"/>
        <w:ind w:left="2160" w:hanging="450"/>
        <w:rPr>
          <w:rFonts w:cstheme="minorHAnsi"/>
          <w:szCs w:val="23"/>
          <w:lang w:val="fr-CA"/>
        </w:rPr>
      </w:pPr>
    </w:p>
    <w:p w14:paraId="52E9EDAC" w14:textId="1FEE839E" w:rsidR="0050306B" w:rsidRPr="00F52884" w:rsidRDefault="0050306B" w:rsidP="00C47560">
      <w:pPr>
        <w:pStyle w:val="ListParagraph"/>
        <w:numPr>
          <w:ilvl w:val="1"/>
          <w:numId w:val="353"/>
        </w:numPr>
        <w:ind w:left="2160" w:hanging="450"/>
        <w:rPr>
          <w:rFonts w:cstheme="minorHAnsi"/>
          <w:szCs w:val="23"/>
          <w:lang w:val="fr-CA"/>
        </w:rPr>
      </w:pPr>
      <w:proofErr w:type="gramStart"/>
      <w:r w:rsidRPr="00F52884">
        <w:rPr>
          <w:rFonts w:cstheme="minorHAnsi"/>
          <w:szCs w:val="23"/>
          <w:lang w:val="fr-CA"/>
        </w:rPr>
        <w:t>sur</w:t>
      </w:r>
      <w:proofErr w:type="gramEnd"/>
      <w:r w:rsidRPr="00F52884">
        <w:rPr>
          <w:rFonts w:cstheme="minorHAnsi"/>
          <w:szCs w:val="23"/>
          <w:lang w:val="fr-CA"/>
        </w:rPr>
        <w:t xml:space="preserve"> des services de santé ou des services sociaux,</w:t>
      </w:r>
    </w:p>
    <w:p w14:paraId="734FC250" w14:textId="77777777" w:rsidR="0050306B" w:rsidRPr="00F52884" w:rsidRDefault="0050306B" w:rsidP="00C47560">
      <w:pPr>
        <w:ind w:left="2160" w:hanging="450"/>
        <w:rPr>
          <w:rFonts w:cstheme="minorHAnsi"/>
          <w:szCs w:val="23"/>
          <w:lang w:val="fr-CA"/>
        </w:rPr>
      </w:pPr>
    </w:p>
    <w:p w14:paraId="55DE674E" w14:textId="479D9023" w:rsidR="0050306B" w:rsidRPr="00F52884" w:rsidRDefault="0050306B" w:rsidP="00C47560">
      <w:pPr>
        <w:pStyle w:val="ListParagraph"/>
        <w:numPr>
          <w:ilvl w:val="1"/>
          <w:numId w:val="353"/>
        </w:numPr>
        <w:ind w:left="2160" w:hanging="450"/>
        <w:rPr>
          <w:rFonts w:cstheme="minorHAnsi"/>
          <w:szCs w:val="23"/>
          <w:lang w:val="fr-CA"/>
        </w:rPr>
      </w:pPr>
      <w:proofErr w:type="gramStart"/>
      <w:r w:rsidRPr="00F52884">
        <w:rPr>
          <w:rFonts w:cstheme="minorHAnsi"/>
          <w:szCs w:val="23"/>
          <w:lang w:val="fr-CA"/>
        </w:rPr>
        <w:t>sur</w:t>
      </w:r>
      <w:proofErr w:type="gramEnd"/>
      <w:r w:rsidRPr="00F52884">
        <w:rPr>
          <w:rFonts w:cstheme="minorHAnsi"/>
          <w:szCs w:val="23"/>
          <w:lang w:val="fr-CA"/>
        </w:rPr>
        <w:t xml:space="preserve"> des services qui peuvent, en vertu du droit applicable, être fournis seulement par des avocats ou des notaires autorisés,</w:t>
      </w:r>
    </w:p>
    <w:p w14:paraId="502DF912" w14:textId="77777777" w:rsidR="0050306B" w:rsidRPr="00F52884" w:rsidRDefault="0050306B" w:rsidP="00C47560">
      <w:pPr>
        <w:ind w:left="2160" w:hanging="450"/>
        <w:rPr>
          <w:rFonts w:cstheme="minorHAnsi"/>
          <w:szCs w:val="23"/>
          <w:lang w:val="fr-CA"/>
        </w:rPr>
      </w:pPr>
    </w:p>
    <w:p w14:paraId="0EB90A4C" w14:textId="51876AEA" w:rsidR="0050306B" w:rsidRPr="00F52884" w:rsidRDefault="0050306B" w:rsidP="00C47560">
      <w:pPr>
        <w:pStyle w:val="ListParagraph"/>
        <w:numPr>
          <w:ilvl w:val="1"/>
          <w:numId w:val="353"/>
        </w:numPr>
        <w:ind w:left="2160" w:hanging="450"/>
        <w:rPr>
          <w:rFonts w:cstheme="minorHAnsi"/>
          <w:szCs w:val="23"/>
          <w:lang w:val="fr-CA"/>
        </w:rPr>
      </w:pPr>
      <w:proofErr w:type="gramStart"/>
      <w:r w:rsidRPr="00F52884">
        <w:rPr>
          <w:rFonts w:cstheme="minorHAnsi"/>
          <w:szCs w:val="23"/>
          <w:lang w:val="fr-CA"/>
        </w:rPr>
        <w:t>sur</w:t>
      </w:r>
      <w:proofErr w:type="gramEnd"/>
      <w:r w:rsidRPr="00F52884">
        <w:rPr>
          <w:rFonts w:cstheme="minorHAnsi"/>
          <w:szCs w:val="23"/>
          <w:lang w:val="fr-CA"/>
        </w:rPr>
        <w:t xml:space="preserve"> des services de témoins experts ou de témoins de faits auxquels il est recouru dans le cadre de procédures en justice ou autres procédures judiciaires;</w:t>
      </w:r>
    </w:p>
    <w:p w14:paraId="6BCCC885" w14:textId="77777777" w:rsidR="0050306B" w:rsidRPr="00F52884" w:rsidRDefault="0050306B" w:rsidP="0050306B">
      <w:pPr>
        <w:tabs>
          <w:tab w:val="left" w:pos="1440"/>
        </w:tabs>
        <w:ind w:left="1440" w:hanging="720"/>
        <w:contextualSpacing/>
        <w:rPr>
          <w:rFonts w:eastAsia="Calibri" w:cstheme="minorHAnsi"/>
          <w:szCs w:val="23"/>
          <w:lang w:val="fr-CA"/>
        </w:rPr>
      </w:pPr>
    </w:p>
    <w:p w14:paraId="2A357806" w14:textId="531D80C7" w:rsidR="0050306B" w:rsidRPr="00F52884" w:rsidRDefault="0050306B" w:rsidP="00CF31F2">
      <w:pPr>
        <w:numPr>
          <w:ilvl w:val="0"/>
          <w:numId w:val="359"/>
        </w:numPr>
        <w:ind w:left="1440" w:hanging="720"/>
        <w:contextualSpacing/>
        <w:rPr>
          <w:rFonts w:eastAsia="Calibri" w:cstheme="minorHAnsi"/>
          <w:szCs w:val="23"/>
          <w:lang w:val="fr-CA"/>
        </w:rPr>
      </w:pPr>
      <w:proofErr w:type="gramStart"/>
      <w:r w:rsidRPr="00F52884">
        <w:rPr>
          <w:rFonts w:eastAsia="Calibri" w:cstheme="minorHAnsi"/>
          <w:szCs w:val="23"/>
          <w:lang w:val="fr-CA"/>
        </w:rPr>
        <w:t>aux</w:t>
      </w:r>
      <w:proofErr w:type="gramEnd"/>
      <w:r w:rsidRPr="00F52884">
        <w:rPr>
          <w:rFonts w:eastAsia="Calibri" w:cstheme="minorHAnsi"/>
          <w:szCs w:val="23"/>
          <w:lang w:val="fr-CA"/>
        </w:rPr>
        <w:t xml:space="preserve"> marchés de produits ou services, selon le cas :</w:t>
      </w:r>
    </w:p>
    <w:p w14:paraId="604A529F" w14:textId="77777777" w:rsidR="0050306B" w:rsidRPr="00F52884" w:rsidRDefault="0050306B" w:rsidP="0050306B">
      <w:pPr>
        <w:tabs>
          <w:tab w:val="left" w:pos="1440"/>
        </w:tabs>
        <w:ind w:left="1440"/>
        <w:contextualSpacing/>
        <w:rPr>
          <w:rFonts w:eastAsia="Calibri" w:cstheme="minorHAnsi"/>
          <w:szCs w:val="23"/>
          <w:lang w:val="fr-CA"/>
        </w:rPr>
      </w:pPr>
    </w:p>
    <w:p w14:paraId="1E5092CD" w14:textId="14E54304"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eastAsia="Calibri" w:cstheme="minorHAnsi"/>
          <w:szCs w:val="23"/>
          <w:lang w:val="fr-CA"/>
        </w:rPr>
        <w:t>dont</w:t>
      </w:r>
      <w:proofErr w:type="gramEnd"/>
      <w:r w:rsidRPr="00F52884">
        <w:rPr>
          <w:rFonts w:eastAsia="Calibri" w:cstheme="minorHAnsi"/>
          <w:szCs w:val="23"/>
          <w:lang w:val="fr-CA"/>
        </w:rPr>
        <w:t xml:space="preserve"> le financement provient principalement de dons assortis de conditions incompatibles avec le présent chapitre,</w:t>
      </w:r>
    </w:p>
    <w:p w14:paraId="141C91AD" w14:textId="77777777" w:rsidR="0050306B" w:rsidRPr="00F52884" w:rsidRDefault="0050306B" w:rsidP="00C47560">
      <w:pPr>
        <w:pStyle w:val="ListParagraph"/>
        <w:ind w:left="2160" w:hanging="450"/>
        <w:rPr>
          <w:rFonts w:eastAsia="Calibri" w:cstheme="minorHAnsi"/>
          <w:szCs w:val="23"/>
          <w:lang w:val="fr-CA"/>
        </w:rPr>
      </w:pPr>
    </w:p>
    <w:p w14:paraId="270D4D1A" w14:textId="6BBABFC0"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eastAsia="Calibri" w:cstheme="minorHAnsi"/>
          <w:szCs w:val="23"/>
          <w:lang w:val="fr-CA"/>
        </w:rPr>
        <w:t>passés</w:t>
      </w:r>
      <w:proofErr w:type="gramEnd"/>
      <w:r w:rsidRPr="00F52884">
        <w:rPr>
          <w:rFonts w:eastAsia="Calibri" w:cstheme="minorHAnsi"/>
          <w:szCs w:val="23"/>
          <w:lang w:val="fr-CA"/>
        </w:rPr>
        <w:t xml:space="preserve"> par une entité contractante pour le compte d’une entité non couverte par le présent chapitre,</w:t>
      </w:r>
    </w:p>
    <w:p w14:paraId="44539B36" w14:textId="77777777" w:rsidR="0050306B" w:rsidRPr="00F52884" w:rsidRDefault="0050306B" w:rsidP="00C47560">
      <w:pPr>
        <w:ind w:left="2160" w:hanging="450"/>
        <w:rPr>
          <w:rFonts w:eastAsia="Calibri" w:cstheme="minorHAnsi"/>
          <w:szCs w:val="23"/>
          <w:lang w:val="fr-CA"/>
        </w:rPr>
      </w:pPr>
    </w:p>
    <w:p w14:paraId="56764C5E" w14:textId="2EC56A2D"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eastAsia="Calibri" w:cstheme="minorHAnsi"/>
          <w:szCs w:val="23"/>
          <w:lang w:val="fr-CA"/>
        </w:rPr>
        <w:t>passés</w:t>
      </w:r>
      <w:proofErr w:type="gramEnd"/>
      <w:r w:rsidRPr="00F52884">
        <w:rPr>
          <w:rFonts w:eastAsia="Calibri" w:cstheme="minorHAnsi"/>
          <w:szCs w:val="23"/>
          <w:lang w:val="fr-CA"/>
        </w:rPr>
        <w:t xml:space="preserve"> entre des entreprises contrôlées par la même entreprise ou affiliées à la même entreprise, ou entre une entreprise ou un organisme public et une autre entreprise ou organisme public,</w:t>
      </w:r>
    </w:p>
    <w:p w14:paraId="135CA59E" w14:textId="77777777" w:rsidR="0050306B" w:rsidRPr="00F52884" w:rsidRDefault="0050306B" w:rsidP="00C47560">
      <w:pPr>
        <w:ind w:left="2160" w:hanging="450"/>
        <w:rPr>
          <w:rFonts w:eastAsia="Calibri" w:cstheme="minorHAnsi"/>
          <w:szCs w:val="23"/>
          <w:lang w:val="fr-CA"/>
        </w:rPr>
      </w:pPr>
    </w:p>
    <w:p w14:paraId="644A4E5A" w14:textId="668702CF"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eastAsia="Calibri" w:cstheme="minorHAnsi"/>
          <w:szCs w:val="23"/>
          <w:lang w:val="fr-CA"/>
        </w:rPr>
        <w:t>passés</w:t>
      </w:r>
      <w:proofErr w:type="gramEnd"/>
      <w:r w:rsidRPr="00F52884">
        <w:rPr>
          <w:rFonts w:eastAsia="Calibri" w:cstheme="minorHAnsi"/>
          <w:szCs w:val="23"/>
          <w:lang w:val="fr-CA"/>
        </w:rPr>
        <w:t xml:space="preserve"> par des organismes non gouvernementaux qui exercent des pouvoirs gouvernementaux qui leur sont délégués,</w:t>
      </w:r>
    </w:p>
    <w:p w14:paraId="11ACB621" w14:textId="77777777" w:rsidR="0050306B" w:rsidRPr="00F52884" w:rsidRDefault="0050306B" w:rsidP="00C47560">
      <w:pPr>
        <w:ind w:left="2160" w:hanging="450"/>
        <w:rPr>
          <w:rFonts w:eastAsia="Calibri" w:cstheme="minorHAnsi"/>
          <w:szCs w:val="23"/>
          <w:lang w:val="fr-CA"/>
        </w:rPr>
      </w:pPr>
    </w:p>
    <w:p w14:paraId="29D3C4E4" w14:textId="64839D75"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eastAsia="Calibri" w:cstheme="minorHAnsi"/>
          <w:szCs w:val="23"/>
          <w:lang w:val="fr-CA"/>
        </w:rPr>
        <w:t>passés</w:t>
      </w:r>
      <w:proofErr w:type="gramEnd"/>
      <w:r w:rsidRPr="00F52884">
        <w:rPr>
          <w:rFonts w:eastAsia="Calibri" w:cstheme="minorHAnsi"/>
          <w:szCs w:val="23"/>
          <w:lang w:val="fr-CA"/>
        </w:rPr>
        <w:t xml:space="preserve"> avec des établissements philanthropiques, des organismes sans but lucratif, des personnes incarcérées ou des personnes physiques handicapées,</w:t>
      </w:r>
    </w:p>
    <w:p w14:paraId="3C351B72" w14:textId="77777777" w:rsidR="0050306B" w:rsidRPr="00F52884" w:rsidRDefault="0050306B" w:rsidP="00C47560">
      <w:pPr>
        <w:ind w:left="2160" w:hanging="450"/>
        <w:rPr>
          <w:rFonts w:eastAsia="Calibri" w:cstheme="minorHAnsi"/>
          <w:szCs w:val="23"/>
          <w:lang w:val="fr-CA"/>
        </w:rPr>
      </w:pPr>
    </w:p>
    <w:p w14:paraId="5C6ABC3B" w14:textId="33D47F47"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eastAsia="Calibri" w:cstheme="minorHAnsi"/>
          <w:szCs w:val="23"/>
          <w:lang w:val="fr-CA"/>
        </w:rPr>
        <w:t>passés</w:t>
      </w:r>
      <w:proofErr w:type="gramEnd"/>
      <w:r w:rsidRPr="00F52884">
        <w:rPr>
          <w:rFonts w:eastAsia="Calibri" w:cstheme="minorHAnsi"/>
          <w:szCs w:val="23"/>
          <w:lang w:val="fr-CA"/>
        </w:rPr>
        <w:t xml:space="preserve"> en vertu d’un accord commercial conclu entre une entité contractante qui administre des installations sportives ou des centres de congrès et une entité non couverte par le présent chapitre qui contient des stipulations incompatibles avec le présent chapitre,</w:t>
      </w:r>
    </w:p>
    <w:p w14:paraId="05C3F8C8" w14:textId="77777777" w:rsidR="0050306B" w:rsidRPr="00F52884" w:rsidRDefault="0050306B" w:rsidP="00C47560">
      <w:pPr>
        <w:ind w:left="2160" w:hanging="450"/>
        <w:rPr>
          <w:rFonts w:eastAsia="Calibri" w:cstheme="minorHAnsi"/>
          <w:szCs w:val="23"/>
          <w:lang w:val="fr-CA"/>
        </w:rPr>
      </w:pPr>
    </w:p>
    <w:p w14:paraId="4A2BBFDC" w14:textId="2271BE69"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cstheme="minorHAnsi"/>
          <w:szCs w:val="23"/>
          <w:lang w:val="fr-CA"/>
        </w:rPr>
        <w:t>passés</w:t>
      </w:r>
      <w:proofErr w:type="gramEnd"/>
      <w:r w:rsidRPr="00F52884">
        <w:rPr>
          <w:rFonts w:cstheme="minorHAnsi"/>
          <w:szCs w:val="23"/>
          <w:lang w:val="fr-CA"/>
        </w:rPr>
        <w:t xml:space="preserve"> dans le but spécifique de fournir une assistance internationale, y compris une aide au développement, pourvu que l’entité contractante n’établisse pas de discrimination fondée sur l’origine des produits, services ou fournisseurs, ou sur leur emplacement à l’intérieur du Canada,</w:t>
      </w:r>
    </w:p>
    <w:p w14:paraId="0B6C4566" w14:textId="77777777" w:rsidR="0050306B" w:rsidRPr="00F52884" w:rsidRDefault="0050306B" w:rsidP="00C47560">
      <w:pPr>
        <w:ind w:left="2160" w:hanging="450"/>
        <w:rPr>
          <w:rFonts w:eastAsia="Calibri" w:cstheme="minorHAnsi"/>
          <w:szCs w:val="23"/>
          <w:lang w:val="fr-CA"/>
        </w:rPr>
      </w:pPr>
    </w:p>
    <w:p w14:paraId="53AF11CD" w14:textId="00A2758D" w:rsidR="0050306B" w:rsidRPr="00F52884" w:rsidRDefault="0050306B" w:rsidP="00C47560">
      <w:pPr>
        <w:pStyle w:val="ListParagraph"/>
        <w:numPr>
          <w:ilvl w:val="0"/>
          <w:numId w:val="360"/>
        </w:numPr>
        <w:ind w:hanging="450"/>
        <w:rPr>
          <w:rFonts w:eastAsia="Calibri" w:cstheme="minorHAnsi"/>
          <w:szCs w:val="23"/>
          <w:lang w:val="fr-CA"/>
        </w:rPr>
      </w:pPr>
      <w:proofErr w:type="gramStart"/>
      <w:r w:rsidRPr="00F52884">
        <w:rPr>
          <w:rFonts w:cstheme="minorHAnsi"/>
          <w:szCs w:val="23"/>
          <w:lang w:val="fr-CA"/>
        </w:rPr>
        <w:t>passés</w:t>
      </w:r>
      <w:proofErr w:type="gramEnd"/>
      <w:r w:rsidRPr="00F52884">
        <w:rPr>
          <w:rFonts w:cstheme="minorHAnsi"/>
          <w:szCs w:val="23"/>
          <w:lang w:val="fr-CA"/>
        </w:rPr>
        <w:t>, selon le cas :</w:t>
      </w:r>
    </w:p>
    <w:p w14:paraId="7E4AC4B4" w14:textId="77777777" w:rsidR="0050306B" w:rsidRPr="00F52884" w:rsidRDefault="0050306B" w:rsidP="0050306B">
      <w:pPr>
        <w:pStyle w:val="ListParagraph"/>
        <w:ind w:left="1440"/>
        <w:rPr>
          <w:rFonts w:eastAsia="Calibri" w:cstheme="minorHAnsi"/>
          <w:szCs w:val="23"/>
          <w:lang w:val="fr-CA"/>
        </w:rPr>
      </w:pPr>
    </w:p>
    <w:p w14:paraId="1569286D" w14:textId="3493DFD3" w:rsidR="0050306B" w:rsidRPr="00F52884" w:rsidRDefault="0050306B" w:rsidP="00CF31F2">
      <w:pPr>
        <w:pStyle w:val="ListParagraph"/>
        <w:numPr>
          <w:ilvl w:val="0"/>
          <w:numId w:val="387"/>
        </w:numPr>
        <w:ind w:left="2880" w:hanging="720"/>
        <w:rPr>
          <w:rFonts w:cstheme="minorHAnsi"/>
          <w:szCs w:val="23"/>
          <w:lang w:val="fr-CA"/>
        </w:rPr>
      </w:pPr>
      <w:proofErr w:type="gramStart"/>
      <w:r w:rsidRPr="00F52884">
        <w:rPr>
          <w:rFonts w:cstheme="minorHAnsi"/>
          <w:szCs w:val="23"/>
          <w:lang w:val="fr-CA"/>
        </w:rPr>
        <w:t>conformément</w:t>
      </w:r>
      <w:proofErr w:type="gramEnd"/>
      <w:r w:rsidRPr="00F52884">
        <w:rPr>
          <w:rFonts w:cstheme="minorHAnsi"/>
          <w:szCs w:val="23"/>
          <w:lang w:val="fr-CA"/>
        </w:rPr>
        <w:t xml:space="preserve"> à la procédure ou condition particulière d’un accord international relatif au stationnement de troupes ou à l’exécution conjointe d’un projet par les pays signataires,</w:t>
      </w:r>
    </w:p>
    <w:p w14:paraId="7E409AF6" w14:textId="77777777" w:rsidR="0050306B" w:rsidRPr="00F52884" w:rsidRDefault="0050306B" w:rsidP="00CF31F2">
      <w:pPr>
        <w:ind w:left="2880" w:hanging="720"/>
        <w:contextualSpacing/>
        <w:rPr>
          <w:rFonts w:cstheme="minorHAnsi"/>
          <w:szCs w:val="23"/>
          <w:lang w:val="fr-CA"/>
        </w:rPr>
      </w:pPr>
    </w:p>
    <w:p w14:paraId="0F85C682" w14:textId="27FE7B0B" w:rsidR="0050306B" w:rsidRPr="00F52884" w:rsidRDefault="0050306B" w:rsidP="00CF31F2">
      <w:pPr>
        <w:pStyle w:val="ListParagraph"/>
        <w:numPr>
          <w:ilvl w:val="0"/>
          <w:numId w:val="387"/>
        </w:numPr>
        <w:ind w:left="2880" w:hanging="720"/>
        <w:rPr>
          <w:rFonts w:cstheme="minorHAnsi"/>
          <w:szCs w:val="23"/>
          <w:lang w:val="fr-CA"/>
        </w:rPr>
      </w:pPr>
      <w:proofErr w:type="gramStart"/>
      <w:r w:rsidRPr="00F52884">
        <w:rPr>
          <w:rFonts w:cstheme="minorHAnsi"/>
          <w:szCs w:val="23"/>
          <w:lang w:val="fr-CA"/>
        </w:rPr>
        <w:lastRenderedPageBreak/>
        <w:t>conformément</w:t>
      </w:r>
      <w:proofErr w:type="gramEnd"/>
      <w:r w:rsidRPr="00F52884">
        <w:rPr>
          <w:rFonts w:cstheme="minorHAnsi"/>
          <w:szCs w:val="23"/>
          <w:lang w:val="fr-CA"/>
        </w:rPr>
        <w:t xml:space="preserve"> à la procédure ou condition particulière d’une organisation internationale, ou financés par des dons, des prêts ou une autre aide au niveau international dans les cas où la procédure ou condition serait incompatible avec le présent chapitre.</w:t>
      </w:r>
    </w:p>
    <w:p w14:paraId="1A1D1583" w14:textId="77777777" w:rsidR="0050306B" w:rsidRPr="00F52884" w:rsidRDefault="0050306B" w:rsidP="0050306B">
      <w:pPr>
        <w:ind w:left="2160"/>
        <w:contextualSpacing/>
        <w:rPr>
          <w:rFonts w:cstheme="minorHAnsi"/>
          <w:szCs w:val="23"/>
          <w:lang w:val="fr-CA"/>
        </w:rPr>
      </w:pPr>
    </w:p>
    <w:p w14:paraId="68CF037A" w14:textId="6F5BA62F" w:rsidR="0050306B" w:rsidRPr="00F52884" w:rsidRDefault="0050306B" w:rsidP="0050306B">
      <w:pPr>
        <w:rPr>
          <w:rFonts w:cstheme="minorHAnsi"/>
          <w:szCs w:val="23"/>
          <w:lang w:val="fr-CA"/>
        </w:rPr>
      </w:pPr>
      <w:r w:rsidRPr="00F52884">
        <w:rPr>
          <w:rFonts w:cstheme="minorHAnsi"/>
          <w:szCs w:val="23"/>
          <w:lang w:val="fr-CA"/>
        </w:rPr>
        <w:t>12.</w:t>
      </w:r>
      <w:r w:rsidRPr="00F52884">
        <w:rPr>
          <w:rFonts w:cstheme="minorHAnsi"/>
          <w:szCs w:val="23"/>
          <w:lang w:val="fr-CA"/>
        </w:rPr>
        <w:tab/>
        <w:t>Il est entendu que, lorsqu’un marché adjugé par une entité n’est pas couvert par le présent chapitre, le présent chapitre ne peut être interprété comme visant les composantes produits ou services de ce marché.</w:t>
      </w:r>
    </w:p>
    <w:p w14:paraId="68C544B2" w14:textId="77777777" w:rsidR="0050306B" w:rsidRPr="00F52884" w:rsidRDefault="0050306B" w:rsidP="0050306B">
      <w:pPr>
        <w:pStyle w:val="ListParagraph"/>
        <w:rPr>
          <w:rFonts w:eastAsia="Calibri" w:cstheme="minorHAnsi"/>
          <w:szCs w:val="23"/>
          <w:lang w:val="fr-CA"/>
        </w:rPr>
      </w:pPr>
    </w:p>
    <w:p w14:paraId="72E957A6"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Marchés réservés</w:t>
      </w:r>
    </w:p>
    <w:p w14:paraId="7CD46639" w14:textId="77777777" w:rsidR="0050306B" w:rsidRPr="00F52884" w:rsidRDefault="0050306B" w:rsidP="0050306B">
      <w:pPr>
        <w:ind w:left="720"/>
        <w:contextualSpacing/>
        <w:rPr>
          <w:rFonts w:eastAsia="Calibri" w:cstheme="minorHAnsi"/>
          <w:szCs w:val="23"/>
          <w:lang w:val="fr-CA"/>
        </w:rPr>
      </w:pPr>
    </w:p>
    <w:p w14:paraId="7B62A0B3" w14:textId="7ED7F9E8" w:rsidR="0050306B" w:rsidRPr="00F52884" w:rsidRDefault="0050306B" w:rsidP="0050306B">
      <w:pPr>
        <w:pStyle w:val="ListParagraph"/>
        <w:ind w:left="0"/>
        <w:rPr>
          <w:rFonts w:eastAsia="Calibri" w:cstheme="minorHAnsi"/>
          <w:b/>
          <w:szCs w:val="23"/>
          <w:lang w:val="fr-CA"/>
        </w:rPr>
      </w:pPr>
      <w:r w:rsidRPr="00F52884">
        <w:rPr>
          <w:rFonts w:eastAsia="Times New Roman" w:cstheme="minorHAnsi"/>
          <w:szCs w:val="23"/>
          <w:lang w:val="fr-CA"/>
        </w:rPr>
        <w:t>13.</w:t>
      </w:r>
      <w:r w:rsidRPr="00F52884">
        <w:rPr>
          <w:rFonts w:eastAsia="Times New Roman" w:cstheme="minorHAnsi"/>
          <w:szCs w:val="23"/>
          <w:lang w:val="fr-CA"/>
        </w:rPr>
        <w:tab/>
        <w:t>Le présent chapitre ne s’applique pas aux marchés visés par un programme de marchés réservés aux petites entreprises, à condition que le programme en question soit équitable, ouvert et transparent, et qu’il n’établisse pas de discrimination fondée sur l’origine des produits, services ou fournisseurs, ou sur leur emplacement à l’intérieur du Canada.</w:t>
      </w:r>
    </w:p>
    <w:p w14:paraId="11BBE6F2" w14:textId="77777777" w:rsidR="0050306B" w:rsidRPr="00F52884" w:rsidRDefault="0050306B" w:rsidP="0050306B">
      <w:pPr>
        <w:pStyle w:val="ListParagraph"/>
        <w:ind w:left="0"/>
        <w:rPr>
          <w:rFonts w:eastAsia="Calibri" w:cstheme="minorHAnsi"/>
          <w:b/>
          <w:szCs w:val="23"/>
          <w:lang w:val="fr-CA"/>
        </w:rPr>
      </w:pPr>
    </w:p>
    <w:p w14:paraId="70978563" w14:textId="477174B3"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505 :</w:t>
      </w:r>
      <w:r w:rsidRPr="00F52884">
        <w:rPr>
          <w:rFonts w:eastAsia="Calibri" w:cstheme="minorHAnsi"/>
          <w:szCs w:val="23"/>
          <w:lang w:val="fr-CA"/>
        </w:rPr>
        <w:tab/>
      </w:r>
      <w:r w:rsidR="00600B9F" w:rsidRPr="00F52884">
        <w:rPr>
          <w:rFonts w:eastAsia="Calibri" w:cstheme="minorHAnsi"/>
          <w:szCs w:val="23"/>
          <w:lang w:val="fr-CA"/>
        </w:rPr>
        <w:tab/>
      </w:r>
      <w:r w:rsidRPr="00F52884">
        <w:rPr>
          <w:rFonts w:eastAsia="Calibri" w:cstheme="minorHAnsi"/>
          <w:b/>
          <w:bCs/>
          <w:szCs w:val="23"/>
          <w:lang w:val="fr-CA"/>
        </w:rPr>
        <w:t>Évaluation</w:t>
      </w:r>
    </w:p>
    <w:p w14:paraId="7FE51EFF" w14:textId="77777777" w:rsidR="0050306B" w:rsidRPr="00F52884" w:rsidRDefault="0050306B" w:rsidP="0050306B">
      <w:pPr>
        <w:rPr>
          <w:rFonts w:eastAsia="Calibri" w:cstheme="minorHAnsi"/>
          <w:b/>
          <w:szCs w:val="23"/>
          <w:lang w:val="fr-CA"/>
        </w:rPr>
      </w:pPr>
    </w:p>
    <w:p w14:paraId="13E31C8B" w14:textId="3E9B269A" w:rsidR="0050306B" w:rsidRPr="00F52884" w:rsidRDefault="0050306B" w:rsidP="0050306B">
      <w:pPr>
        <w:rPr>
          <w:rFonts w:eastAsia="Calibri" w:cstheme="minorHAnsi"/>
          <w:szCs w:val="23"/>
          <w:lang w:val="fr-CA"/>
        </w:rPr>
      </w:pPr>
      <w:r w:rsidRPr="00F52884">
        <w:rPr>
          <w:rFonts w:eastAsia="Calibri" w:cstheme="minorHAnsi"/>
          <w:szCs w:val="23"/>
          <w:lang w:val="fr-CA"/>
        </w:rPr>
        <w:t>1.</w:t>
      </w:r>
      <w:r w:rsidRPr="00F52884">
        <w:rPr>
          <w:rFonts w:eastAsia="Calibri" w:cstheme="minorHAnsi"/>
          <w:szCs w:val="23"/>
          <w:lang w:val="fr-CA"/>
        </w:rPr>
        <w:tab/>
        <w:t>Lorsqu’elle estime la valeur d’un marché afin de déterminer s’il s’agit d’un marché couvert, une entité contractante :</w:t>
      </w:r>
    </w:p>
    <w:p w14:paraId="0ACAB660" w14:textId="77777777" w:rsidR="0050306B" w:rsidRPr="00F52884" w:rsidRDefault="0050306B" w:rsidP="0050306B">
      <w:pPr>
        <w:rPr>
          <w:rFonts w:eastAsia="Calibri" w:cstheme="minorHAnsi"/>
          <w:szCs w:val="23"/>
          <w:lang w:val="fr-CA"/>
        </w:rPr>
      </w:pPr>
    </w:p>
    <w:p w14:paraId="1DC324FE" w14:textId="3BA77026" w:rsidR="0050306B" w:rsidRPr="00F52884" w:rsidRDefault="0050306B" w:rsidP="00CF31F2">
      <w:pPr>
        <w:numPr>
          <w:ilvl w:val="0"/>
          <w:numId w:val="361"/>
        </w:numPr>
        <w:ind w:left="1440" w:hanging="720"/>
        <w:contextualSpacing/>
        <w:rPr>
          <w:rFonts w:eastAsia="Calibri" w:cstheme="minorHAnsi"/>
          <w:szCs w:val="23"/>
          <w:lang w:val="fr-CA"/>
        </w:rPr>
      </w:pPr>
      <w:proofErr w:type="gramStart"/>
      <w:r w:rsidRPr="00F52884">
        <w:rPr>
          <w:rFonts w:eastAsia="Calibri" w:cstheme="minorHAnsi"/>
          <w:szCs w:val="23"/>
          <w:lang w:val="fr-CA"/>
        </w:rPr>
        <w:t>d’une</w:t>
      </w:r>
      <w:proofErr w:type="gramEnd"/>
      <w:r w:rsidRPr="00F52884">
        <w:rPr>
          <w:rFonts w:eastAsia="Calibri" w:cstheme="minorHAnsi"/>
          <w:szCs w:val="23"/>
          <w:lang w:val="fr-CA"/>
        </w:rPr>
        <w:t xml:space="preserve"> part, estime quelle serait cette valeur à la date de la publication de l’avis d’appel d’offres;</w:t>
      </w:r>
    </w:p>
    <w:p w14:paraId="626EECE1" w14:textId="77777777" w:rsidR="0050306B" w:rsidRPr="00F52884" w:rsidRDefault="0050306B" w:rsidP="00CF31F2">
      <w:pPr>
        <w:ind w:left="1440" w:hanging="720"/>
        <w:rPr>
          <w:rFonts w:eastAsia="Calibri" w:cstheme="minorHAnsi"/>
          <w:szCs w:val="23"/>
          <w:lang w:val="fr-CA"/>
        </w:rPr>
      </w:pPr>
    </w:p>
    <w:p w14:paraId="54824DF3" w14:textId="218637C0" w:rsidR="0050306B" w:rsidRPr="00F52884" w:rsidRDefault="0050306B" w:rsidP="00CF31F2">
      <w:pPr>
        <w:numPr>
          <w:ilvl w:val="0"/>
          <w:numId w:val="361"/>
        </w:numPr>
        <w:ind w:left="1440" w:hanging="720"/>
        <w:contextualSpacing/>
        <w:rPr>
          <w:rFonts w:eastAsia="Calibri" w:cstheme="minorHAnsi"/>
          <w:szCs w:val="23"/>
          <w:lang w:val="fr-CA"/>
        </w:rPr>
      </w:pPr>
      <w:proofErr w:type="gramStart"/>
      <w:r w:rsidRPr="00F52884">
        <w:rPr>
          <w:rFonts w:eastAsia="Calibri" w:cstheme="minorHAnsi"/>
          <w:szCs w:val="23"/>
          <w:lang w:val="fr-CA"/>
        </w:rPr>
        <w:t>d’autre</w:t>
      </w:r>
      <w:proofErr w:type="gramEnd"/>
      <w:r w:rsidRPr="00F52884">
        <w:rPr>
          <w:rFonts w:eastAsia="Calibri" w:cstheme="minorHAnsi"/>
          <w:szCs w:val="23"/>
          <w:lang w:val="fr-CA"/>
        </w:rPr>
        <w:t xml:space="preserve"> part, inclut la valeur totale maximale estimée du marché sur toute sa durée, qu’il soit adjugé à un ou à plusieurs fournisseurs, en tenant compte de toutes les formes de rémunération, y compris :</w:t>
      </w:r>
    </w:p>
    <w:p w14:paraId="25F557CB" w14:textId="77777777" w:rsidR="0050306B" w:rsidRPr="00F52884" w:rsidRDefault="0050306B" w:rsidP="0050306B">
      <w:pPr>
        <w:ind w:left="720"/>
        <w:contextualSpacing/>
        <w:rPr>
          <w:rFonts w:eastAsia="Calibri" w:cstheme="minorHAnsi"/>
          <w:szCs w:val="23"/>
          <w:lang w:val="fr-CA"/>
        </w:rPr>
      </w:pPr>
    </w:p>
    <w:p w14:paraId="5035CB88" w14:textId="35158157" w:rsidR="0050306B" w:rsidRPr="00F52884" w:rsidRDefault="0050306B" w:rsidP="00C47560">
      <w:pPr>
        <w:numPr>
          <w:ilvl w:val="0"/>
          <w:numId w:val="362"/>
        </w:numPr>
        <w:ind w:left="2160" w:hanging="54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primes, les rétributions, les commissions et les intérêts,</w:t>
      </w:r>
    </w:p>
    <w:p w14:paraId="3ACDF081" w14:textId="77777777" w:rsidR="0050306B" w:rsidRPr="00F52884" w:rsidRDefault="0050306B" w:rsidP="00C47560">
      <w:pPr>
        <w:ind w:left="2160" w:hanging="540"/>
        <w:contextualSpacing/>
        <w:rPr>
          <w:rFonts w:eastAsia="Calibri" w:cstheme="minorHAnsi"/>
          <w:szCs w:val="23"/>
          <w:lang w:val="fr-CA"/>
        </w:rPr>
      </w:pPr>
    </w:p>
    <w:p w14:paraId="09906560" w14:textId="15E40348" w:rsidR="0050306B" w:rsidRPr="00F52884" w:rsidRDefault="0050306B" w:rsidP="00C47560">
      <w:pPr>
        <w:numPr>
          <w:ilvl w:val="0"/>
          <w:numId w:val="362"/>
        </w:numPr>
        <w:ind w:left="2160" w:hanging="54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le marché prévoit la possibilité d’options, la valeur totale de ces options.</w:t>
      </w:r>
    </w:p>
    <w:p w14:paraId="038DC58E" w14:textId="77777777" w:rsidR="0050306B" w:rsidRPr="00F52884" w:rsidRDefault="0050306B" w:rsidP="0050306B">
      <w:pPr>
        <w:rPr>
          <w:rFonts w:eastAsia="Times New Roman" w:cstheme="minorHAnsi"/>
          <w:bCs/>
          <w:szCs w:val="23"/>
          <w:lang w:val="fr-CA"/>
        </w:rPr>
      </w:pPr>
      <w:bookmarkStart w:id="30" w:name="_Toc362441398"/>
      <w:bookmarkStart w:id="31" w:name="_Toc349576851"/>
    </w:p>
    <w:p w14:paraId="70E09C78" w14:textId="54ADF777" w:rsidR="0050306B" w:rsidRPr="00F52884" w:rsidRDefault="0050306B" w:rsidP="0050306B">
      <w:pPr>
        <w:rPr>
          <w:rFonts w:eastAsia="Times New Roman" w:cstheme="minorHAnsi"/>
          <w:bCs/>
          <w:szCs w:val="23"/>
          <w:lang w:val="fr-CA"/>
        </w:rPr>
      </w:pPr>
      <w:r w:rsidRPr="00F52884">
        <w:rPr>
          <w:rFonts w:eastAsia="Times New Roman" w:cstheme="minorHAnsi"/>
          <w:szCs w:val="23"/>
          <w:lang w:val="fr-CA"/>
        </w:rPr>
        <w:t>2.</w:t>
      </w:r>
      <w:r w:rsidRPr="00F52884">
        <w:rPr>
          <w:rFonts w:eastAsia="Times New Roman" w:cstheme="minorHAnsi"/>
          <w:szCs w:val="23"/>
          <w:lang w:val="fr-CA"/>
        </w:rPr>
        <w:tab/>
        <w:t xml:space="preserve">Si le marché porte sur des services de construction, l’entité contractante inclut dans l’évaluation la valeur de tous les produits et services devant être fournis par le fournisseur. L’achat de produits ou de services qui n’entrent pas dans le champ d’un marché de construction n’est pas considéré comme un marché portant sur des services de construction </w:t>
      </w:r>
      <w:r w:rsidR="00BF4DA4">
        <w:rPr>
          <w:rFonts w:eastAsia="Times New Roman" w:cstheme="minorHAnsi"/>
          <w:szCs w:val="23"/>
          <w:lang w:val="fr-CA"/>
        </w:rPr>
        <w:t xml:space="preserve">et </w:t>
      </w:r>
      <w:r w:rsidRPr="00F52884">
        <w:rPr>
          <w:rFonts w:eastAsia="Times New Roman" w:cstheme="minorHAnsi"/>
          <w:szCs w:val="23"/>
          <w:lang w:val="fr-CA"/>
        </w:rPr>
        <w:t xml:space="preserve">est soumis aux </w:t>
      </w:r>
      <w:r w:rsidR="00AF195B">
        <w:rPr>
          <w:rFonts w:eastAsia="Times New Roman" w:cstheme="minorHAnsi"/>
          <w:szCs w:val="23"/>
          <w:lang w:val="fr-CA"/>
        </w:rPr>
        <w:t xml:space="preserve">valeurs de </w:t>
      </w:r>
      <w:r w:rsidRPr="00F52884">
        <w:rPr>
          <w:rFonts w:eastAsia="Times New Roman" w:cstheme="minorHAnsi"/>
          <w:szCs w:val="23"/>
          <w:lang w:val="fr-CA"/>
        </w:rPr>
        <w:t>seuil applicables aux produits ou aux services</w:t>
      </w:r>
      <w:bookmarkEnd w:id="30"/>
      <w:bookmarkEnd w:id="31"/>
      <w:r w:rsidRPr="00F52884">
        <w:rPr>
          <w:rFonts w:eastAsia="Times New Roman" w:cstheme="minorHAnsi"/>
          <w:szCs w:val="23"/>
          <w:lang w:val="fr-CA"/>
        </w:rPr>
        <w:t>.</w:t>
      </w:r>
    </w:p>
    <w:p w14:paraId="73DF9729" w14:textId="77777777" w:rsidR="0050306B" w:rsidRPr="00F52884" w:rsidRDefault="0050306B" w:rsidP="0050306B">
      <w:pPr>
        <w:rPr>
          <w:rFonts w:eastAsia="Times New Roman" w:cstheme="minorHAnsi"/>
          <w:bCs/>
          <w:szCs w:val="23"/>
          <w:lang w:val="fr-CA"/>
        </w:rPr>
      </w:pPr>
    </w:p>
    <w:p w14:paraId="63B6EB91" w14:textId="698231DF" w:rsidR="0050306B" w:rsidRPr="00F52884" w:rsidRDefault="0050306B" w:rsidP="0050306B">
      <w:pPr>
        <w:rPr>
          <w:rFonts w:eastAsia="Times New Roman" w:cstheme="minorHAnsi"/>
          <w:bCs/>
          <w:szCs w:val="23"/>
          <w:lang w:val="fr-CA"/>
        </w:rPr>
      </w:pPr>
      <w:r w:rsidRPr="00F52884">
        <w:rPr>
          <w:rFonts w:eastAsia="Times New Roman" w:cstheme="minorHAnsi"/>
          <w:bCs/>
          <w:szCs w:val="23"/>
          <w:lang w:val="fr-CA"/>
        </w:rPr>
        <w:t>3.</w:t>
      </w:r>
      <w:r w:rsidRPr="00F52884">
        <w:rPr>
          <w:rFonts w:eastAsia="Times New Roman" w:cstheme="minorHAnsi"/>
          <w:bCs/>
          <w:szCs w:val="23"/>
          <w:lang w:val="fr-CA"/>
        </w:rPr>
        <w:tab/>
        <w:t>Si un marché portant sur des produits inclura l’installation, l’exploitation, la maintenance ou la fabrication de ces produits, l’entité contractante inclut les coûts connexes dans son évaluation.</w:t>
      </w:r>
    </w:p>
    <w:p w14:paraId="7B77F443" w14:textId="77777777" w:rsidR="0050306B" w:rsidRPr="00F52884" w:rsidRDefault="0050306B" w:rsidP="0050306B">
      <w:pPr>
        <w:rPr>
          <w:rFonts w:eastAsia="Times New Roman" w:cstheme="minorHAnsi"/>
          <w:bCs/>
          <w:szCs w:val="23"/>
          <w:lang w:val="fr-CA"/>
        </w:rPr>
      </w:pPr>
    </w:p>
    <w:p w14:paraId="43E29F55" w14:textId="77777777"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506 :</w:t>
      </w:r>
      <w:r w:rsidRPr="00F52884">
        <w:rPr>
          <w:rFonts w:eastAsia="Calibri" w:cstheme="minorHAnsi"/>
          <w:szCs w:val="23"/>
          <w:lang w:val="fr-CA"/>
        </w:rPr>
        <w:tab/>
      </w:r>
      <w:r w:rsidRPr="00F52884">
        <w:rPr>
          <w:rFonts w:eastAsia="Calibri" w:cstheme="minorHAnsi"/>
          <w:szCs w:val="23"/>
          <w:lang w:val="fr-CA"/>
        </w:rPr>
        <w:tab/>
      </w:r>
      <w:r w:rsidRPr="00F52884">
        <w:rPr>
          <w:rFonts w:eastAsia="Calibri" w:cstheme="minorHAnsi"/>
          <w:b/>
          <w:bCs/>
          <w:szCs w:val="23"/>
          <w:lang w:val="fr-CA"/>
        </w:rPr>
        <w:t>Avis d’appel d’offres</w:t>
      </w:r>
    </w:p>
    <w:p w14:paraId="6807566B" w14:textId="77777777" w:rsidR="0050306B" w:rsidRPr="00F52884" w:rsidRDefault="0050306B" w:rsidP="0050306B">
      <w:pPr>
        <w:rPr>
          <w:rFonts w:cstheme="minorHAnsi"/>
          <w:szCs w:val="23"/>
          <w:lang w:val="fr-CA"/>
        </w:rPr>
      </w:pPr>
      <w:r w:rsidRPr="00F52884">
        <w:rPr>
          <w:rFonts w:cstheme="minorHAnsi"/>
          <w:szCs w:val="23"/>
          <w:lang w:val="fr-CA"/>
        </w:rPr>
        <w:t> </w:t>
      </w:r>
    </w:p>
    <w:p w14:paraId="7C8B3F34" w14:textId="42E33670" w:rsidR="0050306B" w:rsidRPr="00F52884" w:rsidRDefault="0050306B" w:rsidP="0050306B">
      <w:pPr>
        <w:rPr>
          <w:rFonts w:cstheme="minorHAnsi"/>
          <w:szCs w:val="23"/>
          <w:lang w:val="fr-CA"/>
        </w:rPr>
      </w:pPr>
      <w:r w:rsidRPr="00F52884">
        <w:rPr>
          <w:rFonts w:cstheme="minorHAnsi"/>
          <w:szCs w:val="23"/>
          <w:lang w:val="fr-CA"/>
        </w:rPr>
        <w:t xml:space="preserve">1. </w:t>
      </w:r>
      <w:r w:rsidRPr="00F52884">
        <w:rPr>
          <w:rFonts w:cstheme="minorHAnsi"/>
          <w:szCs w:val="23"/>
          <w:lang w:val="fr-CA"/>
        </w:rPr>
        <w:tab/>
        <w:t>Une entité contractante publie un avis d’appel d’offres pour chaque marché couvert sur un des sites Web ou systèmes d’appel d’offres désignés par sa Partie.</w:t>
      </w:r>
    </w:p>
    <w:p w14:paraId="0504A328" w14:textId="77777777" w:rsidR="0050306B" w:rsidRPr="00F52884" w:rsidRDefault="0050306B" w:rsidP="0050306B">
      <w:pPr>
        <w:rPr>
          <w:rFonts w:cstheme="minorHAnsi"/>
          <w:szCs w:val="23"/>
          <w:lang w:val="fr-CA"/>
        </w:rPr>
      </w:pPr>
    </w:p>
    <w:p w14:paraId="1DF3F359" w14:textId="60025154" w:rsidR="0050306B" w:rsidRPr="00F52884" w:rsidRDefault="0050306B" w:rsidP="0050306B">
      <w:pPr>
        <w:rPr>
          <w:rFonts w:cstheme="minorHAnsi"/>
          <w:szCs w:val="23"/>
          <w:lang w:val="fr-CA"/>
        </w:rPr>
      </w:pPr>
      <w:r w:rsidRPr="00F52884">
        <w:rPr>
          <w:rFonts w:cstheme="minorHAnsi"/>
          <w:szCs w:val="23"/>
          <w:lang w:val="fr-CA"/>
        </w:rPr>
        <w:lastRenderedPageBreak/>
        <w:t>2.</w:t>
      </w:r>
      <w:r w:rsidRPr="00F52884">
        <w:rPr>
          <w:rFonts w:cstheme="minorHAnsi"/>
          <w:szCs w:val="23"/>
          <w:lang w:val="fr-CA"/>
        </w:rPr>
        <w:tab/>
        <w:t>Chaque Partie notifie au Secrétariat, à la date d’entrée en vigueur, les sites Web ou systèmes d’appel d’offres qu’elle a désignés. Une Partie avise le Secrétariat de toute modification apportée à sa notification.</w:t>
      </w:r>
    </w:p>
    <w:p w14:paraId="32CB718D" w14:textId="77777777" w:rsidR="0050306B" w:rsidRPr="00F52884" w:rsidRDefault="0050306B" w:rsidP="0050306B">
      <w:pPr>
        <w:rPr>
          <w:rFonts w:cstheme="minorHAnsi"/>
          <w:szCs w:val="23"/>
          <w:lang w:val="fr-CA"/>
        </w:rPr>
      </w:pPr>
      <w:r w:rsidRPr="00F52884">
        <w:rPr>
          <w:rFonts w:cstheme="minorHAnsi"/>
          <w:szCs w:val="23"/>
          <w:lang w:val="fr-CA"/>
        </w:rPr>
        <w:t> </w:t>
      </w:r>
    </w:p>
    <w:p w14:paraId="41D00E5B" w14:textId="41FE7034" w:rsidR="0050306B" w:rsidRPr="00F52884" w:rsidRDefault="0050306B" w:rsidP="0050306B">
      <w:pPr>
        <w:rPr>
          <w:rFonts w:cstheme="minorHAnsi"/>
          <w:szCs w:val="23"/>
          <w:lang w:val="fr-CA"/>
        </w:rPr>
      </w:pPr>
      <w:r w:rsidRPr="00F52884">
        <w:rPr>
          <w:rFonts w:cstheme="minorHAnsi"/>
          <w:szCs w:val="23"/>
          <w:lang w:val="fr-CA"/>
        </w:rPr>
        <w:t xml:space="preserve">3. </w:t>
      </w:r>
      <w:r w:rsidRPr="00F52884">
        <w:rPr>
          <w:rFonts w:cstheme="minorHAnsi"/>
          <w:szCs w:val="23"/>
          <w:lang w:val="fr-CA"/>
        </w:rPr>
        <w:tab/>
        <w:t>Les Parties reconnaissent que le gouvernement du Canada mettra sur pied un point d’accès unique (le « PAU ») accessible par voie électronique sur l’ensemble du territoire du Canada, conformément aux obligations internationales.  </w:t>
      </w:r>
    </w:p>
    <w:p w14:paraId="65C3949E" w14:textId="77777777" w:rsidR="0050306B" w:rsidRPr="00F52884" w:rsidRDefault="0050306B" w:rsidP="0050306B">
      <w:pPr>
        <w:rPr>
          <w:rFonts w:cstheme="minorHAnsi"/>
          <w:szCs w:val="23"/>
          <w:lang w:val="fr-CA"/>
        </w:rPr>
      </w:pPr>
      <w:r w:rsidRPr="00F52884">
        <w:rPr>
          <w:rFonts w:cstheme="minorHAnsi"/>
          <w:szCs w:val="23"/>
          <w:lang w:val="fr-CA"/>
        </w:rPr>
        <w:t> </w:t>
      </w:r>
    </w:p>
    <w:p w14:paraId="1B297041" w14:textId="3244CEB9" w:rsidR="0050306B" w:rsidRPr="00F52884" w:rsidRDefault="0050306B" w:rsidP="0050306B">
      <w:pPr>
        <w:rPr>
          <w:rFonts w:cstheme="minorHAnsi"/>
          <w:szCs w:val="23"/>
          <w:lang w:val="fr-CA"/>
        </w:rPr>
      </w:pPr>
      <w:r w:rsidRPr="00F52884">
        <w:rPr>
          <w:rFonts w:cstheme="minorHAnsi"/>
          <w:szCs w:val="23"/>
          <w:lang w:val="fr-CA"/>
        </w:rPr>
        <w:t xml:space="preserve">4. </w:t>
      </w:r>
      <w:r w:rsidRPr="00F52884">
        <w:rPr>
          <w:rFonts w:cstheme="minorHAnsi"/>
          <w:szCs w:val="23"/>
          <w:lang w:val="fr-CA"/>
        </w:rPr>
        <w:tab/>
        <w:t>Une fois le PAU mis sur pied, le gouvernement du Canada consulte les autres Parties pour déterminer la manière dont il convient de l’adapter aux fins du présent accord. Une fois le PAU adapté aux fins du présent accord à la satisfaction de toutes les Parties, une entité contractante rend directement accessibles, via le PAU, ses avis d’avis d’appel d’offres pour chaque marché couvert.</w:t>
      </w:r>
    </w:p>
    <w:p w14:paraId="1FC434F3" w14:textId="77777777" w:rsidR="0050306B" w:rsidRPr="00F52884" w:rsidRDefault="0050306B" w:rsidP="0050306B">
      <w:pPr>
        <w:rPr>
          <w:rFonts w:eastAsia="Calibri" w:cstheme="minorHAnsi"/>
          <w:szCs w:val="23"/>
          <w:lang w:val="fr-CA"/>
        </w:rPr>
      </w:pPr>
    </w:p>
    <w:p w14:paraId="452FFEC2" w14:textId="14BB6826" w:rsidR="0050306B" w:rsidRPr="00F52884" w:rsidRDefault="0050306B" w:rsidP="0050306B">
      <w:pPr>
        <w:rPr>
          <w:rFonts w:eastAsia="Times New Roman" w:cstheme="minorHAnsi"/>
          <w:bCs/>
          <w:szCs w:val="23"/>
          <w:lang w:val="fr-CA"/>
        </w:rPr>
      </w:pPr>
      <w:r w:rsidRPr="00F52884">
        <w:rPr>
          <w:rFonts w:eastAsia="Times New Roman" w:cstheme="minorHAnsi"/>
          <w:szCs w:val="23"/>
          <w:lang w:val="fr-CA"/>
        </w:rPr>
        <w:t>5.</w:t>
      </w:r>
      <w:r w:rsidRPr="00F52884">
        <w:rPr>
          <w:rFonts w:eastAsia="Times New Roman" w:cstheme="minorHAnsi"/>
          <w:szCs w:val="23"/>
          <w:lang w:val="fr-CA"/>
        </w:rPr>
        <w:tab/>
        <w:t>Tous les avis d’appel d’offres sont accessibles gratuitement aux fournisseurs.</w:t>
      </w:r>
    </w:p>
    <w:p w14:paraId="5D4D1FF5" w14:textId="77777777" w:rsidR="0050306B" w:rsidRPr="00F52884" w:rsidRDefault="0050306B" w:rsidP="0050306B">
      <w:pPr>
        <w:rPr>
          <w:rFonts w:eastAsia="Calibri" w:cstheme="minorHAnsi"/>
          <w:szCs w:val="23"/>
          <w:lang w:val="fr-CA"/>
        </w:rPr>
      </w:pPr>
    </w:p>
    <w:p w14:paraId="72CFDEC8" w14:textId="77777777" w:rsidR="0050306B" w:rsidRPr="00F52884" w:rsidRDefault="0050306B" w:rsidP="0050306B">
      <w:pPr>
        <w:rPr>
          <w:rFonts w:eastAsia="Times New Roman" w:cstheme="minorHAnsi"/>
          <w:bCs/>
          <w:szCs w:val="23"/>
          <w:lang w:val="fr-CA"/>
        </w:rPr>
      </w:pPr>
      <w:r w:rsidRPr="00F52884">
        <w:rPr>
          <w:rFonts w:eastAsia="Times New Roman" w:cstheme="minorHAnsi"/>
          <w:szCs w:val="23"/>
          <w:lang w:val="fr-CA"/>
        </w:rPr>
        <w:t>6.</w:t>
      </w:r>
      <w:r w:rsidRPr="00F52884">
        <w:rPr>
          <w:rFonts w:eastAsia="Times New Roman" w:cstheme="minorHAnsi"/>
          <w:szCs w:val="23"/>
          <w:lang w:val="fr-CA"/>
        </w:rPr>
        <w:tab/>
        <w:t xml:space="preserve">Chaque avis d’appel d’offres comprend : </w:t>
      </w:r>
    </w:p>
    <w:p w14:paraId="2BA28443" w14:textId="77777777" w:rsidR="0050306B" w:rsidRPr="00F52884" w:rsidRDefault="0050306B" w:rsidP="0050306B">
      <w:pPr>
        <w:rPr>
          <w:rFonts w:eastAsia="Calibri" w:cstheme="minorHAnsi"/>
          <w:szCs w:val="23"/>
          <w:lang w:val="fr-CA"/>
        </w:rPr>
      </w:pPr>
    </w:p>
    <w:p w14:paraId="14B8BD82" w14:textId="6A2EEC9B"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nom et l’adresse de l’entité contractante et les autres renseignements nécessaires pour prendre contact avec elle et obtenir tous les documents pertinents relatifs au marché, ainsi que leur coût et les modalités de paiement, le cas échéant;</w:t>
      </w:r>
    </w:p>
    <w:p w14:paraId="0E4ADC6D" w14:textId="77777777" w:rsidR="0050306B" w:rsidRPr="00F52884" w:rsidRDefault="0050306B" w:rsidP="00CF31F2">
      <w:pPr>
        <w:ind w:left="1440" w:hanging="720"/>
        <w:rPr>
          <w:rFonts w:eastAsia="Calibri" w:cstheme="minorHAnsi"/>
          <w:szCs w:val="23"/>
          <w:lang w:val="fr-CA"/>
        </w:rPr>
      </w:pPr>
    </w:p>
    <w:p w14:paraId="68F6FDEA" w14:textId="77777777"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une</w:t>
      </w:r>
      <w:proofErr w:type="gramEnd"/>
      <w:r w:rsidRPr="00F52884">
        <w:rPr>
          <w:rFonts w:eastAsia="Calibri" w:cstheme="minorHAnsi"/>
          <w:szCs w:val="23"/>
          <w:lang w:val="fr-CA"/>
        </w:rPr>
        <w:t xml:space="preserve"> brève description du marché;</w:t>
      </w:r>
    </w:p>
    <w:p w14:paraId="6677DC50" w14:textId="77777777" w:rsidR="0050306B" w:rsidRPr="00F52884" w:rsidRDefault="0050306B" w:rsidP="00CF31F2">
      <w:pPr>
        <w:pStyle w:val="ListParagraph"/>
        <w:ind w:left="1440" w:hanging="720"/>
        <w:rPr>
          <w:rFonts w:eastAsia="Calibri" w:cstheme="minorHAnsi"/>
          <w:szCs w:val="23"/>
          <w:lang w:val="fr-CA"/>
        </w:rPr>
      </w:pPr>
    </w:p>
    <w:p w14:paraId="1F4BCEE4" w14:textId="590958D7"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nature et la quantité, ou la quantité estimée, des produits ou des services devant faire l’objet du marché, à moins que ces prescriptions ne soient comprises dans la documentation relative à l’appel d’offres;</w:t>
      </w:r>
    </w:p>
    <w:p w14:paraId="3A4CD4E6" w14:textId="77777777" w:rsidR="0050306B" w:rsidRPr="00F52884" w:rsidRDefault="0050306B" w:rsidP="00CF31F2">
      <w:pPr>
        <w:ind w:left="1440" w:hanging="720"/>
        <w:rPr>
          <w:rFonts w:eastAsia="Calibri" w:cstheme="minorHAnsi"/>
          <w:szCs w:val="23"/>
          <w:lang w:val="fr-CA"/>
        </w:rPr>
      </w:pPr>
    </w:p>
    <w:p w14:paraId="30904DC1" w14:textId="56A21B8D"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l’adresse</w:t>
      </w:r>
      <w:proofErr w:type="gramEnd"/>
      <w:r w:rsidRPr="00F52884">
        <w:rPr>
          <w:rFonts w:eastAsia="Calibri" w:cstheme="minorHAnsi"/>
          <w:szCs w:val="23"/>
          <w:lang w:val="fr-CA"/>
        </w:rPr>
        <w:t xml:space="preserve"> et la date limite pour la présentation des soumissions;</w:t>
      </w:r>
    </w:p>
    <w:p w14:paraId="2B03A28E" w14:textId="77777777" w:rsidR="0050306B" w:rsidRPr="00F52884" w:rsidRDefault="0050306B" w:rsidP="00CF31F2">
      <w:pPr>
        <w:ind w:left="1440" w:hanging="720"/>
        <w:rPr>
          <w:rFonts w:eastAsia="Calibri" w:cstheme="minorHAnsi"/>
          <w:szCs w:val="23"/>
          <w:lang w:val="fr-CA"/>
        </w:rPr>
      </w:pPr>
    </w:p>
    <w:p w14:paraId="457FF954" w14:textId="5C973A30"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date, l’heure et le lieu de l’ouverture publique des soumissions; </w:t>
      </w:r>
    </w:p>
    <w:p w14:paraId="598CD9E4" w14:textId="77777777" w:rsidR="0050306B" w:rsidRPr="00F52884" w:rsidRDefault="0050306B" w:rsidP="00CF31F2">
      <w:pPr>
        <w:ind w:left="1440" w:hanging="720"/>
        <w:rPr>
          <w:rFonts w:eastAsia="Calibri" w:cstheme="minorHAnsi"/>
          <w:szCs w:val="23"/>
          <w:lang w:val="fr-CA"/>
        </w:rPr>
      </w:pPr>
    </w:p>
    <w:p w14:paraId="0B8FD985" w14:textId="165CC98A"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une</w:t>
      </w:r>
      <w:proofErr w:type="gramEnd"/>
      <w:r w:rsidRPr="00F52884">
        <w:rPr>
          <w:rFonts w:eastAsia="Calibri" w:cstheme="minorHAnsi"/>
          <w:szCs w:val="23"/>
          <w:lang w:val="fr-CA"/>
        </w:rPr>
        <w:t xml:space="preserve"> liste et une brève description de toutes conditions de participation des fournisseurs, y compris toutes prescriptions concernant la présentation par les fournisseurs de documents ou de certifications spécifiques, à moins que ces prescriptions ne soient comprises dans la documentation relative à l’appel d’offres qui est mise à la disposition de tous les fournisseurs intéressés en même temps que l’avis d’appel d’offres;</w:t>
      </w:r>
    </w:p>
    <w:p w14:paraId="2898870E" w14:textId="77777777" w:rsidR="0050306B" w:rsidRPr="00F52884" w:rsidRDefault="0050306B" w:rsidP="00CF31F2">
      <w:pPr>
        <w:ind w:left="1440" w:hanging="720"/>
        <w:rPr>
          <w:rFonts w:eastAsia="Calibri" w:cstheme="minorHAnsi"/>
          <w:szCs w:val="23"/>
          <w:lang w:val="fr-CA"/>
        </w:rPr>
      </w:pPr>
    </w:p>
    <w:p w14:paraId="7E81DF5A" w14:textId="18DEA9F6"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une</w:t>
      </w:r>
      <w:proofErr w:type="gramEnd"/>
      <w:r w:rsidRPr="00F52884">
        <w:rPr>
          <w:rFonts w:eastAsia="Calibri" w:cstheme="minorHAnsi"/>
          <w:szCs w:val="23"/>
          <w:lang w:val="fr-CA"/>
        </w:rPr>
        <w:t xml:space="preserve"> indication du fait que le marché est couvert par le présent chapitre;</w:t>
      </w:r>
    </w:p>
    <w:p w14:paraId="57627389" w14:textId="77777777" w:rsidR="0050306B" w:rsidRPr="00F52884" w:rsidRDefault="0050306B" w:rsidP="00CF31F2">
      <w:pPr>
        <w:ind w:left="1440" w:hanging="720"/>
        <w:rPr>
          <w:rFonts w:eastAsia="Calibri" w:cstheme="minorHAnsi"/>
          <w:szCs w:val="23"/>
          <w:lang w:val="fr-CA"/>
        </w:rPr>
      </w:pPr>
    </w:p>
    <w:p w14:paraId="76F721B6" w14:textId="348B8EF4"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calendrier de livraison des produits ou des services ou la durée du contrat; </w:t>
      </w:r>
    </w:p>
    <w:p w14:paraId="01D5463F" w14:textId="77777777" w:rsidR="0050306B" w:rsidRPr="00F52884" w:rsidRDefault="0050306B" w:rsidP="00CF31F2">
      <w:pPr>
        <w:ind w:left="1440" w:hanging="720"/>
        <w:rPr>
          <w:rFonts w:eastAsia="Calibri" w:cstheme="minorHAnsi"/>
          <w:szCs w:val="23"/>
          <w:lang w:val="fr-CA"/>
        </w:rPr>
      </w:pPr>
    </w:p>
    <w:p w14:paraId="6DF48D91" w14:textId="0CC44588"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une</w:t>
      </w:r>
      <w:proofErr w:type="gramEnd"/>
      <w:r w:rsidRPr="00F52884">
        <w:rPr>
          <w:rFonts w:eastAsia="Calibri" w:cstheme="minorHAnsi"/>
          <w:szCs w:val="23"/>
          <w:lang w:val="fr-CA"/>
        </w:rPr>
        <w:t xml:space="preserve"> description de toutes les options, à moins que ces prescriptions ne soient comprises dans la documentation relative à l’appel d’offres;</w:t>
      </w:r>
    </w:p>
    <w:p w14:paraId="59E7D3BC" w14:textId="77777777" w:rsidR="0050306B" w:rsidRPr="00F52884" w:rsidRDefault="0050306B" w:rsidP="00CF31F2">
      <w:pPr>
        <w:ind w:left="1440" w:hanging="720"/>
        <w:rPr>
          <w:rFonts w:eastAsia="Calibri" w:cstheme="minorHAnsi"/>
          <w:szCs w:val="23"/>
          <w:lang w:val="fr-CA"/>
        </w:rPr>
      </w:pPr>
    </w:p>
    <w:p w14:paraId="2DB2BEF8" w14:textId="7517FE13"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méthode de passation du marché qui sera employée, et indique si elle comportera une négociation ou une enchère électronique;</w:t>
      </w:r>
    </w:p>
    <w:p w14:paraId="3D550A9C" w14:textId="77777777" w:rsidR="0050306B" w:rsidRPr="00F52884" w:rsidRDefault="0050306B" w:rsidP="00CF31F2">
      <w:pPr>
        <w:ind w:left="1440" w:hanging="720"/>
        <w:rPr>
          <w:rFonts w:eastAsia="Calibri" w:cstheme="minorHAnsi"/>
          <w:szCs w:val="23"/>
          <w:lang w:val="fr-CA"/>
        </w:rPr>
      </w:pPr>
    </w:p>
    <w:p w14:paraId="0284C656" w14:textId="2AF2A740"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conformément à l’article 508, une entité contractante entend sélectionner un nombre limité de fournisseurs qualifiés qui seront invités à soumissionner, les critères qui seront utilisés pour les sélectionner et, le cas échéant, toute limitation du nombre de fournisseurs qui seront autorisés à soumissionner, à moins que ces critères et limitations ne soient compris dans la documentation relative à l’appel d’offres;</w:t>
      </w:r>
    </w:p>
    <w:p w14:paraId="3AB9858B" w14:textId="77777777" w:rsidR="0050306B" w:rsidRPr="00F52884" w:rsidRDefault="0050306B" w:rsidP="00CF31F2">
      <w:pPr>
        <w:ind w:left="1440" w:hanging="720"/>
        <w:rPr>
          <w:rFonts w:eastAsia="Calibri" w:cstheme="minorHAnsi"/>
          <w:szCs w:val="23"/>
          <w:lang w:val="fr-CA"/>
        </w:rPr>
      </w:pPr>
    </w:p>
    <w:p w14:paraId="7A44F718" w14:textId="365012AC" w:rsidR="0050306B" w:rsidRPr="00F52884" w:rsidRDefault="0050306B" w:rsidP="00CF31F2">
      <w:pPr>
        <w:pStyle w:val="ListParagraph"/>
        <w:numPr>
          <w:ilvl w:val="0"/>
          <w:numId w:val="363"/>
        </w:numPr>
        <w:ind w:left="1440" w:hanging="720"/>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langue ou les langues dans lesquelles les soumissions ou les réponses aux demandes de </w:t>
      </w:r>
      <w:proofErr w:type="spellStart"/>
      <w:r w:rsidRPr="00F52884">
        <w:rPr>
          <w:rFonts w:eastAsia="Calibri" w:cstheme="minorHAnsi"/>
          <w:szCs w:val="23"/>
          <w:lang w:val="fr-CA"/>
        </w:rPr>
        <w:t>pré-qualification</w:t>
      </w:r>
      <w:proofErr w:type="spellEnd"/>
      <w:r w:rsidRPr="00F52884">
        <w:rPr>
          <w:rFonts w:eastAsia="Calibri" w:cstheme="minorHAnsi"/>
          <w:szCs w:val="23"/>
          <w:lang w:val="fr-CA"/>
        </w:rPr>
        <w:t xml:space="preserve"> peuvent être présentées, si elles peuvent être présentées dans une langue autre que celle de l’avis d’appel d’offres.</w:t>
      </w:r>
    </w:p>
    <w:p w14:paraId="42C83D25" w14:textId="77777777" w:rsidR="0050306B" w:rsidRPr="00F52884" w:rsidRDefault="0050306B" w:rsidP="0050306B">
      <w:pPr>
        <w:rPr>
          <w:rFonts w:eastAsia="Times New Roman" w:cstheme="minorHAnsi"/>
          <w:szCs w:val="23"/>
          <w:lang w:val="fr-CA"/>
        </w:rPr>
      </w:pPr>
    </w:p>
    <w:p w14:paraId="16DE7DCD" w14:textId="56EFEF32"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507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Conditions de participation</w:t>
      </w:r>
    </w:p>
    <w:p w14:paraId="708CCE47" w14:textId="77777777" w:rsidR="0050306B" w:rsidRPr="00F52884" w:rsidRDefault="0050306B" w:rsidP="0050306B">
      <w:pPr>
        <w:rPr>
          <w:rFonts w:eastAsia="Calibri" w:cstheme="minorHAnsi"/>
          <w:szCs w:val="23"/>
          <w:u w:val="single"/>
          <w:lang w:val="fr-CA"/>
        </w:rPr>
      </w:pPr>
    </w:p>
    <w:p w14:paraId="64D26B75" w14:textId="6A7B5173" w:rsidR="0050306B" w:rsidRPr="00F52884" w:rsidRDefault="0050306B" w:rsidP="0050306B">
      <w:pPr>
        <w:rPr>
          <w:rFonts w:eastAsia="Calibri" w:cstheme="minorHAnsi"/>
          <w:szCs w:val="23"/>
          <w:lang w:val="fr-CA"/>
        </w:rPr>
      </w:pPr>
      <w:r w:rsidRPr="00F52884">
        <w:rPr>
          <w:rFonts w:eastAsia="Calibri" w:cstheme="minorHAnsi"/>
          <w:szCs w:val="23"/>
          <w:lang w:val="fr-CA"/>
        </w:rPr>
        <w:t>1.</w:t>
      </w:r>
      <w:r w:rsidRPr="00F52884">
        <w:rPr>
          <w:rFonts w:eastAsia="Calibri" w:cstheme="minorHAnsi"/>
          <w:szCs w:val="23"/>
          <w:lang w:val="fr-CA"/>
        </w:rPr>
        <w:tab/>
        <w:t>Une entité contractante limite les conditions de participation à un marché à celles qui sont indispensables pour s’assurer qu’un fournisseur a les capacités juridiques et financières et les compétences commerciales et techniques pour se charger du marché en question.</w:t>
      </w:r>
    </w:p>
    <w:p w14:paraId="77715678" w14:textId="77777777" w:rsidR="0050306B" w:rsidRPr="00F52884" w:rsidRDefault="0050306B" w:rsidP="0050306B">
      <w:pPr>
        <w:rPr>
          <w:rFonts w:eastAsia="Calibri" w:cstheme="minorHAnsi"/>
          <w:szCs w:val="23"/>
          <w:lang w:val="fr-CA"/>
        </w:rPr>
      </w:pPr>
      <w:r w:rsidRPr="00F52884">
        <w:rPr>
          <w:rFonts w:eastAsia="Calibri" w:cstheme="minorHAnsi"/>
          <w:szCs w:val="23"/>
          <w:lang w:val="fr-CA"/>
        </w:rPr>
        <w:br/>
        <w:t>2.</w:t>
      </w:r>
      <w:r w:rsidRPr="00F52884">
        <w:rPr>
          <w:rFonts w:eastAsia="Calibri" w:cstheme="minorHAnsi"/>
          <w:szCs w:val="23"/>
          <w:lang w:val="fr-CA"/>
        </w:rPr>
        <w:tab/>
        <w:t xml:space="preserve">Lorsqu’elle établit les conditions de participation, une entité contractante : </w:t>
      </w:r>
    </w:p>
    <w:p w14:paraId="520F3A2B" w14:textId="77777777" w:rsidR="0050306B" w:rsidRPr="00F52884" w:rsidRDefault="0050306B" w:rsidP="0050306B">
      <w:pPr>
        <w:rPr>
          <w:rFonts w:eastAsia="Calibri" w:cstheme="minorHAnsi"/>
          <w:szCs w:val="23"/>
          <w:lang w:val="fr-CA"/>
        </w:rPr>
      </w:pPr>
    </w:p>
    <w:p w14:paraId="2D377823" w14:textId="7FEFA8D5" w:rsidR="0050306B" w:rsidRPr="00F52884" w:rsidRDefault="0050306B" w:rsidP="00CF31F2">
      <w:pPr>
        <w:numPr>
          <w:ilvl w:val="0"/>
          <w:numId w:val="364"/>
        </w:numPr>
        <w:ind w:left="1440" w:hanging="720"/>
        <w:contextualSpacing/>
        <w:rPr>
          <w:rFonts w:eastAsia="Calibri" w:cstheme="minorHAnsi"/>
          <w:szCs w:val="23"/>
          <w:lang w:val="fr-CA"/>
        </w:rPr>
      </w:pPr>
      <w:proofErr w:type="gramStart"/>
      <w:r w:rsidRPr="00F52884">
        <w:rPr>
          <w:rFonts w:eastAsia="Calibri" w:cstheme="minorHAnsi"/>
          <w:szCs w:val="23"/>
          <w:lang w:val="fr-CA"/>
        </w:rPr>
        <w:t>n’impose</w:t>
      </w:r>
      <w:proofErr w:type="gramEnd"/>
      <w:r w:rsidRPr="00F52884">
        <w:rPr>
          <w:rFonts w:eastAsia="Calibri" w:cstheme="minorHAnsi"/>
          <w:szCs w:val="23"/>
          <w:lang w:val="fr-CA"/>
        </w:rPr>
        <w:t xml:space="preserve"> pas la condition que, pour participer à un marché, le fournisseur doit avoir préalablement obtenu un ou plusieurs marchés d’une entité contractante d’une Partie;  </w:t>
      </w:r>
    </w:p>
    <w:p w14:paraId="44089B80" w14:textId="77777777" w:rsidR="0050306B" w:rsidRPr="00F52884" w:rsidRDefault="0050306B" w:rsidP="00CF31F2">
      <w:pPr>
        <w:ind w:left="1440" w:hanging="720"/>
        <w:contextualSpacing/>
        <w:rPr>
          <w:rFonts w:eastAsia="Calibri" w:cstheme="minorHAnsi"/>
          <w:szCs w:val="23"/>
          <w:lang w:val="fr-CA"/>
        </w:rPr>
      </w:pPr>
    </w:p>
    <w:p w14:paraId="19424D9A" w14:textId="63D2FCE9" w:rsidR="0050306B" w:rsidRPr="00F52884" w:rsidRDefault="0050306B" w:rsidP="00CF31F2">
      <w:pPr>
        <w:numPr>
          <w:ilvl w:val="0"/>
          <w:numId w:val="364"/>
        </w:numPr>
        <w:ind w:left="1440" w:hanging="720"/>
        <w:contextualSpacing/>
        <w:rPr>
          <w:rFonts w:eastAsia="Calibri" w:cstheme="minorHAnsi"/>
          <w:szCs w:val="23"/>
          <w:lang w:val="fr-CA"/>
        </w:rPr>
      </w:pPr>
      <w:proofErr w:type="gramStart"/>
      <w:r w:rsidRPr="00F52884">
        <w:rPr>
          <w:rFonts w:eastAsia="Calibri" w:cstheme="minorHAnsi"/>
          <w:szCs w:val="23"/>
          <w:lang w:val="fr-CA"/>
        </w:rPr>
        <w:t>peut</w:t>
      </w:r>
      <w:proofErr w:type="gramEnd"/>
      <w:r w:rsidRPr="00F52884">
        <w:rPr>
          <w:rFonts w:eastAsia="Calibri" w:cstheme="minorHAnsi"/>
          <w:szCs w:val="23"/>
          <w:lang w:val="fr-CA"/>
        </w:rPr>
        <w:t xml:space="preserve"> exiger une expérience préalable pertinente si cela est essentiel pour qu’il soit satisfait aux prescriptions du marché; </w:t>
      </w:r>
    </w:p>
    <w:p w14:paraId="1FA7C718" w14:textId="77777777" w:rsidR="0050306B" w:rsidRPr="00F52884" w:rsidRDefault="0050306B" w:rsidP="00CF31F2">
      <w:pPr>
        <w:ind w:left="1440" w:hanging="720"/>
        <w:rPr>
          <w:rFonts w:eastAsia="Calibri" w:cstheme="minorHAnsi"/>
          <w:szCs w:val="23"/>
          <w:lang w:val="fr-CA"/>
        </w:rPr>
      </w:pPr>
    </w:p>
    <w:p w14:paraId="028D9566" w14:textId="41C003F5" w:rsidR="0050306B" w:rsidRPr="00F52884" w:rsidRDefault="0050306B" w:rsidP="00CF31F2">
      <w:pPr>
        <w:numPr>
          <w:ilvl w:val="0"/>
          <w:numId w:val="364"/>
        </w:numPr>
        <w:ind w:left="1440" w:hanging="720"/>
        <w:contextualSpacing/>
        <w:rPr>
          <w:rFonts w:eastAsia="Calibri" w:cstheme="minorHAnsi"/>
          <w:szCs w:val="23"/>
          <w:lang w:val="fr-CA"/>
        </w:rPr>
      </w:pPr>
      <w:proofErr w:type="gramStart"/>
      <w:r w:rsidRPr="00F52884">
        <w:rPr>
          <w:rFonts w:eastAsia="Calibri" w:cstheme="minorHAnsi"/>
          <w:szCs w:val="23"/>
          <w:lang w:val="fr-CA"/>
        </w:rPr>
        <w:t>n’exige</w:t>
      </w:r>
      <w:proofErr w:type="gramEnd"/>
      <w:r w:rsidRPr="00F52884">
        <w:rPr>
          <w:rFonts w:eastAsia="Calibri" w:cstheme="minorHAnsi"/>
          <w:szCs w:val="23"/>
          <w:lang w:val="fr-CA"/>
        </w:rPr>
        <w:t xml:space="preserve"> pas une expérience préalable sur le territoire de la Partie comme condition de participation au marché.</w:t>
      </w:r>
    </w:p>
    <w:p w14:paraId="0CA92DF1" w14:textId="7E64B015" w:rsidR="0050306B" w:rsidRPr="00F52884" w:rsidRDefault="0050306B" w:rsidP="0050306B">
      <w:pPr>
        <w:rPr>
          <w:rFonts w:eastAsia="Calibri" w:cstheme="minorHAnsi"/>
          <w:szCs w:val="23"/>
          <w:lang w:val="fr-CA"/>
        </w:rPr>
      </w:pPr>
      <w:r w:rsidRPr="00F52884">
        <w:rPr>
          <w:rFonts w:eastAsia="Calibri" w:cstheme="minorHAnsi"/>
          <w:szCs w:val="23"/>
          <w:lang w:val="fr-CA"/>
        </w:rPr>
        <w:br/>
        <w:t>3.</w:t>
      </w:r>
      <w:r w:rsidRPr="00F52884">
        <w:rPr>
          <w:rFonts w:eastAsia="Calibri" w:cstheme="minorHAnsi"/>
          <w:szCs w:val="23"/>
          <w:lang w:val="fr-CA"/>
        </w:rPr>
        <w:tab/>
        <w:t>Pour déterminer si un fournisseur satisfait aux conditions de participation, une entité contractante :</w:t>
      </w:r>
    </w:p>
    <w:p w14:paraId="51543FC2" w14:textId="77777777" w:rsidR="0050306B" w:rsidRPr="00F52884" w:rsidRDefault="0050306B" w:rsidP="0050306B">
      <w:pPr>
        <w:rPr>
          <w:rFonts w:eastAsia="Calibri" w:cstheme="minorHAnsi"/>
          <w:szCs w:val="23"/>
          <w:lang w:val="fr-CA"/>
        </w:rPr>
      </w:pPr>
    </w:p>
    <w:p w14:paraId="281ED1B5" w14:textId="77C40CE9" w:rsidR="0050306B" w:rsidRPr="00F52884" w:rsidRDefault="0050306B" w:rsidP="0050306B">
      <w:pPr>
        <w:numPr>
          <w:ilvl w:val="0"/>
          <w:numId w:val="365"/>
        </w:numPr>
        <w:ind w:leftChars="308" w:left="1444" w:hangingChars="320" w:hanging="736"/>
        <w:contextualSpacing/>
        <w:rPr>
          <w:rFonts w:eastAsia="Calibri" w:cstheme="minorHAnsi"/>
          <w:szCs w:val="23"/>
          <w:lang w:val="fr-CA"/>
        </w:rPr>
      </w:pPr>
      <w:proofErr w:type="gramStart"/>
      <w:r w:rsidRPr="00F52884">
        <w:rPr>
          <w:rFonts w:eastAsia="Calibri" w:cstheme="minorHAnsi"/>
          <w:szCs w:val="23"/>
          <w:lang w:val="fr-CA"/>
        </w:rPr>
        <w:t>d’une</w:t>
      </w:r>
      <w:proofErr w:type="gramEnd"/>
      <w:r w:rsidRPr="00F52884">
        <w:rPr>
          <w:rFonts w:eastAsia="Calibri" w:cstheme="minorHAnsi"/>
          <w:szCs w:val="23"/>
          <w:lang w:val="fr-CA"/>
        </w:rPr>
        <w:t xml:space="preserve"> part, évalue la capacité financière et les compétences commerciales et techniques d’un fournisseur sur la base des activités commerciales de ce fournisseur tant sur le territoire de la Partie de l’entité contractante qu’en dehors de celui-ci;</w:t>
      </w:r>
    </w:p>
    <w:p w14:paraId="415FC7F3" w14:textId="77777777" w:rsidR="0050306B" w:rsidRPr="00F52884" w:rsidRDefault="0050306B" w:rsidP="0050306B">
      <w:pPr>
        <w:ind w:leftChars="-61" w:left="1447" w:hangingChars="690" w:hanging="1587"/>
        <w:contextualSpacing/>
        <w:rPr>
          <w:rFonts w:eastAsia="Calibri" w:cstheme="minorHAnsi"/>
          <w:szCs w:val="23"/>
          <w:lang w:val="fr-CA"/>
        </w:rPr>
      </w:pPr>
    </w:p>
    <w:p w14:paraId="12867BCA" w14:textId="5317B933" w:rsidR="0050306B" w:rsidRPr="00F52884" w:rsidRDefault="0050306B" w:rsidP="0050306B">
      <w:pPr>
        <w:numPr>
          <w:ilvl w:val="0"/>
          <w:numId w:val="365"/>
        </w:numPr>
        <w:ind w:leftChars="308" w:left="1444" w:hangingChars="320" w:hanging="736"/>
        <w:contextualSpacing/>
        <w:rPr>
          <w:rFonts w:eastAsia="Calibri" w:cstheme="minorHAnsi"/>
          <w:szCs w:val="23"/>
          <w:lang w:val="fr-CA"/>
        </w:rPr>
      </w:pPr>
      <w:proofErr w:type="gramStart"/>
      <w:r w:rsidRPr="00F52884">
        <w:rPr>
          <w:rFonts w:eastAsia="Calibri" w:cstheme="minorHAnsi"/>
          <w:szCs w:val="23"/>
          <w:lang w:val="fr-CA"/>
        </w:rPr>
        <w:t>d’autre</w:t>
      </w:r>
      <w:proofErr w:type="gramEnd"/>
      <w:r w:rsidRPr="00F52884">
        <w:rPr>
          <w:rFonts w:eastAsia="Calibri" w:cstheme="minorHAnsi"/>
          <w:szCs w:val="23"/>
          <w:lang w:val="fr-CA"/>
        </w:rPr>
        <w:t xml:space="preserve"> part, effectue son évaluation sur la base des conditions qu’elle a spécifiées à l’avance dans ses avis d’appel d’offres ou sa documentation relative à l’appel d’offres.</w:t>
      </w:r>
    </w:p>
    <w:p w14:paraId="4C47A4F0" w14:textId="42D52193" w:rsidR="0050306B" w:rsidRPr="00F52884" w:rsidRDefault="0050306B" w:rsidP="0050306B">
      <w:pPr>
        <w:rPr>
          <w:rFonts w:eastAsia="Calibri" w:cstheme="minorHAnsi"/>
          <w:szCs w:val="23"/>
          <w:lang w:val="fr-CA"/>
        </w:rPr>
      </w:pPr>
      <w:r w:rsidRPr="00F52884">
        <w:rPr>
          <w:rFonts w:eastAsia="Calibri" w:cstheme="minorHAnsi"/>
          <w:szCs w:val="23"/>
          <w:lang w:val="fr-CA"/>
        </w:rPr>
        <w:br/>
        <w:t>4.</w:t>
      </w:r>
      <w:r w:rsidRPr="00F52884">
        <w:rPr>
          <w:rFonts w:eastAsia="Calibri" w:cstheme="minorHAnsi"/>
          <w:szCs w:val="23"/>
          <w:lang w:val="fr-CA"/>
        </w:rPr>
        <w:tab/>
        <w:t>S’il existe des preuves à l’appui, une Partie, y compris ses entités contractantes, peut exclure un fournisseur pour des motifs tels que :</w:t>
      </w:r>
    </w:p>
    <w:p w14:paraId="738F59A2" w14:textId="77777777" w:rsidR="0050306B" w:rsidRPr="00F52884" w:rsidRDefault="0050306B" w:rsidP="0050306B">
      <w:pPr>
        <w:rPr>
          <w:rFonts w:eastAsia="Calibri" w:cstheme="minorHAnsi"/>
          <w:szCs w:val="23"/>
          <w:lang w:val="fr-CA"/>
        </w:rPr>
      </w:pPr>
    </w:p>
    <w:p w14:paraId="5D6EA2DF" w14:textId="77777777" w:rsidR="0050306B" w:rsidRPr="00F52884" w:rsidRDefault="0050306B" w:rsidP="00CF31F2">
      <w:pPr>
        <w:numPr>
          <w:ilvl w:val="0"/>
          <w:numId w:val="366"/>
        </w:numPr>
        <w:ind w:left="1440" w:hanging="720"/>
        <w:contextualSpacing/>
        <w:rPr>
          <w:rFonts w:eastAsia="Calibri" w:cstheme="minorHAnsi"/>
          <w:szCs w:val="23"/>
          <w:lang w:val="fr-CA"/>
        </w:rPr>
      </w:pPr>
      <w:proofErr w:type="gramStart"/>
      <w:r w:rsidRPr="00F52884">
        <w:rPr>
          <w:rFonts w:eastAsia="Calibri" w:cstheme="minorHAnsi"/>
          <w:szCs w:val="23"/>
          <w:lang w:val="fr-CA"/>
        </w:rPr>
        <w:t>une</w:t>
      </w:r>
      <w:proofErr w:type="gramEnd"/>
      <w:r w:rsidRPr="00F52884">
        <w:rPr>
          <w:rFonts w:eastAsia="Calibri" w:cstheme="minorHAnsi"/>
          <w:szCs w:val="23"/>
          <w:lang w:val="fr-CA"/>
        </w:rPr>
        <w:t xml:space="preserve"> faillite ou une insolvabilité;</w:t>
      </w:r>
    </w:p>
    <w:p w14:paraId="786B2B23" w14:textId="77777777" w:rsidR="0050306B" w:rsidRPr="00F52884" w:rsidRDefault="0050306B" w:rsidP="00CF31F2">
      <w:pPr>
        <w:ind w:left="1440" w:hanging="720"/>
        <w:contextualSpacing/>
        <w:rPr>
          <w:rFonts w:eastAsia="Calibri" w:cstheme="minorHAnsi"/>
          <w:szCs w:val="23"/>
          <w:lang w:val="fr-CA"/>
        </w:rPr>
      </w:pPr>
    </w:p>
    <w:p w14:paraId="4262CDA8" w14:textId="77777777" w:rsidR="0050306B" w:rsidRPr="00F52884" w:rsidRDefault="0050306B" w:rsidP="00CF31F2">
      <w:pPr>
        <w:numPr>
          <w:ilvl w:val="0"/>
          <w:numId w:val="366"/>
        </w:numPr>
        <w:ind w:left="1440" w:hanging="720"/>
        <w:contextualSpacing/>
        <w:rPr>
          <w:rFonts w:eastAsia="Calibri" w:cstheme="minorHAnsi"/>
          <w:szCs w:val="23"/>
          <w:lang w:val="fr-CA"/>
        </w:rPr>
      </w:pPr>
      <w:proofErr w:type="gramStart"/>
      <w:r w:rsidRPr="00F52884">
        <w:rPr>
          <w:rFonts w:eastAsia="Calibri" w:cstheme="minorHAnsi"/>
          <w:szCs w:val="23"/>
          <w:lang w:val="fr-CA"/>
        </w:rPr>
        <w:t>de</w:t>
      </w:r>
      <w:proofErr w:type="gramEnd"/>
      <w:r w:rsidRPr="00F52884">
        <w:rPr>
          <w:rFonts w:eastAsia="Calibri" w:cstheme="minorHAnsi"/>
          <w:szCs w:val="23"/>
          <w:lang w:val="fr-CA"/>
        </w:rPr>
        <w:t xml:space="preserve"> fausses déclarations;</w:t>
      </w:r>
    </w:p>
    <w:p w14:paraId="63788E41" w14:textId="77777777" w:rsidR="0050306B" w:rsidRPr="00F52884" w:rsidRDefault="0050306B" w:rsidP="00CF31F2">
      <w:pPr>
        <w:ind w:left="1440" w:hanging="720"/>
        <w:contextualSpacing/>
        <w:rPr>
          <w:rFonts w:eastAsia="Calibri" w:cstheme="minorHAnsi"/>
          <w:szCs w:val="23"/>
          <w:lang w:val="fr-CA"/>
        </w:rPr>
      </w:pPr>
    </w:p>
    <w:p w14:paraId="22F646DB" w14:textId="0575CD89" w:rsidR="0050306B" w:rsidRPr="00F52884" w:rsidRDefault="0050306B" w:rsidP="00CF31F2">
      <w:pPr>
        <w:numPr>
          <w:ilvl w:val="0"/>
          <w:numId w:val="366"/>
        </w:numPr>
        <w:ind w:left="1440" w:hanging="720"/>
        <w:contextualSpacing/>
        <w:rPr>
          <w:rFonts w:eastAsia="Calibri" w:cstheme="minorHAnsi"/>
          <w:szCs w:val="23"/>
          <w:lang w:val="fr-CA"/>
        </w:rPr>
      </w:pPr>
      <w:proofErr w:type="gramStart"/>
      <w:r w:rsidRPr="00F52884">
        <w:rPr>
          <w:rFonts w:eastAsia="Calibri" w:cstheme="minorHAnsi"/>
          <w:szCs w:val="23"/>
          <w:lang w:val="fr-CA"/>
        </w:rPr>
        <w:lastRenderedPageBreak/>
        <w:t>des</w:t>
      </w:r>
      <w:proofErr w:type="gramEnd"/>
      <w:r w:rsidRPr="00F52884">
        <w:rPr>
          <w:rFonts w:eastAsia="Calibri" w:cstheme="minorHAnsi"/>
          <w:szCs w:val="23"/>
          <w:lang w:val="fr-CA"/>
        </w:rPr>
        <w:t xml:space="preserve"> faiblesses significatives ou persistantes dans l’exécution d’une prescription ou obligation de fond dans le cadre d’un ou plusieurs marchés antérieurs;</w:t>
      </w:r>
    </w:p>
    <w:p w14:paraId="5D0900F8" w14:textId="77777777" w:rsidR="0050306B" w:rsidRPr="00F52884" w:rsidRDefault="0050306B" w:rsidP="00CF31F2">
      <w:pPr>
        <w:ind w:left="1440" w:hanging="720"/>
        <w:contextualSpacing/>
        <w:rPr>
          <w:rFonts w:eastAsia="Calibri" w:cstheme="minorHAnsi"/>
          <w:szCs w:val="23"/>
          <w:lang w:val="fr-CA"/>
        </w:rPr>
      </w:pPr>
    </w:p>
    <w:p w14:paraId="3D7719E3" w14:textId="77777777" w:rsidR="0050306B" w:rsidRPr="00F52884" w:rsidRDefault="0050306B" w:rsidP="00CF31F2">
      <w:pPr>
        <w:numPr>
          <w:ilvl w:val="0"/>
          <w:numId w:val="366"/>
        </w:numPr>
        <w:ind w:left="1440" w:hanging="720"/>
        <w:contextualSpacing/>
        <w:rPr>
          <w:rFonts w:eastAsia="Calibri" w:cstheme="minorHAnsi"/>
          <w:szCs w:val="23"/>
          <w:lang w:val="fr-CA"/>
        </w:rPr>
      </w:pPr>
      <w:proofErr w:type="gramStart"/>
      <w:r w:rsidRPr="00F52884">
        <w:rPr>
          <w:rFonts w:eastAsia="Calibri" w:cstheme="minorHAnsi"/>
          <w:szCs w:val="23"/>
          <w:lang w:val="fr-CA"/>
        </w:rPr>
        <w:t>des</w:t>
      </w:r>
      <w:proofErr w:type="gramEnd"/>
      <w:r w:rsidRPr="00F52884">
        <w:rPr>
          <w:rFonts w:eastAsia="Calibri" w:cstheme="minorHAnsi"/>
          <w:szCs w:val="23"/>
          <w:lang w:val="fr-CA"/>
        </w:rPr>
        <w:t xml:space="preserve"> jugements définitifs concernant des délits graves ou d’autres infractions graves; </w:t>
      </w:r>
    </w:p>
    <w:p w14:paraId="1D28F39B" w14:textId="77777777" w:rsidR="0050306B" w:rsidRPr="00F52884" w:rsidRDefault="0050306B" w:rsidP="00CF31F2">
      <w:pPr>
        <w:ind w:left="1440" w:hanging="720"/>
        <w:contextualSpacing/>
        <w:rPr>
          <w:rFonts w:eastAsia="Calibri" w:cstheme="minorHAnsi"/>
          <w:szCs w:val="23"/>
          <w:lang w:val="fr-CA"/>
        </w:rPr>
      </w:pPr>
    </w:p>
    <w:p w14:paraId="4716487E" w14:textId="77777777" w:rsidR="0050306B" w:rsidRPr="00F52884" w:rsidRDefault="0050306B" w:rsidP="00CF31F2">
      <w:pPr>
        <w:numPr>
          <w:ilvl w:val="0"/>
          <w:numId w:val="366"/>
        </w:numPr>
        <w:ind w:left="1440" w:hanging="720"/>
        <w:contextualSpacing/>
        <w:rPr>
          <w:rFonts w:eastAsia="Calibri" w:cstheme="minorHAnsi"/>
          <w:szCs w:val="23"/>
          <w:lang w:val="fr-CA"/>
        </w:rPr>
      </w:pPr>
      <w:proofErr w:type="gramStart"/>
      <w:r w:rsidRPr="00F52884">
        <w:rPr>
          <w:rFonts w:eastAsia="Calibri" w:cstheme="minorHAnsi"/>
          <w:szCs w:val="23"/>
          <w:lang w:val="fr-CA"/>
        </w:rPr>
        <w:t>des</w:t>
      </w:r>
      <w:proofErr w:type="gramEnd"/>
      <w:r w:rsidRPr="00F52884">
        <w:rPr>
          <w:rFonts w:eastAsia="Calibri" w:cstheme="minorHAnsi"/>
          <w:szCs w:val="23"/>
          <w:lang w:val="fr-CA"/>
        </w:rPr>
        <w:t xml:space="preserve"> fautes professionnelles ou des actes ou omissions qui portent atteinte à l’intégrité commerciale du fournisseur; </w:t>
      </w:r>
    </w:p>
    <w:p w14:paraId="3CE7D2AE" w14:textId="77777777" w:rsidR="0050306B" w:rsidRPr="00F52884" w:rsidRDefault="0050306B" w:rsidP="00CF31F2">
      <w:pPr>
        <w:ind w:left="1440" w:hanging="720"/>
        <w:rPr>
          <w:rFonts w:eastAsia="Calibri" w:cstheme="minorHAnsi"/>
          <w:szCs w:val="23"/>
          <w:lang w:val="fr-CA"/>
        </w:rPr>
      </w:pPr>
    </w:p>
    <w:p w14:paraId="248A2CF0" w14:textId="77777777" w:rsidR="0050306B" w:rsidRPr="00F52884" w:rsidRDefault="0050306B" w:rsidP="00CF31F2">
      <w:pPr>
        <w:numPr>
          <w:ilvl w:val="0"/>
          <w:numId w:val="366"/>
        </w:numPr>
        <w:ind w:left="1440" w:hanging="720"/>
        <w:contextualSpacing/>
        <w:rPr>
          <w:rFonts w:eastAsia="Calibri" w:cstheme="minorHAnsi"/>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non-paiement d’impôts.</w:t>
      </w:r>
    </w:p>
    <w:p w14:paraId="63EAB0DA" w14:textId="77777777" w:rsidR="0050306B" w:rsidRPr="00F52884" w:rsidRDefault="0050306B" w:rsidP="0050306B">
      <w:pPr>
        <w:rPr>
          <w:rFonts w:eastAsia="Calibri" w:cstheme="minorHAnsi"/>
          <w:szCs w:val="23"/>
          <w:lang w:val="fr-CA"/>
        </w:rPr>
      </w:pPr>
    </w:p>
    <w:p w14:paraId="3D8F87D8" w14:textId="7666BC2A"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508 :</w:t>
      </w:r>
      <w:r w:rsidRPr="00F52884">
        <w:rPr>
          <w:rFonts w:eastAsia="Calibri" w:cstheme="minorHAnsi"/>
          <w:szCs w:val="23"/>
          <w:lang w:val="fr-CA"/>
        </w:rPr>
        <w:tab/>
      </w:r>
      <w:r w:rsidR="005042D0" w:rsidRPr="00F52884">
        <w:rPr>
          <w:rFonts w:eastAsia="Calibri" w:cstheme="minorHAnsi"/>
          <w:szCs w:val="23"/>
          <w:lang w:val="fr-CA"/>
        </w:rPr>
        <w:tab/>
      </w:r>
      <w:proofErr w:type="spellStart"/>
      <w:r w:rsidRPr="00F52884">
        <w:rPr>
          <w:rFonts w:eastAsia="Calibri" w:cstheme="minorHAnsi"/>
          <w:b/>
          <w:szCs w:val="23"/>
          <w:lang w:val="fr-CA"/>
        </w:rPr>
        <w:t>Pré-q</w:t>
      </w:r>
      <w:r w:rsidRPr="00F52884">
        <w:rPr>
          <w:rFonts w:eastAsia="Calibri" w:cstheme="minorHAnsi"/>
          <w:b/>
          <w:bCs/>
          <w:szCs w:val="23"/>
          <w:lang w:val="fr-CA"/>
        </w:rPr>
        <w:t>ualification</w:t>
      </w:r>
      <w:proofErr w:type="spellEnd"/>
      <w:r w:rsidRPr="00F52884">
        <w:rPr>
          <w:rFonts w:eastAsia="Calibri" w:cstheme="minorHAnsi"/>
          <w:b/>
          <w:bCs/>
          <w:szCs w:val="23"/>
          <w:lang w:val="fr-CA"/>
        </w:rPr>
        <w:t xml:space="preserve"> des fournisseurs</w:t>
      </w:r>
    </w:p>
    <w:p w14:paraId="465B2B7B" w14:textId="77777777" w:rsidR="0050306B" w:rsidRPr="00F52884" w:rsidRDefault="0050306B" w:rsidP="0050306B">
      <w:pPr>
        <w:rPr>
          <w:rFonts w:eastAsia="Calibri" w:cstheme="minorHAnsi"/>
          <w:szCs w:val="23"/>
          <w:u w:val="single"/>
          <w:lang w:val="fr-CA"/>
        </w:rPr>
      </w:pPr>
    </w:p>
    <w:p w14:paraId="329FE87F" w14:textId="1B5F93F0" w:rsidR="0050306B" w:rsidRPr="00F52884" w:rsidRDefault="0050306B" w:rsidP="0050306B">
      <w:pPr>
        <w:pStyle w:val="ListParagraph"/>
        <w:numPr>
          <w:ilvl w:val="0"/>
          <w:numId w:val="367"/>
        </w:numPr>
        <w:ind w:left="0" w:firstLine="0"/>
        <w:rPr>
          <w:rFonts w:eastAsia="Calibri" w:cstheme="minorHAnsi"/>
          <w:szCs w:val="23"/>
          <w:lang w:val="fr-CA"/>
        </w:rPr>
      </w:pPr>
      <w:r w:rsidRPr="00F52884">
        <w:rPr>
          <w:rFonts w:eastAsia="Calibri" w:cstheme="minorHAnsi"/>
          <w:szCs w:val="23"/>
          <w:lang w:val="fr-CA"/>
        </w:rPr>
        <w:t xml:space="preserve">Une entité contractante peut restreindre les soumissions à des fournisseurs pré-qualifiés à condition que la procédure de </w:t>
      </w:r>
      <w:proofErr w:type="spellStart"/>
      <w:r w:rsidRPr="00F52884">
        <w:rPr>
          <w:rFonts w:eastAsia="Calibri" w:cstheme="minorHAnsi"/>
          <w:szCs w:val="23"/>
          <w:lang w:val="fr-CA"/>
        </w:rPr>
        <w:t>pré-qualification</w:t>
      </w:r>
      <w:proofErr w:type="spellEnd"/>
      <w:r w:rsidRPr="00F52884">
        <w:rPr>
          <w:rFonts w:eastAsia="Calibri" w:cstheme="minorHAnsi"/>
          <w:szCs w:val="23"/>
          <w:lang w:val="fr-CA"/>
        </w:rPr>
        <w:t xml:space="preserve"> soit compatible avec le présent chapitre.</w:t>
      </w:r>
    </w:p>
    <w:p w14:paraId="3BA72FAC" w14:textId="77777777" w:rsidR="0050306B" w:rsidRPr="00F52884" w:rsidRDefault="0050306B" w:rsidP="0050306B">
      <w:pPr>
        <w:rPr>
          <w:rFonts w:eastAsia="Calibri" w:cstheme="minorHAnsi"/>
          <w:szCs w:val="23"/>
          <w:lang w:val="fr-CA"/>
        </w:rPr>
      </w:pPr>
    </w:p>
    <w:p w14:paraId="17DCA3AB" w14:textId="46B0ACFC" w:rsidR="0050306B" w:rsidRPr="00F52884" w:rsidRDefault="0050306B" w:rsidP="0050306B">
      <w:pPr>
        <w:pStyle w:val="ListParagraph"/>
        <w:numPr>
          <w:ilvl w:val="0"/>
          <w:numId w:val="367"/>
        </w:numPr>
        <w:ind w:left="0" w:firstLine="0"/>
        <w:rPr>
          <w:rFonts w:eastAsia="Calibri" w:cstheme="minorHAnsi"/>
          <w:szCs w:val="23"/>
          <w:lang w:val="fr-CA"/>
        </w:rPr>
      </w:pPr>
      <w:r w:rsidRPr="00F52884">
        <w:rPr>
          <w:rFonts w:eastAsia="Calibri" w:cstheme="minorHAnsi"/>
          <w:szCs w:val="23"/>
          <w:lang w:val="fr-CA"/>
        </w:rPr>
        <w:t xml:space="preserve">Un appel de </w:t>
      </w:r>
      <w:proofErr w:type="spellStart"/>
      <w:r w:rsidRPr="00F52884">
        <w:rPr>
          <w:rFonts w:eastAsia="Calibri" w:cstheme="minorHAnsi"/>
          <w:szCs w:val="23"/>
          <w:lang w:val="fr-CA"/>
        </w:rPr>
        <w:t>pré-qualification</w:t>
      </w:r>
      <w:proofErr w:type="spellEnd"/>
      <w:r w:rsidRPr="00F52884">
        <w:rPr>
          <w:rFonts w:eastAsia="Calibri" w:cstheme="minorHAnsi"/>
          <w:szCs w:val="23"/>
          <w:lang w:val="fr-CA"/>
        </w:rPr>
        <w:t xml:space="preserve"> invitant les fournisseurs intéressés à demander leur inscription sur une liste de fournisseurs pré-qualifiés est publié annuellement dans un avis d’appel d’offres, sur un des sites Web ou systèmes d’appel d’offres désignés par la Partie de l’entité contractante, et il comprend :</w:t>
      </w:r>
    </w:p>
    <w:p w14:paraId="067F83DB" w14:textId="77777777" w:rsidR="0050306B" w:rsidRPr="00F52884" w:rsidRDefault="0050306B" w:rsidP="0050306B">
      <w:pPr>
        <w:ind w:left="720"/>
        <w:contextualSpacing/>
        <w:rPr>
          <w:rFonts w:eastAsia="Calibri" w:cstheme="minorHAnsi"/>
          <w:szCs w:val="23"/>
          <w:lang w:val="fr-CA"/>
        </w:rPr>
      </w:pPr>
    </w:p>
    <w:p w14:paraId="64F22CE4" w14:textId="4405C4AE" w:rsidR="0050306B" w:rsidRPr="00F52884" w:rsidRDefault="0050306B" w:rsidP="00CF31F2">
      <w:pPr>
        <w:ind w:left="1440" w:hanging="720"/>
        <w:contextualSpacing/>
        <w:rPr>
          <w:rFonts w:eastAsia="Calibri" w:cstheme="minorHAnsi"/>
          <w:szCs w:val="23"/>
          <w:lang w:val="fr-CA"/>
        </w:rPr>
      </w:pPr>
      <w:r w:rsidRPr="00F52884">
        <w:rPr>
          <w:rFonts w:eastAsia="Calibri" w:cstheme="minorHAnsi"/>
          <w:szCs w:val="23"/>
          <w:lang w:val="fr-CA"/>
        </w:rPr>
        <w:t xml:space="preserve">a) </w:t>
      </w:r>
      <w:r w:rsidRPr="00F52884">
        <w:rPr>
          <w:rFonts w:eastAsia="Calibri" w:cstheme="minorHAnsi"/>
          <w:szCs w:val="23"/>
          <w:lang w:val="fr-CA"/>
        </w:rPr>
        <w:tab/>
        <w:t>les critères qui serviront à la sélection des fournisseurs pré-qualifiés, sauf si ces prescriptions sont comprises dans les documents de qualification;</w:t>
      </w:r>
    </w:p>
    <w:p w14:paraId="39B119D8" w14:textId="77777777" w:rsidR="0050306B" w:rsidRPr="00F52884" w:rsidRDefault="0050306B" w:rsidP="00CF31F2">
      <w:pPr>
        <w:ind w:left="1440" w:hanging="720"/>
        <w:contextualSpacing/>
        <w:rPr>
          <w:rFonts w:eastAsia="Calibri" w:cstheme="minorHAnsi"/>
          <w:szCs w:val="23"/>
          <w:lang w:val="fr-CA"/>
        </w:rPr>
      </w:pPr>
    </w:p>
    <w:p w14:paraId="5A394657" w14:textId="353FCA75" w:rsidR="0050306B" w:rsidRPr="00F52884" w:rsidRDefault="0050306B" w:rsidP="00CF31F2">
      <w:pPr>
        <w:ind w:left="1440" w:hanging="720"/>
        <w:contextualSpacing/>
        <w:rPr>
          <w:rFonts w:eastAsia="Calibri" w:cstheme="minorHAnsi"/>
          <w:szCs w:val="23"/>
          <w:lang w:val="fr-CA"/>
        </w:rPr>
      </w:pPr>
      <w:r w:rsidRPr="00F52884">
        <w:rPr>
          <w:rFonts w:eastAsia="Calibri" w:cstheme="minorHAnsi"/>
          <w:szCs w:val="23"/>
          <w:lang w:val="fr-CA"/>
        </w:rPr>
        <w:t xml:space="preserve">b) </w:t>
      </w:r>
      <w:r w:rsidRPr="00F52884">
        <w:rPr>
          <w:rFonts w:eastAsia="Calibri" w:cstheme="minorHAnsi"/>
          <w:szCs w:val="23"/>
          <w:lang w:val="fr-CA"/>
        </w:rPr>
        <w:tab/>
        <w:t>une mention du fait que seuls les fournisseurs inscrits sur la liste de fournisseurs pré-qualifiés recevront d’autres avis de marchés couverts par la liste;</w:t>
      </w:r>
    </w:p>
    <w:p w14:paraId="624C4D66" w14:textId="77777777" w:rsidR="0050306B" w:rsidRPr="00F52884" w:rsidRDefault="0050306B" w:rsidP="00CF31F2">
      <w:pPr>
        <w:ind w:left="1440" w:hanging="720"/>
        <w:contextualSpacing/>
        <w:rPr>
          <w:rFonts w:eastAsia="Calibri" w:cstheme="minorHAnsi"/>
          <w:szCs w:val="23"/>
          <w:lang w:val="fr-CA"/>
        </w:rPr>
      </w:pPr>
    </w:p>
    <w:p w14:paraId="24421B12" w14:textId="302F87A0" w:rsidR="0050306B" w:rsidRPr="00F52884" w:rsidRDefault="0050306B" w:rsidP="00CF31F2">
      <w:pPr>
        <w:ind w:left="1440" w:hanging="720"/>
        <w:contextualSpacing/>
        <w:rPr>
          <w:rFonts w:eastAsia="Calibri" w:cstheme="minorHAnsi"/>
          <w:szCs w:val="23"/>
          <w:lang w:val="fr-CA"/>
        </w:rPr>
      </w:pPr>
      <w:r w:rsidRPr="00F52884">
        <w:rPr>
          <w:rFonts w:eastAsia="Calibri" w:cstheme="minorHAnsi"/>
          <w:szCs w:val="23"/>
          <w:lang w:val="fr-CA"/>
        </w:rPr>
        <w:t>c)</w:t>
      </w:r>
      <w:r w:rsidRPr="00F52884">
        <w:rPr>
          <w:rFonts w:eastAsia="Calibri" w:cstheme="minorHAnsi"/>
          <w:szCs w:val="23"/>
          <w:lang w:val="fr-CA"/>
        </w:rPr>
        <w:tab/>
        <w:t>la durée de validité de la liste ou, si la durée de validité n’est pas fournie, une indication de la méthode utilisée pour faire savoir qu’il est mis fin à l’utilisation de la liste.</w:t>
      </w:r>
    </w:p>
    <w:p w14:paraId="1715534A" w14:textId="77777777" w:rsidR="0050306B" w:rsidRPr="00F52884" w:rsidRDefault="0050306B" w:rsidP="0050306B">
      <w:pPr>
        <w:rPr>
          <w:rFonts w:eastAsia="Calibri" w:cstheme="minorHAnsi"/>
          <w:szCs w:val="23"/>
          <w:lang w:val="fr-CA"/>
        </w:rPr>
      </w:pPr>
    </w:p>
    <w:p w14:paraId="2828F7E1" w14:textId="5523182D" w:rsidR="0050306B" w:rsidRPr="00F52884" w:rsidRDefault="0050306B" w:rsidP="0050306B">
      <w:pPr>
        <w:rPr>
          <w:rFonts w:eastAsia="Calibri" w:cstheme="minorHAnsi"/>
          <w:szCs w:val="23"/>
          <w:lang w:val="fr-CA"/>
        </w:rPr>
      </w:pPr>
      <w:r w:rsidRPr="00F52884">
        <w:rPr>
          <w:rFonts w:eastAsia="Calibri" w:cstheme="minorHAnsi"/>
          <w:szCs w:val="23"/>
          <w:lang w:val="fr-CA"/>
        </w:rPr>
        <w:t>3.</w:t>
      </w:r>
      <w:r w:rsidRPr="00F52884">
        <w:rPr>
          <w:rFonts w:eastAsia="Calibri" w:cstheme="minorHAnsi"/>
          <w:szCs w:val="23"/>
          <w:lang w:val="fr-CA"/>
        </w:rPr>
        <w:tab/>
        <w:t xml:space="preserve">Nonobstant le paragraphe 2, si la durée de validité d’une liste de fournisseurs pré-qualifiés est de trois ans ou moins, une entité contractante peut publier l’appel de qualification une </w:t>
      </w:r>
      <w:r w:rsidR="00FC2F84" w:rsidRPr="00F52884">
        <w:rPr>
          <w:rFonts w:eastAsia="Calibri" w:cstheme="minorHAnsi"/>
          <w:szCs w:val="23"/>
          <w:lang w:val="fr-CA"/>
        </w:rPr>
        <w:t xml:space="preserve">seule </w:t>
      </w:r>
      <w:r w:rsidRPr="00F52884">
        <w:rPr>
          <w:rFonts w:eastAsia="Calibri" w:cstheme="minorHAnsi"/>
          <w:szCs w:val="23"/>
          <w:lang w:val="fr-CA"/>
        </w:rPr>
        <w:t xml:space="preserve">fois, au début de la durée de validité de la liste, à condition que l’appel de </w:t>
      </w:r>
      <w:proofErr w:type="spellStart"/>
      <w:r w:rsidRPr="00F52884">
        <w:rPr>
          <w:rFonts w:eastAsia="Calibri" w:cstheme="minorHAnsi"/>
          <w:szCs w:val="23"/>
          <w:lang w:val="fr-CA"/>
        </w:rPr>
        <w:t>pré-qualification</w:t>
      </w:r>
      <w:proofErr w:type="spellEnd"/>
      <w:r w:rsidRPr="00F52884">
        <w:rPr>
          <w:rFonts w:eastAsia="Calibri" w:cstheme="minorHAnsi"/>
          <w:szCs w:val="23"/>
          <w:lang w:val="fr-CA"/>
        </w:rPr>
        <w:t xml:space="preserve"> mentionne la durée de validité et le fait que d’autres appels ne seront pas publiés.</w:t>
      </w:r>
    </w:p>
    <w:p w14:paraId="46BA3CD8" w14:textId="77777777" w:rsidR="0050306B" w:rsidRPr="00F52884" w:rsidRDefault="0050306B" w:rsidP="0050306B">
      <w:pPr>
        <w:ind w:left="1440" w:hanging="720"/>
        <w:contextualSpacing/>
        <w:rPr>
          <w:rFonts w:eastAsia="Calibri" w:cstheme="minorHAnsi"/>
          <w:szCs w:val="23"/>
          <w:lang w:val="fr-CA"/>
        </w:rPr>
      </w:pPr>
    </w:p>
    <w:p w14:paraId="71BCF698" w14:textId="5BE88DFF"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4. </w:t>
      </w:r>
      <w:r w:rsidRPr="00F52884">
        <w:rPr>
          <w:rFonts w:eastAsia="Calibri" w:cstheme="minorHAnsi"/>
          <w:szCs w:val="23"/>
          <w:lang w:val="fr-CA"/>
        </w:rPr>
        <w:tab/>
        <w:t>Une entité contractante autorise tous les fournisseurs pré-qualifiés à participer à un marché particulier, à moins qu’elle n’ait indiqué dans son appel de qualification qu’elle entend sélectionner un nombre limité de fournisseurs qui seront autorisés à soumissionner, ainsi que les critères qui seront employés pour les sélectionner.</w:t>
      </w:r>
    </w:p>
    <w:p w14:paraId="794D1409" w14:textId="77777777" w:rsidR="0050306B" w:rsidRPr="00F52884" w:rsidRDefault="0050306B" w:rsidP="0050306B">
      <w:pPr>
        <w:rPr>
          <w:rFonts w:eastAsia="Calibri" w:cstheme="minorHAnsi"/>
          <w:szCs w:val="23"/>
          <w:lang w:val="fr-CA"/>
        </w:rPr>
      </w:pPr>
      <w:r w:rsidRPr="00F52884">
        <w:rPr>
          <w:rFonts w:eastAsia="Calibri" w:cstheme="minorHAnsi"/>
          <w:szCs w:val="23"/>
          <w:lang w:val="fr-CA"/>
        </w:rPr>
        <w:t> </w:t>
      </w:r>
    </w:p>
    <w:p w14:paraId="1D068FFD" w14:textId="039C534C" w:rsidR="0050306B" w:rsidRPr="00F52884" w:rsidRDefault="0050306B" w:rsidP="0050306B">
      <w:pPr>
        <w:rPr>
          <w:rFonts w:eastAsia="Calibri" w:cstheme="minorHAnsi"/>
          <w:i/>
          <w:szCs w:val="23"/>
          <w:lang w:val="fr-CA"/>
        </w:rPr>
      </w:pPr>
      <w:r w:rsidRPr="00F52884">
        <w:rPr>
          <w:rFonts w:eastAsia="Calibri" w:cstheme="minorHAnsi"/>
          <w:i/>
          <w:iCs/>
          <w:szCs w:val="23"/>
          <w:lang w:val="fr-CA"/>
        </w:rPr>
        <w:t>Arrangements en matière d'approvisionnement</w:t>
      </w:r>
    </w:p>
    <w:p w14:paraId="1FCE93FC" w14:textId="77777777" w:rsidR="0050306B" w:rsidRPr="00F52884" w:rsidRDefault="0050306B" w:rsidP="0050306B">
      <w:pPr>
        <w:rPr>
          <w:rFonts w:eastAsia="Calibri" w:cstheme="minorHAnsi"/>
          <w:szCs w:val="23"/>
          <w:lang w:val="fr-CA"/>
        </w:rPr>
      </w:pPr>
      <w:r w:rsidRPr="00F52884">
        <w:rPr>
          <w:rFonts w:eastAsia="Calibri" w:cstheme="minorHAnsi"/>
          <w:szCs w:val="23"/>
          <w:lang w:val="fr-CA"/>
        </w:rPr>
        <w:t> </w:t>
      </w:r>
    </w:p>
    <w:p w14:paraId="530FF16E" w14:textId="298EC4E4" w:rsidR="0050306B" w:rsidRPr="00F52884" w:rsidRDefault="0050306B" w:rsidP="0050306B">
      <w:pPr>
        <w:rPr>
          <w:rFonts w:eastAsia="Calibri" w:cstheme="minorHAnsi"/>
          <w:szCs w:val="23"/>
          <w:lang w:val="fr-CA"/>
        </w:rPr>
      </w:pPr>
      <w:r w:rsidRPr="00F52884">
        <w:rPr>
          <w:rFonts w:eastAsia="Calibri" w:cstheme="minorHAnsi"/>
          <w:szCs w:val="23"/>
          <w:lang w:val="fr-CA"/>
        </w:rPr>
        <w:lastRenderedPageBreak/>
        <w:t>5.</w:t>
      </w:r>
      <w:r w:rsidRPr="00F52884">
        <w:rPr>
          <w:rFonts w:eastAsia="Calibri" w:cstheme="minorHAnsi"/>
          <w:szCs w:val="23"/>
          <w:lang w:val="fr-CA"/>
        </w:rPr>
        <w:tab/>
        <w:t>Une entité contractante peut conclure des arrangements en matière d'approvisionnement en recourant à une méthode de passation de marchés compatible avec le présent chapitre.</w:t>
      </w:r>
    </w:p>
    <w:p w14:paraId="25ADDC5C" w14:textId="77777777" w:rsidR="0050306B" w:rsidRPr="00F52884" w:rsidRDefault="0050306B" w:rsidP="0050306B">
      <w:pPr>
        <w:rPr>
          <w:rFonts w:eastAsia="Calibri" w:cstheme="minorHAnsi"/>
          <w:szCs w:val="23"/>
          <w:lang w:val="fr-CA"/>
        </w:rPr>
      </w:pPr>
    </w:p>
    <w:p w14:paraId="19EB6F45" w14:textId="72121392"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6. </w:t>
      </w:r>
      <w:r w:rsidRPr="00F52884">
        <w:rPr>
          <w:rFonts w:eastAsia="Calibri" w:cstheme="minorHAnsi"/>
          <w:szCs w:val="23"/>
          <w:lang w:val="fr-CA"/>
        </w:rPr>
        <w:tab/>
        <w:t xml:space="preserve">Au moment d’émettre un appel d’offres pour conclure un arrangement en matière d'approvisionnement, une entité contractante indique la manière dont les achats subséquents à l’arrangement en matière d'approvisionnement seront effectués auprès d’un fournisseur. </w:t>
      </w:r>
    </w:p>
    <w:p w14:paraId="7818663B" w14:textId="77777777" w:rsidR="0050306B" w:rsidRPr="00F52884" w:rsidRDefault="0050306B" w:rsidP="0050306B">
      <w:pPr>
        <w:rPr>
          <w:rFonts w:eastAsia="Times New Roman" w:cstheme="minorHAnsi"/>
          <w:szCs w:val="23"/>
          <w:lang w:val="fr-CA"/>
        </w:rPr>
      </w:pPr>
    </w:p>
    <w:p w14:paraId="5B16E02A" w14:textId="36F2E035" w:rsidR="0050306B" w:rsidRPr="00F52884" w:rsidRDefault="0050306B" w:rsidP="0050306B">
      <w:pPr>
        <w:jc w:val="center"/>
        <w:rPr>
          <w:rFonts w:eastAsia="Times New Roman" w:cstheme="minorHAnsi"/>
          <w:b/>
          <w:szCs w:val="23"/>
          <w:lang w:val="fr-CA"/>
        </w:rPr>
      </w:pPr>
      <w:r w:rsidRPr="00F52884">
        <w:rPr>
          <w:rFonts w:eastAsia="Times New Roman" w:cstheme="minorHAnsi"/>
          <w:b/>
          <w:bCs/>
          <w:szCs w:val="23"/>
          <w:lang w:val="fr-CA"/>
        </w:rPr>
        <w:t>Article 509 :</w:t>
      </w:r>
      <w:r w:rsidRPr="00F52884">
        <w:rPr>
          <w:rFonts w:eastAsia="Times New Roman" w:cstheme="minorHAnsi"/>
          <w:szCs w:val="23"/>
          <w:lang w:val="fr-CA"/>
        </w:rPr>
        <w:tab/>
      </w:r>
      <w:r w:rsidR="005042D0" w:rsidRPr="00F52884">
        <w:rPr>
          <w:rFonts w:eastAsia="Times New Roman" w:cstheme="minorHAnsi"/>
          <w:szCs w:val="23"/>
          <w:lang w:val="fr-CA"/>
        </w:rPr>
        <w:tab/>
      </w:r>
      <w:r w:rsidRPr="00F52884">
        <w:rPr>
          <w:rFonts w:eastAsia="Times New Roman" w:cstheme="minorHAnsi"/>
          <w:b/>
          <w:bCs/>
          <w:szCs w:val="23"/>
          <w:lang w:val="fr-CA"/>
        </w:rPr>
        <w:t>Spécifications techniques et documentation relative à l’appel d’offres</w:t>
      </w:r>
    </w:p>
    <w:p w14:paraId="17A2997B" w14:textId="77777777" w:rsidR="0050306B" w:rsidRPr="00F52884" w:rsidRDefault="0050306B" w:rsidP="0050306B">
      <w:pPr>
        <w:rPr>
          <w:rFonts w:eastAsia="Times New Roman" w:cstheme="minorHAnsi"/>
          <w:b/>
          <w:szCs w:val="23"/>
          <w:lang w:val="fr-CA"/>
        </w:rPr>
      </w:pPr>
    </w:p>
    <w:p w14:paraId="53E6BE94"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Spécifications techniques</w:t>
      </w:r>
    </w:p>
    <w:p w14:paraId="562A04C3" w14:textId="77777777" w:rsidR="0050306B" w:rsidRPr="00F52884" w:rsidRDefault="0050306B" w:rsidP="0050306B">
      <w:pPr>
        <w:rPr>
          <w:rFonts w:eastAsia="Calibri" w:cstheme="minorHAnsi"/>
          <w:szCs w:val="23"/>
          <w:lang w:val="fr-CA"/>
        </w:rPr>
      </w:pPr>
    </w:p>
    <w:p w14:paraId="2505943E" w14:textId="228F9542"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1. </w:t>
      </w:r>
      <w:r w:rsidRPr="00F52884">
        <w:rPr>
          <w:rFonts w:eastAsia="Calibri" w:cstheme="minorHAnsi"/>
          <w:szCs w:val="23"/>
          <w:lang w:val="fr-CA"/>
        </w:rPr>
        <w:tab/>
        <w:t>Une entité contractante n’établit, n’adopte ni n’applique de spécifications techniques ni ne prescrit de procédures d’évaluation de la conformité ayant pour but ou pour effet de créer des obstacles non nécessaires au commerce.</w:t>
      </w:r>
    </w:p>
    <w:p w14:paraId="6214DB79" w14:textId="77777777" w:rsidR="0050306B" w:rsidRPr="00F52884" w:rsidRDefault="0050306B" w:rsidP="0050306B">
      <w:pPr>
        <w:rPr>
          <w:rFonts w:eastAsia="Calibri" w:cstheme="minorHAnsi"/>
          <w:szCs w:val="23"/>
          <w:lang w:val="fr-CA"/>
        </w:rPr>
      </w:pPr>
    </w:p>
    <w:p w14:paraId="55349FB3" w14:textId="77777777" w:rsidR="0050306B" w:rsidRPr="00F52884" w:rsidRDefault="0050306B" w:rsidP="0050306B">
      <w:pPr>
        <w:rPr>
          <w:rFonts w:eastAsia="Calibri" w:cstheme="minorHAnsi"/>
          <w:szCs w:val="23"/>
          <w:lang w:val="fr-CA"/>
        </w:rPr>
      </w:pPr>
      <w:r w:rsidRPr="00F52884">
        <w:rPr>
          <w:rFonts w:eastAsia="Calibri" w:cstheme="minorHAnsi"/>
          <w:szCs w:val="23"/>
          <w:lang w:val="fr-CA"/>
        </w:rPr>
        <w:t>2.</w:t>
      </w:r>
      <w:r w:rsidRPr="00F52884">
        <w:rPr>
          <w:rFonts w:eastAsia="Calibri" w:cstheme="minorHAnsi"/>
          <w:szCs w:val="23"/>
          <w:lang w:val="fr-CA"/>
        </w:rPr>
        <w:tab/>
        <w:t>Lorsqu’elle prescrit les spécifications techniques pour les produits ou les services faisant l’objet du marché, une entité contractante, s’il y a lieu :</w:t>
      </w:r>
    </w:p>
    <w:p w14:paraId="5EDF81B3" w14:textId="77777777" w:rsidR="0050306B" w:rsidRPr="00F52884" w:rsidRDefault="0050306B" w:rsidP="0050306B">
      <w:pPr>
        <w:rPr>
          <w:rFonts w:eastAsia="Calibri" w:cstheme="minorHAnsi"/>
          <w:szCs w:val="23"/>
          <w:lang w:val="fr-CA"/>
        </w:rPr>
      </w:pPr>
    </w:p>
    <w:p w14:paraId="3F7F8A8B" w14:textId="5A9714D9" w:rsidR="0050306B" w:rsidRPr="00F52884" w:rsidRDefault="0050306B" w:rsidP="00CF31F2">
      <w:pPr>
        <w:ind w:left="1440" w:hanging="720"/>
        <w:rPr>
          <w:rFonts w:eastAsia="Calibri" w:cstheme="minorHAnsi"/>
          <w:szCs w:val="23"/>
          <w:lang w:val="fr-CA"/>
        </w:rPr>
      </w:pPr>
      <w:r w:rsidRPr="00F52884">
        <w:rPr>
          <w:rFonts w:eastAsia="Calibri" w:cstheme="minorHAnsi"/>
          <w:szCs w:val="23"/>
          <w:lang w:val="fr-CA"/>
        </w:rPr>
        <w:t xml:space="preserve">a) </w:t>
      </w:r>
      <w:r w:rsidRPr="00F52884">
        <w:rPr>
          <w:rFonts w:eastAsia="Calibri" w:cstheme="minorHAnsi"/>
          <w:szCs w:val="23"/>
          <w:lang w:val="fr-CA"/>
        </w:rPr>
        <w:tab/>
        <w:t xml:space="preserve">d’une part, indique la spécification technique en termes de performances et d’exigences fonctionnelles, plutôt qu’en termes de conception ou de caractéristiques descriptives; </w:t>
      </w:r>
    </w:p>
    <w:p w14:paraId="1AF2BA29" w14:textId="77777777" w:rsidR="0050306B" w:rsidRPr="00F52884" w:rsidRDefault="0050306B" w:rsidP="00CF31F2">
      <w:pPr>
        <w:ind w:left="1440" w:hanging="720"/>
        <w:rPr>
          <w:rFonts w:eastAsia="Calibri" w:cstheme="minorHAnsi"/>
          <w:szCs w:val="23"/>
          <w:lang w:val="fr-CA"/>
        </w:rPr>
      </w:pPr>
    </w:p>
    <w:p w14:paraId="6CDC6B31" w14:textId="2CE3764E" w:rsidR="0050306B" w:rsidRPr="00F52884" w:rsidRDefault="0050306B" w:rsidP="00CF31F2">
      <w:pPr>
        <w:ind w:left="1440" w:hanging="720"/>
        <w:rPr>
          <w:rFonts w:eastAsia="Calibri" w:cstheme="minorHAnsi"/>
          <w:szCs w:val="23"/>
          <w:lang w:val="fr-CA"/>
        </w:rPr>
      </w:pPr>
      <w:r w:rsidRPr="00F52884">
        <w:rPr>
          <w:rFonts w:cstheme="minorHAnsi"/>
          <w:szCs w:val="23"/>
          <w:lang w:val="fr-CA"/>
        </w:rPr>
        <w:t xml:space="preserve">b) </w:t>
      </w:r>
      <w:r w:rsidRPr="00F52884">
        <w:rPr>
          <w:rFonts w:cstheme="minorHAnsi"/>
          <w:szCs w:val="23"/>
          <w:lang w:val="fr-CA"/>
        </w:rPr>
        <w:tab/>
        <w:t>d’autre part, fonde la spécification technique sur des normes, dans les cas où il en existe.</w:t>
      </w:r>
    </w:p>
    <w:p w14:paraId="5F092EC2" w14:textId="33F20D8D" w:rsidR="0050306B" w:rsidRPr="00F52884" w:rsidRDefault="0050306B" w:rsidP="0050306B">
      <w:pPr>
        <w:rPr>
          <w:rFonts w:eastAsia="Calibri" w:cstheme="minorHAnsi"/>
          <w:szCs w:val="23"/>
          <w:lang w:val="fr-CA"/>
        </w:rPr>
      </w:pPr>
      <w:r w:rsidRPr="00F52884">
        <w:rPr>
          <w:rFonts w:eastAsia="Calibri" w:cstheme="minorHAnsi"/>
          <w:szCs w:val="23"/>
          <w:lang w:val="fr-CA"/>
        </w:rPr>
        <w:br/>
        <w:t xml:space="preserve">3. </w:t>
      </w:r>
      <w:r w:rsidRPr="00F52884">
        <w:rPr>
          <w:rFonts w:eastAsia="Calibri" w:cstheme="minorHAnsi"/>
          <w:szCs w:val="23"/>
          <w:lang w:val="fr-CA"/>
        </w:rPr>
        <w:tab/>
        <w:t xml:space="preserve">Une entité contractante ne prescrit pas de spécifications techniques qui exigent ou mentionnent une marque ou un nom commercial, un brevet, un droit d’auteur, un dessin ou modèle, un type, une origine déterminée, un producteur ou un fournisseur déterminé. Si les spécifications techniques sont utilisées de cette façon, l’entité contractante indique qu’elle prendra en considération les soumissions portant sur des produits ou des services équivalents dont il peut être démontré qu’ils satisfont aux prescriptions du marché, en utilisant des termes tels que « ou l’équivalent » dans la documentation relative à l’appel d’offres. </w:t>
      </w:r>
    </w:p>
    <w:p w14:paraId="7E53C155" w14:textId="55CF6E01" w:rsidR="0050306B" w:rsidRPr="00F52884" w:rsidRDefault="0050306B" w:rsidP="0050306B">
      <w:pPr>
        <w:rPr>
          <w:rFonts w:eastAsia="Calibri" w:cstheme="minorHAnsi"/>
          <w:szCs w:val="23"/>
          <w:lang w:val="fr-CA"/>
        </w:rPr>
      </w:pPr>
      <w:r w:rsidRPr="00F52884">
        <w:rPr>
          <w:rFonts w:eastAsia="Calibri" w:cstheme="minorHAnsi"/>
          <w:szCs w:val="23"/>
          <w:lang w:val="fr-CA"/>
        </w:rPr>
        <w:br/>
        <w:t xml:space="preserve">4. </w:t>
      </w:r>
      <w:r w:rsidRPr="00F52884">
        <w:rPr>
          <w:rFonts w:eastAsia="Calibri" w:cstheme="minorHAnsi"/>
          <w:szCs w:val="23"/>
          <w:lang w:val="fr-CA"/>
        </w:rPr>
        <w:tab/>
        <w:t>Une entité contractante ne sollicite ni n’accepte, d’une manière qui aurait pour effet d’empêcher la concurrence, un avis pouvant être utilisé pour l’établissement ou l’adoption d’une spécification technique relative à un marché déterminé, de la part d’une personne qui pourrait avoir un intérêt commercial dans le marché.</w:t>
      </w:r>
    </w:p>
    <w:p w14:paraId="6E2CD98E" w14:textId="77777777" w:rsidR="0050306B" w:rsidRPr="00F52884" w:rsidRDefault="0050306B" w:rsidP="0050306B">
      <w:pPr>
        <w:rPr>
          <w:rFonts w:eastAsia="Calibri" w:cstheme="minorHAnsi"/>
          <w:szCs w:val="23"/>
          <w:lang w:val="fr-CA"/>
        </w:rPr>
      </w:pPr>
    </w:p>
    <w:p w14:paraId="49A30A35" w14:textId="11BBFF7F"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5. </w:t>
      </w:r>
      <w:r w:rsidRPr="00F52884">
        <w:rPr>
          <w:rFonts w:eastAsia="Calibri" w:cstheme="minorHAnsi"/>
          <w:szCs w:val="23"/>
          <w:lang w:val="fr-CA"/>
        </w:rPr>
        <w:tab/>
        <w:t>Il est entendu qu’une Partie, y compris ses entités contractantes, peut, en conformité avec le présent article, établir, adopter ou appliquer des spécifications techniques pour encourager la préservation des ressources naturelles ou protéger l’environnement.</w:t>
      </w:r>
    </w:p>
    <w:p w14:paraId="0ECB6335" w14:textId="77777777" w:rsidR="0050306B" w:rsidRPr="00F52884" w:rsidRDefault="0050306B" w:rsidP="0050306B">
      <w:pPr>
        <w:rPr>
          <w:rFonts w:eastAsia="Calibri" w:cstheme="minorHAnsi"/>
          <w:szCs w:val="23"/>
          <w:lang w:val="fr-CA"/>
        </w:rPr>
      </w:pPr>
    </w:p>
    <w:p w14:paraId="2BA99477" w14:textId="464064F7"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6. </w:t>
      </w:r>
      <w:r w:rsidRPr="00F52884">
        <w:rPr>
          <w:rFonts w:eastAsia="Calibri" w:cstheme="minorHAnsi"/>
          <w:szCs w:val="23"/>
          <w:lang w:val="fr-CA"/>
        </w:rPr>
        <w:tab/>
        <w:t xml:space="preserve">Il est entendu que le présent chapitre ne vise pas à empêcher une Partie, y compris ses entités contractantes, d’établir, d’adopter ou d’appliquer les spécifications techniques qu’elle estime nécessaires pour protéger des renseignements gouvernementaux de nature </w:t>
      </w:r>
      <w:r w:rsidRPr="00F52884">
        <w:rPr>
          <w:rFonts w:eastAsia="Calibri" w:cstheme="minorHAnsi"/>
          <w:szCs w:val="23"/>
          <w:lang w:val="fr-CA"/>
        </w:rPr>
        <w:lastRenderedPageBreak/>
        <w:t>délicate, y compris les spécifications susceptibles d’affecter ou de limiter le stockage, l’hébergement ou le traitement de ces renseignements à l’extérieur du Canada. Pour l’application du présent paragraphe, les « renseignements gouvernementaux » comprennent les renseignements de tiers détenus par le gouvernement ou pour son compte, et les renseignements « de nature délicate » comprennent les renseignements confidentiels, classifiés ou autrement protégés.</w:t>
      </w:r>
    </w:p>
    <w:p w14:paraId="23B15327" w14:textId="77777777" w:rsidR="0050306B" w:rsidRPr="00F52884" w:rsidRDefault="0050306B" w:rsidP="0050306B">
      <w:pPr>
        <w:rPr>
          <w:rFonts w:eastAsia="Calibri" w:cstheme="minorHAnsi"/>
          <w:i/>
          <w:iCs/>
          <w:szCs w:val="23"/>
          <w:lang w:val="fr-CA"/>
        </w:rPr>
      </w:pPr>
    </w:p>
    <w:p w14:paraId="64CFC24D" w14:textId="2EF81C2A" w:rsidR="0050306B" w:rsidRPr="00F52884" w:rsidRDefault="0050306B" w:rsidP="0050306B">
      <w:pPr>
        <w:rPr>
          <w:rFonts w:eastAsia="Calibri" w:cstheme="minorHAnsi"/>
          <w:i/>
          <w:szCs w:val="23"/>
          <w:lang w:val="fr-CA"/>
        </w:rPr>
      </w:pPr>
      <w:r w:rsidRPr="00F52884">
        <w:rPr>
          <w:rFonts w:eastAsia="Calibri" w:cstheme="minorHAnsi"/>
          <w:i/>
          <w:iCs/>
          <w:szCs w:val="23"/>
          <w:lang w:val="fr-CA"/>
        </w:rPr>
        <w:t>Documentation relative à l’appel d’offres</w:t>
      </w:r>
    </w:p>
    <w:p w14:paraId="115DFA96" w14:textId="77777777" w:rsidR="0050306B" w:rsidRPr="00F52884" w:rsidRDefault="0050306B" w:rsidP="0050306B">
      <w:pPr>
        <w:rPr>
          <w:rFonts w:eastAsia="Calibri" w:cstheme="minorHAnsi"/>
          <w:szCs w:val="23"/>
          <w:u w:val="single"/>
          <w:lang w:val="fr-CA"/>
        </w:rPr>
      </w:pPr>
    </w:p>
    <w:p w14:paraId="5D631492" w14:textId="3E2191C1"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7. </w:t>
      </w:r>
      <w:r w:rsidRPr="00F52884">
        <w:rPr>
          <w:rFonts w:eastAsia="Calibri" w:cstheme="minorHAnsi"/>
          <w:szCs w:val="23"/>
          <w:lang w:val="fr-CA"/>
        </w:rPr>
        <w:tab/>
        <w:t>Une entité contractante met à la disposition des fournisseurs la documentation relative à l’appel d’offres qui contient tous les renseignements nécessaires pour qu’ils puissent préparer et présenter des soumissions valables. La documentation relative à l’appel d’offres contient tous les détails pertinents concernant :</w:t>
      </w:r>
    </w:p>
    <w:p w14:paraId="3D191B34" w14:textId="77777777" w:rsidR="0050306B" w:rsidRPr="00F52884" w:rsidRDefault="0050306B" w:rsidP="0050306B">
      <w:pPr>
        <w:rPr>
          <w:rFonts w:eastAsia="Calibri" w:cstheme="minorHAnsi"/>
          <w:szCs w:val="23"/>
          <w:lang w:val="fr-CA"/>
        </w:rPr>
      </w:pPr>
    </w:p>
    <w:p w14:paraId="07355E87" w14:textId="28E15D86" w:rsidR="0050306B" w:rsidRPr="00F52884" w:rsidRDefault="0050306B" w:rsidP="00CF31F2">
      <w:pPr>
        <w:ind w:left="1440" w:hanging="720"/>
        <w:rPr>
          <w:rFonts w:eastAsia="Calibri" w:cstheme="minorHAnsi"/>
          <w:szCs w:val="23"/>
          <w:lang w:val="fr-CA"/>
        </w:rPr>
      </w:pPr>
      <w:r w:rsidRPr="00F52884">
        <w:rPr>
          <w:rFonts w:eastAsia="Calibri" w:cstheme="minorHAnsi"/>
          <w:szCs w:val="23"/>
          <w:lang w:val="fr-CA"/>
        </w:rPr>
        <w:t xml:space="preserve">a) </w:t>
      </w:r>
      <w:r w:rsidRPr="00F52884">
        <w:rPr>
          <w:rFonts w:eastAsia="Calibri" w:cstheme="minorHAnsi"/>
          <w:szCs w:val="23"/>
          <w:lang w:val="fr-CA"/>
        </w:rPr>
        <w:tab/>
        <w:t>les critères d’évaluation qui seront appliqués dans l’évaluation des soumissions, y compris les méthodes de pondération et d’évaluation, à moins que le prix ne soit le seul critère;</w:t>
      </w:r>
    </w:p>
    <w:p w14:paraId="25782335" w14:textId="77777777" w:rsidR="0050306B" w:rsidRPr="00F52884" w:rsidRDefault="0050306B" w:rsidP="00CF31F2">
      <w:pPr>
        <w:ind w:left="1440" w:hanging="720"/>
        <w:rPr>
          <w:rFonts w:eastAsia="Calibri" w:cstheme="minorHAnsi"/>
          <w:szCs w:val="23"/>
          <w:lang w:val="fr-CA"/>
        </w:rPr>
      </w:pPr>
    </w:p>
    <w:p w14:paraId="0CEB6AA5" w14:textId="7ED2D5E5" w:rsidR="0050306B" w:rsidRPr="00F52884" w:rsidRDefault="0050306B" w:rsidP="00CF31F2">
      <w:pPr>
        <w:ind w:left="1440" w:hanging="720"/>
        <w:rPr>
          <w:rFonts w:eastAsia="Calibri" w:cstheme="minorHAnsi"/>
          <w:szCs w:val="23"/>
          <w:lang w:val="fr-CA"/>
        </w:rPr>
      </w:pPr>
      <w:r w:rsidRPr="00F52884">
        <w:rPr>
          <w:rFonts w:eastAsia="Calibri" w:cstheme="minorHAnsi"/>
          <w:szCs w:val="23"/>
          <w:lang w:val="fr-CA"/>
        </w:rPr>
        <w:t xml:space="preserve">b) </w:t>
      </w:r>
      <w:r w:rsidRPr="00F52884">
        <w:rPr>
          <w:rFonts w:eastAsia="Calibri" w:cstheme="minorHAnsi"/>
          <w:szCs w:val="23"/>
          <w:lang w:val="fr-CA"/>
        </w:rPr>
        <w:tab/>
        <w:t>les prescriptions auxquelles le fournisseur doit satisfaire et les modalités et conditions applicables aux soumissions, y compris, le cas échéant :</w:t>
      </w:r>
    </w:p>
    <w:p w14:paraId="3E66ECDF" w14:textId="77777777" w:rsidR="0050306B" w:rsidRPr="00F52884" w:rsidRDefault="0050306B" w:rsidP="0050306B">
      <w:pPr>
        <w:ind w:left="1304" w:hanging="629"/>
        <w:rPr>
          <w:rFonts w:eastAsia="Calibri" w:cstheme="minorHAnsi"/>
          <w:szCs w:val="23"/>
          <w:lang w:val="fr-CA"/>
        </w:rPr>
      </w:pPr>
    </w:p>
    <w:p w14:paraId="0D99F1F2" w14:textId="7964B77C" w:rsidR="0050306B" w:rsidRPr="00F52884" w:rsidRDefault="0050306B" w:rsidP="00C47560">
      <w:pPr>
        <w:pStyle w:val="ListParagraph"/>
        <w:numPr>
          <w:ilvl w:val="2"/>
          <w:numId w:val="367"/>
        </w:numPr>
        <w:ind w:left="2160" w:hanging="450"/>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spécifications techniques,</w:t>
      </w:r>
    </w:p>
    <w:p w14:paraId="65E3769A" w14:textId="77777777" w:rsidR="0050306B" w:rsidRPr="00F52884" w:rsidRDefault="0050306B" w:rsidP="00C47560">
      <w:pPr>
        <w:pStyle w:val="ListParagraph"/>
        <w:ind w:left="2160" w:hanging="450"/>
        <w:rPr>
          <w:rFonts w:eastAsia="Calibri" w:cstheme="minorHAnsi"/>
          <w:szCs w:val="23"/>
          <w:lang w:val="fr-CA"/>
        </w:rPr>
      </w:pPr>
    </w:p>
    <w:p w14:paraId="6249D9CB" w14:textId="5D5435CB" w:rsidR="0050306B" w:rsidRPr="00F52884" w:rsidRDefault="0050306B" w:rsidP="00C47560">
      <w:pPr>
        <w:pStyle w:val="ListParagraph"/>
        <w:numPr>
          <w:ilvl w:val="2"/>
          <w:numId w:val="367"/>
        </w:numPr>
        <w:ind w:left="2160" w:hanging="450"/>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prescriptions liées au service offert ou à la garantie,</w:t>
      </w:r>
    </w:p>
    <w:p w14:paraId="46353782" w14:textId="77777777" w:rsidR="0050306B" w:rsidRPr="00F52884" w:rsidRDefault="0050306B" w:rsidP="00C47560">
      <w:pPr>
        <w:ind w:left="2160" w:hanging="450"/>
        <w:rPr>
          <w:rFonts w:eastAsia="Calibri" w:cstheme="minorHAnsi"/>
          <w:szCs w:val="23"/>
          <w:lang w:val="fr-CA"/>
        </w:rPr>
      </w:pPr>
    </w:p>
    <w:p w14:paraId="029F4C40" w14:textId="02A088C3" w:rsidR="0050306B" w:rsidRPr="00F52884" w:rsidRDefault="0050306B" w:rsidP="00C47560">
      <w:pPr>
        <w:pStyle w:val="ListParagraph"/>
        <w:numPr>
          <w:ilvl w:val="2"/>
          <w:numId w:val="367"/>
        </w:numPr>
        <w:ind w:left="2160" w:hanging="450"/>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coûts de transition, </w:t>
      </w:r>
    </w:p>
    <w:p w14:paraId="343CD472" w14:textId="77777777" w:rsidR="0050306B" w:rsidRPr="00F52884" w:rsidRDefault="0050306B" w:rsidP="00C47560">
      <w:pPr>
        <w:pStyle w:val="ListParagraph"/>
        <w:ind w:left="2160" w:hanging="450"/>
        <w:rPr>
          <w:rFonts w:eastAsia="Calibri" w:cstheme="minorHAnsi"/>
          <w:szCs w:val="23"/>
          <w:lang w:val="fr-CA"/>
        </w:rPr>
      </w:pPr>
    </w:p>
    <w:p w14:paraId="6E04C8D2" w14:textId="5F4C5EC3" w:rsidR="00C47560" w:rsidRPr="00F52884" w:rsidRDefault="0050306B" w:rsidP="00C47560">
      <w:pPr>
        <w:pStyle w:val="ListParagraph"/>
        <w:numPr>
          <w:ilvl w:val="2"/>
          <w:numId w:val="367"/>
        </w:numPr>
        <w:ind w:left="2160" w:hanging="450"/>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certification de conformité, les plans, les dessins ou les instructions applicables,</w:t>
      </w:r>
    </w:p>
    <w:p w14:paraId="619F397A" w14:textId="77777777" w:rsidR="00C47560" w:rsidRPr="00F52884" w:rsidRDefault="00C47560" w:rsidP="00C47560">
      <w:pPr>
        <w:pStyle w:val="ListParagraph"/>
        <w:ind w:hanging="450"/>
        <w:rPr>
          <w:rFonts w:eastAsia="Calibri" w:cstheme="minorHAnsi"/>
          <w:szCs w:val="23"/>
          <w:lang w:val="fr-CA"/>
        </w:rPr>
      </w:pPr>
    </w:p>
    <w:p w14:paraId="31A3140E" w14:textId="570F132A" w:rsidR="0050306B" w:rsidRPr="00F52884" w:rsidRDefault="0050306B" w:rsidP="00C47560">
      <w:pPr>
        <w:pStyle w:val="ListParagraph"/>
        <w:numPr>
          <w:ilvl w:val="2"/>
          <w:numId w:val="367"/>
        </w:numPr>
        <w:ind w:left="2160" w:hanging="450"/>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prescriptions concernant la présentation des soumissions. </w:t>
      </w:r>
    </w:p>
    <w:p w14:paraId="58453906" w14:textId="3AAA4875" w:rsidR="0050306B" w:rsidRPr="00F52884" w:rsidRDefault="0050306B" w:rsidP="0050306B">
      <w:pPr>
        <w:rPr>
          <w:rFonts w:eastAsia="Calibri" w:cstheme="minorHAnsi"/>
          <w:szCs w:val="23"/>
          <w:lang w:val="fr-CA"/>
        </w:rPr>
      </w:pPr>
      <w:r w:rsidRPr="00F52884">
        <w:rPr>
          <w:rFonts w:eastAsia="Calibri" w:cstheme="minorHAnsi"/>
          <w:szCs w:val="23"/>
          <w:lang w:val="fr-CA"/>
        </w:rPr>
        <w:br/>
        <w:t xml:space="preserve">8. </w:t>
      </w:r>
      <w:r w:rsidRPr="00F52884">
        <w:rPr>
          <w:rFonts w:eastAsia="Calibri" w:cstheme="minorHAnsi"/>
          <w:szCs w:val="23"/>
          <w:lang w:val="fr-CA"/>
        </w:rPr>
        <w:tab/>
        <w:t>Lorsqu’elle fixe la date de livraison des produits ou de fourniture des services faisant l’objet du marché, une entité contractante tient compte de facteurs tels que la complexité du marché, l’importance des sous-traitances anticipées, et le temps objectivement nécessaire à la production, à la sortie de stock et au transport des produits à partir des lieux d’où ils sont fournis ou à la fourniture des services.</w:t>
      </w:r>
    </w:p>
    <w:p w14:paraId="72A97025" w14:textId="77777777" w:rsidR="0050306B" w:rsidRPr="00F52884" w:rsidRDefault="0050306B" w:rsidP="0050306B">
      <w:pPr>
        <w:rPr>
          <w:rFonts w:eastAsia="Calibri" w:cstheme="minorHAnsi"/>
          <w:b/>
          <w:szCs w:val="23"/>
          <w:lang w:val="fr-CA"/>
        </w:rPr>
      </w:pPr>
    </w:p>
    <w:p w14:paraId="69403AE4" w14:textId="77507AB7"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510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Modifications, clarifications ou renseignements nouveaux</w:t>
      </w:r>
    </w:p>
    <w:p w14:paraId="60203BFB" w14:textId="16E34404" w:rsidR="0050306B" w:rsidRPr="00F52884" w:rsidRDefault="0050306B" w:rsidP="0050306B">
      <w:pPr>
        <w:rPr>
          <w:rFonts w:eastAsia="Calibri" w:cstheme="minorHAnsi"/>
          <w:szCs w:val="23"/>
          <w:lang w:val="fr-CA"/>
        </w:rPr>
      </w:pPr>
      <w:r w:rsidRPr="00F52884">
        <w:rPr>
          <w:rFonts w:eastAsia="Calibri" w:cstheme="minorHAnsi"/>
          <w:szCs w:val="23"/>
          <w:lang w:val="fr-CA"/>
        </w:rPr>
        <w:br/>
        <w:t xml:space="preserve">1. </w:t>
      </w:r>
      <w:r w:rsidRPr="00F52884">
        <w:rPr>
          <w:rFonts w:eastAsia="Calibri" w:cstheme="minorHAnsi"/>
          <w:szCs w:val="23"/>
          <w:lang w:val="fr-CA"/>
        </w:rPr>
        <w:tab/>
        <w:t>Une entité contractante met à la disposition de tous les fournisseurs, d’une manière ouverte, équitable et en temps opportun, tout renseignement nouveau ou toute clarification des renseignements initiaux énoncés dans la documentation relative à l’appel d’offres qu’elle fournit en réponse aux questions d’un ou plusieurs fournisseurs.</w:t>
      </w:r>
    </w:p>
    <w:p w14:paraId="4FA9EF63" w14:textId="1557445C" w:rsidR="0050306B" w:rsidRPr="00F52884" w:rsidRDefault="0050306B" w:rsidP="0050306B">
      <w:pPr>
        <w:rPr>
          <w:rFonts w:eastAsia="Calibri" w:cstheme="minorHAnsi"/>
          <w:szCs w:val="23"/>
          <w:lang w:val="fr-CA"/>
        </w:rPr>
      </w:pPr>
      <w:r w:rsidRPr="00F52884">
        <w:rPr>
          <w:rFonts w:eastAsia="Calibri" w:cstheme="minorHAnsi"/>
          <w:szCs w:val="23"/>
          <w:lang w:val="fr-CA"/>
        </w:rPr>
        <w:br/>
        <w:t xml:space="preserve">2. </w:t>
      </w:r>
      <w:r w:rsidRPr="00F52884">
        <w:rPr>
          <w:rFonts w:eastAsia="Calibri" w:cstheme="minorHAnsi"/>
          <w:szCs w:val="23"/>
          <w:lang w:val="fr-CA"/>
        </w:rPr>
        <w:tab/>
        <w:t>Si, avant la date limite pour la présentation des soumissions, une entité contractante modifie les critères d’évaluation ou les prescriptions énoncés dans la documentation relative à l’appel d’offres, ou modifie ou fait paraître de nouveau un avis d’appel d’offres ou la documentation relative à l’appel d’offres, l’entité contractante :</w:t>
      </w:r>
    </w:p>
    <w:p w14:paraId="455195B0" w14:textId="77777777" w:rsidR="0050306B" w:rsidRPr="00F52884" w:rsidRDefault="0050306B" w:rsidP="0050306B">
      <w:pPr>
        <w:rPr>
          <w:rFonts w:eastAsia="Calibri" w:cstheme="minorHAnsi"/>
          <w:szCs w:val="23"/>
          <w:lang w:val="fr-CA"/>
        </w:rPr>
      </w:pPr>
    </w:p>
    <w:p w14:paraId="65E849EA" w14:textId="25515DA4" w:rsidR="0050306B" w:rsidRPr="00F52884" w:rsidRDefault="0050306B" w:rsidP="00CF31F2">
      <w:pPr>
        <w:ind w:left="1440" w:hanging="720"/>
        <w:rPr>
          <w:rFonts w:eastAsia="Calibri" w:cstheme="minorHAnsi"/>
          <w:szCs w:val="23"/>
          <w:lang w:val="fr-CA"/>
        </w:rPr>
      </w:pPr>
      <w:r w:rsidRPr="00F52884">
        <w:rPr>
          <w:rFonts w:eastAsia="Calibri" w:cstheme="minorHAnsi"/>
          <w:szCs w:val="23"/>
          <w:lang w:val="fr-CA"/>
        </w:rPr>
        <w:t xml:space="preserve">a) </w:t>
      </w:r>
      <w:r w:rsidRPr="00F52884">
        <w:rPr>
          <w:rFonts w:eastAsia="Calibri" w:cstheme="minorHAnsi"/>
          <w:szCs w:val="23"/>
          <w:lang w:val="fr-CA"/>
        </w:rPr>
        <w:tab/>
        <w:t>d’une part, publie les modifications ou la documentation relative à l’appel d’offres ou l’avis d’appel d’offres tels qu’ils ont été modifiés ou sont parus de nouveau sur le site Web ou le système d’appel d’offres utilisé par l’entité contractante;</w:t>
      </w:r>
    </w:p>
    <w:p w14:paraId="1B689311" w14:textId="77777777" w:rsidR="0050306B" w:rsidRPr="00F52884" w:rsidRDefault="0050306B" w:rsidP="00CF31F2">
      <w:pPr>
        <w:ind w:left="1440" w:hanging="720"/>
        <w:rPr>
          <w:rFonts w:eastAsia="Calibri" w:cstheme="minorHAnsi"/>
          <w:szCs w:val="23"/>
          <w:lang w:val="fr-CA"/>
        </w:rPr>
      </w:pPr>
    </w:p>
    <w:p w14:paraId="15DEACB9" w14:textId="4E18A79F" w:rsidR="0050306B" w:rsidRPr="00F52884" w:rsidRDefault="0050306B" w:rsidP="00CF31F2">
      <w:pPr>
        <w:ind w:left="1440" w:hanging="720"/>
        <w:rPr>
          <w:rFonts w:eastAsia="Calibri" w:cstheme="minorHAnsi"/>
          <w:b/>
          <w:szCs w:val="23"/>
          <w:lang w:val="fr-CA"/>
        </w:rPr>
      </w:pPr>
      <w:r w:rsidRPr="00F52884">
        <w:rPr>
          <w:rFonts w:eastAsia="Calibri" w:cstheme="minorHAnsi"/>
          <w:szCs w:val="23"/>
          <w:lang w:val="fr-CA"/>
        </w:rPr>
        <w:t xml:space="preserve">b) </w:t>
      </w:r>
      <w:r w:rsidRPr="00F52884">
        <w:rPr>
          <w:rFonts w:eastAsia="Calibri" w:cstheme="minorHAnsi"/>
          <w:szCs w:val="23"/>
          <w:lang w:val="fr-CA"/>
        </w:rPr>
        <w:tab/>
        <w:t>d’autre part, proroge, selon qu’il est approprié, le délai de présentation des soumissions pour permettre aux fournisseurs d’apporter des modifications et de représenter les soumissions modifiées.</w:t>
      </w:r>
    </w:p>
    <w:p w14:paraId="1A94FBDE" w14:textId="77777777" w:rsidR="0050306B" w:rsidRPr="00F52884" w:rsidRDefault="0050306B" w:rsidP="0050306B">
      <w:pPr>
        <w:jc w:val="center"/>
        <w:rPr>
          <w:rFonts w:eastAsia="Calibri" w:cstheme="minorHAnsi"/>
          <w:b/>
          <w:szCs w:val="23"/>
          <w:lang w:val="fr-CA"/>
        </w:rPr>
      </w:pPr>
    </w:p>
    <w:p w14:paraId="608F3223" w14:textId="5A5E778A"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511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Délais</w:t>
      </w:r>
    </w:p>
    <w:p w14:paraId="70835549" w14:textId="77777777" w:rsidR="0050306B" w:rsidRPr="00F52884" w:rsidRDefault="0050306B" w:rsidP="0050306B">
      <w:pPr>
        <w:rPr>
          <w:rFonts w:eastAsia="Calibri" w:cstheme="minorHAnsi"/>
          <w:szCs w:val="23"/>
          <w:lang w:val="fr-CA"/>
        </w:rPr>
      </w:pPr>
    </w:p>
    <w:p w14:paraId="796BB2EC" w14:textId="22E36378" w:rsidR="0050306B" w:rsidRPr="00F52884" w:rsidRDefault="0050306B" w:rsidP="0050306B">
      <w:pPr>
        <w:ind w:firstLine="720"/>
        <w:rPr>
          <w:rFonts w:eastAsia="Calibri" w:cstheme="minorHAnsi"/>
          <w:szCs w:val="23"/>
          <w:lang w:val="fr-CA"/>
        </w:rPr>
      </w:pPr>
      <w:r w:rsidRPr="00F52884">
        <w:rPr>
          <w:rFonts w:eastAsia="Calibri" w:cstheme="minorHAnsi"/>
          <w:szCs w:val="23"/>
          <w:lang w:val="fr-CA"/>
        </w:rPr>
        <w:t>Une entité contractante accorde, d’une manière compatible avec ses besoins raisonnables, un délai raisonnable aux fournisseurs pour préparer et présenter des soumissions valables, compte tenu de facteurs tels que :</w:t>
      </w:r>
      <w:r w:rsidRPr="00F52884">
        <w:rPr>
          <w:rFonts w:eastAsia="Calibri" w:cstheme="minorHAnsi"/>
          <w:szCs w:val="23"/>
          <w:lang w:val="fr-CA"/>
        </w:rPr>
        <w:br/>
      </w:r>
    </w:p>
    <w:p w14:paraId="33BC0D08" w14:textId="77777777" w:rsidR="0050306B" w:rsidRPr="00F52884" w:rsidRDefault="0050306B" w:rsidP="00CF31F2">
      <w:pPr>
        <w:numPr>
          <w:ilvl w:val="0"/>
          <w:numId w:val="368"/>
        </w:numPr>
        <w:ind w:hanging="720"/>
        <w:contextualSpacing/>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nature et la complexité du marché;</w:t>
      </w:r>
      <w:r w:rsidRPr="00F52884">
        <w:rPr>
          <w:rFonts w:eastAsia="Calibri" w:cstheme="minorHAnsi"/>
          <w:szCs w:val="23"/>
          <w:lang w:val="fr-CA"/>
        </w:rPr>
        <w:br/>
      </w:r>
    </w:p>
    <w:p w14:paraId="504CCB24" w14:textId="77777777" w:rsidR="0050306B" w:rsidRPr="00F52884" w:rsidRDefault="0050306B" w:rsidP="00CF31F2">
      <w:pPr>
        <w:numPr>
          <w:ilvl w:val="0"/>
          <w:numId w:val="368"/>
        </w:numPr>
        <w:ind w:hanging="720"/>
        <w:contextualSpacing/>
        <w:rPr>
          <w:rFonts w:eastAsia="Calibri" w:cstheme="minorHAnsi"/>
          <w:szCs w:val="23"/>
          <w:lang w:val="fr-CA"/>
        </w:rPr>
      </w:pPr>
      <w:proofErr w:type="gramStart"/>
      <w:r w:rsidRPr="00F52884">
        <w:rPr>
          <w:rFonts w:eastAsia="Calibri" w:cstheme="minorHAnsi"/>
          <w:szCs w:val="23"/>
          <w:lang w:val="fr-CA"/>
        </w:rPr>
        <w:t>l’importance</w:t>
      </w:r>
      <w:proofErr w:type="gramEnd"/>
      <w:r w:rsidRPr="00F52884">
        <w:rPr>
          <w:rFonts w:eastAsia="Calibri" w:cstheme="minorHAnsi"/>
          <w:szCs w:val="23"/>
          <w:lang w:val="fr-CA"/>
        </w:rPr>
        <w:t xml:space="preserve"> des sous-traitances anticipées;</w:t>
      </w:r>
      <w:r w:rsidRPr="00F52884">
        <w:rPr>
          <w:rFonts w:eastAsia="Calibri" w:cstheme="minorHAnsi"/>
          <w:szCs w:val="23"/>
          <w:lang w:val="fr-CA"/>
        </w:rPr>
        <w:br/>
      </w:r>
    </w:p>
    <w:p w14:paraId="2D19F8C0" w14:textId="086BAADE" w:rsidR="0050306B" w:rsidRPr="00F52884" w:rsidRDefault="0050306B" w:rsidP="00CF31F2">
      <w:pPr>
        <w:numPr>
          <w:ilvl w:val="0"/>
          <w:numId w:val="368"/>
        </w:numPr>
        <w:ind w:hanging="720"/>
        <w:contextualSpacing/>
        <w:rPr>
          <w:rFonts w:eastAsia="Calibri" w:cstheme="minorHAnsi"/>
          <w:b/>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temps nécessaire pour l’acheminement de la documentation relative à l’appel d’offres par voie non électronique. </w:t>
      </w:r>
      <w:r w:rsidRPr="00F52884">
        <w:rPr>
          <w:rFonts w:eastAsia="Calibri" w:cstheme="minorHAnsi"/>
          <w:szCs w:val="23"/>
          <w:lang w:val="fr-CA"/>
        </w:rPr>
        <w:br/>
      </w:r>
    </w:p>
    <w:p w14:paraId="58689AF7" w14:textId="2586C9F0"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512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Négociation</w:t>
      </w:r>
    </w:p>
    <w:p w14:paraId="400DDEEE" w14:textId="77777777" w:rsidR="0050306B" w:rsidRPr="00F52884" w:rsidRDefault="0050306B" w:rsidP="0050306B">
      <w:pPr>
        <w:rPr>
          <w:rFonts w:eastAsia="Calibri" w:cstheme="minorHAnsi"/>
          <w:b/>
          <w:szCs w:val="23"/>
          <w:lang w:val="fr-CA"/>
        </w:rPr>
      </w:pPr>
    </w:p>
    <w:p w14:paraId="6F2E2B32" w14:textId="52384D4C" w:rsidR="0050306B" w:rsidRPr="00F52884" w:rsidRDefault="0050306B" w:rsidP="0050306B">
      <w:pPr>
        <w:rPr>
          <w:rFonts w:eastAsia="Calibri" w:cstheme="minorHAnsi"/>
          <w:szCs w:val="23"/>
          <w:lang w:val="fr-CA"/>
        </w:rPr>
      </w:pPr>
      <w:r w:rsidRPr="00F52884">
        <w:rPr>
          <w:rFonts w:eastAsia="Calibri" w:cstheme="minorHAnsi"/>
          <w:szCs w:val="23"/>
          <w:lang w:val="fr-CA"/>
        </w:rPr>
        <w:t>1.</w:t>
      </w:r>
      <w:r w:rsidRPr="00F52884">
        <w:rPr>
          <w:rFonts w:eastAsia="Calibri" w:cstheme="minorHAnsi"/>
          <w:szCs w:val="23"/>
          <w:lang w:val="fr-CA"/>
        </w:rPr>
        <w:tab/>
        <w:t xml:space="preserve">Si cela est compatible avec sa législation, une Partie peut prévoir que ses entités contractantes procèdent à des négociations avec les fournisseurs si, selon </w:t>
      </w:r>
      <w:proofErr w:type="gramStart"/>
      <w:r w:rsidRPr="00F52884">
        <w:rPr>
          <w:rFonts w:eastAsia="Calibri" w:cstheme="minorHAnsi"/>
          <w:szCs w:val="23"/>
          <w:lang w:val="fr-CA"/>
        </w:rPr>
        <w:t>le  cas</w:t>
      </w:r>
      <w:proofErr w:type="gramEnd"/>
      <w:r w:rsidRPr="00F52884">
        <w:rPr>
          <w:rFonts w:eastAsia="Calibri" w:cstheme="minorHAnsi"/>
          <w:szCs w:val="23"/>
          <w:lang w:val="fr-CA"/>
        </w:rPr>
        <w:t> :</w:t>
      </w:r>
    </w:p>
    <w:p w14:paraId="593C1C17" w14:textId="77777777" w:rsidR="0050306B" w:rsidRPr="00F52884" w:rsidRDefault="0050306B" w:rsidP="0050306B">
      <w:pPr>
        <w:rPr>
          <w:rFonts w:eastAsia="Calibri" w:cstheme="minorHAnsi"/>
          <w:szCs w:val="23"/>
          <w:lang w:val="fr-CA"/>
        </w:rPr>
      </w:pPr>
    </w:p>
    <w:p w14:paraId="720E932A" w14:textId="1DA7A2BE" w:rsidR="0050306B" w:rsidRPr="00F52884" w:rsidRDefault="0050306B" w:rsidP="00CF31F2">
      <w:pPr>
        <w:ind w:left="1440" w:hanging="720"/>
        <w:rPr>
          <w:rFonts w:eastAsia="Calibri" w:cstheme="minorHAnsi"/>
          <w:szCs w:val="23"/>
          <w:lang w:val="fr-CA"/>
        </w:rPr>
      </w:pPr>
      <w:r w:rsidRPr="00F52884">
        <w:rPr>
          <w:rFonts w:eastAsia="Calibri" w:cstheme="minorHAnsi"/>
          <w:szCs w:val="23"/>
          <w:lang w:val="fr-CA"/>
        </w:rPr>
        <w:t>a)</w:t>
      </w:r>
      <w:r w:rsidRPr="00F52884">
        <w:rPr>
          <w:rFonts w:eastAsia="Calibri" w:cstheme="minorHAnsi"/>
          <w:szCs w:val="23"/>
          <w:lang w:val="fr-CA"/>
        </w:rPr>
        <w:tab/>
        <w:t>l’entité contractante a indiqué son intention de procéder à des négociations dans l’avis d’appel d’offres requis à l’article 506;</w:t>
      </w:r>
    </w:p>
    <w:p w14:paraId="3430B948" w14:textId="77777777" w:rsidR="0050306B" w:rsidRPr="00F52884" w:rsidRDefault="0050306B" w:rsidP="00CF31F2">
      <w:pPr>
        <w:ind w:left="1440" w:hanging="720"/>
        <w:rPr>
          <w:rFonts w:eastAsia="Calibri" w:cstheme="minorHAnsi"/>
          <w:szCs w:val="23"/>
          <w:lang w:val="fr-CA"/>
        </w:rPr>
      </w:pPr>
    </w:p>
    <w:p w14:paraId="4C40BEEB" w14:textId="15CABE7C" w:rsidR="0050306B" w:rsidRPr="00F52884" w:rsidRDefault="0050306B" w:rsidP="00CF31F2">
      <w:pPr>
        <w:ind w:left="1440" w:hanging="720"/>
        <w:rPr>
          <w:rFonts w:eastAsia="Calibri" w:cstheme="minorHAnsi"/>
          <w:szCs w:val="23"/>
          <w:lang w:val="fr-CA"/>
        </w:rPr>
      </w:pPr>
      <w:r w:rsidRPr="00F52884">
        <w:rPr>
          <w:rFonts w:cstheme="minorHAnsi"/>
          <w:szCs w:val="23"/>
          <w:lang w:val="fr-CA"/>
        </w:rPr>
        <w:t>b)</w:t>
      </w:r>
      <w:r w:rsidRPr="00F52884">
        <w:rPr>
          <w:rFonts w:cstheme="minorHAnsi"/>
          <w:szCs w:val="23"/>
          <w:lang w:val="fr-CA"/>
        </w:rPr>
        <w:tab/>
        <w:t>il apparaît d’après l’évaluation de l’entité contractante qu’aucune soumission n’est manifestement la plus avantageuse selon les critères d’évaluation spécifiques énoncés dans la documentation relative à l’appel d’offres.</w:t>
      </w:r>
    </w:p>
    <w:p w14:paraId="6AE92D50" w14:textId="77777777" w:rsidR="0050306B" w:rsidRPr="00F52884" w:rsidRDefault="0050306B" w:rsidP="0050306B">
      <w:pPr>
        <w:rPr>
          <w:rFonts w:eastAsia="Calibri" w:cstheme="minorHAnsi"/>
          <w:szCs w:val="23"/>
          <w:lang w:val="fr-CA"/>
        </w:rPr>
      </w:pPr>
    </w:p>
    <w:p w14:paraId="0E7C3E24" w14:textId="30F91774" w:rsidR="0050306B" w:rsidRPr="00F52884" w:rsidRDefault="0050306B" w:rsidP="0050306B">
      <w:pPr>
        <w:rPr>
          <w:rFonts w:eastAsia="Calibri" w:cstheme="minorHAnsi"/>
          <w:szCs w:val="23"/>
          <w:lang w:val="fr-CA"/>
        </w:rPr>
      </w:pPr>
      <w:r w:rsidRPr="00F52884">
        <w:rPr>
          <w:rFonts w:eastAsia="Calibri" w:cstheme="minorHAnsi"/>
          <w:szCs w:val="23"/>
          <w:lang w:val="fr-CA"/>
        </w:rPr>
        <w:t>2.</w:t>
      </w:r>
      <w:r w:rsidRPr="00F52884">
        <w:rPr>
          <w:rFonts w:eastAsia="Calibri" w:cstheme="minorHAnsi"/>
          <w:szCs w:val="23"/>
          <w:lang w:val="fr-CA"/>
        </w:rPr>
        <w:tab/>
        <w:t>Une entité contractante fait en sorte que l’élimination de fournisseurs participant aux négociations se fasse selon les critères d’évaluation énoncés dans la documentation relative à l’appel d’offres, et, selon le cas :</w:t>
      </w:r>
    </w:p>
    <w:p w14:paraId="4F68AA18" w14:textId="77777777" w:rsidR="0050306B" w:rsidRPr="00F52884" w:rsidRDefault="0050306B" w:rsidP="0050306B">
      <w:pPr>
        <w:ind w:left="1440"/>
        <w:contextualSpacing/>
        <w:rPr>
          <w:rFonts w:eastAsia="Calibri" w:cstheme="minorHAnsi"/>
          <w:szCs w:val="23"/>
          <w:lang w:val="fr-CA"/>
        </w:rPr>
      </w:pPr>
    </w:p>
    <w:p w14:paraId="7D522B57" w14:textId="4A16AF00" w:rsidR="0050306B" w:rsidRPr="00F52884" w:rsidRDefault="0050306B" w:rsidP="00CF31F2">
      <w:pPr>
        <w:numPr>
          <w:ilvl w:val="0"/>
          <w:numId w:val="369"/>
        </w:numPr>
        <w:ind w:hanging="720"/>
        <w:contextualSpacing/>
        <w:rPr>
          <w:rFonts w:cstheme="minorHAnsi"/>
          <w:szCs w:val="23"/>
          <w:lang w:val="fr-CA"/>
        </w:rPr>
      </w:pPr>
      <w:proofErr w:type="gramStart"/>
      <w:r w:rsidRPr="00F52884">
        <w:rPr>
          <w:rFonts w:cstheme="minorHAnsi"/>
          <w:szCs w:val="23"/>
          <w:lang w:val="fr-CA"/>
        </w:rPr>
        <w:t>si</w:t>
      </w:r>
      <w:proofErr w:type="gramEnd"/>
      <w:r w:rsidRPr="00F52884">
        <w:rPr>
          <w:rFonts w:cstheme="minorHAnsi"/>
          <w:szCs w:val="23"/>
          <w:lang w:val="fr-CA"/>
        </w:rPr>
        <w:t xml:space="preserve"> les négociations sont menées simultanément avec plusieurs fournisseurs, elle prévoit la même échéance pour la présentation de toutes soumissions nouvelles ou révisées pour les fournisseurs participants;</w:t>
      </w:r>
    </w:p>
    <w:p w14:paraId="54559387" w14:textId="77777777" w:rsidR="0050306B" w:rsidRPr="00F52884" w:rsidRDefault="0050306B" w:rsidP="00CF31F2">
      <w:pPr>
        <w:ind w:left="1440" w:hanging="720"/>
        <w:rPr>
          <w:rFonts w:cstheme="minorHAnsi"/>
          <w:szCs w:val="23"/>
          <w:lang w:val="fr-CA"/>
        </w:rPr>
      </w:pPr>
    </w:p>
    <w:p w14:paraId="720983AC" w14:textId="6E1E972E" w:rsidR="0050306B" w:rsidRPr="00F52884" w:rsidRDefault="0050306B" w:rsidP="00CF31F2">
      <w:pPr>
        <w:numPr>
          <w:ilvl w:val="0"/>
          <w:numId w:val="369"/>
        </w:numPr>
        <w:ind w:hanging="720"/>
        <w:contextualSpacing/>
        <w:rPr>
          <w:rFonts w:cstheme="minorHAnsi"/>
          <w:szCs w:val="23"/>
          <w:lang w:val="fr-CA"/>
        </w:rPr>
      </w:pPr>
      <w:proofErr w:type="gramStart"/>
      <w:r w:rsidRPr="00F52884">
        <w:rPr>
          <w:rFonts w:cstheme="minorHAnsi"/>
          <w:szCs w:val="23"/>
          <w:lang w:val="fr-CA"/>
        </w:rPr>
        <w:t>si</w:t>
      </w:r>
      <w:proofErr w:type="gramEnd"/>
      <w:r w:rsidRPr="00F52884">
        <w:rPr>
          <w:rFonts w:cstheme="minorHAnsi"/>
          <w:szCs w:val="23"/>
          <w:lang w:val="fr-CA"/>
        </w:rPr>
        <w:t xml:space="preserve"> les négociations sont menées consécutivement avec un fournisseur à la fois, elle prévoit une échéance pour la présentation de toute soumission nouvelle ou révisée pour le fournisseur participant avant d’engager des négociations avec le fournisseur classé au rang suivant.</w:t>
      </w:r>
    </w:p>
    <w:p w14:paraId="720D5152" w14:textId="77777777" w:rsidR="0050306B" w:rsidRPr="00F52884" w:rsidRDefault="0050306B" w:rsidP="0050306B">
      <w:pPr>
        <w:ind w:left="1440"/>
        <w:contextualSpacing/>
        <w:rPr>
          <w:rFonts w:eastAsia="Calibri" w:cstheme="minorHAnsi"/>
          <w:szCs w:val="23"/>
          <w:lang w:val="fr-CA"/>
        </w:rPr>
      </w:pPr>
    </w:p>
    <w:p w14:paraId="03F5B01A" w14:textId="71A543A1" w:rsidR="0050306B" w:rsidRPr="00F52884" w:rsidRDefault="0050306B" w:rsidP="0050306B">
      <w:pPr>
        <w:rPr>
          <w:rFonts w:eastAsia="Calibri" w:cstheme="minorHAnsi"/>
          <w:szCs w:val="23"/>
          <w:lang w:val="fr-CA"/>
        </w:rPr>
      </w:pPr>
      <w:r w:rsidRPr="00F52884">
        <w:rPr>
          <w:rFonts w:eastAsia="Calibri" w:cstheme="minorHAnsi"/>
          <w:szCs w:val="23"/>
          <w:lang w:val="fr-CA"/>
        </w:rPr>
        <w:lastRenderedPageBreak/>
        <w:t>3.</w:t>
      </w:r>
      <w:r w:rsidRPr="00F52884">
        <w:rPr>
          <w:rFonts w:eastAsia="Calibri" w:cstheme="minorHAnsi"/>
          <w:szCs w:val="23"/>
          <w:lang w:val="fr-CA"/>
        </w:rPr>
        <w:tab/>
        <w:t>Dans le cadre des négociations, une entité contractante n’accorde pas d’avantage indu à un fournisseur, et n’établit pas de discrimination à l’égard d’un fournisseur.</w:t>
      </w:r>
    </w:p>
    <w:p w14:paraId="03718BEC" w14:textId="77777777" w:rsidR="0050306B" w:rsidRPr="00F52884" w:rsidRDefault="0050306B" w:rsidP="0050306B">
      <w:pPr>
        <w:ind w:left="1440" w:hanging="720"/>
        <w:rPr>
          <w:rFonts w:eastAsia="Calibri" w:cstheme="minorHAnsi"/>
          <w:szCs w:val="23"/>
          <w:u w:val="single"/>
          <w:lang w:val="fr-CA"/>
        </w:rPr>
      </w:pPr>
    </w:p>
    <w:p w14:paraId="3611923C" w14:textId="77777777"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513 :</w:t>
      </w:r>
      <w:r w:rsidRPr="00F52884">
        <w:rPr>
          <w:rFonts w:eastAsia="Calibri" w:cstheme="minorHAnsi"/>
          <w:szCs w:val="23"/>
          <w:lang w:val="fr-CA"/>
        </w:rPr>
        <w:tab/>
      </w:r>
      <w:r w:rsidRPr="00F52884">
        <w:rPr>
          <w:rFonts w:eastAsia="Calibri" w:cstheme="minorHAnsi"/>
          <w:szCs w:val="23"/>
          <w:lang w:val="fr-CA"/>
        </w:rPr>
        <w:tab/>
      </w:r>
      <w:r w:rsidRPr="00F52884">
        <w:rPr>
          <w:rFonts w:eastAsia="Calibri" w:cstheme="minorHAnsi"/>
          <w:b/>
          <w:bCs/>
          <w:szCs w:val="23"/>
          <w:lang w:val="fr-CA"/>
        </w:rPr>
        <w:t>Appel d’offres limité</w:t>
      </w:r>
    </w:p>
    <w:p w14:paraId="5B23D5CC" w14:textId="77777777" w:rsidR="0050306B" w:rsidRPr="00F52884" w:rsidRDefault="0050306B" w:rsidP="0050306B">
      <w:pPr>
        <w:rPr>
          <w:rFonts w:eastAsia="Calibri" w:cstheme="minorHAnsi"/>
          <w:szCs w:val="23"/>
          <w:u w:val="single"/>
          <w:lang w:val="fr-CA"/>
        </w:rPr>
      </w:pPr>
    </w:p>
    <w:p w14:paraId="08CDD053" w14:textId="4E890C49" w:rsidR="0050306B" w:rsidRPr="00F52884" w:rsidRDefault="0050306B" w:rsidP="005042D0">
      <w:pPr>
        <w:pStyle w:val="ListParagraph"/>
        <w:numPr>
          <w:ilvl w:val="6"/>
          <w:numId w:val="367"/>
        </w:numPr>
        <w:ind w:left="0" w:firstLine="0"/>
        <w:rPr>
          <w:rFonts w:cstheme="minorHAnsi"/>
          <w:szCs w:val="23"/>
          <w:lang w:val="fr-CA"/>
        </w:rPr>
      </w:pPr>
      <w:r w:rsidRPr="00F52884">
        <w:rPr>
          <w:rFonts w:cstheme="minorHAnsi"/>
          <w:szCs w:val="23"/>
          <w:lang w:val="fr-CA"/>
        </w:rPr>
        <w:t>Sous réserve des paragraphes 2 et 3, et à condition qu’elle n’utilise pas la présente disposition dans le but d’éviter la concurrence entre les fournisseurs ou d’une manière qui établit une discrimination à l’égard des fournisseurs de toute autre Partie ou protège ses propres fournisseurs, une entité contractante peut recourir à l’appel d’offres limité dans les circonstances suivantes :</w:t>
      </w:r>
    </w:p>
    <w:p w14:paraId="5ABDB221" w14:textId="77777777" w:rsidR="0050306B" w:rsidRPr="00F52884" w:rsidRDefault="0050306B" w:rsidP="0050306B">
      <w:pPr>
        <w:rPr>
          <w:rFonts w:eastAsia="Calibri" w:cstheme="minorHAnsi"/>
          <w:szCs w:val="23"/>
          <w:lang w:val="fr-CA"/>
        </w:rPr>
      </w:pPr>
    </w:p>
    <w:p w14:paraId="3A677BBF" w14:textId="77777777" w:rsidR="0050306B" w:rsidRPr="00F52884" w:rsidRDefault="0050306B" w:rsidP="00CF31F2">
      <w:pPr>
        <w:numPr>
          <w:ilvl w:val="0"/>
          <w:numId w:val="370"/>
        </w:numPr>
        <w:ind w:left="1440" w:hanging="629"/>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selon le cas :</w:t>
      </w:r>
    </w:p>
    <w:p w14:paraId="2F032D79" w14:textId="77777777" w:rsidR="0050306B" w:rsidRPr="00F52884" w:rsidRDefault="0050306B" w:rsidP="0050306B">
      <w:pPr>
        <w:ind w:left="1440"/>
        <w:contextualSpacing/>
        <w:rPr>
          <w:rFonts w:eastAsia="Calibri" w:cstheme="minorHAnsi"/>
          <w:szCs w:val="23"/>
          <w:lang w:val="fr-CA"/>
        </w:rPr>
      </w:pPr>
    </w:p>
    <w:p w14:paraId="27F441B1" w14:textId="476D9ADE" w:rsidR="0050306B" w:rsidRPr="00F52884" w:rsidRDefault="0050306B" w:rsidP="00C47560">
      <w:pPr>
        <w:numPr>
          <w:ilvl w:val="0"/>
          <w:numId w:val="371"/>
        </w:numPr>
        <w:ind w:left="2160" w:hanging="450"/>
        <w:contextualSpacing/>
        <w:rPr>
          <w:rFonts w:eastAsia="Calibri" w:cstheme="minorHAnsi"/>
          <w:szCs w:val="23"/>
          <w:lang w:val="fr-CA"/>
        </w:rPr>
      </w:pPr>
      <w:proofErr w:type="gramStart"/>
      <w:r w:rsidRPr="00F52884">
        <w:rPr>
          <w:rFonts w:eastAsia="Calibri" w:cstheme="minorHAnsi"/>
          <w:szCs w:val="23"/>
          <w:lang w:val="fr-CA"/>
        </w:rPr>
        <w:t>aucune</w:t>
      </w:r>
      <w:proofErr w:type="gramEnd"/>
      <w:r w:rsidRPr="00F52884">
        <w:rPr>
          <w:rFonts w:eastAsia="Calibri" w:cstheme="minorHAnsi"/>
          <w:szCs w:val="23"/>
          <w:lang w:val="fr-CA"/>
        </w:rPr>
        <w:t xml:space="preserve"> soumission n’a été présentée ou aucun fournisseur n’a demandé à participer,</w:t>
      </w:r>
    </w:p>
    <w:p w14:paraId="6088E8C2" w14:textId="77777777" w:rsidR="0050306B" w:rsidRPr="00F52884" w:rsidRDefault="0050306B" w:rsidP="00C47560">
      <w:pPr>
        <w:ind w:left="2160" w:hanging="450"/>
        <w:contextualSpacing/>
        <w:rPr>
          <w:rFonts w:eastAsia="Calibri" w:cstheme="minorHAnsi"/>
          <w:szCs w:val="23"/>
          <w:lang w:val="fr-CA"/>
        </w:rPr>
      </w:pPr>
    </w:p>
    <w:p w14:paraId="7F5642EC" w14:textId="45782E66" w:rsidR="0050306B" w:rsidRPr="00F52884" w:rsidRDefault="0050306B" w:rsidP="00C47560">
      <w:pPr>
        <w:numPr>
          <w:ilvl w:val="0"/>
          <w:numId w:val="371"/>
        </w:numPr>
        <w:ind w:left="2160" w:hanging="450"/>
        <w:contextualSpacing/>
        <w:rPr>
          <w:rFonts w:eastAsia="Calibri" w:cstheme="minorHAnsi"/>
          <w:szCs w:val="23"/>
          <w:lang w:val="fr-CA"/>
        </w:rPr>
      </w:pPr>
      <w:proofErr w:type="gramStart"/>
      <w:r w:rsidRPr="00F52884">
        <w:rPr>
          <w:rFonts w:eastAsia="Calibri" w:cstheme="minorHAnsi"/>
          <w:szCs w:val="23"/>
          <w:lang w:val="fr-CA"/>
        </w:rPr>
        <w:t>aucune</w:t>
      </w:r>
      <w:proofErr w:type="gramEnd"/>
      <w:r w:rsidRPr="00F52884">
        <w:rPr>
          <w:rFonts w:eastAsia="Calibri" w:cstheme="minorHAnsi"/>
          <w:szCs w:val="23"/>
          <w:lang w:val="fr-CA"/>
        </w:rPr>
        <w:t xml:space="preserve"> soumission conforme aux prescriptions essentielles énoncées dans la documentation relative à l’appel d’offres n’a été présentée,</w:t>
      </w:r>
    </w:p>
    <w:p w14:paraId="2B525FE1" w14:textId="77777777" w:rsidR="0050306B" w:rsidRPr="00F52884" w:rsidRDefault="0050306B" w:rsidP="00C47560">
      <w:pPr>
        <w:ind w:left="2160" w:hanging="450"/>
        <w:contextualSpacing/>
        <w:rPr>
          <w:rFonts w:eastAsia="Calibri" w:cstheme="minorHAnsi"/>
          <w:szCs w:val="23"/>
          <w:lang w:val="fr-CA"/>
        </w:rPr>
      </w:pPr>
    </w:p>
    <w:p w14:paraId="1235163B" w14:textId="2E98C7E3" w:rsidR="0050306B" w:rsidRPr="00F52884" w:rsidRDefault="0050306B" w:rsidP="00C47560">
      <w:pPr>
        <w:numPr>
          <w:ilvl w:val="0"/>
          <w:numId w:val="371"/>
        </w:numPr>
        <w:ind w:left="2160" w:hanging="450"/>
        <w:contextualSpacing/>
        <w:rPr>
          <w:rFonts w:eastAsia="Calibri" w:cstheme="minorHAnsi"/>
          <w:szCs w:val="23"/>
          <w:lang w:val="fr-CA"/>
        </w:rPr>
      </w:pPr>
      <w:proofErr w:type="gramStart"/>
      <w:r w:rsidRPr="00F52884">
        <w:rPr>
          <w:rFonts w:eastAsia="Calibri" w:cstheme="minorHAnsi"/>
          <w:szCs w:val="23"/>
          <w:lang w:val="fr-CA"/>
        </w:rPr>
        <w:t>aucun</w:t>
      </w:r>
      <w:proofErr w:type="gramEnd"/>
      <w:r w:rsidRPr="00F52884">
        <w:rPr>
          <w:rFonts w:eastAsia="Calibri" w:cstheme="minorHAnsi"/>
          <w:szCs w:val="23"/>
          <w:lang w:val="fr-CA"/>
        </w:rPr>
        <w:t xml:space="preserve"> fournisseur ne satisfait aux conditions de participation, </w:t>
      </w:r>
    </w:p>
    <w:p w14:paraId="19A28098" w14:textId="77777777" w:rsidR="0050306B" w:rsidRPr="00F52884" w:rsidRDefault="0050306B" w:rsidP="00C47560">
      <w:pPr>
        <w:ind w:left="2160" w:hanging="450"/>
        <w:contextualSpacing/>
        <w:rPr>
          <w:rFonts w:eastAsia="Calibri" w:cstheme="minorHAnsi"/>
          <w:szCs w:val="23"/>
          <w:lang w:val="fr-CA"/>
        </w:rPr>
      </w:pPr>
    </w:p>
    <w:p w14:paraId="0A2C12AD" w14:textId="4763047E" w:rsidR="0050306B" w:rsidRPr="00F52884" w:rsidRDefault="0050306B" w:rsidP="00C47560">
      <w:pPr>
        <w:numPr>
          <w:ilvl w:val="0"/>
          <w:numId w:val="371"/>
        </w:numPr>
        <w:ind w:left="2160" w:hanging="45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soumissions présentées ont été concertées,</w:t>
      </w:r>
      <w:r w:rsidRPr="00F52884">
        <w:rPr>
          <w:rFonts w:eastAsia="Calibri" w:cstheme="minorHAnsi"/>
          <w:szCs w:val="23"/>
          <w:lang w:val="fr-CA"/>
        </w:rPr>
        <w:br/>
      </w:r>
    </w:p>
    <w:p w14:paraId="57D526F3" w14:textId="1E1D9940" w:rsidR="0050306B" w:rsidRPr="00F52884" w:rsidRDefault="0050306B" w:rsidP="00CF31F2">
      <w:pPr>
        <w:ind w:left="1440"/>
        <w:contextualSpacing/>
        <w:rPr>
          <w:rFonts w:eastAsia="Calibri" w:cstheme="minorHAnsi"/>
          <w:szCs w:val="23"/>
          <w:lang w:val="fr-CA"/>
        </w:rPr>
      </w:pPr>
      <w:proofErr w:type="gramStart"/>
      <w:r w:rsidRPr="00F52884">
        <w:rPr>
          <w:rFonts w:eastAsia="Calibri" w:cstheme="minorHAnsi"/>
          <w:szCs w:val="23"/>
          <w:lang w:val="fr-CA"/>
        </w:rPr>
        <w:t>à</w:t>
      </w:r>
      <w:proofErr w:type="gramEnd"/>
      <w:r w:rsidRPr="00F52884">
        <w:rPr>
          <w:rFonts w:eastAsia="Calibri" w:cstheme="minorHAnsi"/>
          <w:szCs w:val="23"/>
          <w:lang w:val="fr-CA"/>
        </w:rPr>
        <w:t xml:space="preserve"> condition que les prescriptions énoncées dans la documentation relative à l’appel d’offres ne soient pas substantiellement modifiées;</w:t>
      </w:r>
      <w:r w:rsidRPr="00F52884">
        <w:rPr>
          <w:rFonts w:eastAsia="Calibri" w:cstheme="minorHAnsi"/>
          <w:szCs w:val="23"/>
          <w:lang w:val="fr-CA"/>
        </w:rPr>
        <w:br/>
      </w:r>
    </w:p>
    <w:p w14:paraId="274429A5" w14:textId="708CE38B" w:rsidR="0050306B" w:rsidRPr="00F52884" w:rsidRDefault="0050306B" w:rsidP="00CF31F2">
      <w:pPr>
        <w:numPr>
          <w:ilvl w:val="0"/>
          <w:numId w:val="370"/>
        </w:numPr>
        <w:ind w:left="1440" w:hanging="629"/>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les produits ou les services ne peuvent être fournis que par un fournisseur particulier et qu’il n’existe pas de produits ou de services de rechange ou de remplacement raisonnablement satisfaisants pour l’une des raisons suivantes :</w:t>
      </w:r>
    </w:p>
    <w:p w14:paraId="7CFE71F5" w14:textId="77777777" w:rsidR="0050306B" w:rsidRPr="00F52884" w:rsidRDefault="0050306B" w:rsidP="0050306B">
      <w:pPr>
        <w:ind w:left="1440"/>
        <w:contextualSpacing/>
        <w:rPr>
          <w:rFonts w:eastAsia="Calibri" w:cstheme="minorHAnsi"/>
          <w:szCs w:val="23"/>
          <w:lang w:val="fr-CA"/>
        </w:rPr>
      </w:pPr>
    </w:p>
    <w:p w14:paraId="4866CE19" w14:textId="35EC1D42" w:rsidR="0050306B" w:rsidRPr="00F52884" w:rsidRDefault="0050306B" w:rsidP="00C47560">
      <w:pPr>
        <w:numPr>
          <w:ilvl w:val="0"/>
          <w:numId w:val="372"/>
        </w:numPr>
        <w:ind w:left="2160"/>
        <w:contextualSpacing/>
        <w:rPr>
          <w:rFonts w:eastAsia="Calibri" w:cstheme="minorHAnsi"/>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marché concerne une œuvre d’art,</w:t>
      </w:r>
    </w:p>
    <w:p w14:paraId="2AFD65EE" w14:textId="77777777" w:rsidR="0050306B" w:rsidRPr="00F52884" w:rsidRDefault="0050306B" w:rsidP="00C47560">
      <w:pPr>
        <w:ind w:left="1985" w:hanging="360"/>
        <w:contextualSpacing/>
        <w:rPr>
          <w:rFonts w:eastAsia="Calibri" w:cstheme="minorHAnsi"/>
          <w:szCs w:val="23"/>
          <w:lang w:val="fr-CA"/>
        </w:rPr>
      </w:pPr>
    </w:p>
    <w:p w14:paraId="563C34ED" w14:textId="1EC120A9" w:rsidR="0050306B" w:rsidRPr="00F52884" w:rsidRDefault="0050306B" w:rsidP="00C47560">
      <w:pPr>
        <w:numPr>
          <w:ilvl w:val="0"/>
          <w:numId w:val="372"/>
        </w:numPr>
        <w:ind w:left="2160"/>
        <w:contextualSpacing/>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protection de brevets, de droits d’auteur ou d’autres droits exclusifs,  </w:t>
      </w:r>
    </w:p>
    <w:p w14:paraId="5EC73D4A" w14:textId="77777777" w:rsidR="0050306B" w:rsidRPr="00F52884" w:rsidRDefault="0050306B" w:rsidP="00C47560">
      <w:pPr>
        <w:ind w:left="2160" w:hanging="360"/>
        <w:contextualSpacing/>
        <w:rPr>
          <w:rFonts w:eastAsia="Calibri" w:cstheme="minorHAnsi"/>
          <w:szCs w:val="23"/>
          <w:lang w:val="fr-CA"/>
        </w:rPr>
      </w:pPr>
    </w:p>
    <w:p w14:paraId="1C872DE1" w14:textId="720EA3A5" w:rsidR="0050306B" w:rsidRPr="00F52884" w:rsidRDefault="0050306B" w:rsidP="00C47560">
      <w:pPr>
        <w:numPr>
          <w:ilvl w:val="0"/>
          <w:numId w:val="372"/>
        </w:numPr>
        <w:ind w:left="2160"/>
        <w:contextualSpacing/>
        <w:rPr>
          <w:rFonts w:eastAsia="Calibri" w:cstheme="minorHAnsi"/>
          <w:szCs w:val="23"/>
          <w:lang w:val="fr-CA"/>
        </w:rPr>
      </w:pPr>
      <w:proofErr w:type="gramStart"/>
      <w:r w:rsidRPr="00F52884">
        <w:rPr>
          <w:rFonts w:eastAsia="Calibri" w:cstheme="minorHAnsi"/>
          <w:szCs w:val="23"/>
          <w:lang w:val="fr-CA"/>
        </w:rPr>
        <w:t>l’absence</w:t>
      </w:r>
      <w:proofErr w:type="gramEnd"/>
      <w:r w:rsidRPr="00F52884">
        <w:rPr>
          <w:rFonts w:eastAsia="Calibri" w:cstheme="minorHAnsi"/>
          <w:szCs w:val="23"/>
          <w:lang w:val="fr-CA"/>
        </w:rPr>
        <w:t xml:space="preserve"> de concurrence pour des raisons techniques,</w:t>
      </w:r>
    </w:p>
    <w:p w14:paraId="08F7DD18" w14:textId="77777777" w:rsidR="0050306B" w:rsidRPr="00F52884" w:rsidRDefault="0050306B" w:rsidP="00C47560">
      <w:pPr>
        <w:ind w:left="2160" w:hanging="360"/>
        <w:rPr>
          <w:rFonts w:eastAsia="Calibri" w:cstheme="minorHAnsi"/>
          <w:szCs w:val="23"/>
          <w:lang w:val="fr-CA"/>
        </w:rPr>
      </w:pPr>
    </w:p>
    <w:p w14:paraId="27E998B8" w14:textId="72D31D1B" w:rsidR="0050306B" w:rsidRPr="00F52884" w:rsidRDefault="0050306B" w:rsidP="00C47560">
      <w:pPr>
        <w:numPr>
          <w:ilvl w:val="0"/>
          <w:numId w:val="372"/>
        </w:numPr>
        <w:ind w:left="2160"/>
        <w:contextualSpacing/>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fourniture des produits ou des services est contrôlée par un fournisseur qui dispose d’un monopole légal,</w:t>
      </w:r>
    </w:p>
    <w:p w14:paraId="47948AC2" w14:textId="77777777" w:rsidR="0050306B" w:rsidRPr="00F52884" w:rsidRDefault="0050306B" w:rsidP="00C47560">
      <w:pPr>
        <w:ind w:left="2160" w:hanging="360"/>
        <w:contextualSpacing/>
        <w:rPr>
          <w:rFonts w:eastAsia="Times New Roman" w:cstheme="minorHAnsi"/>
          <w:szCs w:val="23"/>
          <w:lang w:val="fr-CA"/>
        </w:rPr>
      </w:pPr>
    </w:p>
    <w:p w14:paraId="289C0BFF" w14:textId="715B55CB" w:rsidR="0050306B" w:rsidRPr="00F52884" w:rsidRDefault="0050306B" w:rsidP="00C47560">
      <w:pPr>
        <w:numPr>
          <w:ilvl w:val="0"/>
          <w:numId w:val="372"/>
        </w:numPr>
        <w:ind w:left="2160"/>
        <w:contextualSpacing/>
        <w:rPr>
          <w:rFonts w:eastAsia="Times New Roman" w:cstheme="minorHAnsi"/>
          <w:szCs w:val="23"/>
          <w:lang w:val="fr-CA"/>
        </w:rPr>
      </w:pPr>
      <w:proofErr w:type="gramStart"/>
      <w:r w:rsidRPr="00F52884">
        <w:rPr>
          <w:rFonts w:cstheme="minorHAnsi"/>
          <w:szCs w:val="23"/>
          <w:lang w:val="fr-CA"/>
        </w:rPr>
        <w:t>afin</w:t>
      </w:r>
      <w:proofErr w:type="gramEnd"/>
      <w:r w:rsidRPr="00F52884">
        <w:rPr>
          <w:rFonts w:cstheme="minorHAnsi"/>
          <w:szCs w:val="23"/>
          <w:lang w:val="fr-CA"/>
        </w:rPr>
        <w:t xml:space="preserve"> d’assurer la compatibilité avec des produits existants ou l’entretien de produits spécialisés, lorsque cet entretien doit être assuré par le fabricant de ces produits ou son représentant,</w:t>
      </w:r>
    </w:p>
    <w:p w14:paraId="0584EF1C" w14:textId="77777777" w:rsidR="0050306B" w:rsidRPr="00F52884" w:rsidRDefault="0050306B" w:rsidP="00C47560">
      <w:pPr>
        <w:ind w:left="2160" w:hanging="360"/>
        <w:contextualSpacing/>
        <w:rPr>
          <w:rFonts w:eastAsia="Times New Roman" w:cstheme="minorHAnsi"/>
          <w:szCs w:val="23"/>
          <w:lang w:val="fr-CA"/>
        </w:rPr>
      </w:pPr>
    </w:p>
    <w:p w14:paraId="57D5C4DC" w14:textId="5A86E448" w:rsidR="0050306B" w:rsidRPr="00F52884" w:rsidRDefault="0050306B" w:rsidP="00C47560">
      <w:pPr>
        <w:numPr>
          <w:ilvl w:val="0"/>
          <w:numId w:val="372"/>
        </w:numPr>
        <w:ind w:left="2160"/>
        <w:contextualSpacing/>
        <w:rPr>
          <w:rFonts w:eastAsia="Times New Roman" w:cstheme="minorHAnsi"/>
          <w:szCs w:val="23"/>
          <w:lang w:val="fr-CA"/>
        </w:rPr>
      </w:pPr>
      <w:proofErr w:type="gramStart"/>
      <w:r w:rsidRPr="00F52884">
        <w:rPr>
          <w:rFonts w:eastAsia="Times New Roman" w:cstheme="minorHAnsi"/>
          <w:szCs w:val="23"/>
          <w:lang w:val="fr-CA"/>
        </w:rPr>
        <w:t>les</w:t>
      </w:r>
      <w:proofErr w:type="gramEnd"/>
      <w:r w:rsidRPr="00F52884">
        <w:rPr>
          <w:rFonts w:eastAsia="Times New Roman" w:cstheme="minorHAnsi"/>
          <w:szCs w:val="23"/>
          <w:lang w:val="fr-CA"/>
        </w:rPr>
        <w:t xml:space="preserve"> travaux doivent être exécutés sur un bien par un entrepreneur conformément aux dispositions d’une garantie visant le bien ou les travaux originaux,</w:t>
      </w:r>
    </w:p>
    <w:p w14:paraId="3EEE14E6" w14:textId="77777777" w:rsidR="0050306B" w:rsidRPr="00F52884" w:rsidRDefault="0050306B" w:rsidP="00C47560">
      <w:pPr>
        <w:ind w:left="2160" w:hanging="360"/>
        <w:rPr>
          <w:rFonts w:eastAsia="Calibri" w:cstheme="minorHAnsi"/>
          <w:szCs w:val="23"/>
          <w:lang w:val="fr-CA"/>
        </w:rPr>
      </w:pPr>
    </w:p>
    <w:p w14:paraId="4EA48163" w14:textId="3D03148A" w:rsidR="0050306B" w:rsidRPr="00F52884" w:rsidRDefault="0050306B" w:rsidP="00C47560">
      <w:pPr>
        <w:numPr>
          <w:ilvl w:val="0"/>
          <w:numId w:val="372"/>
        </w:numPr>
        <w:ind w:left="2160"/>
        <w:contextualSpacing/>
        <w:rPr>
          <w:rFonts w:eastAsia="Times New Roman" w:cstheme="minorHAnsi"/>
          <w:szCs w:val="23"/>
          <w:lang w:val="fr-CA"/>
        </w:rPr>
      </w:pPr>
      <w:proofErr w:type="gramStart"/>
      <w:r w:rsidRPr="00F52884">
        <w:rPr>
          <w:rFonts w:eastAsia="Times New Roman" w:cstheme="minorHAnsi"/>
          <w:szCs w:val="23"/>
          <w:lang w:val="fr-CA"/>
        </w:rPr>
        <w:lastRenderedPageBreak/>
        <w:t>les</w:t>
      </w:r>
      <w:proofErr w:type="gramEnd"/>
      <w:r w:rsidRPr="00F52884">
        <w:rPr>
          <w:rFonts w:eastAsia="Times New Roman" w:cstheme="minorHAnsi"/>
          <w:szCs w:val="23"/>
          <w:lang w:val="fr-CA"/>
        </w:rPr>
        <w:t xml:space="preserve"> travaux doivent être exécutés sur un bâtiment loué ou un bien connexe, ou des parties de celui-ci, et ne peuvent être exécutés que par le locateur,</w:t>
      </w:r>
    </w:p>
    <w:p w14:paraId="180497E5" w14:textId="77777777" w:rsidR="0050306B" w:rsidRPr="00F52884" w:rsidRDefault="0050306B" w:rsidP="00C47560">
      <w:pPr>
        <w:ind w:left="2160" w:hanging="360"/>
        <w:rPr>
          <w:rFonts w:eastAsia="Times New Roman" w:cstheme="minorHAnsi"/>
          <w:szCs w:val="23"/>
          <w:lang w:val="fr-CA"/>
        </w:rPr>
      </w:pPr>
    </w:p>
    <w:p w14:paraId="0343F95F" w14:textId="3A37CF92" w:rsidR="0050306B" w:rsidRPr="00F52884" w:rsidRDefault="0050306B" w:rsidP="00C47560">
      <w:pPr>
        <w:numPr>
          <w:ilvl w:val="0"/>
          <w:numId w:val="372"/>
        </w:numPr>
        <w:ind w:left="2160"/>
        <w:contextualSpacing/>
        <w:rPr>
          <w:rFonts w:eastAsia="Times New Roman" w:cstheme="minorHAnsi"/>
          <w:szCs w:val="23"/>
          <w:lang w:val="fr-CA"/>
        </w:rPr>
      </w:pPr>
      <w:proofErr w:type="gramStart"/>
      <w:r w:rsidRPr="00F52884">
        <w:rPr>
          <w:rFonts w:eastAsia="Times New Roman" w:cstheme="minorHAnsi"/>
          <w:szCs w:val="23"/>
          <w:lang w:val="fr-CA"/>
        </w:rPr>
        <w:t>le</w:t>
      </w:r>
      <w:proofErr w:type="gramEnd"/>
      <w:r w:rsidRPr="00F52884">
        <w:rPr>
          <w:rFonts w:eastAsia="Times New Roman" w:cstheme="minorHAnsi"/>
          <w:szCs w:val="23"/>
          <w:lang w:val="fr-CA"/>
        </w:rPr>
        <w:t xml:space="preserve"> marché porte sur des abonnements à des journaux, magazines ou autres périodiques;</w:t>
      </w:r>
    </w:p>
    <w:p w14:paraId="61C2686F" w14:textId="77777777" w:rsidR="0050306B" w:rsidRPr="00F52884" w:rsidRDefault="0050306B" w:rsidP="0050306B">
      <w:pPr>
        <w:ind w:leftChars="720" w:left="2376" w:hanging="720"/>
        <w:contextualSpacing/>
        <w:rPr>
          <w:rFonts w:eastAsia="Calibri" w:cstheme="minorHAnsi"/>
          <w:szCs w:val="23"/>
          <w:lang w:val="fr-CA"/>
        </w:rPr>
      </w:pPr>
    </w:p>
    <w:p w14:paraId="7A2D49A2" w14:textId="2CBB65B2" w:rsidR="0050306B" w:rsidRPr="00F52884" w:rsidRDefault="0050306B" w:rsidP="004001B9">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pour</w:t>
      </w:r>
      <w:proofErr w:type="gramEnd"/>
      <w:r w:rsidRPr="00F52884">
        <w:rPr>
          <w:rFonts w:eastAsia="Calibri" w:cstheme="minorHAnsi"/>
          <w:szCs w:val="23"/>
          <w:lang w:val="fr-CA"/>
        </w:rPr>
        <w:t xml:space="preserve"> des livraisons additionnelles à assurer par le fournisseur de produits ou de services initial qui n’étaient pas incluses dans le marché initial dans les cas où un changement de fournisseur pour ces produits ou services additionnels :</w:t>
      </w:r>
    </w:p>
    <w:p w14:paraId="366EBE7E" w14:textId="77777777" w:rsidR="0050306B" w:rsidRPr="00F52884" w:rsidRDefault="0050306B" w:rsidP="0050306B">
      <w:pPr>
        <w:ind w:left="1440"/>
        <w:contextualSpacing/>
        <w:rPr>
          <w:rFonts w:eastAsia="Calibri" w:cstheme="minorHAnsi"/>
          <w:szCs w:val="23"/>
          <w:lang w:val="fr-CA"/>
        </w:rPr>
      </w:pPr>
    </w:p>
    <w:p w14:paraId="518EBE51" w14:textId="66871344" w:rsidR="0050306B" w:rsidRPr="00F52884" w:rsidRDefault="0050306B" w:rsidP="007F3179">
      <w:pPr>
        <w:numPr>
          <w:ilvl w:val="0"/>
          <w:numId w:val="373"/>
        </w:numPr>
        <w:ind w:hanging="540"/>
        <w:contextualSpacing/>
        <w:rPr>
          <w:rFonts w:eastAsia="Calibri" w:cstheme="minorHAnsi"/>
          <w:szCs w:val="23"/>
          <w:lang w:val="fr-CA"/>
        </w:rPr>
      </w:pPr>
      <w:proofErr w:type="gramStart"/>
      <w:r w:rsidRPr="00F52884">
        <w:rPr>
          <w:rFonts w:eastAsia="Calibri" w:cstheme="minorHAnsi"/>
          <w:szCs w:val="23"/>
          <w:lang w:val="fr-CA"/>
        </w:rPr>
        <w:t>d’une</w:t>
      </w:r>
      <w:proofErr w:type="gramEnd"/>
      <w:r w:rsidRPr="00F52884">
        <w:rPr>
          <w:rFonts w:eastAsia="Calibri" w:cstheme="minorHAnsi"/>
          <w:szCs w:val="23"/>
          <w:lang w:val="fr-CA"/>
        </w:rPr>
        <w:t xml:space="preserve"> part, n’est pas possible pour des raisons économiques ou techniques telles des conditions d’interchangeabilité ou d’interopérabilité avec des matériels, logiciels, services ou installations existants qui ont fait l’objet du marché initial,</w:t>
      </w:r>
    </w:p>
    <w:p w14:paraId="6C27FB65" w14:textId="77777777" w:rsidR="0050306B" w:rsidRPr="00F52884" w:rsidRDefault="0050306B" w:rsidP="004001B9">
      <w:pPr>
        <w:ind w:left="2160" w:hanging="709"/>
        <w:contextualSpacing/>
        <w:rPr>
          <w:rFonts w:eastAsia="Calibri" w:cstheme="minorHAnsi"/>
          <w:szCs w:val="23"/>
          <w:lang w:val="fr-CA"/>
        </w:rPr>
      </w:pPr>
    </w:p>
    <w:p w14:paraId="54E446F4" w14:textId="77777777" w:rsidR="0050306B" w:rsidRPr="00F52884" w:rsidRDefault="0050306B" w:rsidP="007F3179">
      <w:pPr>
        <w:numPr>
          <w:ilvl w:val="0"/>
          <w:numId w:val="373"/>
        </w:numPr>
        <w:ind w:hanging="540"/>
        <w:contextualSpacing/>
        <w:rPr>
          <w:rFonts w:eastAsia="Calibri" w:cstheme="minorHAnsi"/>
          <w:szCs w:val="23"/>
          <w:lang w:val="fr-CA"/>
        </w:rPr>
      </w:pPr>
      <w:proofErr w:type="gramStart"/>
      <w:r w:rsidRPr="00F52884">
        <w:rPr>
          <w:rFonts w:eastAsia="Calibri" w:cstheme="minorHAnsi"/>
          <w:szCs w:val="23"/>
          <w:lang w:val="fr-CA"/>
        </w:rPr>
        <w:t>d’autre</w:t>
      </w:r>
      <w:proofErr w:type="gramEnd"/>
      <w:r w:rsidRPr="00F52884">
        <w:rPr>
          <w:rFonts w:eastAsia="Calibri" w:cstheme="minorHAnsi"/>
          <w:szCs w:val="23"/>
          <w:lang w:val="fr-CA"/>
        </w:rPr>
        <w:t xml:space="preserve"> part, causerait des inconvénients importants à l’entité contractante ou entraînerait pour elle une duplication substantielle des coûts;</w:t>
      </w:r>
    </w:p>
    <w:p w14:paraId="5482E2D2" w14:textId="77777777" w:rsidR="0050306B" w:rsidRPr="00F52884" w:rsidRDefault="0050306B" w:rsidP="0050306B">
      <w:pPr>
        <w:ind w:left="720"/>
        <w:contextualSpacing/>
        <w:rPr>
          <w:rFonts w:eastAsia="Calibri" w:cstheme="minorHAnsi"/>
          <w:szCs w:val="23"/>
          <w:lang w:val="fr-CA"/>
        </w:rPr>
      </w:pPr>
    </w:p>
    <w:p w14:paraId="3C446682" w14:textId="059D4F97" w:rsidR="0050306B" w:rsidRPr="00F52884" w:rsidRDefault="0050306B" w:rsidP="004001B9">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cela est strictement nécessaire dans les cas où, pour des raisons d’extrême urgence dues à des événements qui ne pouvaient pas être prévus par l’entité contractante, un appel d’offres ouvert ne permettrait pas d’obtenir les produits ou les services en temps voulu;</w:t>
      </w:r>
    </w:p>
    <w:p w14:paraId="271D695D" w14:textId="77777777" w:rsidR="0050306B" w:rsidRPr="00F52884" w:rsidRDefault="0050306B" w:rsidP="004001B9">
      <w:pPr>
        <w:ind w:left="1440" w:hanging="720"/>
        <w:contextualSpacing/>
        <w:rPr>
          <w:rFonts w:eastAsia="Calibri" w:cstheme="minorHAnsi"/>
          <w:szCs w:val="23"/>
          <w:lang w:val="fr-CA"/>
        </w:rPr>
      </w:pPr>
    </w:p>
    <w:p w14:paraId="2E5FC9FC" w14:textId="77777777" w:rsidR="0050306B" w:rsidRPr="00F52884" w:rsidRDefault="0050306B" w:rsidP="004001B9">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pour</w:t>
      </w:r>
      <w:proofErr w:type="gramEnd"/>
      <w:r w:rsidRPr="00F52884">
        <w:rPr>
          <w:rFonts w:eastAsia="Calibri" w:cstheme="minorHAnsi"/>
          <w:szCs w:val="23"/>
          <w:lang w:val="fr-CA"/>
        </w:rPr>
        <w:t xml:space="preserve"> des produits achetés sur un marché des produits de base;</w:t>
      </w:r>
    </w:p>
    <w:p w14:paraId="2BD4A10A" w14:textId="77777777" w:rsidR="0050306B" w:rsidRPr="00F52884" w:rsidRDefault="0050306B" w:rsidP="004001B9">
      <w:pPr>
        <w:ind w:left="1440" w:hanging="720"/>
        <w:contextualSpacing/>
        <w:rPr>
          <w:rFonts w:eastAsia="Calibri" w:cstheme="minorHAnsi"/>
          <w:szCs w:val="23"/>
          <w:lang w:val="fr-CA"/>
        </w:rPr>
      </w:pPr>
    </w:p>
    <w:p w14:paraId="1732C3F8" w14:textId="7F0319FC" w:rsidR="0050306B" w:rsidRPr="00F52884" w:rsidRDefault="0050306B" w:rsidP="004001B9">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une entité contractante acquiert un prototype ou un premier produit ou service mis au point au cours de l’exécution d’un contrat particulier de recherche, d’expérimentation, d’étude ou de développement original, et pour les besoins de ce contrat. Le développement original d’un premier produit ou service peut englober une production ou une fourniture limitée ayant pour but d’incorporer les résultats d’essais sur le terrain et de démontrer que le produit ou le service se prête à une production ou à une fourniture en quantités conformément à des normes de qualité acceptables, mais n’englobe pas la production ou la fourniture en quantités visant à établir la viabilité commerciale ou à amortir les frais de recherche et développement;</w:t>
      </w:r>
    </w:p>
    <w:p w14:paraId="1194B193" w14:textId="77777777" w:rsidR="0050306B" w:rsidRPr="00F52884" w:rsidRDefault="0050306B" w:rsidP="004001B9">
      <w:pPr>
        <w:ind w:leftChars="675" w:left="2273" w:hanging="720"/>
        <w:contextualSpacing/>
        <w:rPr>
          <w:rFonts w:eastAsia="Calibri" w:cstheme="minorHAnsi"/>
          <w:szCs w:val="23"/>
          <w:lang w:val="fr-CA"/>
        </w:rPr>
      </w:pPr>
    </w:p>
    <w:p w14:paraId="106D1BE3" w14:textId="77777777" w:rsidR="0050306B" w:rsidRPr="00F52884" w:rsidRDefault="0050306B" w:rsidP="004001B9">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pour</w:t>
      </w:r>
      <w:proofErr w:type="gramEnd"/>
      <w:r w:rsidRPr="00F52884">
        <w:rPr>
          <w:rFonts w:eastAsia="Calibri" w:cstheme="minorHAnsi"/>
          <w:szCs w:val="23"/>
          <w:lang w:val="fr-CA"/>
        </w:rPr>
        <w:t xml:space="preserve"> des achats effectués dans des conditions exceptionnellement avantageuses qui ne se présentent qu’à très court terme en cas d’écoulements inhabituels, comme ceux qui résultent d’une liquidation, d’une administration judiciaire ou d’une faillite, mais pas pour des achats courants effectués auprès de fournisseurs habituels;  </w:t>
      </w:r>
      <w:r w:rsidRPr="00F52884">
        <w:rPr>
          <w:rFonts w:eastAsia="Calibri" w:cstheme="minorHAnsi"/>
          <w:szCs w:val="23"/>
          <w:lang w:val="fr-CA"/>
        </w:rPr>
        <w:br/>
      </w:r>
    </w:p>
    <w:p w14:paraId="44D391E1" w14:textId="2F870E77" w:rsidR="0050306B" w:rsidRPr="00F52884" w:rsidRDefault="0050306B" w:rsidP="004001B9">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un marché est adjugé au lauréat d’un concours de conception, à condition :</w:t>
      </w:r>
      <w:r w:rsidRPr="00F52884">
        <w:rPr>
          <w:rFonts w:eastAsia="Calibri" w:cstheme="minorHAnsi"/>
          <w:szCs w:val="23"/>
          <w:lang w:val="fr-CA"/>
        </w:rPr>
        <w:br/>
      </w:r>
    </w:p>
    <w:p w14:paraId="03904A58" w14:textId="6B42AA9E" w:rsidR="0050306B" w:rsidRPr="00F52884" w:rsidRDefault="0050306B" w:rsidP="007F3179">
      <w:pPr>
        <w:numPr>
          <w:ilvl w:val="0"/>
          <w:numId w:val="374"/>
        </w:numPr>
        <w:ind w:hanging="540"/>
        <w:contextualSpacing/>
        <w:rPr>
          <w:rFonts w:eastAsia="Calibri" w:cstheme="minorHAnsi"/>
          <w:szCs w:val="23"/>
          <w:lang w:val="fr-CA"/>
        </w:rPr>
      </w:pPr>
      <w:proofErr w:type="gramStart"/>
      <w:r w:rsidRPr="00F52884">
        <w:rPr>
          <w:rFonts w:eastAsia="Calibri" w:cstheme="minorHAnsi"/>
          <w:szCs w:val="23"/>
          <w:lang w:val="fr-CA"/>
        </w:rPr>
        <w:t>d’une</w:t>
      </w:r>
      <w:proofErr w:type="gramEnd"/>
      <w:r w:rsidRPr="00F52884">
        <w:rPr>
          <w:rFonts w:eastAsia="Calibri" w:cstheme="minorHAnsi"/>
          <w:szCs w:val="23"/>
          <w:lang w:val="fr-CA"/>
        </w:rPr>
        <w:t xml:space="preserve"> part, que le concours ait été organisé d’une manière compatible avec les principes du présent chapitre, en particulier en ce qui concerne la publication d’un avis d’appel d’offres,</w:t>
      </w:r>
    </w:p>
    <w:p w14:paraId="5180D122" w14:textId="77777777" w:rsidR="0050306B" w:rsidRPr="00F52884" w:rsidRDefault="0050306B" w:rsidP="007F3179">
      <w:pPr>
        <w:ind w:left="2160" w:hanging="540"/>
        <w:contextualSpacing/>
        <w:rPr>
          <w:rFonts w:eastAsia="Calibri" w:cstheme="minorHAnsi"/>
          <w:szCs w:val="23"/>
          <w:lang w:val="fr-CA"/>
        </w:rPr>
      </w:pPr>
    </w:p>
    <w:p w14:paraId="55E3E3E9" w14:textId="779862DC" w:rsidR="0050306B" w:rsidRPr="00F52884" w:rsidRDefault="0050306B" w:rsidP="007F3179">
      <w:pPr>
        <w:numPr>
          <w:ilvl w:val="0"/>
          <w:numId w:val="374"/>
        </w:numPr>
        <w:ind w:hanging="540"/>
        <w:contextualSpacing/>
        <w:rPr>
          <w:rFonts w:eastAsia="Calibri" w:cstheme="minorHAnsi"/>
          <w:szCs w:val="23"/>
          <w:lang w:val="fr-CA"/>
        </w:rPr>
      </w:pPr>
      <w:proofErr w:type="gramStart"/>
      <w:r w:rsidRPr="00F52884">
        <w:rPr>
          <w:rFonts w:eastAsia="Calibri" w:cstheme="minorHAnsi"/>
          <w:szCs w:val="23"/>
          <w:lang w:val="fr-CA"/>
        </w:rPr>
        <w:t>d’autre</w:t>
      </w:r>
      <w:proofErr w:type="gramEnd"/>
      <w:r w:rsidRPr="00F52884">
        <w:rPr>
          <w:rFonts w:eastAsia="Calibri" w:cstheme="minorHAnsi"/>
          <w:szCs w:val="23"/>
          <w:lang w:val="fr-CA"/>
        </w:rPr>
        <w:t xml:space="preserve"> part, que les participants soient jugés par un jury indépendant, en vue de l’adjudication du marché au lauréat;</w:t>
      </w:r>
    </w:p>
    <w:p w14:paraId="22AB4454" w14:textId="77777777" w:rsidR="0050306B" w:rsidRPr="00F52884" w:rsidRDefault="0050306B" w:rsidP="0050306B">
      <w:pPr>
        <w:rPr>
          <w:rFonts w:eastAsia="Calibri" w:cstheme="minorHAnsi"/>
          <w:szCs w:val="23"/>
          <w:lang w:val="fr-CA"/>
        </w:rPr>
      </w:pPr>
    </w:p>
    <w:p w14:paraId="1F690676" w14:textId="3A903561" w:rsidR="0050306B" w:rsidRPr="00F52884" w:rsidRDefault="0050306B" w:rsidP="0050306B">
      <w:pPr>
        <w:numPr>
          <w:ilvl w:val="0"/>
          <w:numId w:val="370"/>
        </w:numPr>
        <w:ind w:left="1440" w:hanging="72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le marché porte sur des produits ou des services de consultation concernant des questions de nature confidentielle ou privilégiée dont la divulgation dans le cadre d’un processus d’appel d’offres ouvert est raisonnablement susceptible de compromettre des informations confidentielles du gouvernement, de donner lieu à l’abandon d’un privilège, de causer des perturbations  économiques, ou d’être par ailleurs contraire à l’intérêt public.</w:t>
      </w:r>
    </w:p>
    <w:p w14:paraId="1B299C56" w14:textId="77777777" w:rsidR="0050306B" w:rsidRPr="00F52884" w:rsidRDefault="0050306B" w:rsidP="0050306B">
      <w:pPr>
        <w:rPr>
          <w:rFonts w:eastAsia="Calibri" w:cstheme="minorHAnsi"/>
          <w:szCs w:val="23"/>
          <w:lang w:val="fr-CA"/>
        </w:rPr>
      </w:pPr>
    </w:p>
    <w:p w14:paraId="265F3CF3" w14:textId="4BB96840" w:rsidR="0050306B" w:rsidRPr="00F52884" w:rsidRDefault="0050306B" w:rsidP="0050306B">
      <w:pPr>
        <w:contextualSpacing/>
        <w:rPr>
          <w:rFonts w:eastAsia="Calibri" w:cstheme="minorHAnsi"/>
          <w:szCs w:val="23"/>
          <w:lang w:val="fr-CA"/>
        </w:rPr>
      </w:pPr>
      <w:r w:rsidRPr="00F52884">
        <w:rPr>
          <w:rFonts w:eastAsia="Calibri" w:cstheme="minorHAnsi"/>
          <w:szCs w:val="23"/>
          <w:lang w:val="fr-CA"/>
        </w:rPr>
        <w:t xml:space="preserve">2. </w:t>
      </w:r>
      <w:r w:rsidRPr="00F52884">
        <w:rPr>
          <w:rFonts w:eastAsia="Calibri" w:cstheme="minorHAnsi"/>
          <w:szCs w:val="23"/>
          <w:lang w:val="fr-CA"/>
        </w:rPr>
        <w:tab/>
        <w:t>Une entité contractante peut, lorsqu’elle recourt à l’appel d’offres limité conformément aux alinéas 1a) à 1i), choisir de ne pas appliquer les articles 504.5 à 504.10, l’article 506, l’article 507, l’article 508.5, l’article 508.6, l’article 509.7, l’article 509.8, les articles 510 à 512, l’article 514 et l’article 515.</w:t>
      </w:r>
    </w:p>
    <w:p w14:paraId="2EB2087A" w14:textId="77777777" w:rsidR="0050306B" w:rsidRPr="00F52884" w:rsidRDefault="0050306B" w:rsidP="0050306B">
      <w:pPr>
        <w:rPr>
          <w:rFonts w:eastAsia="Calibri" w:cstheme="minorHAnsi"/>
          <w:szCs w:val="23"/>
          <w:lang w:val="fr-CA"/>
        </w:rPr>
      </w:pPr>
    </w:p>
    <w:p w14:paraId="7EFBEDC2" w14:textId="5EB76925" w:rsidR="0050306B" w:rsidRPr="00F52884" w:rsidRDefault="0050306B" w:rsidP="0050306B">
      <w:pPr>
        <w:contextualSpacing/>
        <w:rPr>
          <w:rFonts w:eastAsia="Calibri" w:cstheme="minorHAnsi"/>
          <w:szCs w:val="23"/>
          <w:lang w:val="fr-CA"/>
        </w:rPr>
      </w:pPr>
      <w:r w:rsidRPr="00F52884">
        <w:rPr>
          <w:rFonts w:eastAsia="Calibri" w:cstheme="minorHAnsi"/>
          <w:szCs w:val="23"/>
          <w:lang w:val="fr-CA"/>
        </w:rPr>
        <w:t>3.</w:t>
      </w:r>
      <w:r w:rsidRPr="00F52884">
        <w:rPr>
          <w:rFonts w:eastAsia="Calibri" w:cstheme="minorHAnsi"/>
          <w:szCs w:val="23"/>
          <w:lang w:val="fr-CA"/>
        </w:rPr>
        <w:tab/>
        <w:t>Une entité contractante peut, lorsqu’elle recourt à l’appel d’offres limité conformément à l’alinéa 1i), choisir également de ne pas appliquer l’article 516.</w:t>
      </w:r>
    </w:p>
    <w:p w14:paraId="21DD2995" w14:textId="77777777" w:rsidR="0050306B" w:rsidRPr="00F52884" w:rsidRDefault="0050306B" w:rsidP="0050306B">
      <w:pPr>
        <w:rPr>
          <w:rFonts w:eastAsia="Calibri" w:cstheme="minorHAnsi"/>
          <w:szCs w:val="23"/>
          <w:lang w:val="fr-CA"/>
        </w:rPr>
      </w:pPr>
    </w:p>
    <w:p w14:paraId="3C910794" w14:textId="1534DBD0" w:rsidR="0050306B" w:rsidRPr="00F52884" w:rsidRDefault="0050306B" w:rsidP="0050306B">
      <w:pPr>
        <w:jc w:val="center"/>
        <w:rPr>
          <w:rFonts w:eastAsia="Times New Roman" w:cstheme="minorHAnsi"/>
          <w:b/>
          <w:szCs w:val="23"/>
          <w:lang w:val="fr-CA"/>
        </w:rPr>
      </w:pPr>
      <w:r w:rsidRPr="00F52884">
        <w:rPr>
          <w:rFonts w:eastAsia="Times New Roman" w:cstheme="minorHAnsi"/>
          <w:b/>
          <w:bCs/>
          <w:szCs w:val="23"/>
          <w:lang w:val="fr-CA"/>
        </w:rPr>
        <w:t xml:space="preserve">Article 514 : </w:t>
      </w:r>
      <w:r w:rsidRPr="00F52884">
        <w:rPr>
          <w:rFonts w:eastAsia="Times New Roman" w:cstheme="minorHAnsi"/>
          <w:szCs w:val="23"/>
          <w:lang w:val="fr-CA"/>
        </w:rPr>
        <w:tab/>
      </w:r>
      <w:r w:rsidR="005042D0" w:rsidRPr="00F52884">
        <w:rPr>
          <w:rFonts w:eastAsia="Times New Roman" w:cstheme="minorHAnsi"/>
          <w:szCs w:val="23"/>
          <w:lang w:val="fr-CA"/>
        </w:rPr>
        <w:tab/>
      </w:r>
      <w:r w:rsidRPr="00F52884">
        <w:rPr>
          <w:rFonts w:eastAsia="Times New Roman" w:cstheme="minorHAnsi"/>
          <w:b/>
          <w:bCs/>
          <w:szCs w:val="23"/>
          <w:lang w:val="fr-CA"/>
        </w:rPr>
        <w:t>Enchères électroniques</w:t>
      </w:r>
    </w:p>
    <w:p w14:paraId="22DC996D" w14:textId="77777777" w:rsidR="0050306B" w:rsidRPr="00F52884" w:rsidRDefault="0050306B" w:rsidP="0050306B">
      <w:pPr>
        <w:rPr>
          <w:rFonts w:eastAsia="Times New Roman" w:cstheme="minorHAnsi"/>
          <w:szCs w:val="23"/>
          <w:u w:val="single"/>
          <w:lang w:val="fr-CA"/>
        </w:rPr>
      </w:pPr>
    </w:p>
    <w:p w14:paraId="03F6AA37" w14:textId="34AB9BA7" w:rsidR="0050306B" w:rsidRPr="00F52884" w:rsidRDefault="0050306B" w:rsidP="0050306B">
      <w:pPr>
        <w:ind w:firstLine="720"/>
        <w:rPr>
          <w:rFonts w:eastAsia="Calibri" w:cstheme="minorHAnsi"/>
          <w:szCs w:val="23"/>
          <w:lang w:val="fr-CA"/>
        </w:rPr>
      </w:pPr>
      <w:r w:rsidRPr="00F52884">
        <w:rPr>
          <w:rFonts w:eastAsia="Calibri" w:cstheme="minorHAnsi"/>
          <w:szCs w:val="23"/>
          <w:lang w:val="fr-CA"/>
        </w:rPr>
        <w:t>Si une entité contractante entend passer un marché couvert en utilisant une enchère électronique, elle communique à chaque participant, avant le début de l’enchère :</w:t>
      </w:r>
    </w:p>
    <w:p w14:paraId="28ECBBA0" w14:textId="77777777" w:rsidR="0050306B" w:rsidRPr="00F52884" w:rsidRDefault="0050306B" w:rsidP="0050306B">
      <w:pPr>
        <w:rPr>
          <w:rFonts w:eastAsia="Calibri" w:cstheme="minorHAnsi"/>
          <w:szCs w:val="23"/>
          <w:lang w:val="fr-CA"/>
        </w:rPr>
      </w:pPr>
    </w:p>
    <w:p w14:paraId="1CE6B315" w14:textId="5C67C3A9" w:rsidR="0050306B" w:rsidRPr="00F52884" w:rsidRDefault="0050306B" w:rsidP="004001B9">
      <w:pPr>
        <w:numPr>
          <w:ilvl w:val="0"/>
          <w:numId w:val="375"/>
        </w:numPr>
        <w:ind w:hanging="720"/>
        <w:contextualSpacing/>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méthode d’évaluation automatique, y compris la formule mathématique, qui est basée sur les critères d’évaluation énoncés dans la documentation relative à l’appel d’offres et qui sera utilisée pour le classement ou le reclassement automatique pendant l’enchère;</w:t>
      </w:r>
    </w:p>
    <w:p w14:paraId="5970EAD1" w14:textId="77777777" w:rsidR="0050306B" w:rsidRPr="00F52884" w:rsidRDefault="0050306B" w:rsidP="004001B9">
      <w:pPr>
        <w:ind w:left="1440" w:hanging="720"/>
        <w:contextualSpacing/>
        <w:rPr>
          <w:rFonts w:eastAsia="Calibri" w:cstheme="minorHAnsi"/>
          <w:szCs w:val="23"/>
          <w:lang w:val="fr-CA"/>
        </w:rPr>
      </w:pPr>
    </w:p>
    <w:p w14:paraId="5BED4AFC" w14:textId="4A2ACB49" w:rsidR="0050306B" w:rsidRPr="00F52884" w:rsidRDefault="0050306B" w:rsidP="004001B9">
      <w:pPr>
        <w:numPr>
          <w:ilvl w:val="0"/>
          <w:numId w:val="375"/>
        </w:numPr>
        <w:ind w:hanging="72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résultats de toute évaluation initiale des éléments de sa soumission si le marché doit être adjugé sur la base de la soumission la plus avantageuse;</w:t>
      </w:r>
    </w:p>
    <w:p w14:paraId="39629770" w14:textId="77777777" w:rsidR="0050306B" w:rsidRPr="00F52884" w:rsidRDefault="0050306B" w:rsidP="004001B9">
      <w:pPr>
        <w:ind w:left="1440" w:hanging="720"/>
        <w:contextualSpacing/>
        <w:rPr>
          <w:rFonts w:eastAsia="Calibri" w:cstheme="minorHAnsi"/>
          <w:szCs w:val="23"/>
          <w:lang w:val="fr-CA"/>
        </w:rPr>
      </w:pPr>
    </w:p>
    <w:p w14:paraId="16588120" w14:textId="77777777" w:rsidR="0050306B" w:rsidRPr="00F52884" w:rsidRDefault="0050306B" w:rsidP="004001B9">
      <w:pPr>
        <w:numPr>
          <w:ilvl w:val="0"/>
          <w:numId w:val="375"/>
        </w:numPr>
        <w:ind w:hanging="720"/>
        <w:contextualSpacing/>
        <w:rPr>
          <w:rFonts w:eastAsia="Calibri" w:cstheme="minorHAnsi"/>
          <w:szCs w:val="23"/>
          <w:lang w:val="fr-CA"/>
        </w:rPr>
      </w:pPr>
      <w:proofErr w:type="gramStart"/>
      <w:r w:rsidRPr="00F52884">
        <w:rPr>
          <w:rFonts w:eastAsia="Calibri" w:cstheme="minorHAnsi"/>
          <w:szCs w:val="23"/>
          <w:lang w:val="fr-CA"/>
        </w:rPr>
        <w:t>tout</w:t>
      </w:r>
      <w:proofErr w:type="gramEnd"/>
      <w:r w:rsidRPr="00F52884">
        <w:rPr>
          <w:rFonts w:eastAsia="Calibri" w:cstheme="minorHAnsi"/>
          <w:szCs w:val="23"/>
          <w:lang w:val="fr-CA"/>
        </w:rPr>
        <w:t xml:space="preserve"> autre renseignement pertinent concernant la conduite de l’enchère.</w:t>
      </w:r>
    </w:p>
    <w:p w14:paraId="5C5E6F81" w14:textId="77777777" w:rsidR="0050306B" w:rsidRPr="00F52884" w:rsidRDefault="0050306B" w:rsidP="0050306B">
      <w:pPr>
        <w:ind w:left="1440" w:hanging="720"/>
        <w:rPr>
          <w:rFonts w:eastAsia="Calibri" w:cstheme="minorHAnsi"/>
          <w:szCs w:val="23"/>
          <w:u w:val="single"/>
          <w:lang w:val="fr-CA"/>
        </w:rPr>
      </w:pPr>
    </w:p>
    <w:p w14:paraId="2DE8A1A0" w14:textId="66C58589"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515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Traitement des soumissions et adjudication des marchés</w:t>
      </w:r>
    </w:p>
    <w:p w14:paraId="508D30F8" w14:textId="77777777" w:rsidR="0050306B" w:rsidRPr="00F52884" w:rsidRDefault="0050306B" w:rsidP="0050306B">
      <w:pPr>
        <w:rPr>
          <w:rFonts w:eastAsia="Calibri" w:cstheme="minorHAnsi"/>
          <w:b/>
          <w:szCs w:val="23"/>
          <w:lang w:val="fr-CA"/>
        </w:rPr>
      </w:pPr>
    </w:p>
    <w:p w14:paraId="539C7CA0" w14:textId="42A0C6B1" w:rsidR="0050306B" w:rsidRPr="00F52884" w:rsidRDefault="0050306B" w:rsidP="0050306B">
      <w:pPr>
        <w:rPr>
          <w:rFonts w:eastAsia="Calibri" w:cstheme="minorHAnsi"/>
          <w:i/>
          <w:szCs w:val="23"/>
          <w:lang w:val="fr-CA"/>
        </w:rPr>
      </w:pPr>
      <w:r w:rsidRPr="00F52884">
        <w:rPr>
          <w:rFonts w:eastAsia="Calibri" w:cstheme="minorHAnsi"/>
          <w:i/>
          <w:iCs/>
          <w:szCs w:val="23"/>
          <w:lang w:val="fr-CA"/>
        </w:rPr>
        <w:t>Traitement des soumissions</w:t>
      </w:r>
    </w:p>
    <w:p w14:paraId="3565DA7F" w14:textId="09F8D00F" w:rsidR="0050306B" w:rsidRPr="00F52884" w:rsidRDefault="0050306B" w:rsidP="0050306B">
      <w:pPr>
        <w:tabs>
          <w:tab w:val="left" w:pos="720"/>
        </w:tabs>
        <w:rPr>
          <w:rFonts w:eastAsia="Calibri" w:cstheme="minorHAnsi"/>
          <w:szCs w:val="23"/>
          <w:lang w:val="fr-CA"/>
        </w:rPr>
      </w:pPr>
      <w:r w:rsidRPr="00F52884">
        <w:rPr>
          <w:rFonts w:eastAsia="Calibri" w:cstheme="minorHAnsi"/>
          <w:szCs w:val="23"/>
          <w:lang w:val="fr-CA"/>
        </w:rPr>
        <w:br/>
        <w:t>1.</w:t>
      </w:r>
      <w:r w:rsidRPr="00F52884">
        <w:rPr>
          <w:rFonts w:eastAsia="Calibri" w:cstheme="minorHAnsi"/>
          <w:szCs w:val="23"/>
          <w:lang w:val="fr-CA"/>
        </w:rPr>
        <w:tab/>
        <w:t>Une entité contractante reçoit, ouvre et traite toutes les soumissions selon des procédures qui garantissent l’équité et l’impartialité du processus de passation des marchés, ainsi que la confidentialité des soumissions.</w:t>
      </w:r>
    </w:p>
    <w:p w14:paraId="1F7C01D8" w14:textId="46A5FF98" w:rsidR="0050306B" w:rsidRPr="00F52884" w:rsidRDefault="0050306B" w:rsidP="0050306B">
      <w:pPr>
        <w:tabs>
          <w:tab w:val="left" w:pos="720"/>
        </w:tabs>
        <w:rPr>
          <w:rFonts w:eastAsia="Calibri" w:cstheme="minorHAnsi"/>
          <w:szCs w:val="23"/>
          <w:lang w:val="fr-CA"/>
        </w:rPr>
      </w:pPr>
      <w:r w:rsidRPr="00F52884">
        <w:rPr>
          <w:rFonts w:eastAsia="Calibri" w:cstheme="minorHAnsi"/>
          <w:szCs w:val="23"/>
          <w:lang w:val="fr-CA"/>
        </w:rPr>
        <w:br/>
        <w:t>2.</w:t>
      </w:r>
      <w:r w:rsidRPr="00F52884">
        <w:rPr>
          <w:rFonts w:eastAsia="Calibri" w:cstheme="minorHAnsi"/>
          <w:szCs w:val="23"/>
          <w:lang w:val="fr-CA"/>
        </w:rPr>
        <w:tab/>
        <w:t>Une entité contractante ne pénalise pas un fournisseur dont la soumission est reçue après l’heure et la date limite spécifiées pour la réception des soumissions si le retard est imputable uniquement à l’entité contractante.</w:t>
      </w:r>
    </w:p>
    <w:p w14:paraId="735F8EC9" w14:textId="694B4A59" w:rsidR="0050306B" w:rsidRPr="00F52884" w:rsidRDefault="0050306B" w:rsidP="0050306B">
      <w:pPr>
        <w:tabs>
          <w:tab w:val="left" w:pos="720"/>
        </w:tabs>
        <w:rPr>
          <w:rFonts w:eastAsia="Calibri" w:cstheme="minorHAnsi"/>
          <w:szCs w:val="23"/>
          <w:lang w:val="fr-CA"/>
        </w:rPr>
      </w:pPr>
      <w:r w:rsidRPr="00F52884">
        <w:rPr>
          <w:rFonts w:eastAsia="Calibri" w:cstheme="minorHAnsi"/>
          <w:szCs w:val="23"/>
          <w:lang w:val="fr-CA"/>
        </w:rPr>
        <w:br/>
        <w:t>3.</w:t>
      </w:r>
      <w:r w:rsidRPr="00F52884">
        <w:rPr>
          <w:rFonts w:eastAsia="Calibri" w:cstheme="minorHAnsi"/>
          <w:szCs w:val="23"/>
          <w:lang w:val="fr-CA"/>
        </w:rPr>
        <w:tab/>
        <w:t>Si une entité contractante offre à un fournisseur la possibilité de corriger des erreurs de forme involontaires entre l’ouverture des soumissions et l’adjudication du marché, elle offre la même possibilité à tous les fournisseurs participants.</w:t>
      </w:r>
    </w:p>
    <w:p w14:paraId="33F5B4A0" w14:textId="77777777" w:rsidR="0050306B" w:rsidRPr="00F52884" w:rsidRDefault="0050306B" w:rsidP="0050306B">
      <w:pPr>
        <w:rPr>
          <w:rFonts w:eastAsia="Calibri" w:cstheme="minorHAnsi"/>
          <w:szCs w:val="23"/>
          <w:lang w:val="fr-CA"/>
        </w:rPr>
      </w:pPr>
    </w:p>
    <w:p w14:paraId="741F1E7C"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 xml:space="preserve">Évaluation et adjudication des marchés </w:t>
      </w:r>
    </w:p>
    <w:p w14:paraId="68E17C5F" w14:textId="77777777" w:rsidR="0050306B" w:rsidRPr="00F52884" w:rsidRDefault="0050306B" w:rsidP="0050306B">
      <w:pPr>
        <w:ind w:left="360"/>
        <w:contextualSpacing/>
        <w:rPr>
          <w:rFonts w:eastAsia="Calibri" w:cstheme="minorHAnsi"/>
          <w:szCs w:val="23"/>
          <w:lang w:val="fr-CA"/>
        </w:rPr>
      </w:pPr>
    </w:p>
    <w:p w14:paraId="2D6D3622" w14:textId="70C4EF08"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4. </w:t>
      </w:r>
      <w:r w:rsidRPr="00F52884">
        <w:rPr>
          <w:rFonts w:eastAsia="Calibri" w:cstheme="minorHAnsi"/>
          <w:szCs w:val="23"/>
          <w:lang w:val="fr-CA"/>
        </w:rPr>
        <w:tab/>
        <w:t>Pour être considérée en vue d’une adjudication, une soumission est présentée par écrit et, au moment de son ouverture, est conforme aux prescriptions essentielles énoncées dans les avis d’appel d’offres et dans la documentation relative à l’appel d’offres, et émane d’un fournisseur satisfaisant aux conditions de participation.</w:t>
      </w:r>
    </w:p>
    <w:p w14:paraId="51C28639" w14:textId="77777777" w:rsidR="0050306B" w:rsidRPr="00F52884" w:rsidRDefault="0050306B" w:rsidP="0050306B">
      <w:pPr>
        <w:rPr>
          <w:rFonts w:eastAsia="Calibri" w:cstheme="minorHAnsi"/>
          <w:szCs w:val="23"/>
          <w:lang w:val="fr-CA"/>
        </w:rPr>
      </w:pPr>
    </w:p>
    <w:p w14:paraId="2EA42AAD" w14:textId="75B9C238" w:rsidR="0050306B" w:rsidRPr="00F52884" w:rsidRDefault="0050306B" w:rsidP="0050306B">
      <w:pPr>
        <w:rPr>
          <w:rFonts w:eastAsia="Calibri" w:cstheme="minorHAnsi"/>
          <w:szCs w:val="23"/>
          <w:lang w:val="fr-CA"/>
        </w:rPr>
      </w:pPr>
      <w:r w:rsidRPr="00F52884">
        <w:rPr>
          <w:rFonts w:eastAsia="Calibri" w:cstheme="minorHAnsi"/>
          <w:szCs w:val="23"/>
          <w:lang w:val="fr-CA"/>
        </w:rPr>
        <w:t>5.</w:t>
      </w:r>
      <w:r w:rsidRPr="00F52884">
        <w:rPr>
          <w:rFonts w:eastAsia="Calibri" w:cstheme="minorHAnsi"/>
          <w:szCs w:val="23"/>
          <w:lang w:val="fr-CA"/>
        </w:rPr>
        <w:tab/>
        <w:t xml:space="preserve">À moins qu’elle ne détermine qu’il n’est pas dans l’intérêt public d’adjuger un </w:t>
      </w:r>
      <w:r w:rsidRPr="00F52884">
        <w:rPr>
          <w:rFonts w:cstheme="minorHAnsi"/>
          <w:szCs w:val="23"/>
          <w:lang w:val="fr-CA"/>
        </w:rPr>
        <w:t>marché, l’entité contractante adjuge le marché au fournisseur dont elle a déterminé qu’il est capable de satisfaire aux modalités du marché et qui, uniquement sur la base des critères d’évaluation spécifiés dans les avis d’appel d’offres et la documentation relative à l’appel d’offres, a présenté :</w:t>
      </w:r>
    </w:p>
    <w:p w14:paraId="6B05ECE3" w14:textId="77777777" w:rsidR="0050306B" w:rsidRPr="00F52884" w:rsidRDefault="0050306B" w:rsidP="0050306B">
      <w:pPr>
        <w:rPr>
          <w:rFonts w:eastAsia="Calibri" w:cstheme="minorHAnsi"/>
          <w:szCs w:val="23"/>
          <w:lang w:val="fr-CA"/>
        </w:rPr>
      </w:pPr>
    </w:p>
    <w:p w14:paraId="5D5DA996" w14:textId="725CD58D" w:rsidR="0050306B" w:rsidRPr="00F52884" w:rsidRDefault="0050306B" w:rsidP="0050306B">
      <w:pPr>
        <w:numPr>
          <w:ilvl w:val="0"/>
          <w:numId w:val="376"/>
        </w:numPr>
        <w:ind w:hanging="720"/>
        <w:rPr>
          <w:rFonts w:eastAsia="Calibri" w:cstheme="minorHAnsi"/>
          <w:szCs w:val="23"/>
          <w:lang w:val="fr-CA"/>
        </w:rPr>
      </w:pPr>
      <w:proofErr w:type="gramStart"/>
      <w:r w:rsidRPr="00F52884">
        <w:rPr>
          <w:rFonts w:eastAsia="Calibri" w:cstheme="minorHAnsi"/>
          <w:szCs w:val="23"/>
          <w:lang w:val="fr-CA"/>
        </w:rPr>
        <w:t>soit</w:t>
      </w:r>
      <w:proofErr w:type="gramEnd"/>
      <w:r w:rsidRPr="00F52884">
        <w:rPr>
          <w:rFonts w:eastAsia="Calibri" w:cstheme="minorHAnsi"/>
          <w:szCs w:val="23"/>
          <w:lang w:val="fr-CA"/>
        </w:rPr>
        <w:t xml:space="preserve"> la soumission la plus avantageuse; </w:t>
      </w:r>
    </w:p>
    <w:p w14:paraId="6D3FD9B3" w14:textId="77777777" w:rsidR="0050306B" w:rsidRPr="00F52884" w:rsidRDefault="0050306B" w:rsidP="0050306B">
      <w:pPr>
        <w:ind w:left="1440" w:hanging="720"/>
        <w:rPr>
          <w:rFonts w:eastAsia="Calibri" w:cstheme="minorHAnsi"/>
          <w:szCs w:val="23"/>
          <w:lang w:val="fr-CA"/>
        </w:rPr>
      </w:pPr>
    </w:p>
    <w:p w14:paraId="458F8BAF" w14:textId="4681E1DD" w:rsidR="0050306B" w:rsidRPr="00F52884" w:rsidRDefault="0050306B" w:rsidP="0050306B">
      <w:pPr>
        <w:numPr>
          <w:ilvl w:val="0"/>
          <w:numId w:val="376"/>
        </w:numPr>
        <w:ind w:hanging="720"/>
        <w:rPr>
          <w:rFonts w:eastAsia="Calibri" w:cstheme="minorHAnsi"/>
          <w:szCs w:val="23"/>
          <w:lang w:val="fr-CA"/>
        </w:rPr>
      </w:pPr>
      <w:proofErr w:type="gramStart"/>
      <w:r w:rsidRPr="00F52884">
        <w:rPr>
          <w:rFonts w:eastAsia="Calibri" w:cstheme="minorHAnsi"/>
          <w:szCs w:val="23"/>
          <w:lang w:val="fr-CA"/>
        </w:rPr>
        <w:t>soit</w:t>
      </w:r>
      <w:proofErr w:type="gramEnd"/>
      <w:r w:rsidRPr="00F52884">
        <w:rPr>
          <w:rFonts w:eastAsia="Calibri" w:cstheme="minorHAnsi"/>
          <w:szCs w:val="23"/>
          <w:lang w:val="fr-CA"/>
        </w:rPr>
        <w:t>, si le prix est le seul critère, le prix le plus bas.</w:t>
      </w:r>
    </w:p>
    <w:p w14:paraId="2EEE8288" w14:textId="77777777" w:rsidR="0050306B" w:rsidRPr="00F52884" w:rsidRDefault="0050306B" w:rsidP="0050306B">
      <w:pPr>
        <w:ind w:left="1440"/>
        <w:rPr>
          <w:rFonts w:eastAsia="Calibri" w:cstheme="minorHAnsi"/>
          <w:szCs w:val="23"/>
          <w:lang w:val="fr-CA"/>
        </w:rPr>
      </w:pPr>
    </w:p>
    <w:p w14:paraId="0F12599A" w14:textId="6B594799" w:rsidR="0050306B" w:rsidRPr="00F52884" w:rsidRDefault="0050306B" w:rsidP="0050306B">
      <w:pPr>
        <w:rPr>
          <w:rFonts w:eastAsia="Calibri" w:cstheme="minorHAnsi"/>
          <w:szCs w:val="23"/>
          <w:lang w:val="fr-CA"/>
        </w:rPr>
      </w:pPr>
      <w:r w:rsidRPr="00F52884">
        <w:rPr>
          <w:rFonts w:eastAsia="Calibri" w:cstheme="minorHAnsi"/>
          <w:szCs w:val="23"/>
          <w:lang w:val="fr-CA"/>
        </w:rPr>
        <w:t>6.</w:t>
      </w:r>
      <w:r w:rsidRPr="00F52884">
        <w:rPr>
          <w:rFonts w:eastAsia="Calibri" w:cstheme="minorHAnsi"/>
          <w:szCs w:val="23"/>
          <w:lang w:val="fr-CA"/>
        </w:rPr>
        <w:tab/>
        <w:t xml:space="preserve">Si une entité contractante reçoit une soumission d’un fournisseur dont le prix est anormalement inférieur aux prix des autres soumissions présentées, elle peut vérifier auprès du fournisseur qu’il satisfait aux conditions de participation et qu’il est apte à satisfaire aux modalités du marché. </w:t>
      </w:r>
    </w:p>
    <w:p w14:paraId="4E041347" w14:textId="77777777" w:rsidR="0050306B" w:rsidRPr="00F52884" w:rsidRDefault="0050306B" w:rsidP="0050306B">
      <w:pPr>
        <w:rPr>
          <w:rFonts w:eastAsia="Calibri" w:cstheme="minorHAnsi"/>
          <w:szCs w:val="23"/>
          <w:u w:val="single"/>
          <w:lang w:val="fr-CA"/>
        </w:rPr>
      </w:pPr>
    </w:p>
    <w:p w14:paraId="0D647CB0" w14:textId="5B1CA288"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516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 xml:space="preserve">Transparence des renseignements relatifs aux marchés </w:t>
      </w:r>
    </w:p>
    <w:p w14:paraId="63102302" w14:textId="77777777" w:rsidR="0050306B" w:rsidRPr="00F52884" w:rsidRDefault="0050306B" w:rsidP="0050306B">
      <w:pPr>
        <w:rPr>
          <w:rFonts w:eastAsia="Calibri" w:cstheme="minorHAnsi"/>
          <w:szCs w:val="23"/>
          <w:lang w:val="fr-CA"/>
        </w:rPr>
      </w:pPr>
    </w:p>
    <w:p w14:paraId="7D1BF0F8" w14:textId="77777777" w:rsidR="0050306B" w:rsidRPr="00F52884" w:rsidRDefault="0050306B" w:rsidP="0050306B">
      <w:pPr>
        <w:rPr>
          <w:rFonts w:eastAsia="Calibri" w:cstheme="minorHAnsi"/>
          <w:i/>
          <w:szCs w:val="23"/>
          <w:lang w:val="fr-CA"/>
        </w:rPr>
      </w:pPr>
      <w:r w:rsidRPr="00F52884">
        <w:rPr>
          <w:rFonts w:eastAsia="Calibri" w:cstheme="minorHAnsi"/>
          <w:i/>
          <w:iCs/>
          <w:szCs w:val="23"/>
          <w:lang w:val="fr-CA"/>
        </w:rPr>
        <w:t>Renseignements communiqués aux fournisseurs</w:t>
      </w:r>
    </w:p>
    <w:p w14:paraId="33F853DA" w14:textId="77777777" w:rsidR="0050306B" w:rsidRPr="00F52884" w:rsidRDefault="0050306B" w:rsidP="0050306B">
      <w:pPr>
        <w:rPr>
          <w:rFonts w:eastAsia="Calibri" w:cstheme="minorHAnsi"/>
          <w:szCs w:val="23"/>
          <w:lang w:val="fr-CA"/>
        </w:rPr>
      </w:pPr>
    </w:p>
    <w:p w14:paraId="58B5B27A" w14:textId="6F19EDE7" w:rsidR="0050306B" w:rsidRPr="00F52884" w:rsidRDefault="0050306B" w:rsidP="0050306B">
      <w:pPr>
        <w:rPr>
          <w:rFonts w:eastAsia="Calibri" w:cstheme="minorHAnsi"/>
          <w:i/>
          <w:szCs w:val="23"/>
          <w:lang w:val="fr-CA"/>
        </w:rPr>
      </w:pPr>
      <w:r w:rsidRPr="00F52884">
        <w:rPr>
          <w:rFonts w:eastAsia="Calibri" w:cstheme="minorHAnsi"/>
          <w:szCs w:val="23"/>
          <w:lang w:val="fr-CA"/>
        </w:rPr>
        <w:t xml:space="preserve">1. </w:t>
      </w:r>
      <w:r w:rsidRPr="00F52884">
        <w:rPr>
          <w:rFonts w:eastAsia="Calibri" w:cstheme="minorHAnsi"/>
          <w:szCs w:val="23"/>
          <w:lang w:val="fr-CA"/>
        </w:rPr>
        <w:tab/>
        <w:t>Une entité contractante informe dans les moindres délais les fournisseurs participants des décisions qu’elle a prises concernant l’adjudication du marché et, si un fournisseur le lui demande, elle le fait par écrit. Sous réserve de l’article 517, une entité contractante expose, sur demande, à un fournisseur non retenu les raisons pour lesquelles elle n’a pas retenu sa soumission.</w:t>
      </w:r>
      <w:r w:rsidRPr="00F52884">
        <w:rPr>
          <w:rFonts w:eastAsia="Calibri" w:cstheme="minorHAnsi"/>
          <w:szCs w:val="23"/>
          <w:lang w:val="fr-CA"/>
        </w:rPr>
        <w:br/>
      </w:r>
    </w:p>
    <w:p w14:paraId="4D8CDBD2" w14:textId="50C8A73C" w:rsidR="0050306B" w:rsidRPr="00F52884" w:rsidRDefault="0050306B" w:rsidP="0050306B">
      <w:pPr>
        <w:rPr>
          <w:rFonts w:eastAsia="Calibri" w:cstheme="minorHAnsi"/>
          <w:szCs w:val="23"/>
          <w:lang w:val="fr-CA"/>
        </w:rPr>
      </w:pPr>
      <w:r w:rsidRPr="00F52884">
        <w:rPr>
          <w:rFonts w:eastAsia="Calibri" w:cstheme="minorHAnsi"/>
          <w:i/>
          <w:iCs/>
          <w:szCs w:val="23"/>
          <w:lang w:val="fr-CA"/>
        </w:rPr>
        <w:t>Publication des renseignements relatifs à une adjudication</w:t>
      </w:r>
      <w:r w:rsidRPr="00F52884">
        <w:rPr>
          <w:rFonts w:eastAsia="Calibri" w:cstheme="minorHAnsi"/>
          <w:szCs w:val="23"/>
          <w:lang w:val="fr-CA"/>
        </w:rPr>
        <w:br/>
      </w:r>
    </w:p>
    <w:p w14:paraId="2FD9D78A" w14:textId="56883C6F" w:rsidR="0050306B" w:rsidRPr="00F52884" w:rsidRDefault="0050306B" w:rsidP="0050306B">
      <w:pPr>
        <w:rPr>
          <w:rFonts w:eastAsia="Calibri" w:cstheme="minorHAnsi"/>
          <w:szCs w:val="23"/>
          <w:lang w:val="fr-CA"/>
        </w:rPr>
      </w:pPr>
      <w:r w:rsidRPr="00F52884">
        <w:rPr>
          <w:rFonts w:eastAsia="Calibri" w:cstheme="minorHAnsi"/>
          <w:szCs w:val="23"/>
          <w:lang w:val="fr-CA"/>
        </w:rPr>
        <w:t>2.</w:t>
      </w:r>
      <w:r w:rsidRPr="00F52884">
        <w:rPr>
          <w:rFonts w:eastAsia="Calibri" w:cstheme="minorHAnsi"/>
          <w:szCs w:val="23"/>
          <w:lang w:val="fr-CA"/>
        </w:rPr>
        <w:tab/>
        <w:t>Une entité contractante fait paraître, au plus tard 72 jours après l’adjudication de chaque marché couvert par le présent chapitre, un avis sur un des sites Web ou systèmes d’appel d’offres désignés par sa Partie. Les renseignements restent facilement accessibles pendant une période raisonnable. L’avis comprend au moins les renseignements suivants :</w:t>
      </w:r>
    </w:p>
    <w:p w14:paraId="532E9137" w14:textId="77777777" w:rsidR="0050306B" w:rsidRPr="00F52884" w:rsidRDefault="0050306B" w:rsidP="0050306B">
      <w:pPr>
        <w:rPr>
          <w:rFonts w:eastAsia="Calibri" w:cstheme="minorHAnsi"/>
          <w:szCs w:val="23"/>
          <w:lang w:val="fr-CA"/>
        </w:rPr>
      </w:pPr>
    </w:p>
    <w:p w14:paraId="3C85BAC8" w14:textId="4383508E" w:rsidR="0050306B" w:rsidRPr="00F52884" w:rsidRDefault="0050306B" w:rsidP="0050306B">
      <w:pPr>
        <w:numPr>
          <w:ilvl w:val="0"/>
          <w:numId w:val="377"/>
        </w:numPr>
        <w:ind w:hanging="720"/>
        <w:contextualSpacing/>
        <w:rPr>
          <w:rFonts w:eastAsia="Calibri" w:cstheme="minorHAnsi"/>
          <w:szCs w:val="23"/>
          <w:lang w:val="fr-CA"/>
        </w:rPr>
      </w:pPr>
      <w:proofErr w:type="gramStart"/>
      <w:r w:rsidRPr="00F52884">
        <w:rPr>
          <w:rFonts w:eastAsia="Calibri" w:cstheme="minorHAnsi"/>
          <w:szCs w:val="23"/>
          <w:lang w:val="fr-CA"/>
        </w:rPr>
        <w:t>une</w:t>
      </w:r>
      <w:proofErr w:type="gramEnd"/>
      <w:r w:rsidRPr="00F52884">
        <w:rPr>
          <w:rFonts w:eastAsia="Calibri" w:cstheme="minorHAnsi"/>
          <w:szCs w:val="23"/>
          <w:lang w:val="fr-CA"/>
        </w:rPr>
        <w:t xml:space="preserve"> description des produits ou des services faisant l’objet du marché;</w:t>
      </w:r>
    </w:p>
    <w:p w14:paraId="715B4F4A" w14:textId="77777777" w:rsidR="0050306B" w:rsidRPr="00F52884" w:rsidRDefault="0050306B" w:rsidP="0050306B">
      <w:pPr>
        <w:ind w:left="1440" w:hanging="720"/>
        <w:contextualSpacing/>
        <w:rPr>
          <w:rFonts w:eastAsia="Calibri" w:cstheme="minorHAnsi"/>
          <w:szCs w:val="23"/>
          <w:lang w:val="fr-CA"/>
        </w:rPr>
      </w:pPr>
    </w:p>
    <w:p w14:paraId="56FDB268" w14:textId="77777777" w:rsidR="0050306B" w:rsidRPr="00F52884" w:rsidRDefault="0050306B" w:rsidP="0050306B">
      <w:pPr>
        <w:numPr>
          <w:ilvl w:val="0"/>
          <w:numId w:val="377"/>
        </w:numPr>
        <w:ind w:hanging="720"/>
        <w:contextualSpacing/>
        <w:rPr>
          <w:rFonts w:eastAsia="Calibri" w:cstheme="minorHAnsi"/>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nom et l’adresse de l’entité contractante;</w:t>
      </w:r>
    </w:p>
    <w:p w14:paraId="5DB2289B" w14:textId="77777777" w:rsidR="0050306B" w:rsidRPr="00F52884" w:rsidRDefault="0050306B" w:rsidP="0050306B">
      <w:pPr>
        <w:ind w:left="1440" w:hanging="720"/>
        <w:contextualSpacing/>
        <w:rPr>
          <w:rFonts w:eastAsia="Calibri" w:cstheme="minorHAnsi"/>
          <w:szCs w:val="23"/>
          <w:lang w:val="fr-CA"/>
        </w:rPr>
      </w:pPr>
    </w:p>
    <w:p w14:paraId="16CCA092" w14:textId="77777777" w:rsidR="0050306B" w:rsidRPr="00F52884" w:rsidRDefault="0050306B" w:rsidP="0050306B">
      <w:pPr>
        <w:numPr>
          <w:ilvl w:val="0"/>
          <w:numId w:val="377"/>
        </w:numPr>
        <w:ind w:hanging="720"/>
        <w:contextualSpacing/>
        <w:rPr>
          <w:rFonts w:eastAsia="Calibri" w:cstheme="minorHAnsi"/>
          <w:szCs w:val="23"/>
          <w:lang w:val="fr-CA"/>
        </w:rPr>
      </w:pPr>
      <w:proofErr w:type="gramStart"/>
      <w:r w:rsidRPr="00F52884">
        <w:rPr>
          <w:rFonts w:eastAsia="Calibri" w:cstheme="minorHAnsi"/>
          <w:szCs w:val="23"/>
          <w:lang w:val="fr-CA"/>
        </w:rPr>
        <w:t>le</w:t>
      </w:r>
      <w:proofErr w:type="gramEnd"/>
      <w:r w:rsidRPr="00F52884">
        <w:rPr>
          <w:rFonts w:eastAsia="Calibri" w:cstheme="minorHAnsi"/>
          <w:szCs w:val="23"/>
          <w:lang w:val="fr-CA"/>
        </w:rPr>
        <w:t xml:space="preserve"> nom et l’adresse du fournisseur retenu;</w:t>
      </w:r>
    </w:p>
    <w:p w14:paraId="4338C7D9" w14:textId="77777777" w:rsidR="0050306B" w:rsidRPr="00F52884" w:rsidRDefault="0050306B" w:rsidP="0050306B">
      <w:pPr>
        <w:ind w:left="1440" w:hanging="720"/>
        <w:contextualSpacing/>
        <w:rPr>
          <w:rFonts w:eastAsia="Calibri" w:cstheme="minorHAnsi"/>
          <w:szCs w:val="23"/>
          <w:lang w:val="fr-CA"/>
        </w:rPr>
      </w:pPr>
    </w:p>
    <w:p w14:paraId="74579C42" w14:textId="1FB63673" w:rsidR="0050306B" w:rsidRPr="00F52884" w:rsidRDefault="0050306B" w:rsidP="0050306B">
      <w:pPr>
        <w:numPr>
          <w:ilvl w:val="0"/>
          <w:numId w:val="377"/>
        </w:numPr>
        <w:ind w:hanging="720"/>
        <w:contextualSpacing/>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valeur de la soumission retenue;</w:t>
      </w:r>
    </w:p>
    <w:p w14:paraId="6012744E" w14:textId="77777777" w:rsidR="0050306B" w:rsidRPr="00F52884" w:rsidRDefault="0050306B" w:rsidP="0050306B">
      <w:pPr>
        <w:ind w:left="1440" w:hanging="720"/>
        <w:contextualSpacing/>
        <w:rPr>
          <w:rFonts w:eastAsia="Calibri" w:cstheme="minorHAnsi"/>
          <w:szCs w:val="23"/>
          <w:lang w:val="fr-CA"/>
        </w:rPr>
      </w:pPr>
    </w:p>
    <w:p w14:paraId="3F04B691" w14:textId="77777777" w:rsidR="0050306B" w:rsidRPr="00F52884" w:rsidRDefault="0050306B" w:rsidP="0050306B">
      <w:pPr>
        <w:numPr>
          <w:ilvl w:val="0"/>
          <w:numId w:val="377"/>
        </w:numPr>
        <w:ind w:hanging="720"/>
        <w:contextualSpacing/>
        <w:rPr>
          <w:rFonts w:eastAsia="Calibri" w:cstheme="minorHAnsi"/>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date de l’adjudication;</w:t>
      </w:r>
    </w:p>
    <w:p w14:paraId="32DCB789" w14:textId="77777777" w:rsidR="0050306B" w:rsidRPr="00F52884" w:rsidRDefault="0050306B" w:rsidP="0050306B">
      <w:pPr>
        <w:ind w:left="1440" w:hanging="720"/>
        <w:contextualSpacing/>
        <w:rPr>
          <w:rFonts w:eastAsia="Calibri" w:cstheme="minorHAnsi"/>
          <w:szCs w:val="23"/>
          <w:lang w:val="fr-CA"/>
        </w:rPr>
      </w:pPr>
    </w:p>
    <w:p w14:paraId="5879DAF5" w14:textId="01295852" w:rsidR="0050306B" w:rsidRPr="00F52884" w:rsidRDefault="0050306B" w:rsidP="0050306B">
      <w:pPr>
        <w:numPr>
          <w:ilvl w:val="0"/>
          <w:numId w:val="377"/>
        </w:numPr>
        <w:ind w:hanging="72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un appel d’offres limité a été utilisé, les conditions et les circonstances décrites à l’article 513 ayant justifié le recours à un appel d’offres limité. </w:t>
      </w:r>
    </w:p>
    <w:p w14:paraId="55D1E130" w14:textId="77777777" w:rsidR="0050306B" w:rsidRPr="00F52884" w:rsidRDefault="0050306B" w:rsidP="0050306B">
      <w:pPr>
        <w:rPr>
          <w:rFonts w:eastAsia="Calibri" w:cstheme="minorHAnsi"/>
          <w:szCs w:val="23"/>
          <w:lang w:val="fr-CA"/>
        </w:rPr>
      </w:pPr>
    </w:p>
    <w:p w14:paraId="6FB8D5C3" w14:textId="77777777" w:rsidR="0050306B" w:rsidRPr="00F52884" w:rsidRDefault="0050306B" w:rsidP="0050306B">
      <w:pPr>
        <w:tabs>
          <w:tab w:val="left" w:pos="709"/>
        </w:tabs>
        <w:rPr>
          <w:rFonts w:eastAsia="Calibri" w:cstheme="minorHAnsi"/>
          <w:i/>
          <w:szCs w:val="23"/>
          <w:lang w:val="fr-CA"/>
        </w:rPr>
      </w:pPr>
      <w:r w:rsidRPr="00F52884">
        <w:rPr>
          <w:rFonts w:eastAsia="Calibri" w:cstheme="minorHAnsi"/>
          <w:i/>
          <w:iCs/>
          <w:szCs w:val="23"/>
          <w:lang w:val="fr-CA"/>
        </w:rPr>
        <w:t>Établissement et communication de statistiques</w:t>
      </w:r>
      <w:r w:rsidRPr="00F52884">
        <w:rPr>
          <w:rFonts w:eastAsia="Calibri" w:cstheme="minorHAnsi"/>
          <w:szCs w:val="23"/>
          <w:lang w:val="fr-CA"/>
        </w:rPr>
        <w:br/>
      </w:r>
    </w:p>
    <w:p w14:paraId="20ED8630" w14:textId="7AC004B5" w:rsidR="0050306B" w:rsidRPr="00F52884" w:rsidRDefault="0050306B" w:rsidP="0050306B">
      <w:pPr>
        <w:tabs>
          <w:tab w:val="left" w:pos="709"/>
        </w:tabs>
        <w:rPr>
          <w:rFonts w:eastAsia="Calibri" w:cstheme="minorHAnsi"/>
          <w:szCs w:val="23"/>
          <w:lang w:val="fr-CA"/>
        </w:rPr>
      </w:pPr>
      <w:r w:rsidRPr="00F52884">
        <w:rPr>
          <w:rFonts w:eastAsia="Calibri" w:cstheme="minorHAnsi"/>
          <w:szCs w:val="23"/>
          <w:lang w:val="fr-CA"/>
        </w:rPr>
        <w:t>3.</w:t>
      </w:r>
      <w:r w:rsidRPr="00F52884">
        <w:rPr>
          <w:rFonts w:eastAsia="Calibri" w:cstheme="minorHAnsi"/>
          <w:szCs w:val="23"/>
          <w:lang w:val="fr-CA"/>
        </w:rPr>
        <w:tab/>
        <w:t xml:space="preserve">Chaque Partie communique au Secrétariat, sur une base annuelle, le nombre et la valeur totale des marchés couverts qu’elle a adjugés, ventilés par type d’entité contractante conformément à l’article 504.3. </w:t>
      </w:r>
    </w:p>
    <w:p w14:paraId="5341AC17" w14:textId="20DDC417" w:rsidR="0050306B" w:rsidRPr="00F52884" w:rsidRDefault="0050306B" w:rsidP="0050306B">
      <w:pPr>
        <w:spacing w:before="100" w:beforeAutospacing="1" w:after="100" w:afterAutospacing="1"/>
        <w:rPr>
          <w:rFonts w:eastAsia="Times New Roman" w:cstheme="minorHAnsi"/>
          <w:szCs w:val="23"/>
          <w:lang w:val="fr-CA"/>
        </w:rPr>
      </w:pPr>
      <w:r w:rsidRPr="00F52884">
        <w:rPr>
          <w:rFonts w:eastAsia="Times New Roman" w:cstheme="minorHAnsi"/>
          <w:szCs w:val="23"/>
          <w:lang w:val="fr-CA"/>
        </w:rPr>
        <w:t xml:space="preserve">4. </w:t>
      </w:r>
      <w:r w:rsidRPr="00F52884">
        <w:rPr>
          <w:rFonts w:eastAsia="Times New Roman" w:cstheme="minorHAnsi"/>
          <w:szCs w:val="23"/>
          <w:lang w:val="fr-CA"/>
        </w:rPr>
        <w:tab/>
        <w:t>Si une Partie publie ses statistiques sur un site Web officiel, d’une manière qui est compatible avec les prescriptions du paragraphe 3, la Partie peut, au lieu de communiquer les statistiques au Secrétariat, fournir un lien vers ce site Web, accompagné de toutes instructions nécessaires pour avoir accès à ces statistiques et les utiliser.</w:t>
      </w:r>
    </w:p>
    <w:p w14:paraId="1973C13B" w14:textId="7EE88C8C" w:rsidR="0050306B" w:rsidRPr="00F52884" w:rsidRDefault="0050306B" w:rsidP="0050306B">
      <w:pPr>
        <w:spacing w:before="100" w:beforeAutospacing="1" w:after="100" w:afterAutospacing="1"/>
        <w:rPr>
          <w:rFonts w:eastAsia="Times New Roman" w:cstheme="minorHAnsi"/>
          <w:szCs w:val="23"/>
          <w:lang w:val="fr-CA"/>
        </w:rPr>
      </w:pPr>
      <w:r w:rsidRPr="00F52884">
        <w:rPr>
          <w:rFonts w:eastAsia="Times New Roman" w:cstheme="minorHAnsi"/>
          <w:szCs w:val="23"/>
          <w:lang w:val="fr-CA"/>
        </w:rPr>
        <w:t xml:space="preserve">5. </w:t>
      </w:r>
      <w:r w:rsidRPr="00F52884">
        <w:rPr>
          <w:rFonts w:eastAsia="Times New Roman" w:cstheme="minorHAnsi"/>
          <w:szCs w:val="23"/>
          <w:lang w:val="fr-CA"/>
        </w:rPr>
        <w:tab/>
        <w:t>Si une Partie prescrit que les avis concernant les marchés adjugés doivent être publiés sur son site Web d’appels d’offres et que les avis sont accessibles dans une base de données unique sous une forme permettant l’analyse des marchés couverts par le présent chapitre, la Partie peut, au lieu de communiquer les avis au Secrétariat, fournir un lien vers ce site Web, accompagné de toutes instructions nécessaires pour avoir accès à la base de données et l’utiliser.</w:t>
      </w:r>
    </w:p>
    <w:p w14:paraId="08C8A3DE" w14:textId="19A8D966" w:rsidR="0050306B" w:rsidRPr="00F52884" w:rsidRDefault="0050306B" w:rsidP="0050306B">
      <w:pPr>
        <w:jc w:val="center"/>
        <w:rPr>
          <w:rFonts w:eastAsia="Calibri" w:cstheme="minorHAnsi"/>
          <w:b/>
          <w:szCs w:val="23"/>
          <w:lang w:val="fr-CA"/>
        </w:rPr>
      </w:pPr>
      <w:r w:rsidRPr="00F52884">
        <w:rPr>
          <w:rFonts w:eastAsia="Calibri" w:cstheme="minorHAnsi"/>
          <w:b/>
          <w:bCs/>
          <w:szCs w:val="23"/>
          <w:lang w:val="fr-CA"/>
        </w:rPr>
        <w:t>Article 517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Divulgation de renseignements</w:t>
      </w:r>
    </w:p>
    <w:p w14:paraId="14432E4E" w14:textId="77777777" w:rsidR="0050306B" w:rsidRPr="00F52884" w:rsidRDefault="0050306B" w:rsidP="0050306B">
      <w:pPr>
        <w:rPr>
          <w:rFonts w:eastAsia="Calibri" w:cstheme="minorHAnsi"/>
          <w:szCs w:val="23"/>
          <w:lang w:val="fr-CA"/>
        </w:rPr>
      </w:pPr>
    </w:p>
    <w:p w14:paraId="705411B8" w14:textId="3A64D856" w:rsidR="0050306B" w:rsidRPr="00F52884" w:rsidRDefault="0050306B" w:rsidP="0050306B">
      <w:pPr>
        <w:numPr>
          <w:ilvl w:val="0"/>
          <w:numId w:val="378"/>
        </w:numPr>
        <w:ind w:left="0" w:firstLine="0"/>
        <w:contextualSpacing/>
        <w:rPr>
          <w:rFonts w:eastAsia="Calibri" w:cstheme="minorHAnsi"/>
          <w:szCs w:val="23"/>
          <w:lang w:val="fr-CA"/>
        </w:rPr>
      </w:pPr>
      <w:r w:rsidRPr="00F52884">
        <w:rPr>
          <w:rFonts w:eastAsia="Calibri" w:cstheme="minorHAnsi"/>
          <w:szCs w:val="23"/>
          <w:lang w:val="fr-CA"/>
        </w:rPr>
        <w:t>Nonobstant toute autre disposition du présent chapitre, une entité contractante ne communique pas à un fournisseur particulier des renseignements qui pourraient nuire à la concurrence loyale entre fournisseurs.</w:t>
      </w:r>
    </w:p>
    <w:p w14:paraId="6438A033" w14:textId="77777777" w:rsidR="0050306B" w:rsidRPr="00F52884" w:rsidRDefault="0050306B" w:rsidP="0050306B">
      <w:pPr>
        <w:rPr>
          <w:rFonts w:eastAsia="Calibri" w:cstheme="minorHAnsi"/>
          <w:szCs w:val="23"/>
          <w:lang w:val="fr-CA"/>
        </w:rPr>
      </w:pPr>
    </w:p>
    <w:p w14:paraId="6B66B524" w14:textId="39DDA009" w:rsidR="0050306B" w:rsidRPr="00F52884" w:rsidRDefault="0050306B" w:rsidP="0050306B">
      <w:pPr>
        <w:numPr>
          <w:ilvl w:val="0"/>
          <w:numId w:val="378"/>
        </w:numPr>
        <w:ind w:left="0" w:firstLine="0"/>
        <w:rPr>
          <w:rFonts w:eastAsia="Times New Roman" w:cstheme="minorHAnsi"/>
          <w:szCs w:val="23"/>
          <w:lang w:val="fr-CA"/>
        </w:rPr>
      </w:pPr>
      <w:r w:rsidRPr="00F52884">
        <w:rPr>
          <w:rFonts w:eastAsia="Times New Roman" w:cstheme="minorHAnsi"/>
          <w:szCs w:val="23"/>
          <w:lang w:val="fr-CA"/>
        </w:rPr>
        <w:t>Le présent chapitre ne peut être interprété comme exigeant la divulgation de renseignements si cette divulgation, selon le cas :</w:t>
      </w:r>
    </w:p>
    <w:p w14:paraId="5E402681" w14:textId="77777777" w:rsidR="0050306B" w:rsidRPr="00F52884" w:rsidRDefault="0050306B" w:rsidP="0050306B">
      <w:pPr>
        <w:rPr>
          <w:rFonts w:eastAsia="Times New Roman" w:cstheme="minorHAnsi"/>
          <w:szCs w:val="23"/>
          <w:lang w:val="fr-CA"/>
        </w:rPr>
      </w:pPr>
    </w:p>
    <w:p w14:paraId="5E120997" w14:textId="77777777" w:rsidR="0050306B" w:rsidRPr="00F52884" w:rsidRDefault="0050306B" w:rsidP="0050306B">
      <w:pPr>
        <w:numPr>
          <w:ilvl w:val="0"/>
          <w:numId w:val="379"/>
        </w:numPr>
        <w:ind w:left="1440" w:hanging="720"/>
        <w:rPr>
          <w:rFonts w:eastAsia="Calibri" w:cstheme="minorHAnsi"/>
          <w:szCs w:val="23"/>
          <w:lang w:val="fr-CA"/>
        </w:rPr>
      </w:pPr>
      <w:proofErr w:type="gramStart"/>
      <w:r w:rsidRPr="00F52884">
        <w:rPr>
          <w:rFonts w:eastAsia="Calibri" w:cstheme="minorHAnsi"/>
          <w:szCs w:val="23"/>
          <w:lang w:val="fr-CA"/>
        </w:rPr>
        <w:t>ferait</w:t>
      </w:r>
      <w:proofErr w:type="gramEnd"/>
      <w:r w:rsidRPr="00F52884">
        <w:rPr>
          <w:rFonts w:eastAsia="Calibri" w:cstheme="minorHAnsi"/>
          <w:szCs w:val="23"/>
          <w:lang w:val="fr-CA"/>
        </w:rPr>
        <w:t xml:space="preserve"> obstacle à l’application des lois;</w:t>
      </w:r>
    </w:p>
    <w:p w14:paraId="7506C0D1" w14:textId="77777777" w:rsidR="0050306B" w:rsidRPr="00F52884" w:rsidRDefault="0050306B" w:rsidP="0050306B">
      <w:pPr>
        <w:ind w:left="1440" w:hanging="720"/>
        <w:rPr>
          <w:rFonts w:eastAsia="Calibri" w:cstheme="minorHAnsi"/>
          <w:szCs w:val="23"/>
          <w:lang w:val="fr-CA"/>
        </w:rPr>
      </w:pPr>
    </w:p>
    <w:p w14:paraId="1F1FFF66" w14:textId="0651403B" w:rsidR="0050306B" w:rsidRPr="00F52884" w:rsidRDefault="0050306B" w:rsidP="0050306B">
      <w:pPr>
        <w:numPr>
          <w:ilvl w:val="0"/>
          <w:numId w:val="379"/>
        </w:numPr>
        <w:ind w:left="1440" w:hanging="720"/>
        <w:rPr>
          <w:rFonts w:eastAsia="Calibri" w:cstheme="minorHAnsi"/>
          <w:szCs w:val="23"/>
          <w:lang w:val="fr-CA"/>
        </w:rPr>
      </w:pPr>
      <w:proofErr w:type="gramStart"/>
      <w:r w:rsidRPr="00F52884">
        <w:rPr>
          <w:rFonts w:eastAsia="Calibri" w:cstheme="minorHAnsi"/>
          <w:szCs w:val="23"/>
          <w:lang w:val="fr-CA"/>
        </w:rPr>
        <w:t>pourrait</w:t>
      </w:r>
      <w:proofErr w:type="gramEnd"/>
      <w:r w:rsidRPr="00F52884">
        <w:rPr>
          <w:rFonts w:eastAsia="Calibri" w:cstheme="minorHAnsi"/>
          <w:szCs w:val="23"/>
          <w:lang w:val="fr-CA"/>
        </w:rPr>
        <w:t xml:space="preserve"> nuire à la concurrence loyale entre fournisseurs;</w:t>
      </w:r>
    </w:p>
    <w:p w14:paraId="2995AE11" w14:textId="77777777" w:rsidR="0050306B" w:rsidRPr="00F52884" w:rsidRDefault="0050306B" w:rsidP="0050306B">
      <w:pPr>
        <w:ind w:left="1440" w:hanging="720"/>
        <w:rPr>
          <w:rFonts w:eastAsia="Calibri" w:cstheme="minorHAnsi"/>
          <w:szCs w:val="23"/>
          <w:lang w:val="fr-CA"/>
        </w:rPr>
      </w:pPr>
    </w:p>
    <w:p w14:paraId="6E439CFD" w14:textId="77777777" w:rsidR="0050306B" w:rsidRPr="00F52884" w:rsidRDefault="0050306B" w:rsidP="0050306B">
      <w:pPr>
        <w:numPr>
          <w:ilvl w:val="0"/>
          <w:numId w:val="379"/>
        </w:numPr>
        <w:ind w:left="1440" w:hanging="720"/>
        <w:rPr>
          <w:rFonts w:eastAsia="Calibri" w:cstheme="minorHAnsi"/>
          <w:szCs w:val="23"/>
          <w:lang w:val="fr-CA"/>
        </w:rPr>
      </w:pPr>
      <w:proofErr w:type="gramStart"/>
      <w:r w:rsidRPr="00F52884">
        <w:rPr>
          <w:rFonts w:eastAsia="Calibri" w:cstheme="minorHAnsi"/>
          <w:szCs w:val="23"/>
          <w:lang w:val="fr-CA"/>
        </w:rPr>
        <w:t>porterait</w:t>
      </w:r>
      <w:proofErr w:type="gramEnd"/>
      <w:r w:rsidRPr="00F52884">
        <w:rPr>
          <w:rFonts w:eastAsia="Calibri" w:cstheme="minorHAnsi"/>
          <w:szCs w:val="23"/>
          <w:lang w:val="fr-CA"/>
        </w:rPr>
        <w:t xml:space="preserve"> préjudice aux intérêts commerciaux légitimes de tiers, y compris la protection de la propriété intellectuelle; </w:t>
      </w:r>
    </w:p>
    <w:p w14:paraId="32EA7572" w14:textId="77777777" w:rsidR="0050306B" w:rsidRPr="00F52884" w:rsidRDefault="0050306B" w:rsidP="0050306B">
      <w:pPr>
        <w:ind w:left="1440" w:hanging="720"/>
        <w:rPr>
          <w:rFonts w:eastAsia="Calibri" w:cstheme="minorHAnsi"/>
          <w:szCs w:val="23"/>
          <w:lang w:val="fr-CA"/>
        </w:rPr>
      </w:pPr>
    </w:p>
    <w:p w14:paraId="67A860AA" w14:textId="77777777" w:rsidR="0050306B" w:rsidRPr="00F52884" w:rsidRDefault="0050306B" w:rsidP="0050306B">
      <w:pPr>
        <w:numPr>
          <w:ilvl w:val="0"/>
          <w:numId w:val="379"/>
        </w:numPr>
        <w:ind w:left="1440" w:hanging="720"/>
        <w:rPr>
          <w:rFonts w:eastAsia="Calibri" w:cstheme="minorHAnsi"/>
          <w:szCs w:val="23"/>
          <w:lang w:val="fr-CA"/>
        </w:rPr>
      </w:pPr>
      <w:proofErr w:type="gramStart"/>
      <w:r w:rsidRPr="00F52884">
        <w:rPr>
          <w:rFonts w:eastAsia="Calibri" w:cstheme="minorHAnsi"/>
          <w:szCs w:val="23"/>
          <w:lang w:val="fr-CA"/>
        </w:rPr>
        <w:t>serait</w:t>
      </w:r>
      <w:proofErr w:type="gramEnd"/>
      <w:r w:rsidRPr="00F52884">
        <w:rPr>
          <w:rFonts w:eastAsia="Calibri" w:cstheme="minorHAnsi"/>
          <w:szCs w:val="23"/>
          <w:lang w:val="fr-CA"/>
        </w:rPr>
        <w:t xml:space="preserve"> contraire à l’intérêt public;</w:t>
      </w:r>
    </w:p>
    <w:p w14:paraId="41915A2F" w14:textId="77777777" w:rsidR="0050306B" w:rsidRPr="00F52884" w:rsidRDefault="0050306B" w:rsidP="0050306B">
      <w:pPr>
        <w:ind w:left="1440" w:hanging="720"/>
        <w:rPr>
          <w:rFonts w:eastAsia="Calibri" w:cstheme="minorHAnsi"/>
          <w:szCs w:val="23"/>
          <w:lang w:val="fr-CA"/>
        </w:rPr>
      </w:pPr>
    </w:p>
    <w:p w14:paraId="003DA3A8" w14:textId="32530365" w:rsidR="0050306B" w:rsidRPr="00F52884" w:rsidRDefault="0050306B" w:rsidP="0050306B">
      <w:pPr>
        <w:numPr>
          <w:ilvl w:val="0"/>
          <w:numId w:val="379"/>
        </w:numPr>
        <w:ind w:left="1440" w:hanging="720"/>
        <w:rPr>
          <w:rFonts w:eastAsia="Calibri" w:cstheme="minorHAnsi"/>
          <w:szCs w:val="23"/>
          <w:lang w:val="fr-CA"/>
        </w:rPr>
      </w:pPr>
      <w:proofErr w:type="gramStart"/>
      <w:r w:rsidRPr="00F52884">
        <w:rPr>
          <w:rFonts w:eastAsia="Calibri" w:cstheme="minorHAnsi"/>
          <w:szCs w:val="23"/>
          <w:lang w:val="fr-CA"/>
        </w:rPr>
        <w:t>ferait</w:t>
      </w:r>
      <w:proofErr w:type="gramEnd"/>
      <w:r w:rsidRPr="00F52884">
        <w:rPr>
          <w:rFonts w:eastAsia="Calibri" w:cstheme="minorHAnsi"/>
          <w:szCs w:val="23"/>
          <w:lang w:val="fr-CA"/>
        </w:rPr>
        <w:t xml:space="preserve"> l’objet d’une exemption en vertu du droit applicable, ou contreviendrait au droit applicable.</w:t>
      </w:r>
    </w:p>
    <w:p w14:paraId="57BC0AB1" w14:textId="77777777" w:rsidR="0050306B" w:rsidRPr="00F52884" w:rsidRDefault="0050306B" w:rsidP="0050306B">
      <w:pPr>
        <w:ind w:left="1304"/>
        <w:rPr>
          <w:rFonts w:cstheme="minorHAnsi"/>
          <w:szCs w:val="23"/>
          <w:lang w:val="fr-CA"/>
        </w:rPr>
      </w:pPr>
    </w:p>
    <w:p w14:paraId="63F31E03" w14:textId="14FEED84" w:rsidR="0050306B" w:rsidRPr="00F52884" w:rsidRDefault="0050306B" w:rsidP="0050306B">
      <w:pPr>
        <w:keepNext/>
        <w:keepLines/>
        <w:jc w:val="center"/>
        <w:rPr>
          <w:rFonts w:eastAsia="Calibri" w:cstheme="minorHAnsi"/>
          <w:b/>
          <w:szCs w:val="23"/>
          <w:lang w:val="fr-CA"/>
        </w:rPr>
      </w:pPr>
      <w:r w:rsidRPr="00F52884">
        <w:rPr>
          <w:rFonts w:eastAsia="Calibri" w:cstheme="minorHAnsi"/>
          <w:b/>
          <w:bCs/>
          <w:szCs w:val="23"/>
          <w:lang w:val="fr-CA"/>
        </w:rPr>
        <w:lastRenderedPageBreak/>
        <w:t>Article 518 :</w:t>
      </w:r>
      <w:r w:rsidRPr="00F52884">
        <w:rPr>
          <w:rFonts w:eastAsia="Calibri" w:cstheme="minorHAnsi"/>
          <w:szCs w:val="23"/>
          <w:lang w:val="fr-CA"/>
        </w:rPr>
        <w:tab/>
      </w:r>
      <w:r w:rsidR="005042D0" w:rsidRPr="00F52884">
        <w:rPr>
          <w:rFonts w:eastAsia="Calibri" w:cstheme="minorHAnsi"/>
          <w:szCs w:val="23"/>
          <w:lang w:val="fr-CA"/>
        </w:rPr>
        <w:tab/>
      </w:r>
      <w:r w:rsidRPr="00F52884">
        <w:rPr>
          <w:rFonts w:eastAsia="Calibri" w:cstheme="minorHAnsi"/>
          <w:b/>
          <w:bCs/>
          <w:szCs w:val="23"/>
          <w:lang w:val="fr-CA"/>
        </w:rPr>
        <w:t>Procédures de recours</w:t>
      </w:r>
    </w:p>
    <w:p w14:paraId="00D34F08" w14:textId="77777777" w:rsidR="0050306B" w:rsidRPr="00F52884" w:rsidRDefault="0050306B" w:rsidP="0050306B">
      <w:pPr>
        <w:keepNext/>
        <w:keepLines/>
        <w:rPr>
          <w:rFonts w:eastAsia="Calibri" w:cstheme="minorHAnsi"/>
          <w:szCs w:val="23"/>
          <w:lang w:val="fr-CA"/>
        </w:rPr>
      </w:pPr>
    </w:p>
    <w:p w14:paraId="458B95A3" w14:textId="77777777" w:rsidR="0050306B" w:rsidRPr="00F52884" w:rsidRDefault="0050306B" w:rsidP="0050306B">
      <w:pPr>
        <w:keepNext/>
        <w:keepLines/>
        <w:rPr>
          <w:rFonts w:eastAsia="Calibri" w:cstheme="minorHAnsi"/>
          <w:i/>
          <w:szCs w:val="23"/>
          <w:lang w:val="fr-CA"/>
        </w:rPr>
      </w:pPr>
      <w:r w:rsidRPr="00F52884">
        <w:rPr>
          <w:rFonts w:eastAsia="Calibri" w:cstheme="minorHAnsi"/>
          <w:i/>
          <w:szCs w:val="23"/>
          <w:lang w:val="fr-CA"/>
        </w:rPr>
        <w:t>Procédures de recours administratifs ou judiciaires</w:t>
      </w:r>
    </w:p>
    <w:p w14:paraId="16F85CBE" w14:textId="77777777" w:rsidR="0050306B" w:rsidRPr="00F52884" w:rsidRDefault="0050306B" w:rsidP="0050306B">
      <w:pPr>
        <w:keepNext/>
        <w:keepLines/>
        <w:rPr>
          <w:rFonts w:eastAsia="Calibri" w:cstheme="minorHAnsi"/>
          <w:szCs w:val="23"/>
          <w:lang w:val="fr-CA"/>
        </w:rPr>
      </w:pPr>
    </w:p>
    <w:p w14:paraId="510AB1C0" w14:textId="24744174" w:rsidR="0050306B" w:rsidRPr="00F52884" w:rsidRDefault="0050306B" w:rsidP="0050306B">
      <w:pPr>
        <w:keepNext/>
        <w:keepLines/>
        <w:numPr>
          <w:ilvl w:val="6"/>
          <w:numId w:val="378"/>
        </w:numPr>
        <w:ind w:left="0" w:firstLine="0"/>
        <w:contextualSpacing/>
        <w:rPr>
          <w:rFonts w:eastAsia="Calibri" w:cstheme="minorHAnsi"/>
          <w:szCs w:val="23"/>
          <w:lang w:val="fr-CA"/>
        </w:rPr>
      </w:pPr>
      <w:r w:rsidRPr="00F52884">
        <w:rPr>
          <w:rFonts w:eastAsia="Calibri" w:cstheme="minorHAnsi"/>
          <w:szCs w:val="23"/>
          <w:lang w:val="fr-CA"/>
        </w:rPr>
        <w:t>Chaque Partie établit une procédure de recours administratif ou judiciaire s’appliquant en temps opportun, efficace, transparente et non discriminatoire au moyen de laquelle un fournisseur canadien peut déposer un recours, selon le cas :</w:t>
      </w:r>
      <w:r w:rsidRPr="00F52884">
        <w:rPr>
          <w:rFonts w:eastAsia="Calibri" w:cstheme="minorHAnsi"/>
          <w:szCs w:val="23"/>
          <w:lang w:val="fr-CA"/>
        </w:rPr>
        <w:br/>
      </w:r>
    </w:p>
    <w:p w14:paraId="2251EC97" w14:textId="1AFFB6E4" w:rsidR="0050306B" w:rsidRPr="00F52884" w:rsidRDefault="0050306B" w:rsidP="0050306B">
      <w:pPr>
        <w:numPr>
          <w:ilvl w:val="0"/>
          <w:numId w:val="380"/>
        </w:numPr>
        <w:ind w:left="1440" w:hanging="720"/>
        <w:contextualSpacing/>
        <w:rPr>
          <w:rFonts w:eastAsia="Calibri" w:cstheme="minorHAnsi"/>
          <w:szCs w:val="23"/>
          <w:lang w:val="fr-CA"/>
        </w:rPr>
      </w:pPr>
      <w:proofErr w:type="gramStart"/>
      <w:r w:rsidRPr="00F52884">
        <w:rPr>
          <w:rFonts w:eastAsia="Calibri" w:cstheme="minorHAnsi"/>
          <w:szCs w:val="23"/>
          <w:lang w:val="fr-CA"/>
        </w:rPr>
        <w:t>pour</w:t>
      </w:r>
      <w:proofErr w:type="gramEnd"/>
      <w:r w:rsidRPr="00F52884">
        <w:rPr>
          <w:rFonts w:eastAsia="Calibri" w:cstheme="minorHAnsi"/>
          <w:szCs w:val="23"/>
          <w:lang w:val="fr-CA"/>
        </w:rPr>
        <w:t xml:space="preserve"> violation du présent chapitre; </w:t>
      </w:r>
      <w:r w:rsidRPr="00F52884">
        <w:rPr>
          <w:rFonts w:eastAsia="Calibri" w:cstheme="minorHAnsi"/>
          <w:szCs w:val="23"/>
          <w:lang w:val="fr-CA"/>
        </w:rPr>
        <w:br/>
      </w:r>
    </w:p>
    <w:p w14:paraId="3BEE2E87" w14:textId="4C88F6DB" w:rsidR="0050306B" w:rsidRPr="00F52884" w:rsidRDefault="0050306B" w:rsidP="0050306B">
      <w:pPr>
        <w:numPr>
          <w:ilvl w:val="0"/>
          <w:numId w:val="380"/>
        </w:numPr>
        <w:ind w:left="1440" w:hanging="720"/>
        <w:contextualSpacing/>
        <w:rPr>
          <w:rFonts w:eastAsia="Calibri" w:cstheme="minorHAnsi"/>
          <w:szCs w:val="23"/>
          <w:lang w:val="fr-CA"/>
        </w:rPr>
      </w:pPr>
      <w:proofErr w:type="gramStart"/>
      <w:r w:rsidRPr="00F52884">
        <w:rPr>
          <w:rFonts w:eastAsia="Calibri" w:cstheme="minorHAnsi"/>
          <w:szCs w:val="23"/>
          <w:lang w:val="fr-CA"/>
        </w:rPr>
        <w:t>dans</w:t>
      </w:r>
      <w:proofErr w:type="gramEnd"/>
      <w:r w:rsidRPr="00F52884">
        <w:rPr>
          <w:rFonts w:eastAsia="Calibri" w:cstheme="minorHAnsi"/>
          <w:szCs w:val="23"/>
          <w:lang w:val="fr-CA"/>
        </w:rPr>
        <w:t xml:space="preserve"> les cas où le fournisseur n’a pas le droit de déposer directement un recours pour violation du présent chapitre en vertu de la législation d’une Partie, pour non-respect de mesures prises par une Partie pour mettre en œuvre le présent chapitre, </w:t>
      </w:r>
    </w:p>
    <w:p w14:paraId="3B7BCA6F" w14:textId="77777777" w:rsidR="0050306B" w:rsidRPr="00F52884" w:rsidRDefault="0050306B" w:rsidP="0050306B">
      <w:pPr>
        <w:ind w:left="1440"/>
        <w:contextualSpacing/>
        <w:rPr>
          <w:rFonts w:eastAsia="Calibri" w:cstheme="minorHAnsi"/>
          <w:szCs w:val="23"/>
          <w:lang w:val="fr-CA"/>
        </w:rPr>
      </w:pPr>
    </w:p>
    <w:p w14:paraId="1711D28D" w14:textId="3D72FE29" w:rsidR="0050306B" w:rsidRPr="00F52884" w:rsidRDefault="0050306B" w:rsidP="0050306B">
      <w:pPr>
        <w:rPr>
          <w:rFonts w:eastAsia="Calibri" w:cstheme="minorHAnsi"/>
          <w:szCs w:val="23"/>
          <w:lang w:val="fr-CA"/>
        </w:rPr>
      </w:pPr>
      <w:proofErr w:type="gramStart"/>
      <w:r w:rsidRPr="00F52884">
        <w:rPr>
          <w:rFonts w:eastAsia="Calibri" w:cstheme="minorHAnsi"/>
          <w:szCs w:val="23"/>
          <w:lang w:val="fr-CA"/>
        </w:rPr>
        <w:t>dans</w:t>
      </w:r>
      <w:proofErr w:type="gramEnd"/>
      <w:r w:rsidRPr="00F52884">
        <w:rPr>
          <w:rFonts w:eastAsia="Calibri" w:cstheme="minorHAnsi"/>
          <w:szCs w:val="23"/>
          <w:lang w:val="fr-CA"/>
        </w:rPr>
        <w:t xml:space="preserve"> le contexte de la passation d’un marché couvert dans lequel le fournisseur a, ou a eu, un intérêt. </w:t>
      </w:r>
    </w:p>
    <w:p w14:paraId="21C736FA" w14:textId="77777777" w:rsidR="0050306B" w:rsidRPr="00F52884" w:rsidRDefault="0050306B" w:rsidP="0050306B">
      <w:pPr>
        <w:rPr>
          <w:rFonts w:eastAsia="Calibri" w:cstheme="minorHAnsi"/>
          <w:szCs w:val="23"/>
          <w:lang w:val="fr-CA"/>
        </w:rPr>
      </w:pPr>
    </w:p>
    <w:p w14:paraId="7294E0CB" w14:textId="66EF305C" w:rsidR="0050306B" w:rsidRPr="00F52884" w:rsidRDefault="0050306B" w:rsidP="0050306B">
      <w:pPr>
        <w:pStyle w:val="ListParagraph"/>
        <w:ind w:left="0"/>
        <w:rPr>
          <w:rFonts w:eastAsia="Calibri" w:cstheme="minorHAnsi"/>
          <w:szCs w:val="23"/>
          <w:lang w:val="fr-CA"/>
        </w:rPr>
      </w:pPr>
      <w:r w:rsidRPr="00F52884">
        <w:rPr>
          <w:rFonts w:eastAsia="Calibri" w:cstheme="minorHAnsi"/>
          <w:szCs w:val="23"/>
          <w:lang w:val="fr-CA"/>
        </w:rPr>
        <w:t>2.</w:t>
      </w:r>
      <w:r w:rsidRPr="00F52884">
        <w:rPr>
          <w:rFonts w:eastAsia="Calibri" w:cstheme="minorHAnsi"/>
          <w:szCs w:val="23"/>
          <w:lang w:val="fr-CA"/>
        </w:rPr>
        <w:tab/>
        <w:t>Si une Partie utilise une procédure de recours administratif, les conclusions sont communiquées au fournisseur dans les 90 jours suivant le dépôt de sa plainte, sauf si une prorogation du délai est justifiée en raison de circonstances atténuantes, auquel cas les conclusions seront publiées dans les 135 jours suivant le dépôt de la plainte.</w:t>
      </w:r>
    </w:p>
    <w:p w14:paraId="5480D2FE" w14:textId="77777777" w:rsidR="0050306B" w:rsidRPr="00F52884" w:rsidRDefault="0050306B" w:rsidP="0050306B">
      <w:pPr>
        <w:pStyle w:val="ListParagraph"/>
        <w:ind w:left="0"/>
        <w:rPr>
          <w:rFonts w:eastAsia="Calibri" w:cstheme="minorHAnsi"/>
          <w:szCs w:val="23"/>
          <w:lang w:val="fr-CA"/>
        </w:rPr>
      </w:pPr>
    </w:p>
    <w:p w14:paraId="6D2B2EDD" w14:textId="62F7D905" w:rsidR="0050306B" w:rsidRPr="00F52884" w:rsidRDefault="0050306B" w:rsidP="0050306B">
      <w:pPr>
        <w:pStyle w:val="ListParagraph"/>
        <w:ind w:left="0"/>
        <w:rPr>
          <w:rFonts w:eastAsia="Calibri" w:cstheme="minorHAnsi"/>
          <w:szCs w:val="23"/>
          <w:lang w:val="fr-CA"/>
        </w:rPr>
      </w:pPr>
      <w:r w:rsidRPr="00F52884">
        <w:rPr>
          <w:rFonts w:eastAsia="Calibri" w:cstheme="minorHAnsi"/>
          <w:szCs w:val="23"/>
          <w:lang w:val="fr-CA"/>
        </w:rPr>
        <w:t>3.</w:t>
      </w:r>
      <w:r w:rsidRPr="00F52884">
        <w:rPr>
          <w:rFonts w:eastAsia="Calibri" w:cstheme="minorHAnsi"/>
          <w:szCs w:val="23"/>
          <w:lang w:val="fr-CA"/>
        </w:rPr>
        <w:tab/>
        <w:t>Les règles de procédure pour toutes les voies de recours ouvertes à un fournisseur sont établies par écrit et rendues généralement accessibles.</w:t>
      </w:r>
    </w:p>
    <w:p w14:paraId="2CB1D743" w14:textId="77777777" w:rsidR="0050306B" w:rsidRPr="00F52884" w:rsidRDefault="0050306B" w:rsidP="0050306B">
      <w:pPr>
        <w:pStyle w:val="ListParagraph"/>
        <w:ind w:left="0"/>
        <w:rPr>
          <w:rFonts w:eastAsia="Calibri" w:cstheme="minorHAnsi"/>
          <w:szCs w:val="23"/>
          <w:lang w:val="fr-CA"/>
        </w:rPr>
      </w:pPr>
    </w:p>
    <w:p w14:paraId="3D9BEC4C" w14:textId="77777777" w:rsidR="0050306B" w:rsidRPr="00F52884" w:rsidRDefault="0050306B" w:rsidP="0050306B">
      <w:pPr>
        <w:pStyle w:val="ListParagraph"/>
        <w:ind w:left="0"/>
        <w:rPr>
          <w:rFonts w:eastAsia="Calibri" w:cstheme="minorHAnsi"/>
          <w:i/>
          <w:szCs w:val="23"/>
          <w:lang w:val="fr-CA"/>
        </w:rPr>
      </w:pPr>
      <w:r w:rsidRPr="00F52884">
        <w:rPr>
          <w:rFonts w:eastAsia="Calibri" w:cstheme="minorHAnsi"/>
          <w:i/>
          <w:szCs w:val="23"/>
          <w:lang w:val="fr-CA"/>
        </w:rPr>
        <w:t>Consultations</w:t>
      </w:r>
    </w:p>
    <w:p w14:paraId="21C4F9FA" w14:textId="77777777" w:rsidR="0050306B" w:rsidRPr="00F52884" w:rsidRDefault="0050306B" w:rsidP="0050306B">
      <w:pPr>
        <w:pStyle w:val="ListParagraph"/>
        <w:ind w:left="0"/>
        <w:rPr>
          <w:rFonts w:eastAsia="Calibri" w:cstheme="minorHAnsi"/>
          <w:i/>
          <w:szCs w:val="23"/>
          <w:lang w:val="fr-CA"/>
        </w:rPr>
      </w:pPr>
    </w:p>
    <w:p w14:paraId="1CB6A18C" w14:textId="566EFDA0" w:rsidR="0050306B" w:rsidRPr="00F52884" w:rsidRDefault="0050306B" w:rsidP="0050306B">
      <w:pPr>
        <w:pStyle w:val="ListParagraph"/>
        <w:ind w:left="0"/>
        <w:rPr>
          <w:rFonts w:eastAsia="Calibri" w:cstheme="minorHAnsi"/>
          <w:szCs w:val="23"/>
          <w:lang w:val="fr-CA"/>
        </w:rPr>
      </w:pPr>
      <w:r w:rsidRPr="00F52884">
        <w:rPr>
          <w:rFonts w:eastAsia="Calibri" w:cstheme="minorHAnsi"/>
          <w:szCs w:val="23"/>
          <w:lang w:val="fr-CA"/>
        </w:rPr>
        <w:t>4.</w:t>
      </w:r>
      <w:r w:rsidRPr="00F52884">
        <w:rPr>
          <w:rFonts w:eastAsia="Calibri" w:cstheme="minorHAnsi"/>
          <w:szCs w:val="23"/>
          <w:lang w:val="fr-CA"/>
        </w:rPr>
        <w:tab/>
        <w:t>En cas de plainte d’un fournisseur pour violation ou non-respect aux termes du paragraphe 1, l’entité contractante et le fournisseur cherchent à régler la question par voie de consultations. L’entité contractante examine la plainte avec impartialité et en temps opportun, d’une manière qui n’entrave pas la participation du fournisseur à des procédures de passation de marchés en cours ou futures, ni ne porte atteinte à son droit de demander l’adoption de mesures correctives dans le cadre de la procédure de recours administratif ou judiciaire.</w:t>
      </w:r>
    </w:p>
    <w:p w14:paraId="25603467" w14:textId="77777777" w:rsidR="0050306B" w:rsidRPr="00F52884" w:rsidRDefault="0050306B" w:rsidP="0050306B">
      <w:pPr>
        <w:pStyle w:val="ListParagraph"/>
        <w:ind w:left="0"/>
        <w:rPr>
          <w:rFonts w:eastAsia="Calibri" w:cstheme="minorHAnsi"/>
          <w:i/>
          <w:szCs w:val="23"/>
          <w:lang w:val="fr-CA"/>
        </w:rPr>
      </w:pPr>
    </w:p>
    <w:p w14:paraId="76C72443" w14:textId="01C92AC6" w:rsidR="0050306B" w:rsidRPr="00F52884" w:rsidRDefault="0050306B" w:rsidP="0050306B">
      <w:pPr>
        <w:pStyle w:val="ListParagraph"/>
        <w:ind w:left="0"/>
        <w:rPr>
          <w:rFonts w:eastAsia="Calibri" w:cstheme="minorHAnsi"/>
          <w:i/>
          <w:szCs w:val="23"/>
          <w:lang w:val="fr-CA"/>
        </w:rPr>
      </w:pPr>
      <w:r w:rsidRPr="00F52884">
        <w:rPr>
          <w:rFonts w:eastAsia="Calibri" w:cstheme="minorHAnsi"/>
          <w:i/>
          <w:szCs w:val="23"/>
          <w:lang w:val="fr-CA"/>
        </w:rPr>
        <w:t>Recours déposés par les fournisseurs</w:t>
      </w:r>
    </w:p>
    <w:p w14:paraId="50C71E2B" w14:textId="77777777" w:rsidR="0050306B" w:rsidRPr="00F52884" w:rsidRDefault="0050306B" w:rsidP="0050306B">
      <w:pPr>
        <w:pStyle w:val="ListParagraph"/>
        <w:ind w:left="0"/>
        <w:rPr>
          <w:rFonts w:eastAsia="Calibri" w:cstheme="minorHAnsi"/>
          <w:i/>
          <w:szCs w:val="23"/>
          <w:lang w:val="fr-CA"/>
        </w:rPr>
      </w:pPr>
    </w:p>
    <w:p w14:paraId="01DD2CF8" w14:textId="670CCECC" w:rsidR="0050306B" w:rsidRPr="00F52884" w:rsidRDefault="0050306B" w:rsidP="0050306B">
      <w:pPr>
        <w:rPr>
          <w:rFonts w:eastAsia="Calibri" w:cstheme="minorHAnsi"/>
          <w:szCs w:val="23"/>
          <w:lang w:val="fr-CA"/>
        </w:rPr>
      </w:pPr>
      <w:r w:rsidRPr="00F52884">
        <w:rPr>
          <w:rFonts w:eastAsia="Calibri" w:cstheme="minorHAnsi"/>
          <w:szCs w:val="23"/>
          <w:lang w:val="fr-CA"/>
        </w:rPr>
        <w:t>5.</w:t>
      </w:r>
      <w:r w:rsidRPr="00F52884">
        <w:rPr>
          <w:rFonts w:eastAsia="Calibri" w:cstheme="minorHAnsi"/>
          <w:szCs w:val="23"/>
          <w:lang w:val="fr-CA"/>
        </w:rPr>
        <w:tab/>
        <w:t>Il est ménagé à chaque fournisseur un délai suffisant pour lui permettre de préparer et de déposer un recours, qui n’est en aucun cas inférieur à dix jours à compter de la date à laquelle le fournisseur a eu connaissance du fondement du recours, ou aurait dû raisonnablement en avoir eu connaissance.</w:t>
      </w:r>
    </w:p>
    <w:p w14:paraId="1D12D54D" w14:textId="77777777" w:rsidR="0050306B" w:rsidRPr="00F52884" w:rsidRDefault="0050306B" w:rsidP="0050306B">
      <w:pPr>
        <w:rPr>
          <w:rFonts w:eastAsia="Calibri" w:cstheme="minorHAnsi"/>
          <w:szCs w:val="23"/>
          <w:lang w:val="fr-CA"/>
        </w:rPr>
      </w:pPr>
    </w:p>
    <w:p w14:paraId="768DAF15" w14:textId="7BCD20E4" w:rsidR="0050306B" w:rsidRPr="00F52884" w:rsidRDefault="0050306B" w:rsidP="0050306B">
      <w:pPr>
        <w:rPr>
          <w:rFonts w:eastAsia="Calibri" w:cstheme="minorHAnsi"/>
          <w:szCs w:val="23"/>
          <w:lang w:val="fr-CA"/>
        </w:rPr>
      </w:pPr>
      <w:r w:rsidRPr="00F52884">
        <w:rPr>
          <w:rFonts w:eastAsia="Calibri" w:cstheme="minorHAnsi"/>
          <w:szCs w:val="23"/>
          <w:lang w:val="fr-CA"/>
        </w:rPr>
        <w:t xml:space="preserve">6. </w:t>
      </w:r>
      <w:r w:rsidRPr="00F52884">
        <w:rPr>
          <w:rFonts w:eastAsia="Calibri" w:cstheme="minorHAnsi"/>
          <w:szCs w:val="23"/>
          <w:lang w:val="fr-CA"/>
        </w:rPr>
        <w:tab/>
        <w:t>Chaque Partie établit ou désigne au moins une autorité administrative ou judiciaire impartiale, qui est indépendante de ses entités contractantes, pour recevoir et examiner un recours déposé par un fournisseur.</w:t>
      </w:r>
    </w:p>
    <w:p w14:paraId="3482ADBE" w14:textId="77777777" w:rsidR="0050306B" w:rsidRPr="00F52884" w:rsidRDefault="0050306B" w:rsidP="0050306B">
      <w:pPr>
        <w:rPr>
          <w:rFonts w:eastAsia="Calibri" w:cstheme="minorHAnsi"/>
          <w:szCs w:val="23"/>
          <w:lang w:val="fr-CA"/>
        </w:rPr>
      </w:pPr>
    </w:p>
    <w:p w14:paraId="14502845" w14:textId="55DDF5CC" w:rsidR="0050306B" w:rsidRPr="00F52884" w:rsidRDefault="0050306B" w:rsidP="0050306B">
      <w:pPr>
        <w:rPr>
          <w:rFonts w:eastAsia="Calibri" w:cstheme="minorHAnsi"/>
          <w:szCs w:val="23"/>
          <w:lang w:val="fr-CA"/>
        </w:rPr>
      </w:pPr>
      <w:r w:rsidRPr="00F52884">
        <w:rPr>
          <w:rFonts w:eastAsia="Calibri" w:cstheme="minorHAnsi"/>
          <w:szCs w:val="23"/>
          <w:lang w:val="fr-CA"/>
        </w:rPr>
        <w:t>7.</w:t>
      </w:r>
      <w:r w:rsidRPr="00F52884">
        <w:rPr>
          <w:rFonts w:eastAsia="Calibri" w:cstheme="minorHAnsi"/>
          <w:szCs w:val="23"/>
          <w:lang w:val="fr-CA"/>
        </w:rPr>
        <w:tab/>
        <w:t xml:space="preserve">Si un organe autre qu’une autorité mentionnée au paragraphe 6 examine initialement un recours, la Partie fait en sorte que le fournisseur puisse faire appel de la décision initiale </w:t>
      </w:r>
      <w:r w:rsidRPr="00F52884">
        <w:rPr>
          <w:rFonts w:eastAsia="Calibri" w:cstheme="minorHAnsi"/>
          <w:szCs w:val="23"/>
          <w:lang w:val="fr-CA"/>
        </w:rPr>
        <w:lastRenderedPageBreak/>
        <w:t>devant une autorité administrative ou judiciaire impartiale qui est indépendante de l’entité contractante dont le marché fait l’objet du recours.</w:t>
      </w:r>
    </w:p>
    <w:p w14:paraId="6225952A" w14:textId="77777777" w:rsidR="0050306B" w:rsidRPr="00F52884" w:rsidRDefault="0050306B" w:rsidP="0050306B">
      <w:pPr>
        <w:rPr>
          <w:rFonts w:eastAsia="Calibri" w:cstheme="minorHAnsi"/>
          <w:i/>
          <w:szCs w:val="23"/>
          <w:lang w:val="fr-CA"/>
        </w:rPr>
      </w:pPr>
    </w:p>
    <w:p w14:paraId="56D84BA4" w14:textId="77777777" w:rsidR="0050306B" w:rsidRPr="00F52884" w:rsidRDefault="0050306B" w:rsidP="0050306B">
      <w:pPr>
        <w:rPr>
          <w:rFonts w:eastAsia="Calibri" w:cstheme="minorHAnsi"/>
          <w:i/>
          <w:szCs w:val="23"/>
          <w:lang w:val="fr-CA"/>
        </w:rPr>
      </w:pPr>
      <w:r w:rsidRPr="00F52884">
        <w:rPr>
          <w:rFonts w:eastAsia="Calibri" w:cstheme="minorHAnsi"/>
          <w:i/>
          <w:szCs w:val="23"/>
          <w:lang w:val="fr-CA"/>
        </w:rPr>
        <w:t>Procédures de recours administratif</w:t>
      </w:r>
    </w:p>
    <w:p w14:paraId="42DAB52F" w14:textId="1863F41E" w:rsidR="0050306B" w:rsidRPr="00F52884" w:rsidRDefault="0050306B" w:rsidP="0050306B">
      <w:pPr>
        <w:rPr>
          <w:rFonts w:eastAsia="Calibri" w:cstheme="minorHAnsi"/>
          <w:szCs w:val="23"/>
          <w:lang w:val="fr-CA"/>
        </w:rPr>
      </w:pPr>
      <w:r w:rsidRPr="00F52884">
        <w:rPr>
          <w:rFonts w:eastAsia="Calibri" w:cstheme="minorHAnsi"/>
          <w:szCs w:val="23"/>
          <w:lang w:val="fr-CA"/>
        </w:rPr>
        <w:br/>
        <w:t>8.</w:t>
      </w:r>
      <w:r w:rsidRPr="00F52884">
        <w:rPr>
          <w:rFonts w:eastAsia="Calibri" w:cstheme="minorHAnsi"/>
          <w:szCs w:val="23"/>
          <w:lang w:val="fr-CA"/>
        </w:rPr>
        <w:tab/>
        <w:t>Chaque Partie fait en sorte qu’un organe de recours qui n’est pas un tribunal soumette sa décision à un recours judiciaire ou applique des procédures prévoyant ce qui suit :</w:t>
      </w:r>
      <w:r w:rsidRPr="00F52884">
        <w:rPr>
          <w:rFonts w:eastAsia="Calibri" w:cstheme="minorHAnsi"/>
          <w:szCs w:val="23"/>
          <w:lang w:val="fr-CA"/>
        </w:rPr>
        <w:br/>
      </w:r>
    </w:p>
    <w:p w14:paraId="5B65A769" w14:textId="77777777" w:rsidR="0050306B" w:rsidRPr="00F52884" w:rsidRDefault="0050306B" w:rsidP="0050306B">
      <w:pPr>
        <w:numPr>
          <w:ilvl w:val="0"/>
          <w:numId w:val="381"/>
        </w:numPr>
        <w:ind w:left="1440" w:hanging="720"/>
        <w:contextualSpacing/>
        <w:rPr>
          <w:rFonts w:eastAsia="Calibri" w:cstheme="minorHAnsi"/>
          <w:szCs w:val="23"/>
          <w:lang w:val="fr-CA"/>
        </w:rPr>
      </w:pPr>
      <w:proofErr w:type="gramStart"/>
      <w:r w:rsidRPr="00F52884">
        <w:rPr>
          <w:rFonts w:eastAsia="Calibri" w:cstheme="minorHAnsi"/>
          <w:szCs w:val="23"/>
          <w:lang w:val="fr-CA"/>
        </w:rPr>
        <w:t>l’entité</w:t>
      </w:r>
      <w:proofErr w:type="gramEnd"/>
      <w:r w:rsidRPr="00F52884">
        <w:rPr>
          <w:rFonts w:eastAsia="Calibri" w:cstheme="minorHAnsi"/>
          <w:szCs w:val="23"/>
          <w:lang w:val="fr-CA"/>
        </w:rPr>
        <w:t xml:space="preserve"> contractante répond par écrit à la contestation et communique à l’organe de recours tous les documents pertinents;</w:t>
      </w:r>
      <w:r w:rsidRPr="00F52884">
        <w:rPr>
          <w:rFonts w:eastAsia="Calibri" w:cstheme="minorHAnsi"/>
          <w:szCs w:val="23"/>
          <w:lang w:val="fr-CA"/>
        </w:rPr>
        <w:br/>
      </w:r>
    </w:p>
    <w:p w14:paraId="65D45117" w14:textId="0A9663E8" w:rsidR="0050306B" w:rsidRPr="00F52884" w:rsidRDefault="0050306B" w:rsidP="0050306B">
      <w:pPr>
        <w:numPr>
          <w:ilvl w:val="0"/>
          <w:numId w:val="381"/>
        </w:numPr>
        <w:ind w:left="1440" w:hanging="72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participants à la procédure (les « participants ») ont le droit d’être entendus avant que l’organe de recours ne se prononce sur le recours;</w:t>
      </w:r>
    </w:p>
    <w:p w14:paraId="1D37D96B" w14:textId="77777777" w:rsidR="0050306B" w:rsidRPr="00F52884" w:rsidRDefault="0050306B" w:rsidP="0050306B">
      <w:pPr>
        <w:ind w:left="1440" w:hanging="720"/>
        <w:contextualSpacing/>
        <w:rPr>
          <w:rFonts w:eastAsia="Calibri" w:cstheme="minorHAnsi"/>
          <w:szCs w:val="23"/>
          <w:lang w:val="fr-CA"/>
        </w:rPr>
      </w:pPr>
    </w:p>
    <w:p w14:paraId="029C8D3B" w14:textId="39E3F753" w:rsidR="0050306B" w:rsidRPr="00F52884" w:rsidRDefault="0050306B" w:rsidP="0050306B">
      <w:pPr>
        <w:numPr>
          <w:ilvl w:val="0"/>
          <w:numId w:val="381"/>
        </w:numPr>
        <w:ind w:left="1440" w:hanging="72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participants ont le droit de se faire représenter et accompagner;</w:t>
      </w:r>
      <w:r w:rsidRPr="00F52884">
        <w:rPr>
          <w:rFonts w:eastAsia="Calibri" w:cstheme="minorHAnsi"/>
          <w:szCs w:val="23"/>
          <w:lang w:val="fr-CA"/>
        </w:rPr>
        <w:br/>
      </w:r>
    </w:p>
    <w:p w14:paraId="4AE2BC1E" w14:textId="77777777" w:rsidR="0050306B" w:rsidRPr="00F52884" w:rsidRDefault="0050306B" w:rsidP="0050306B">
      <w:pPr>
        <w:numPr>
          <w:ilvl w:val="0"/>
          <w:numId w:val="381"/>
        </w:numPr>
        <w:ind w:left="1440" w:hanging="72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participants ont accès à toute la procédure;</w:t>
      </w:r>
      <w:r w:rsidRPr="00F52884">
        <w:rPr>
          <w:rFonts w:eastAsia="Calibri" w:cstheme="minorHAnsi"/>
          <w:szCs w:val="23"/>
          <w:lang w:val="fr-CA"/>
        </w:rPr>
        <w:br/>
      </w:r>
    </w:p>
    <w:p w14:paraId="7757A0C4" w14:textId="77777777" w:rsidR="0050306B" w:rsidRPr="00F52884" w:rsidRDefault="0050306B" w:rsidP="0050306B">
      <w:pPr>
        <w:numPr>
          <w:ilvl w:val="0"/>
          <w:numId w:val="381"/>
        </w:numPr>
        <w:ind w:left="1440" w:hanging="720"/>
        <w:contextualSpacing/>
        <w:rPr>
          <w:rFonts w:eastAsia="Calibri" w:cstheme="minorHAnsi"/>
          <w:szCs w:val="23"/>
          <w:lang w:val="fr-CA"/>
        </w:rPr>
      </w:pPr>
      <w:proofErr w:type="gramStart"/>
      <w:r w:rsidRPr="00F52884">
        <w:rPr>
          <w:rFonts w:eastAsia="Calibri" w:cstheme="minorHAnsi"/>
          <w:szCs w:val="23"/>
          <w:lang w:val="fr-CA"/>
        </w:rPr>
        <w:t>les</w:t>
      </w:r>
      <w:proofErr w:type="gramEnd"/>
      <w:r w:rsidRPr="00F52884">
        <w:rPr>
          <w:rFonts w:eastAsia="Calibri" w:cstheme="minorHAnsi"/>
          <w:szCs w:val="23"/>
          <w:lang w:val="fr-CA"/>
        </w:rPr>
        <w:t xml:space="preserve"> participants ont le droit de demander que la procédure soit publique et que des témoins puissent être entendus;</w:t>
      </w:r>
    </w:p>
    <w:p w14:paraId="77BF7630" w14:textId="77777777" w:rsidR="0050306B" w:rsidRPr="00F52884" w:rsidRDefault="0050306B" w:rsidP="0050306B">
      <w:pPr>
        <w:ind w:left="1440" w:hanging="720"/>
        <w:contextualSpacing/>
        <w:rPr>
          <w:rFonts w:eastAsia="Calibri" w:cstheme="minorHAnsi"/>
          <w:szCs w:val="23"/>
          <w:lang w:val="fr-CA"/>
        </w:rPr>
      </w:pPr>
    </w:p>
    <w:p w14:paraId="0725FA5D" w14:textId="7993FAB9" w:rsidR="0050306B" w:rsidRPr="00F52884" w:rsidRDefault="0050306B" w:rsidP="0050306B">
      <w:pPr>
        <w:numPr>
          <w:ilvl w:val="0"/>
          <w:numId w:val="381"/>
        </w:numPr>
        <w:ind w:left="1440" w:hanging="720"/>
        <w:contextualSpacing/>
        <w:rPr>
          <w:rFonts w:eastAsia="Calibri" w:cstheme="minorHAnsi"/>
          <w:szCs w:val="23"/>
          <w:lang w:val="fr-CA"/>
        </w:rPr>
      </w:pPr>
      <w:proofErr w:type="gramStart"/>
      <w:r w:rsidRPr="00F52884">
        <w:rPr>
          <w:rFonts w:eastAsia="Calibri" w:cstheme="minorHAnsi"/>
          <w:szCs w:val="23"/>
          <w:lang w:val="fr-CA"/>
        </w:rPr>
        <w:t>l’organe</w:t>
      </w:r>
      <w:proofErr w:type="gramEnd"/>
      <w:r w:rsidRPr="00F52884">
        <w:rPr>
          <w:rFonts w:eastAsia="Calibri" w:cstheme="minorHAnsi"/>
          <w:szCs w:val="23"/>
          <w:lang w:val="fr-CA"/>
        </w:rPr>
        <w:t xml:space="preserve"> de recours prend ses décisions et fait ses recommandations en temps opportun conformément au paragraphe 2, par écrit, et inclut une explication des motifs de chaque décision ou recommandation.</w:t>
      </w:r>
      <w:r w:rsidRPr="00F52884">
        <w:rPr>
          <w:rFonts w:eastAsia="Calibri" w:cstheme="minorHAnsi"/>
          <w:szCs w:val="23"/>
          <w:lang w:val="fr-CA"/>
        </w:rPr>
        <w:br/>
      </w:r>
    </w:p>
    <w:p w14:paraId="57027D0D" w14:textId="3D0687AA" w:rsidR="0050306B" w:rsidRPr="00F52884" w:rsidRDefault="0050306B" w:rsidP="0050306B">
      <w:pPr>
        <w:rPr>
          <w:rFonts w:eastAsia="Calibri" w:cstheme="minorHAnsi"/>
          <w:i/>
          <w:szCs w:val="23"/>
          <w:lang w:val="fr-CA"/>
        </w:rPr>
      </w:pPr>
      <w:r w:rsidRPr="00F52884">
        <w:rPr>
          <w:rFonts w:eastAsia="Calibri" w:cstheme="minorHAnsi"/>
          <w:i/>
          <w:szCs w:val="23"/>
          <w:lang w:val="fr-CA"/>
        </w:rPr>
        <w:t>Voies de recours</w:t>
      </w:r>
    </w:p>
    <w:p w14:paraId="15844F91" w14:textId="77777777" w:rsidR="0050306B" w:rsidRPr="00F52884" w:rsidRDefault="0050306B" w:rsidP="0050306B">
      <w:pPr>
        <w:rPr>
          <w:rFonts w:eastAsia="Calibri" w:cstheme="minorHAnsi"/>
          <w:szCs w:val="23"/>
          <w:lang w:val="fr-CA"/>
        </w:rPr>
      </w:pPr>
    </w:p>
    <w:p w14:paraId="0FED1A1D" w14:textId="6758FA99" w:rsidR="0050306B" w:rsidRPr="00F52884" w:rsidRDefault="0050306B" w:rsidP="0050306B">
      <w:pPr>
        <w:rPr>
          <w:rFonts w:eastAsia="Calibri" w:cstheme="minorHAnsi"/>
          <w:szCs w:val="23"/>
          <w:lang w:val="fr-CA"/>
        </w:rPr>
      </w:pPr>
      <w:r w:rsidRPr="00F52884">
        <w:rPr>
          <w:rFonts w:eastAsia="Calibri" w:cstheme="minorHAnsi"/>
          <w:szCs w:val="23"/>
          <w:lang w:val="fr-CA"/>
        </w:rPr>
        <w:t>9.</w:t>
      </w:r>
      <w:r w:rsidRPr="00F52884">
        <w:rPr>
          <w:rFonts w:eastAsia="Calibri" w:cstheme="minorHAnsi"/>
          <w:szCs w:val="23"/>
          <w:lang w:val="fr-CA"/>
        </w:rPr>
        <w:tab/>
        <w:t xml:space="preserve">Chaque Partie adopte ou applique des procédures prévoyant : </w:t>
      </w:r>
    </w:p>
    <w:p w14:paraId="160F7300" w14:textId="77777777" w:rsidR="0050306B" w:rsidRPr="00F52884" w:rsidRDefault="0050306B" w:rsidP="0050306B">
      <w:pPr>
        <w:rPr>
          <w:rFonts w:eastAsia="Calibri" w:cstheme="minorHAnsi"/>
          <w:szCs w:val="23"/>
          <w:lang w:val="fr-CA"/>
        </w:rPr>
      </w:pPr>
    </w:p>
    <w:p w14:paraId="69BB7DC5" w14:textId="0C34D47F" w:rsidR="0050306B" w:rsidRPr="00F52884" w:rsidRDefault="0050306B" w:rsidP="0050306B">
      <w:pPr>
        <w:numPr>
          <w:ilvl w:val="0"/>
          <w:numId w:val="382"/>
        </w:numPr>
        <w:ind w:left="1440" w:hanging="720"/>
        <w:contextualSpacing/>
        <w:rPr>
          <w:rFonts w:eastAsia="Calibri" w:cstheme="minorHAnsi"/>
          <w:szCs w:val="23"/>
          <w:lang w:val="fr-CA"/>
        </w:rPr>
      </w:pPr>
      <w:proofErr w:type="gramStart"/>
      <w:r w:rsidRPr="00F52884">
        <w:rPr>
          <w:rFonts w:eastAsia="Calibri" w:cstheme="minorHAnsi"/>
          <w:szCs w:val="23"/>
          <w:lang w:val="fr-CA"/>
        </w:rPr>
        <w:t>des</w:t>
      </w:r>
      <w:proofErr w:type="gramEnd"/>
      <w:r w:rsidRPr="00F52884">
        <w:rPr>
          <w:rFonts w:eastAsia="Calibri" w:cstheme="minorHAnsi"/>
          <w:szCs w:val="23"/>
          <w:lang w:val="fr-CA"/>
        </w:rPr>
        <w:t xml:space="preserve"> mesures transitoires rapides pour préserver la possibilité qu’a le fournisseur de participer au marché. Les mesures transitoires prévues par ces procédures peuvent entraîner le report ou la suspension du processus de passation du marché. Les procédures peuvent prévoir que des conséquences défavorables primordiales pour les intérêts concernés, y compris l’intérêt public, peuvent être prises en compte lorsqu’il s’agit de décider si de telles mesures transitoires devraient être appliquées. Les motifs pour lesquels ces mesures ne sont pas appliquées sont fournis par écrit;</w:t>
      </w:r>
      <w:r w:rsidRPr="00F52884">
        <w:rPr>
          <w:rFonts w:eastAsia="Calibri" w:cstheme="minorHAnsi"/>
          <w:szCs w:val="23"/>
          <w:lang w:val="fr-CA"/>
        </w:rPr>
        <w:br/>
      </w:r>
    </w:p>
    <w:p w14:paraId="58D4E64D" w14:textId="073C525A" w:rsidR="0050306B" w:rsidRPr="00F52884" w:rsidRDefault="0050306B" w:rsidP="0050306B">
      <w:pPr>
        <w:numPr>
          <w:ilvl w:val="0"/>
          <w:numId w:val="382"/>
        </w:numPr>
        <w:ind w:left="1440" w:hanging="720"/>
        <w:contextualSpacing/>
        <w:rPr>
          <w:rFonts w:eastAsia="Calibri" w:cstheme="minorHAnsi"/>
          <w:szCs w:val="23"/>
          <w:lang w:val="fr-CA"/>
        </w:rPr>
      </w:pPr>
      <w:proofErr w:type="gramStart"/>
      <w:r w:rsidRPr="00F52884">
        <w:rPr>
          <w:rFonts w:eastAsia="Calibri" w:cstheme="minorHAnsi"/>
          <w:szCs w:val="23"/>
          <w:lang w:val="fr-CA"/>
        </w:rPr>
        <w:t>si</w:t>
      </w:r>
      <w:proofErr w:type="gramEnd"/>
      <w:r w:rsidRPr="00F52884">
        <w:rPr>
          <w:rFonts w:eastAsia="Calibri" w:cstheme="minorHAnsi"/>
          <w:szCs w:val="23"/>
          <w:lang w:val="fr-CA"/>
        </w:rPr>
        <w:t xml:space="preserve"> un organe de recours a déterminé qu’il y a eu violation ou non-respect aux termes du paragraphe 1, des mesures correctives ou une compensation pour la perte ou les dommages subis, qui peuvent être limitées aux coûts de la préparation de la soumission ou aux coûts afférents au recours, ou à l’ensemble de ces coûts.</w:t>
      </w:r>
    </w:p>
    <w:p w14:paraId="7A93FBD9" w14:textId="77777777" w:rsidR="0050306B" w:rsidRPr="00F52884" w:rsidRDefault="0050306B" w:rsidP="0050306B">
      <w:pPr>
        <w:rPr>
          <w:rFonts w:eastAsia="Calibri" w:cstheme="minorHAnsi"/>
          <w:szCs w:val="23"/>
          <w:u w:val="single"/>
          <w:lang w:val="fr-CA"/>
        </w:rPr>
      </w:pPr>
    </w:p>
    <w:p w14:paraId="706A0A7C" w14:textId="77777777" w:rsidR="0050306B" w:rsidRPr="00F52884" w:rsidRDefault="0050306B" w:rsidP="0050306B">
      <w:pPr>
        <w:rPr>
          <w:rFonts w:eastAsia="Calibri" w:cstheme="minorHAnsi"/>
          <w:szCs w:val="23"/>
          <w:lang w:val="fr-CA"/>
        </w:rPr>
      </w:pPr>
    </w:p>
    <w:p w14:paraId="2F2133E1" w14:textId="7FBF6FFD" w:rsidR="0050306B" w:rsidRPr="00F52884" w:rsidRDefault="0050306B" w:rsidP="0050306B">
      <w:pPr>
        <w:pStyle w:val="ListParagraph"/>
        <w:ind w:left="360"/>
        <w:jc w:val="center"/>
        <w:rPr>
          <w:rFonts w:cstheme="minorHAnsi"/>
          <w:b/>
          <w:bCs/>
          <w:szCs w:val="23"/>
          <w:lang w:val="fr-CA"/>
        </w:rPr>
      </w:pPr>
      <w:r w:rsidRPr="00F52884">
        <w:rPr>
          <w:rFonts w:cstheme="minorHAnsi"/>
          <w:b/>
          <w:bCs/>
          <w:szCs w:val="23"/>
          <w:lang w:val="fr-CA"/>
        </w:rPr>
        <w:t>Article 5</w:t>
      </w:r>
      <w:r w:rsidR="0009540F">
        <w:rPr>
          <w:rFonts w:cstheme="minorHAnsi"/>
          <w:b/>
          <w:bCs/>
          <w:szCs w:val="23"/>
          <w:lang w:val="fr-CA"/>
        </w:rPr>
        <w:t>19</w:t>
      </w:r>
      <w:r w:rsidRPr="00F52884">
        <w:rPr>
          <w:rFonts w:cstheme="minorHAnsi"/>
          <w:b/>
          <w:bCs/>
          <w:szCs w:val="23"/>
          <w:lang w:val="fr-CA"/>
        </w:rPr>
        <w:t> :</w:t>
      </w:r>
      <w:r w:rsidRPr="00F52884">
        <w:rPr>
          <w:rFonts w:cstheme="minorHAnsi"/>
          <w:szCs w:val="23"/>
          <w:lang w:val="fr-CA"/>
        </w:rPr>
        <w:t xml:space="preserve"> </w:t>
      </w:r>
      <w:r w:rsidRPr="00F52884">
        <w:rPr>
          <w:rFonts w:cstheme="minorHAnsi"/>
          <w:b/>
          <w:bCs/>
          <w:szCs w:val="23"/>
          <w:lang w:val="fr-CA"/>
        </w:rPr>
        <w:t>Exceptions</w:t>
      </w:r>
    </w:p>
    <w:p w14:paraId="27D009E5" w14:textId="77777777" w:rsidR="0050306B" w:rsidRPr="00F52884" w:rsidRDefault="0050306B" w:rsidP="0050306B">
      <w:pPr>
        <w:pStyle w:val="ListParagraph"/>
        <w:ind w:left="360"/>
        <w:jc w:val="center"/>
        <w:rPr>
          <w:rFonts w:cstheme="minorHAnsi"/>
          <w:b/>
          <w:bCs/>
          <w:szCs w:val="23"/>
          <w:lang w:val="fr-CA"/>
        </w:rPr>
      </w:pPr>
    </w:p>
    <w:p w14:paraId="731850C8" w14:textId="6E384A72" w:rsidR="0050306B" w:rsidRPr="00F52884" w:rsidRDefault="0050306B" w:rsidP="0050306B">
      <w:pPr>
        <w:autoSpaceDE w:val="0"/>
        <w:autoSpaceDN w:val="0"/>
        <w:rPr>
          <w:rFonts w:cstheme="minorHAnsi"/>
          <w:szCs w:val="23"/>
          <w:lang w:val="fr-CA"/>
        </w:rPr>
      </w:pPr>
      <w:r w:rsidRPr="00F52884">
        <w:rPr>
          <w:rFonts w:cstheme="minorHAnsi"/>
          <w:szCs w:val="23"/>
          <w:lang w:val="fr-CA"/>
        </w:rPr>
        <w:lastRenderedPageBreak/>
        <w:t>1.</w:t>
      </w:r>
      <w:r w:rsidRPr="00F52884">
        <w:rPr>
          <w:rFonts w:cstheme="minorHAnsi"/>
          <w:szCs w:val="23"/>
          <w:lang w:val="fr-CA"/>
        </w:rPr>
        <w:tab/>
        <w:t>Les marchés couverts d’une Partie sont soumis aux exceptions énoncées dans la liste de la Partie jointe à l’annexe 5</w:t>
      </w:r>
      <w:r w:rsidR="0009540F">
        <w:rPr>
          <w:rFonts w:cstheme="minorHAnsi"/>
          <w:szCs w:val="23"/>
          <w:lang w:val="fr-CA"/>
        </w:rPr>
        <w:t>19</w:t>
      </w:r>
      <w:r w:rsidRPr="00F52884">
        <w:rPr>
          <w:rFonts w:cstheme="minorHAnsi"/>
          <w:szCs w:val="23"/>
          <w:lang w:val="fr-CA"/>
        </w:rPr>
        <w:t>.1.</w:t>
      </w:r>
    </w:p>
    <w:p w14:paraId="06E00A83" w14:textId="77777777" w:rsidR="0050306B" w:rsidRPr="00F52884" w:rsidRDefault="0050306B" w:rsidP="0050306B">
      <w:pPr>
        <w:autoSpaceDE w:val="0"/>
        <w:autoSpaceDN w:val="0"/>
        <w:rPr>
          <w:rFonts w:cstheme="minorHAnsi"/>
          <w:szCs w:val="23"/>
          <w:lang w:val="fr-CA"/>
        </w:rPr>
      </w:pPr>
    </w:p>
    <w:p w14:paraId="5BFFEED2" w14:textId="739EDA0F" w:rsidR="0050306B" w:rsidRPr="00F52884" w:rsidRDefault="0050306B" w:rsidP="0050306B">
      <w:pPr>
        <w:autoSpaceDE w:val="0"/>
        <w:autoSpaceDN w:val="0"/>
        <w:rPr>
          <w:rFonts w:cstheme="minorHAnsi"/>
          <w:szCs w:val="23"/>
          <w:lang w:val="fr-CA"/>
        </w:rPr>
      </w:pPr>
      <w:r w:rsidRPr="00F52884">
        <w:rPr>
          <w:rFonts w:cstheme="minorHAnsi"/>
          <w:szCs w:val="23"/>
          <w:lang w:val="fr-CA"/>
        </w:rPr>
        <w:t>2.</w:t>
      </w:r>
      <w:r w:rsidRPr="00F52884">
        <w:rPr>
          <w:rFonts w:cstheme="minorHAnsi"/>
          <w:szCs w:val="23"/>
          <w:lang w:val="fr-CA"/>
        </w:rPr>
        <w:tab/>
        <w:t>Une Partie peut exclure un fournisseur de toute autre Partie de la participation à un marché couvert si les conditions suivantes sont réunies :</w:t>
      </w:r>
    </w:p>
    <w:p w14:paraId="0479E714" w14:textId="77777777" w:rsidR="0050306B" w:rsidRPr="00F52884" w:rsidRDefault="0050306B" w:rsidP="0050306B">
      <w:pPr>
        <w:pStyle w:val="ListParagraph"/>
        <w:autoSpaceDE w:val="0"/>
        <w:autoSpaceDN w:val="0"/>
        <w:ind w:left="360"/>
        <w:rPr>
          <w:rFonts w:cstheme="minorHAnsi"/>
          <w:szCs w:val="23"/>
          <w:lang w:val="fr-CA"/>
        </w:rPr>
      </w:pPr>
    </w:p>
    <w:p w14:paraId="53A2963F" w14:textId="008CFC44" w:rsidR="0050306B" w:rsidRPr="00F52884" w:rsidRDefault="0050306B" w:rsidP="0050306B">
      <w:pPr>
        <w:pStyle w:val="ListParagraph"/>
        <w:numPr>
          <w:ilvl w:val="0"/>
          <w:numId w:val="384"/>
        </w:numPr>
        <w:autoSpaceDE w:val="0"/>
        <w:autoSpaceDN w:val="0"/>
        <w:ind w:left="1440" w:hanging="720"/>
        <w:rPr>
          <w:rFonts w:cstheme="minorHAnsi"/>
          <w:szCs w:val="23"/>
          <w:lang w:val="fr-CA"/>
        </w:rPr>
      </w:pPr>
      <w:proofErr w:type="gramStart"/>
      <w:r w:rsidRPr="00F52884">
        <w:rPr>
          <w:rFonts w:cstheme="minorHAnsi"/>
          <w:szCs w:val="23"/>
          <w:lang w:val="fr-CA"/>
        </w:rPr>
        <w:t>l’autre</w:t>
      </w:r>
      <w:proofErr w:type="gramEnd"/>
      <w:r w:rsidRPr="00F52884">
        <w:rPr>
          <w:rFonts w:cstheme="minorHAnsi"/>
          <w:szCs w:val="23"/>
          <w:lang w:val="fr-CA"/>
        </w:rPr>
        <w:t xml:space="preserve"> Partie a formulé une exception dans sa liste jointe à l’annexe 5</w:t>
      </w:r>
      <w:r w:rsidR="0009540F">
        <w:rPr>
          <w:rFonts w:cstheme="minorHAnsi"/>
          <w:szCs w:val="23"/>
          <w:lang w:val="fr-CA"/>
        </w:rPr>
        <w:t>19</w:t>
      </w:r>
      <w:r w:rsidRPr="00F52884">
        <w:rPr>
          <w:rFonts w:cstheme="minorHAnsi"/>
          <w:szCs w:val="23"/>
          <w:lang w:val="fr-CA"/>
        </w:rPr>
        <w:t>.1;</w:t>
      </w:r>
    </w:p>
    <w:p w14:paraId="1F6AE0A1" w14:textId="77777777" w:rsidR="0050306B" w:rsidRPr="00F52884" w:rsidRDefault="0050306B" w:rsidP="0050306B">
      <w:pPr>
        <w:pStyle w:val="ListParagraph"/>
        <w:autoSpaceDE w:val="0"/>
        <w:autoSpaceDN w:val="0"/>
        <w:ind w:left="1440" w:hanging="720"/>
        <w:rPr>
          <w:rFonts w:cstheme="minorHAnsi"/>
          <w:szCs w:val="23"/>
          <w:lang w:val="fr-CA"/>
        </w:rPr>
      </w:pPr>
    </w:p>
    <w:p w14:paraId="62384FFC" w14:textId="6789C747" w:rsidR="0050306B" w:rsidRPr="00F52884" w:rsidRDefault="0050306B" w:rsidP="0050306B">
      <w:pPr>
        <w:pStyle w:val="ListParagraph"/>
        <w:numPr>
          <w:ilvl w:val="0"/>
          <w:numId w:val="384"/>
        </w:numPr>
        <w:autoSpaceDE w:val="0"/>
        <w:autoSpaceDN w:val="0"/>
        <w:ind w:left="1440" w:hanging="720"/>
        <w:rPr>
          <w:rFonts w:cstheme="minorHAnsi"/>
          <w:szCs w:val="23"/>
          <w:lang w:val="fr-CA"/>
        </w:rPr>
      </w:pPr>
      <w:proofErr w:type="gramStart"/>
      <w:r w:rsidRPr="00F52884">
        <w:rPr>
          <w:rFonts w:cstheme="minorHAnsi"/>
          <w:szCs w:val="23"/>
          <w:lang w:val="fr-CA"/>
        </w:rPr>
        <w:t>cette</w:t>
      </w:r>
      <w:proofErr w:type="gramEnd"/>
      <w:r w:rsidRPr="00F52884">
        <w:rPr>
          <w:rFonts w:cstheme="minorHAnsi"/>
          <w:szCs w:val="23"/>
          <w:lang w:val="fr-CA"/>
        </w:rPr>
        <w:t xml:space="preserve"> exception exclut ou entrave l’accès du fournisseur de la Partie à toutes possibilités de passation de marchés;</w:t>
      </w:r>
    </w:p>
    <w:p w14:paraId="25616C09" w14:textId="77777777" w:rsidR="0050306B" w:rsidRPr="00F52884" w:rsidRDefault="0050306B" w:rsidP="0050306B">
      <w:pPr>
        <w:pStyle w:val="ListParagraph"/>
        <w:autoSpaceDE w:val="0"/>
        <w:autoSpaceDN w:val="0"/>
        <w:ind w:left="1440" w:hanging="720"/>
        <w:rPr>
          <w:rFonts w:cstheme="minorHAnsi"/>
          <w:szCs w:val="23"/>
          <w:lang w:val="fr-CA"/>
        </w:rPr>
      </w:pPr>
    </w:p>
    <w:p w14:paraId="257A67EB" w14:textId="77777777" w:rsidR="0050306B" w:rsidRPr="00F52884" w:rsidRDefault="0050306B" w:rsidP="0050306B">
      <w:pPr>
        <w:pStyle w:val="ListParagraph"/>
        <w:numPr>
          <w:ilvl w:val="0"/>
          <w:numId w:val="384"/>
        </w:numPr>
        <w:autoSpaceDE w:val="0"/>
        <w:autoSpaceDN w:val="0"/>
        <w:ind w:left="1440" w:hanging="720"/>
        <w:rPr>
          <w:rFonts w:cstheme="minorHAnsi"/>
          <w:szCs w:val="23"/>
          <w:lang w:val="fr-CA"/>
        </w:rPr>
      </w:pPr>
      <w:proofErr w:type="gramStart"/>
      <w:r w:rsidRPr="00F52884">
        <w:rPr>
          <w:rFonts w:cstheme="minorHAnsi"/>
          <w:szCs w:val="23"/>
          <w:lang w:val="fr-CA"/>
        </w:rPr>
        <w:t>des</w:t>
      </w:r>
      <w:proofErr w:type="gramEnd"/>
      <w:r w:rsidRPr="00F52884">
        <w:rPr>
          <w:rFonts w:cstheme="minorHAnsi"/>
          <w:szCs w:val="23"/>
          <w:lang w:val="fr-CA"/>
        </w:rPr>
        <w:t xml:space="preserve"> consultations n’ont pas permis de régler la question.</w:t>
      </w:r>
    </w:p>
    <w:p w14:paraId="63F16342" w14:textId="77777777" w:rsidR="0050306B" w:rsidRPr="00F52884" w:rsidRDefault="0050306B" w:rsidP="0050306B">
      <w:pPr>
        <w:autoSpaceDE w:val="0"/>
        <w:autoSpaceDN w:val="0"/>
        <w:rPr>
          <w:rFonts w:cstheme="minorHAnsi"/>
          <w:szCs w:val="23"/>
          <w:lang w:val="fr-CA"/>
        </w:rPr>
      </w:pPr>
    </w:p>
    <w:p w14:paraId="3E79C05B" w14:textId="174F9EE0" w:rsidR="0050306B" w:rsidRPr="00F52884" w:rsidRDefault="0050306B" w:rsidP="0050306B">
      <w:pPr>
        <w:autoSpaceDE w:val="0"/>
        <w:autoSpaceDN w:val="0"/>
        <w:rPr>
          <w:rFonts w:cstheme="minorHAnsi"/>
          <w:szCs w:val="23"/>
          <w:lang w:val="fr-CA"/>
        </w:rPr>
      </w:pPr>
      <w:r w:rsidRPr="00F52884">
        <w:rPr>
          <w:rFonts w:cstheme="minorHAnsi"/>
          <w:szCs w:val="23"/>
          <w:lang w:val="fr-CA"/>
        </w:rPr>
        <w:t>3.</w:t>
      </w:r>
      <w:r w:rsidRPr="00F52884">
        <w:rPr>
          <w:rFonts w:cstheme="minorHAnsi"/>
          <w:szCs w:val="23"/>
          <w:lang w:val="fr-CA"/>
        </w:rPr>
        <w:tab/>
        <w:t>La portée de l’exclusion de participation appliquée par une Partie conformément au paragraphe 2 peut être équivalente, mais ne doit pas être plus restrictive, que celle de l’exclusion ou entrave subie par ses fournisseurs en ce qui a trait à l’accès aux possibilités de passation de marchés de l’autre Partie.</w:t>
      </w:r>
    </w:p>
    <w:p w14:paraId="5FD533AE" w14:textId="77777777" w:rsidR="0050306B" w:rsidRPr="00F52884" w:rsidRDefault="0050306B" w:rsidP="0050306B">
      <w:pPr>
        <w:pStyle w:val="ListParagraph"/>
        <w:autoSpaceDE w:val="0"/>
        <w:autoSpaceDN w:val="0"/>
        <w:ind w:left="360"/>
        <w:rPr>
          <w:rFonts w:cstheme="minorHAnsi"/>
          <w:szCs w:val="23"/>
          <w:lang w:val="fr-CA"/>
        </w:rPr>
      </w:pPr>
    </w:p>
    <w:p w14:paraId="112C8523" w14:textId="168E6E0C" w:rsidR="0050306B" w:rsidRPr="00F52884" w:rsidRDefault="0050306B" w:rsidP="0050306B">
      <w:pPr>
        <w:autoSpaceDE w:val="0"/>
        <w:autoSpaceDN w:val="0"/>
        <w:rPr>
          <w:rFonts w:cstheme="minorHAnsi"/>
          <w:szCs w:val="23"/>
          <w:lang w:val="fr-CA"/>
        </w:rPr>
      </w:pPr>
      <w:r w:rsidRPr="00F52884">
        <w:rPr>
          <w:rFonts w:cstheme="minorHAnsi"/>
          <w:szCs w:val="23"/>
          <w:lang w:val="fr-CA"/>
        </w:rPr>
        <w:t>4.</w:t>
      </w:r>
      <w:r w:rsidRPr="00F52884">
        <w:rPr>
          <w:rFonts w:cstheme="minorHAnsi"/>
          <w:szCs w:val="23"/>
          <w:lang w:val="fr-CA"/>
        </w:rPr>
        <w:tab/>
        <w:t>La durée des consultations visées à l’alinéa 2c) est limitée à 15 jours.</w:t>
      </w:r>
    </w:p>
    <w:p w14:paraId="73FC4AE8" w14:textId="77777777" w:rsidR="0050306B" w:rsidRPr="00F52884" w:rsidRDefault="0050306B" w:rsidP="0050306B">
      <w:pPr>
        <w:pStyle w:val="ListParagraph"/>
        <w:autoSpaceDE w:val="0"/>
        <w:autoSpaceDN w:val="0"/>
        <w:ind w:left="360"/>
        <w:rPr>
          <w:rFonts w:cstheme="minorHAnsi"/>
          <w:szCs w:val="23"/>
          <w:lang w:val="fr-CA"/>
        </w:rPr>
      </w:pPr>
    </w:p>
    <w:p w14:paraId="30D29327" w14:textId="38192D14" w:rsidR="0050306B" w:rsidRPr="00F52884" w:rsidRDefault="0050306B" w:rsidP="0050306B">
      <w:pPr>
        <w:autoSpaceDE w:val="0"/>
        <w:autoSpaceDN w:val="0"/>
        <w:rPr>
          <w:rFonts w:cstheme="minorHAnsi"/>
          <w:szCs w:val="23"/>
          <w:lang w:val="fr-CA"/>
        </w:rPr>
      </w:pPr>
      <w:r w:rsidRPr="00F52884">
        <w:rPr>
          <w:rFonts w:cstheme="minorHAnsi"/>
          <w:szCs w:val="23"/>
          <w:lang w:val="fr-CA"/>
        </w:rPr>
        <w:t>5.</w:t>
      </w:r>
      <w:r w:rsidRPr="00F52884">
        <w:rPr>
          <w:rFonts w:cstheme="minorHAnsi"/>
          <w:szCs w:val="23"/>
          <w:lang w:val="fr-CA"/>
        </w:rPr>
        <w:tab/>
        <w:t>Les paragraphes 2 à 4 ne s’appliquent pas aux marchés concernant :</w:t>
      </w:r>
    </w:p>
    <w:p w14:paraId="1964162A" w14:textId="77777777" w:rsidR="0050306B" w:rsidRPr="00F52884" w:rsidRDefault="0050306B" w:rsidP="0050306B">
      <w:pPr>
        <w:pStyle w:val="ListParagraph"/>
        <w:rPr>
          <w:rFonts w:cstheme="minorHAnsi"/>
          <w:szCs w:val="23"/>
          <w:lang w:val="fr-CA"/>
        </w:rPr>
      </w:pPr>
    </w:p>
    <w:p w14:paraId="2FB2F850" w14:textId="3C83CD3E" w:rsidR="0050306B" w:rsidRPr="00F52884" w:rsidRDefault="0050306B" w:rsidP="0050306B">
      <w:pPr>
        <w:pStyle w:val="ListParagraph"/>
        <w:numPr>
          <w:ilvl w:val="1"/>
          <w:numId w:val="385"/>
        </w:numPr>
        <w:autoSpaceDE w:val="0"/>
        <w:autoSpaceDN w:val="0"/>
        <w:ind w:left="1440"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Politique d’encouragement aux entreprises des Territoires du Nord-Ouest (y compris la Politique des Territoires du Nord-Ouest sur les produits manufacturés et autres programmes connexes) ou les programmes ayant des objectifs similaires qui lui succèderont;</w:t>
      </w:r>
    </w:p>
    <w:p w14:paraId="7FECF198" w14:textId="77777777" w:rsidR="0050306B" w:rsidRPr="00F52884" w:rsidRDefault="0050306B" w:rsidP="0050306B">
      <w:pPr>
        <w:pStyle w:val="ListParagraph"/>
        <w:autoSpaceDE w:val="0"/>
        <w:autoSpaceDN w:val="0"/>
        <w:ind w:left="1440" w:hanging="720"/>
        <w:rPr>
          <w:rFonts w:cstheme="minorHAnsi"/>
          <w:szCs w:val="23"/>
          <w:lang w:val="fr-CA"/>
        </w:rPr>
      </w:pPr>
    </w:p>
    <w:p w14:paraId="3FFD60EF" w14:textId="110D46A0" w:rsidR="0050306B" w:rsidRPr="00F52884" w:rsidRDefault="0050306B" w:rsidP="0050306B">
      <w:pPr>
        <w:pStyle w:val="ListParagraph"/>
        <w:numPr>
          <w:ilvl w:val="1"/>
          <w:numId w:val="385"/>
        </w:numPr>
        <w:autoSpaceDE w:val="0"/>
        <w:autoSpaceDN w:val="0"/>
        <w:ind w:left="1440" w:hanging="720"/>
        <w:rPr>
          <w:rFonts w:eastAsia="Calibri" w:cstheme="minorHAnsi"/>
          <w:b/>
          <w:bCs/>
          <w:szCs w:val="23"/>
          <w:lang w:val="fr-CA"/>
        </w:rPr>
      </w:pPr>
      <w:proofErr w:type="gramStart"/>
      <w:r w:rsidRPr="00F52884">
        <w:rPr>
          <w:rFonts w:eastAsia="Calibri" w:cstheme="minorHAnsi"/>
          <w:szCs w:val="23"/>
          <w:lang w:val="fr-CA"/>
        </w:rPr>
        <w:t>la</w:t>
      </w:r>
      <w:proofErr w:type="gramEnd"/>
      <w:r w:rsidRPr="00F52884">
        <w:rPr>
          <w:rFonts w:eastAsia="Calibri" w:cstheme="minorHAnsi"/>
          <w:szCs w:val="23"/>
          <w:lang w:val="fr-CA"/>
        </w:rPr>
        <w:t xml:space="preserve"> politique </w:t>
      </w:r>
      <w:proofErr w:type="spellStart"/>
      <w:r w:rsidRPr="00F52884">
        <w:rPr>
          <w:rFonts w:eastAsia="Calibri" w:cstheme="minorHAnsi"/>
          <w:szCs w:val="23"/>
          <w:lang w:val="fr-CA"/>
        </w:rPr>
        <w:t>Nunavummi</w:t>
      </w:r>
      <w:proofErr w:type="spellEnd"/>
      <w:r w:rsidRPr="00F52884">
        <w:rPr>
          <w:rFonts w:eastAsia="Calibri" w:cstheme="minorHAnsi"/>
          <w:szCs w:val="23"/>
          <w:lang w:val="fr-CA"/>
        </w:rPr>
        <w:t xml:space="preserve"> </w:t>
      </w:r>
      <w:proofErr w:type="spellStart"/>
      <w:r w:rsidRPr="00F52884">
        <w:rPr>
          <w:rFonts w:eastAsia="Calibri" w:cstheme="minorHAnsi"/>
          <w:szCs w:val="23"/>
          <w:lang w:val="fr-CA"/>
        </w:rPr>
        <w:t>Nangminiqaqtunik</w:t>
      </w:r>
      <w:proofErr w:type="spellEnd"/>
      <w:r w:rsidRPr="00F52884">
        <w:rPr>
          <w:rFonts w:eastAsia="Calibri" w:cstheme="minorHAnsi"/>
          <w:szCs w:val="23"/>
          <w:lang w:val="fr-CA"/>
        </w:rPr>
        <w:t xml:space="preserve"> </w:t>
      </w:r>
      <w:proofErr w:type="spellStart"/>
      <w:r w:rsidRPr="00F52884">
        <w:rPr>
          <w:rFonts w:eastAsia="Calibri" w:cstheme="minorHAnsi"/>
          <w:szCs w:val="23"/>
          <w:lang w:val="fr-CA"/>
        </w:rPr>
        <w:t>Ikajuuti</w:t>
      </w:r>
      <w:proofErr w:type="spellEnd"/>
      <w:r w:rsidRPr="00F52884">
        <w:rPr>
          <w:rFonts w:eastAsia="Calibri" w:cstheme="minorHAnsi"/>
          <w:szCs w:val="23"/>
          <w:lang w:val="fr-CA"/>
        </w:rPr>
        <w:t xml:space="preserve"> (politique NNI) du Nunavut ou les programmes ayant des objectifs similaires qui lui succèderont, et les contrats au sens de l’article 24 de l’</w:t>
      </w:r>
      <w:r w:rsidRPr="00F52884">
        <w:rPr>
          <w:rFonts w:eastAsia="Calibri" w:cstheme="minorHAnsi"/>
          <w:bCs/>
          <w:szCs w:val="23"/>
          <w:lang w:val="fr-CA"/>
        </w:rPr>
        <w:t>Accord sur les revendications territoriales du Nunavut;</w:t>
      </w:r>
    </w:p>
    <w:p w14:paraId="767C8F75" w14:textId="77777777" w:rsidR="0050306B" w:rsidRPr="00F52884" w:rsidRDefault="0050306B" w:rsidP="0050306B">
      <w:pPr>
        <w:autoSpaceDE w:val="0"/>
        <w:autoSpaceDN w:val="0"/>
        <w:ind w:left="1440" w:hanging="720"/>
        <w:rPr>
          <w:rFonts w:cstheme="minorHAnsi"/>
          <w:szCs w:val="23"/>
          <w:lang w:val="fr-CA"/>
        </w:rPr>
      </w:pPr>
    </w:p>
    <w:p w14:paraId="23986528" w14:textId="455B1874" w:rsidR="0050306B" w:rsidRPr="00F52884" w:rsidRDefault="0050306B" w:rsidP="0050306B">
      <w:pPr>
        <w:pStyle w:val="ListParagraph"/>
        <w:numPr>
          <w:ilvl w:val="1"/>
          <w:numId w:val="385"/>
        </w:numPr>
        <w:autoSpaceDE w:val="0"/>
        <w:autoSpaceDN w:val="0"/>
        <w:ind w:left="1440"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Politique d’aide aux entreprises du Yukon ou les programmes ayant des objectifs similaires qui lui succèderont; </w:t>
      </w:r>
    </w:p>
    <w:p w14:paraId="286D6781" w14:textId="77777777" w:rsidR="0050306B" w:rsidRPr="00F52884" w:rsidRDefault="0050306B" w:rsidP="0050306B">
      <w:pPr>
        <w:autoSpaceDE w:val="0"/>
        <w:autoSpaceDN w:val="0"/>
        <w:ind w:left="1440" w:hanging="720"/>
        <w:rPr>
          <w:rFonts w:cstheme="minorHAnsi"/>
          <w:szCs w:val="23"/>
          <w:lang w:val="fr-CA"/>
        </w:rPr>
      </w:pPr>
    </w:p>
    <w:p w14:paraId="08288DA5" w14:textId="3BB67221" w:rsidR="0050306B" w:rsidRPr="00F52884" w:rsidRDefault="0050306B" w:rsidP="0050306B">
      <w:pPr>
        <w:pStyle w:val="ListParagraph"/>
        <w:numPr>
          <w:ilvl w:val="1"/>
          <w:numId w:val="385"/>
        </w:numPr>
        <w:autoSpaceDE w:val="0"/>
        <w:autoSpaceDN w:val="0"/>
        <w:ind w:left="1440"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exceptions au titre du développement économique régional maintenues par les Territoires du Nord-Ouest, le Nunavut ou le Yukon, telles qu’elles sont décrites dans leurs listes jointes à l’annexe 5</w:t>
      </w:r>
      <w:r w:rsidR="0009540F">
        <w:rPr>
          <w:rFonts w:cstheme="minorHAnsi"/>
          <w:szCs w:val="23"/>
          <w:lang w:val="fr-CA"/>
        </w:rPr>
        <w:t>19</w:t>
      </w:r>
      <w:r w:rsidRPr="00F52884">
        <w:rPr>
          <w:rFonts w:cstheme="minorHAnsi"/>
          <w:szCs w:val="23"/>
          <w:lang w:val="fr-CA"/>
        </w:rPr>
        <w:t xml:space="preserve">.1.   </w:t>
      </w:r>
    </w:p>
    <w:p w14:paraId="16CE94E3" w14:textId="77777777" w:rsidR="0050306B" w:rsidRPr="00F52884" w:rsidRDefault="0050306B" w:rsidP="0050306B">
      <w:pPr>
        <w:rPr>
          <w:rFonts w:eastAsia="Calibri" w:cstheme="minorHAnsi"/>
          <w:szCs w:val="23"/>
          <w:lang w:val="fr-CA"/>
        </w:rPr>
      </w:pPr>
    </w:p>
    <w:p w14:paraId="0E3286CF" w14:textId="61452305" w:rsidR="0050306B" w:rsidRPr="00F52884" w:rsidRDefault="0050306B" w:rsidP="0050306B">
      <w:pPr>
        <w:autoSpaceDE w:val="0"/>
        <w:autoSpaceDN w:val="0"/>
        <w:adjustRightInd w:val="0"/>
        <w:jc w:val="center"/>
        <w:rPr>
          <w:rFonts w:cstheme="minorHAnsi"/>
          <w:b/>
          <w:bCs/>
          <w:szCs w:val="23"/>
          <w:lang w:val="fr-CA"/>
        </w:rPr>
      </w:pPr>
      <w:r w:rsidRPr="00F52884">
        <w:rPr>
          <w:rFonts w:cstheme="minorHAnsi"/>
          <w:b/>
          <w:bCs/>
          <w:szCs w:val="23"/>
          <w:lang w:val="fr-CA"/>
        </w:rPr>
        <w:t>Article 52</w:t>
      </w:r>
      <w:r w:rsidR="0009540F">
        <w:rPr>
          <w:rFonts w:cstheme="minorHAnsi"/>
          <w:b/>
          <w:bCs/>
          <w:szCs w:val="23"/>
          <w:lang w:val="fr-CA"/>
        </w:rPr>
        <w:t>0</w:t>
      </w:r>
      <w:r w:rsidRPr="00F52884">
        <w:rPr>
          <w:rFonts w:cstheme="minorHAnsi"/>
          <w:b/>
          <w:bCs/>
          <w:szCs w:val="23"/>
          <w:lang w:val="fr-CA"/>
        </w:rPr>
        <w:t> :</w:t>
      </w:r>
      <w:r w:rsidRPr="00F52884">
        <w:rPr>
          <w:rFonts w:cstheme="minorHAnsi"/>
          <w:szCs w:val="23"/>
          <w:lang w:val="fr-CA"/>
        </w:rPr>
        <w:tab/>
      </w:r>
      <w:r w:rsidR="005042D0" w:rsidRPr="00F52884">
        <w:rPr>
          <w:rFonts w:cstheme="minorHAnsi"/>
          <w:szCs w:val="23"/>
          <w:lang w:val="fr-CA"/>
        </w:rPr>
        <w:tab/>
      </w:r>
      <w:r w:rsidRPr="00F52884">
        <w:rPr>
          <w:rFonts w:cstheme="minorHAnsi"/>
          <w:b/>
          <w:bCs/>
          <w:szCs w:val="23"/>
          <w:lang w:val="fr-CA"/>
        </w:rPr>
        <w:t>Marchés publics — Définitions particulières</w:t>
      </w:r>
    </w:p>
    <w:p w14:paraId="436A6B78" w14:textId="77777777" w:rsidR="0050306B" w:rsidRPr="00F52884" w:rsidRDefault="0050306B" w:rsidP="0050306B">
      <w:pPr>
        <w:autoSpaceDE w:val="0"/>
        <w:autoSpaceDN w:val="0"/>
        <w:adjustRightInd w:val="0"/>
        <w:jc w:val="center"/>
        <w:rPr>
          <w:rFonts w:eastAsia="Calibri" w:cstheme="minorHAnsi"/>
          <w:szCs w:val="23"/>
          <w:lang w:val="fr-CA"/>
        </w:rPr>
      </w:pPr>
    </w:p>
    <w:p w14:paraId="64A9C43E" w14:textId="01AD77EE" w:rsidR="0050306B" w:rsidRPr="00F52884" w:rsidRDefault="0050306B" w:rsidP="0050306B">
      <w:pPr>
        <w:rPr>
          <w:rFonts w:eastAsia="Times New Roman" w:cstheme="minorHAnsi"/>
          <w:szCs w:val="23"/>
          <w:lang w:val="fr-CA"/>
        </w:rPr>
      </w:pPr>
      <w:r w:rsidRPr="00F52884">
        <w:rPr>
          <w:rFonts w:eastAsia="Times New Roman" w:cstheme="minorHAnsi"/>
          <w:szCs w:val="23"/>
          <w:lang w:val="fr-CA"/>
        </w:rPr>
        <w:t>Les définitions qui suivent s’appliquent au présent chapitre :</w:t>
      </w:r>
    </w:p>
    <w:p w14:paraId="5FDA5CB5" w14:textId="77777777" w:rsidR="0050306B" w:rsidRPr="00F52884" w:rsidRDefault="0050306B" w:rsidP="0050306B">
      <w:pPr>
        <w:rPr>
          <w:rFonts w:eastAsia="Times New Roman" w:cstheme="minorHAnsi"/>
          <w:szCs w:val="23"/>
          <w:lang w:val="fr-CA"/>
        </w:rPr>
      </w:pPr>
    </w:p>
    <w:p w14:paraId="572371F4" w14:textId="4E5BAF45"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appel</w:t>
      </w:r>
      <w:proofErr w:type="gramEnd"/>
      <w:r w:rsidRPr="00F52884">
        <w:rPr>
          <w:rFonts w:eastAsia="Times New Roman" w:cstheme="minorHAnsi"/>
          <w:b/>
          <w:bCs/>
          <w:szCs w:val="23"/>
          <w:lang w:val="fr-CA"/>
        </w:rPr>
        <w:t xml:space="preserve"> d’offres limité</w:t>
      </w:r>
      <w:r w:rsidRPr="00F52884">
        <w:rPr>
          <w:rFonts w:eastAsia="Times New Roman" w:cstheme="minorHAnsi"/>
          <w:szCs w:val="23"/>
          <w:lang w:val="fr-CA"/>
        </w:rPr>
        <w:t xml:space="preserve"> Méthode de passation des marchés suivant laquelle une entité contractante  s’adresse à un ou à des fournisseurs de son choix; </w:t>
      </w:r>
    </w:p>
    <w:p w14:paraId="05D7948E" w14:textId="77777777" w:rsidR="0050306B" w:rsidRPr="00F52884" w:rsidRDefault="0050306B" w:rsidP="0050306B">
      <w:pPr>
        <w:jc w:val="both"/>
        <w:rPr>
          <w:rFonts w:eastAsia="Times New Roman" w:cstheme="minorHAnsi"/>
          <w:szCs w:val="23"/>
          <w:lang w:val="fr-CA"/>
        </w:rPr>
      </w:pPr>
    </w:p>
    <w:p w14:paraId="3A6AC92D" w14:textId="5A950D90" w:rsidR="0050306B" w:rsidRPr="00F52884" w:rsidRDefault="0050306B" w:rsidP="0050306B">
      <w:pPr>
        <w:jc w:val="both"/>
        <w:rPr>
          <w:rFonts w:eastAsia="Times New Roman" w:cstheme="minorHAnsi"/>
          <w:szCs w:val="23"/>
          <w:lang w:val="fr-CA"/>
        </w:rPr>
      </w:pPr>
      <w:proofErr w:type="gramStart"/>
      <w:r w:rsidRPr="00F52884">
        <w:rPr>
          <w:rFonts w:eastAsia="Times New Roman" w:cstheme="minorHAnsi"/>
          <w:b/>
          <w:bCs/>
          <w:szCs w:val="23"/>
          <w:lang w:val="fr-CA"/>
        </w:rPr>
        <w:t>appel</w:t>
      </w:r>
      <w:proofErr w:type="gramEnd"/>
      <w:r w:rsidRPr="00F52884">
        <w:rPr>
          <w:rFonts w:eastAsia="Times New Roman" w:cstheme="minorHAnsi"/>
          <w:b/>
          <w:bCs/>
          <w:szCs w:val="23"/>
          <w:lang w:val="fr-CA"/>
        </w:rPr>
        <w:t xml:space="preserve"> d’offres ouvert</w:t>
      </w:r>
      <w:r w:rsidRPr="00F52884">
        <w:rPr>
          <w:rFonts w:eastAsia="Times New Roman" w:cstheme="minorHAnsi"/>
          <w:szCs w:val="23"/>
          <w:lang w:val="fr-CA"/>
        </w:rPr>
        <w:t xml:space="preserve"> Méthode de passation des marchés suivant laquelle tous les fournisseurs intéressés peuvent présenter une soumission; </w:t>
      </w:r>
    </w:p>
    <w:p w14:paraId="2DB4A907" w14:textId="77777777" w:rsidR="0050306B" w:rsidRPr="00F52884" w:rsidRDefault="0050306B" w:rsidP="0050306B">
      <w:pPr>
        <w:jc w:val="both"/>
        <w:rPr>
          <w:rFonts w:eastAsia="Times New Roman" w:cstheme="minorHAnsi"/>
          <w:szCs w:val="23"/>
          <w:lang w:val="fr-CA"/>
        </w:rPr>
      </w:pPr>
    </w:p>
    <w:p w14:paraId="06C537AE" w14:textId="77777777" w:rsidR="0050306B" w:rsidRPr="00F52884" w:rsidRDefault="0050306B" w:rsidP="0050306B">
      <w:pPr>
        <w:rPr>
          <w:rFonts w:eastAsia="Times New Roman" w:cstheme="minorHAnsi"/>
          <w:szCs w:val="23"/>
          <w:lang w:val="fr-CA"/>
        </w:rPr>
      </w:pPr>
      <w:proofErr w:type="gramStart"/>
      <w:r w:rsidRPr="00F52884">
        <w:rPr>
          <w:rFonts w:cstheme="minorHAnsi"/>
          <w:b/>
          <w:bCs/>
          <w:szCs w:val="23"/>
          <w:lang w:val="fr-CA"/>
        </w:rPr>
        <w:lastRenderedPageBreak/>
        <w:t>arrangement</w:t>
      </w:r>
      <w:proofErr w:type="gramEnd"/>
      <w:r w:rsidRPr="00F52884">
        <w:rPr>
          <w:rFonts w:cstheme="minorHAnsi"/>
          <w:b/>
          <w:bCs/>
          <w:szCs w:val="23"/>
          <w:lang w:val="fr-CA"/>
        </w:rPr>
        <w:t xml:space="preserve"> en matière d’approvisionnement</w:t>
      </w:r>
      <w:r w:rsidRPr="00F52884">
        <w:rPr>
          <w:rFonts w:cstheme="minorHAnsi"/>
          <w:szCs w:val="23"/>
          <w:lang w:val="fr-CA"/>
        </w:rPr>
        <w:t xml:space="preserve"> Arrangement avec un ou plusieurs fournisseurs en vertu duquel une entité contractante peut acheter des produits ou des services auprès du ou des fournisseurs en question pendant la période précisée dans l’accord. L’accord comprend toutes les conditions applicables au marché, comme le coût du produit ou service et les prescriptions relatives à la livraison;</w:t>
      </w:r>
    </w:p>
    <w:p w14:paraId="56F5C249" w14:textId="77777777" w:rsidR="0050306B" w:rsidRPr="00F52884" w:rsidRDefault="0050306B" w:rsidP="0050306B">
      <w:pPr>
        <w:jc w:val="both"/>
        <w:rPr>
          <w:rFonts w:eastAsia="Times New Roman" w:cstheme="minorHAnsi"/>
          <w:b/>
          <w:szCs w:val="23"/>
          <w:lang w:val="fr-CA"/>
        </w:rPr>
      </w:pPr>
    </w:p>
    <w:p w14:paraId="2D2B4D94" w14:textId="0A2CDB8D" w:rsidR="0050306B" w:rsidRPr="00F52884" w:rsidRDefault="0050306B" w:rsidP="0050306B">
      <w:pPr>
        <w:jc w:val="both"/>
        <w:rPr>
          <w:rFonts w:eastAsia="Times New Roman" w:cstheme="minorHAnsi"/>
          <w:szCs w:val="23"/>
          <w:lang w:val="fr-CA"/>
        </w:rPr>
      </w:pPr>
      <w:proofErr w:type="gramStart"/>
      <w:r w:rsidRPr="00F52884">
        <w:rPr>
          <w:rFonts w:eastAsia="Times New Roman" w:cstheme="minorHAnsi"/>
          <w:b/>
          <w:bCs/>
          <w:szCs w:val="23"/>
          <w:lang w:val="fr-CA"/>
        </w:rPr>
        <w:t>avis</w:t>
      </w:r>
      <w:proofErr w:type="gramEnd"/>
      <w:r w:rsidRPr="00F52884">
        <w:rPr>
          <w:rFonts w:eastAsia="Times New Roman" w:cstheme="minorHAnsi"/>
          <w:b/>
          <w:bCs/>
          <w:szCs w:val="23"/>
          <w:lang w:val="fr-CA"/>
        </w:rPr>
        <w:t xml:space="preserve"> d’appel d’offres</w:t>
      </w:r>
      <w:r w:rsidRPr="00F52884">
        <w:rPr>
          <w:rFonts w:eastAsia="Times New Roman" w:cstheme="minorHAnsi"/>
          <w:szCs w:val="23"/>
          <w:lang w:val="fr-CA"/>
        </w:rPr>
        <w:t xml:space="preserve"> Avis publié par une entité contractante invitant les fournisseurs intéressés à présenter une soumission, une réponse à un appel de qualification, ou les deux; </w:t>
      </w:r>
    </w:p>
    <w:p w14:paraId="714BDF2F" w14:textId="77777777" w:rsidR="0050306B" w:rsidRPr="00F52884" w:rsidRDefault="0050306B" w:rsidP="0050306B">
      <w:pPr>
        <w:jc w:val="both"/>
        <w:rPr>
          <w:rFonts w:eastAsia="Times New Roman" w:cstheme="minorHAnsi"/>
          <w:szCs w:val="23"/>
          <w:lang w:val="fr-CA"/>
        </w:rPr>
      </w:pPr>
    </w:p>
    <w:p w14:paraId="06BE05AA" w14:textId="15CD3489" w:rsidR="0050306B" w:rsidRPr="00F52884" w:rsidRDefault="0050306B" w:rsidP="0050306B">
      <w:pPr>
        <w:rPr>
          <w:rFonts w:cstheme="minorHAnsi"/>
          <w:szCs w:val="23"/>
          <w:lang w:val="fr-CA"/>
        </w:rPr>
      </w:pPr>
      <w:proofErr w:type="gramStart"/>
      <w:r w:rsidRPr="00F52884">
        <w:rPr>
          <w:rFonts w:cstheme="minorHAnsi"/>
          <w:b/>
          <w:bCs/>
          <w:szCs w:val="23"/>
          <w:lang w:val="fr-CA"/>
        </w:rPr>
        <w:t>consortium</w:t>
      </w:r>
      <w:proofErr w:type="gramEnd"/>
      <w:r w:rsidRPr="00F52884">
        <w:rPr>
          <w:rFonts w:cstheme="minorHAnsi"/>
          <w:b/>
          <w:bCs/>
          <w:szCs w:val="23"/>
          <w:lang w:val="fr-CA"/>
        </w:rPr>
        <w:t xml:space="preserve"> d’achat</w:t>
      </w:r>
      <w:r w:rsidRPr="00F52884">
        <w:rPr>
          <w:rFonts w:cstheme="minorHAnsi"/>
          <w:szCs w:val="23"/>
          <w:lang w:val="fr-CA"/>
        </w:rPr>
        <w:t xml:space="preserve"> Groupe de deux membres ou plus qui regroupent en un processus commun leurs prescriptions et leurs activités en matière d’acquisition. Les consortiums d’achat comprennent les ententes de coopération en vertu desquelles certains membres administrent, pour le groupe, les achats dans le cas de marchés précis, ainsi que d’autres ententes commerciales plus formelles en vertu desquelles le consortium d’achat administre les marchés pour le compte de ses membres. Les consortiums d’achat peuvent être composés de diverses entités, y compris toute combinaison d’entités contractantes, d’entités du secteur privé ou d’organismes sans but lucratif;</w:t>
      </w:r>
    </w:p>
    <w:p w14:paraId="42EBFA56" w14:textId="77777777" w:rsidR="0050306B" w:rsidRPr="00F52884" w:rsidRDefault="0050306B" w:rsidP="0050306B">
      <w:pPr>
        <w:rPr>
          <w:rFonts w:cstheme="minorHAnsi"/>
          <w:b/>
          <w:szCs w:val="23"/>
          <w:lang w:val="fr-CA"/>
        </w:rPr>
      </w:pPr>
    </w:p>
    <w:p w14:paraId="71EF9C31" w14:textId="42A3600C" w:rsidR="0050306B" w:rsidRPr="00F52884" w:rsidRDefault="0050306B" w:rsidP="0050306B">
      <w:pPr>
        <w:jc w:val="both"/>
        <w:rPr>
          <w:rFonts w:cstheme="minorHAnsi"/>
          <w:b/>
          <w:bCs/>
          <w:szCs w:val="23"/>
          <w:lang w:val="fr-CA"/>
        </w:rPr>
      </w:pPr>
      <w:proofErr w:type="gramStart"/>
      <w:r w:rsidRPr="00F52884">
        <w:rPr>
          <w:rFonts w:cstheme="minorHAnsi"/>
          <w:b/>
          <w:bCs/>
          <w:szCs w:val="23"/>
          <w:lang w:val="fr-CA"/>
        </w:rPr>
        <w:t>coûts</w:t>
      </w:r>
      <w:proofErr w:type="gramEnd"/>
      <w:r w:rsidRPr="00F52884">
        <w:rPr>
          <w:rFonts w:cstheme="minorHAnsi"/>
          <w:b/>
          <w:bCs/>
          <w:szCs w:val="23"/>
          <w:lang w:val="fr-CA"/>
        </w:rPr>
        <w:t xml:space="preserve"> de transition</w:t>
      </w:r>
      <w:r w:rsidRPr="00F52884">
        <w:rPr>
          <w:rFonts w:cstheme="minorHAnsi"/>
          <w:szCs w:val="23"/>
          <w:lang w:val="fr-CA"/>
        </w:rPr>
        <w:t xml:space="preserve"> Coûts supplémentaires directs engagés par une entité contractante pendant la transition d’un fournisseur ou d’un produit ou service à un autre. Ces coûts peuvent comprendre les coûts de formation du personnel et les coûts d’intégration des systèmes;</w:t>
      </w:r>
    </w:p>
    <w:p w14:paraId="1047F3AC" w14:textId="77777777" w:rsidR="0050306B" w:rsidRPr="00F52884" w:rsidRDefault="0050306B" w:rsidP="0050306B">
      <w:pPr>
        <w:rPr>
          <w:rFonts w:cstheme="minorHAnsi"/>
          <w:szCs w:val="23"/>
          <w:lang w:val="fr-CA"/>
        </w:rPr>
      </w:pPr>
      <w:r w:rsidRPr="00F52884">
        <w:rPr>
          <w:rFonts w:cstheme="minorHAnsi"/>
          <w:szCs w:val="23"/>
          <w:lang w:val="fr-CA"/>
        </w:rPr>
        <w:t xml:space="preserve"> </w:t>
      </w:r>
    </w:p>
    <w:p w14:paraId="335BC84E" w14:textId="11FDED69"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enchère</w:t>
      </w:r>
      <w:proofErr w:type="gramEnd"/>
      <w:r w:rsidRPr="00F52884">
        <w:rPr>
          <w:rFonts w:eastAsia="Times New Roman" w:cstheme="minorHAnsi"/>
          <w:b/>
          <w:bCs/>
          <w:szCs w:val="23"/>
          <w:lang w:val="fr-CA"/>
        </w:rPr>
        <w:t xml:space="preserve"> électronique</w:t>
      </w:r>
      <w:r w:rsidRPr="00F52884">
        <w:rPr>
          <w:rFonts w:eastAsia="Times New Roman" w:cstheme="minorHAnsi"/>
          <w:szCs w:val="23"/>
          <w:lang w:val="fr-CA"/>
        </w:rPr>
        <w:t xml:space="preserve"> Processus itératif comportant l’utilisation de moyens électroniques pour la présentation par les fournisseurs soit de nouveaux prix, soit de nouvelles valeurs pour les éléments quantifiables de la soumission autres que le prix ayant trait aux critères d’évaluation, ou les deux, qui donne lieu à un classement ou à un reclassement des soumissions;</w:t>
      </w:r>
    </w:p>
    <w:p w14:paraId="6320225D" w14:textId="77777777" w:rsidR="0050306B" w:rsidRPr="00F52884" w:rsidRDefault="0050306B" w:rsidP="0050306B">
      <w:pPr>
        <w:jc w:val="both"/>
        <w:rPr>
          <w:rFonts w:eastAsia="Times New Roman" w:cstheme="minorHAnsi"/>
          <w:b/>
          <w:szCs w:val="23"/>
          <w:lang w:val="fr-CA"/>
        </w:rPr>
      </w:pPr>
    </w:p>
    <w:p w14:paraId="62D3354E" w14:textId="345D639D"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entité</w:t>
      </w:r>
      <w:proofErr w:type="gramEnd"/>
      <w:r w:rsidRPr="00F52884">
        <w:rPr>
          <w:rFonts w:eastAsia="Times New Roman" w:cstheme="minorHAnsi"/>
          <w:b/>
          <w:bCs/>
          <w:szCs w:val="23"/>
          <w:lang w:val="fr-CA"/>
        </w:rPr>
        <w:t xml:space="preserve"> contractante</w:t>
      </w:r>
      <w:r w:rsidRPr="00F52884">
        <w:rPr>
          <w:rFonts w:eastAsia="Times New Roman" w:cstheme="minorHAnsi"/>
          <w:szCs w:val="23"/>
          <w:lang w:val="fr-CA"/>
        </w:rPr>
        <w:t xml:space="preserve"> Entité dont les marchés sont couverts par le présent chapitre et ne sont pas autrement exclus dans une liste d’une Partie jointe à l’annexe 5</w:t>
      </w:r>
      <w:r w:rsidR="0009540F">
        <w:rPr>
          <w:rFonts w:eastAsia="Times New Roman" w:cstheme="minorHAnsi"/>
          <w:szCs w:val="23"/>
          <w:lang w:val="fr-CA"/>
        </w:rPr>
        <w:t>19</w:t>
      </w:r>
      <w:r w:rsidRPr="00F52884">
        <w:rPr>
          <w:rFonts w:eastAsia="Times New Roman" w:cstheme="minorHAnsi"/>
          <w:szCs w:val="23"/>
          <w:lang w:val="fr-CA"/>
        </w:rPr>
        <w:t xml:space="preserve">.1; </w:t>
      </w:r>
    </w:p>
    <w:p w14:paraId="5BB0E446" w14:textId="77777777" w:rsidR="0050306B" w:rsidRPr="00F52884" w:rsidRDefault="0050306B" w:rsidP="0050306B">
      <w:pPr>
        <w:jc w:val="both"/>
        <w:rPr>
          <w:rFonts w:eastAsia="Times New Roman" w:cstheme="minorHAnsi"/>
          <w:szCs w:val="23"/>
          <w:lang w:val="fr-CA"/>
        </w:rPr>
      </w:pPr>
    </w:p>
    <w:p w14:paraId="2C3243B2" w14:textId="75A9FED6"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établissement</w:t>
      </w:r>
      <w:proofErr w:type="gramEnd"/>
      <w:r w:rsidRPr="00F52884">
        <w:rPr>
          <w:rFonts w:eastAsia="Times New Roman" w:cstheme="minorHAnsi"/>
          <w:szCs w:val="23"/>
          <w:lang w:val="fr-CA"/>
        </w:rPr>
        <w:t xml:space="preserve"> Lieu où un fournisseur exerce ses activités de façon permanente et qui est clairement désigné par un nom et accessible pendant les heures normales de travail;</w:t>
      </w:r>
    </w:p>
    <w:p w14:paraId="1F5BDD95" w14:textId="77777777" w:rsidR="0050306B" w:rsidRPr="00F52884" w:rsidRDefault="0050306B" w:rsidP="0050306B">
      <w:pPr>
        <w:jc w:val="both"/>
        <w:rPr>
          <w:rFonts w:eastAsia="Times New Roman" w:cstheme="minorHAnsi"/>
          <w:szCs w:val="23"/>
          <w:lang w:val="fr-CA"/>
        </w:rPr>
      </w:pPr>
    </w:p>
    <w:p w14:paraId="22504F68" w14:textId="0AFDC467"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fournisseur</w:t>
      </w:r>
      <w:proofErr w:type="gramEnd"/>
      <w:r w:rsidRPr="00F52884">
        <w:rPr>
          <w:rFonts w:eastAsia="Times New Roman" w:cstheme="minorHAnsi"/>
          <w:szCs w:val="23"/>
          <w:lang w:val="fr-CA"/>
        </w:rPr>
        <w:t xml:space="preserve"> Personne ou groupe de personnes qui fournit ou pourrait fournir des produits ou des services; </w:t>
      </w:r>
    </w:p>
    <w:p w14:paraId="7E031E0C" w14:textId="77777777" w:rsidR="0050306B" w:rsidRPr="00F52884" w:rsidRDefault="0050306B" w:rsidP="0050306B">
      <w:pPr>
        <w:jc w:val="both"/>
        <w:rPr>
          <w:rFonts w:eastAsia="Times New Roman" w:cstheme="minorHAnsi"/>
          <w:szCs w:val="23"/>
          <w:lang w:val="fr-CA"/>
        </w:rPr>
      </w:pPr>
    </w:p>
    <w:p w14:paraId="58A4A752" w14:textId="2B3649FB" w:rsidR="0050306B" w:rsidRPr="00F52884" w:rsidRDefault="0050306B" w:rsidP="0050306B">
      <w:pPr>
        <w:ind w:left="720" w:hanging="720"/>
        <w:jc w:val="both"/>
        <w:rPr>
          <w:rFonts w:cstheme="minorHAnsi"/>
          <w:szCs w:val="23"/>
          <w:lang w:val="fr-CA"/>
        </w:rPr>
      </w:pPr>
      <w:proofErr w:type="gramStart"/>
      <w:r w:rsidRPr="00F52884">
        <w:rPr>
          <w:rFonts w:cstheme="minorHAnsi"/>
          <w:b/>
          <w:bCs/>
          <w:szCs w:val="23"/>
          <w:lang w:val="fr-CA"/>
        </w:rPr>
        <w:t>fournisseur</w:t>
      </w:r>
      <w:proofErr w:type="gramEnd"/>
      <w:r w:rsidRPr="00F52884">
        <w:rPr>
          <w:rFonts w:cstheme="minorHAnsi"/>
          <w:b/>
          <w:bCs/>
          <w:szCs w:val="23"/>
          <w:lang w:val="fr-CA"/>
        </w:rPr>
        <w:t xml:space="preserve"> canadien</w:t>
      </w:r>
      <w:r w:rsidRPr="00F52884">
        <w:rPr>
          <w:rFonts w:cstheme="minorHAnsi"/>
          <w:szCs w:val="23"/>
          <w:lang w:val="fr-CA"/>
        </w:rPr>
        <w:t xml:space="preserve"> Fournisseur qui a un établissement au Canada;</w:t>
      </w:r>
    </w:p>
    <w:p w14:paraId="3FB3E375" w14:textId="77777777" w:rsidR="0050306B" w:rsidRPr="00F52884" w:rsidRDefault="0050306B" w:rsidP="0050306B">
      <w:pPr>
        <w:ind w:left="720" w:hanging="720"/>
        <w:jc w:val="both"/>
        <w:rPr>
          <w:rFonts w:eastAsia="Times New Roman" w:cstheme="minorHAnsi"/>
          <w:szCs w:val="23"/>
          <w:lang w:val="fr-CA"/>
        </w:rPr>
      </w:pPr>
    </w:p>
    <w:p w14:paraId="7329E434" w14:textId="6579A431"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fournisseur</w:t>
      </w:r>
      <w:proofErr w:type="gramEnd"/>
      <w:r w:rsidRPr="00F52884">
        <w:rPr>
          <w:rFonts w:eastAsia="Times New Roman" w:cstheme="minorHAnsi"/>
          <w:b/>
          <w:bCs/>
          <w:szCs w:val="23"/>
          <w:lang w:val="fr-CA"/>
        </w:rPr>
        <w:t xml:space="preserve"> qualifié</w:t>
      </w:r>
      <w:r w:rsidRPr="00F52884">
        <w:rPr>
          <w:rFonts w:eastAsia="Times New Roman" w:cstheme="minorHAnsi"/>
          <w:szCs w:val="23"/>
          <w:lang w:val="fr-CA"/>
        </w:rPr>
        <w:t xml:space="preserve"> Fournisseur dont une entité contractante reconnaît qu’il remplit les conditions de participation; </w:t>
      </w:r>
    </w:p>
    <w:p w14:paraId="2924A3E4" w14:textId="77777777" w:rsidR="0050306B" w:rsidRPr="00F52884" w:rsidRDefault="0050306B" w:rsidP="0050306B">
      <w:pPr>
        <w:jc w:val="both"/>
        <w:rPr>
          <w:rFonts w:eastAsia="Times New Roman" w:cstheme="minorHAnsi"/>
          <w:szCs w:val="23"/>
          <w:lang w:val="fr-CA"/>
        </w:rPr>
      </w:pPr>
    </w:p>
    <w:p w14:paraId="7DB0252F" w14:textId="60CF0C4D"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liste</w:t>
      </w:r>
      <w:proofErr w:type="gramEnd"/>
      <w:r w:rsidRPr="00F52884">
        <w:rPr>
          <w:rFonts w:eastAsia="Times New Roman" w:cstheme="minorHAnsi"/>
          <w:b/>
          <w:bCs/>
          <w:szCs w:val="23"/>
          <w:lang w:val="fr-CA"/>
        </w:rPr>
        <w:t xml:space="preserve"> de fournisseurs pré-qualifiés</w:t>
      </w:r>
      <w:r w:rsidRPr="00F52884">
        <w:rPr>
          <w:rFonts w:eastAsia="Times New Roman" w:cstheme="minorHAnsi"/>
          <w:szCs w:val="23"/>
          <w:lang w:val="fr-CA"/>
        </w:rPr>
        <w:t xml:space="preserve"> » Liste de fournisseurs dont une entité contractante a déterminé qu’ils satisfaisaient aux conditions d’inscription sur cette liste, et qu’elle pourrait avoir l’intention d’utiliser plus d’une fois; </w:t>
      </w:r>
    </w:p>
    <w:p w14:paraId="698F8797" w14:textId="77777777" w:rsidR="0050306B" w:rsidRPr="00F52884" w:rsidRDefault="0050306B" w:rsidP="0050306B">
      <w:pPr>
        <w:jc w:val="both"/>
        <w:rPr>
          <w:rFonts w:eastAsia="Times New Roman" w:cstheme="minorHAnsi"/>
          <w:b/>
          <w:bCs/>
          <w:szCs w:val="23"/>
          <w:lang w:val="fr-CA"/>
        </w:rPr>
      </w:pPr>
    </w:p>
    <w:p w14:paraId="42518E16" w14:textId="0180C4C0" w:rsidR="0050306B" w:rsidRPr="00F52884" w:rsidRDefault="0050306B" w:rsidP="0050306B">
      <w:pPr>
        <w:jc w:val="both"/>
        <w:rPr>
          <w:rFonts w:eastAsia="Times New Roman" w:cstheme="minorHAnsi"/>
          <w:bCs/>
          <w:szCs w:val="23"/>
          <w:lang w:val="fr-CA"/>
        </w:rPr>
      </w:pPr>
      <w:proofErr w:type="gramStart"/>
      <w:r w:rsidRPr="00F52884">
        <w:rPr>
          <w:rFonts w:eastAsia="Times New Roman" w:cstheme="minorHAnsi"/>
          <w:b/>
          <w:bCs/>
          <w:szCs w:val="23"/>
          <w:lang w:val="fr-CA"/>
        </w:rPr>
        <w:t>marché</w:t>
      </w:r>
      <w:proofErr w:type="gramEnd"/>
      <w:r w:rsidRPr="00F52884">
        <w:rPr>
          <w:rFonts w:eastAsia="Times New Roman" w:cstheme="minorHAnsi"/>
          <w:b/>
          <w:bCs/>
          <w:szCs w:val="23"/>
          <w:lang w:val="fr-CA"/>
        </w:rPr>
        <w:t xml:space="preserve"> couvert</w:t>
      </w:r>
      <w:r w:rsidRPr="00F52884">
        <w:rPr>
          <w:rFonts w:eastAsia="Times New Roman" w:cstheme="minorHAnsi"/>
          <w:bCs/>
          <w:szCs w:val="23"/>
          <w:lang w:val="fr-CA"/>
        </w:rPr>
        <w:t xml:space="preserve"> Marché décrit à l’article 504.2;</w:t>
      </w:r>
    </w:p>
    <w:p w14:paraId="4DC4C0DA" w14:textId="77777777" w:rsidR="0050306B" w:rsidRPr="00F52884" w:rsidRDefault="0050306B" w:rsidP="0050306B">
      <w:pPr>
        <w:jc w:val="both"/>
        <w:rPr>
          <w:rFonts w:eastAsia="Times New Roman" w:cstheme="minorHAnsi"/>
          <w:bCs/>
          <w:szCs w:val="23"/>
          <w:lang w:val="fr-CA"/>
        </w:rPr>
      </w:pPr>
    </w:p>
    <w:p w14:paraId="10274364" w14:textId="3E3ADFAC" w:rsidR="0050306B" w:rsidRPr="00F52884" w:rsidRDefault="0050306B" w:rsidP="0050306B">
      <w:pPr>
        <w:jc w:val="both"/>
        <w:rPr>
          <w:rFonts w:eastAsia="Times New Roman" w:cstheme="minorHAnsi"/>
          <w:b/>
          <w:bCs/>
          <w:szCs w:val="23"/>
          <w:lang w:val="fr-CA"/>
        </w:rPr>
      </w:pPr>
      <w:proofErr w:type="gramStart"/>
      <w:r w:rsidRPr="00F52884">
        <w:rPr>
          <w:rFonts w:eastAsia="Times New Roman" w:cstheme="minorHAnsi"/>
          <w:b/>
          <w:bCs/>
          <w:szCs w:val="23"/>
          <w:lang w:val="fr-CA"/>
        </w:rPr>
        <w:lastRenderedPageBreak/>
        <w:t>monopole</w:t>
      </w:r>
      <w:proofErr w:type="gramEnd"/>
      <w:r w:rsidRPr="00F52884">
        <w:rPr>
          <w:rFonts w:eastAsia="Times New Roman" w:cstheme="minorHAnsi"/>
          <w:b/>
          <w:bCs/>
          <w:szCs w:val="23"/>
          <w:lang w:val="fr-CA"/>
        </w:rPr>
        <w:t xml:space="preserve"> légal </w:t>
      </w:r>
      <w:r w:rsidRPr="00F52884">
        <w:rPr>
          <w:rFonts w:eastAsia="Times New Roman" w:cstheme="minorHAnsi"/>
          <w:bCs/>
          <w:szCs w:val="23"/>
          <w:lang w:val="fr-CA"/>
        </w:rPr>
        <w:t>Entreprise qui est désignée par la loi ou par une autorité gouvernementale comme étant le fournisseur exclusif d’un produit ou d’un service sur tout marché concerné sur le territoire d’une Partie;</w:t>
      </w:r>
    </w:p>
    <w:p w14:paraId="4D50FEC9" w14:textId="77777777" w:rsidR="0050306B" w:rsidRPr="00F52884" w:rsidRDefault="0050306B" w:rsidP="0050306B">
      <w:pPr>
        <w:jc w:val="both"/>
        <w:rPr>
          <w:rFonts w:eastAsia="Times New Roman" w:cstheme="minorHAnsi"/>
          <w:b/>
          <w:bCs/>
          <w:szCs w:val="23"/>
          <w:lang w:val="fr-CA"/>
        </w:rPr>
      </w:pPr>
    </w:p>
    <w:p w14:paraId="08F7C7EE" w14:textId="085C0108"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par</w:t>
      </w:r>
      <w:proofErr w:type="gramEnd"/>
      <w:r w:rsidRPr="00F52884">
        <w:rPr>
          <w:rFonts w:eastAsia="Times New Roman" w:cstheme="minorHAnsi"/>
          <w:b/>
          <w:bCs/>
          <w:szCs w:val="23"/>
          <w:lang w:val="fr-CA"/>
        </w:rPr>
        <w:t xml:space="preserve"> écrit </w:t>
      </w:r>
      <w:r w:rsidRPr="00F52884">
        <w:rPr>
          <w:rFonts w:eastAsia="Times New Roman" w:cstheme="minorHAnsi"/>
          <w:bCs/>
          <w:szCs w:val="23"/>
          <w:lang w:val="fr-CA"/>
        </w:rPr>
        <w:t>ou</w:t>
      </w:r>
      <w:r w:rsidRPr="00F52884">
        <w:rPr>
          <w:rFonts w:eastAsia="Times New Roman" w:cstheme="minorHAnsi"/>
          <w:b/>
          <w:bCs/>
          <w:szCs w:val="23"/>
          <w:lang w:val="fr-CA"/>
        </w:rPr>
        <w:t xml:space="preserve"> écrit</w:t>
      </w:r>
      <w:r w:rsidRPr="00F52884">
        <w:rPr>
          <w:rFonts w:eastAsia="Times New Roman" w:cstheme="minorHAnsi"/>
          <w:szCs w:val="23"/>
          <w:lang w:val="fr-CA"/>
        </w:rPr>
        <w:t xml:space="preserve"> Toute expression sous forme de mots ou de chiffres qui peut être lue, reproduite et ultérieurement communiquée.  Peuvent y être inclus les renseignements transmis et stockés par voie électronique; </w:t>
      </w:r>
    </w:p>
    <w:p w14:paraId="24BDBA66" w14:textId="77777777" w:rsidR="0050306B" w:rsidRPr="00F52884" w:rsidRDefault="0050306B" w:rsidP="0050306B">
      <w:pPr>
        <w:jc w:val="both"/>
        <w:rPr>
          <w:rFonts w:eastAsia="Times New Roman" w:cstheme="minorHAnsi"/>
          <w:szCs w:val="23"/>
          <w:lang w:val="fr-CA"/>
        </w:rPr>
      </w:pPr>
    </w:p>
    <w:p w14:paraId="1DA492BB" w14:textId="2076403B" w:rsidR="0050306B" w:rsidRPr="00F52884" w:rsidRDefault="0050306B" w:rsidP="0050306B">
      <w:pPr>
        <w:rPr>
          <w:rFonts w:cstheme="minorHAnsi"/>
          <w:szCs w:val="23"/>
          <w:shd w:val="clear" w:color="auto" w:fill="FFFFFF"/>
          <w:lang w:val="fr-CA"/>
        </w:rPr>
      </w:pPr>
      <w:proofErr w:type="gramStart"/>
      <w:r w:rsidRPr="00F52884">
        <w:rPr>
          <w:rFonts w:cstheme="minorHAnsi"/>
          <w:b/>
          <w:bCs/>
          <w:szCs w:val="23"/>
          <w:shd w:val="clear" w:color="auto" w:fill="FFFFFF"/>
          <w:lang w:val="fr-CA"/>
        </w:rPr>
        <w:t>partenariat</w:t>
      </w:r>
      <w:proofErr w:type="gramEnd"/>
      <w:r w:rsidRPr="00F52884">
        <w:rPr>
          <w:rFonts w:cstheme="minorHAnsi"/>
          <w:b/>
          <w:bCs/>
          <w:szCs w:val="23"/>
          <w:shd w:val="clear" w:color="auto" w:fill="FFFFFF"/>
          <w:lang w:val="fr-CA"/>
        </w:rPr>
        <w:t xml:space="preserve"> public-privé</w:t>
      </w:r>
      <w:r w:rsidRPr="00F52884">
        <w:rPr>
          <w:rFonts w:cstheme="minorHAnsi"/>
          <w:szCs w:val="23"/>
          <w:shd w:val="clear" w:color="auto" w:fill="FFFFFF"/>
          <w:lang w:val="fr-CA"/>
        </w:rPr>
        <w:t xml:space="preserve"> Contrat axé sur le rendement conclu entre des parties des secteurs public et privé, en vertu duquel la partie du secteur privé assume une part des risques liés à la réalisation intégrée d’infrastructures publiques (p. ex. la conception, la construction, l’exploitation, l’entretien, le financement/capital sous risque). En vertu de ce contrat, les risques et les avantages sont répartis entre les parties;</w:t>
      </w:r>
    </w:p>
    <w:p w14:paraId="4D9DC1D6" w14:textId="77777777" w:rsidR="0050306B" w:rsidRPr="00F52884" w:rsidRDefault="0050306B" w:rsidP="0050306B">
      <w:pPr>
        <w:rPr>
          <w:rFonts w:cstheme="minorHAnsi"/>
          <w:szCs w:val="23"/>
          <w:lang w:val="fr-CA"/>
        </w:rPr>
      </w:pPr>
    </w:p>
    <w:p w14:paraId="38220788" w14:textId="58A64911" w:rsidR="0050306B" w:rsidRPr="00F52884" w:rsidRDefault="0050306B" w:rsidP="0050306B">
      <w:pPr>
        <w:rPr>
          <w:rFonts w:cstheme="minorHAnsi"/>
          <w:b/>
          <w:szCs w:val="23"/>
          <w:lang w:val="fr-CA"/>
        </w:rPr>
      </w:pPr>
      <w:proofErr w:type="gramStart"/>
      <w:r w:rsidRPr="00F52884">
        <w:rPr>
          <w:rFonts w:cstheme="minorHAnsi"/>
          <w:b/>
          <w:bCs/>
          <w:szCs w:val="23"/>
          <w:lang w:val="fr-CA"/>
        </w:rPr>
        <w:t>produits</w:t>
      </w:r>
      <w:proofErr w:type="gramEnd"/>
      <w:r w:rsidRPr="00F52884">
        <w:rPr>
          <w:rFonts w:cstheme="minorHAnsi"/>
          <w:szCs w:val="23"/>
          <w:lang w:val="fr-CA"/>
        </w:rPr>
        <w:t xml:space="preserve"> Biens meubles, y compris les matières premières, les marchandises, le matériel et les autres objets physiques de toute nature et description, à l’état solide, liquide ou gazeux, ou sous forme électronique;</w:t>
      </w:r>
    </w:p>
    <w:p w14:paraId="0C87CF9D" w14:textId="77777777" w:rsidR="0050306B" w:rsidRPr="00F52884" w:rsidRDefault="0050306B" w:rsidP="0050306B">
      <w:pPr>
        <w:rPr>
          <w:rFonts w:cstheme="minorHAnsi"/>
          <w:szCs w:val="23"/>
          <w:lang w:val="fr-CA"/>
        </w:rPr>
      </w:pPr>
    </w:p>
    <w:p w14:paraId="51348064" w14:textId="0352D869" w:rsidR="0050306B" w:rsidRPr="00F52884" w:rsidRDefault="0050306B" w:rsidP="0050306B">
      <w:pPr>
        <w:jc w:val="both"/>
        <w:rPr>
          <w:rFonts w:eastAsia="Times New Roman" w:cstheme="minorHAnsi"/>
          <w:b/>
          <w:bCs/>
          <w:szCs w:val="23"/>
          <w:lang w:val="fr-CA"/>
        </w:rPr>
      </w:pPr>
      <w:proofErr w:type="gramStart"/>
      <w:r w:rsidRPr="00F52884">
        <w:rPr>
          <w:rFonts w:eastAsia="Times New Roman" w:cstheme="minorHAnsi"/>
          <w:b/>
          <w:bCs/>
          <w:szCs w:val="23"/>
          <w:lang w:val="fr-CA"/>
        </w:rPr>
        <w:t>produit</w:t>
      </w:r>
      <w:proofErr w:type="gramEnd"/>
      <w:r w:rsidRPr="00F52884">
        <w:rPr>
          <w:rFonts w:eastAsia="Times New Roman" w:cstheme="minorHAnsi"/>
          <w:b/>
          <w:bCs/>
          <w:szCs w:val="23"/>
          <w:lang w:val="fr-CA"/>
        </w:rPr>
        <w:t xml:space="preserve"> canadien </w:t>
      </w:r>
      <w:r w:rsidRPr="00F52884">
        <w:rPr>
          <w:rFonts w:eastAsia="Times New Roman" w:cstheme="minorHAnsi"/>
          <w:bCs/>
          <w:szCs w:val="23"/>
          <w:lang w:val="fr-CA"/>
        </w:rPr>
        <w:t>Produit qui, s’il était exporté à l’extérieur du Canada, serait considéré comme un produit du Canada selon les règles d’origine applicables;</w:t>
      </w:r>
    </w:p>
    <w:p w14:paraId="662E6BAB" w14:textId="77777777" w:rsidR="0050306B" w:rsidRPr="00F52884" w:rsidRDefault="0050306B" w:rsidP="0050306B">
      <w:pPr>
        <w:jc w:val="both"/>
        <w:rPr>
          <w:rFonts w:eastAsia="Times New Roman" w:cstheme="minorHAnsi"/>
          <w:b/>
          <w:bCs/>
          <w:szCs w:val="23"/>
          <w:lang w:val="fr-CA"/>
        </w:rPr>
      </w:pPr>
    </w:p>
    <w:p w14:paraId="1DE57C2E" w14:textId="4A125CF4"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bCs/>
          <w:szCs w:val="23"/>
          <w:lang w:val="fr-CA"/>
        </w:rPr>
        <w:t>services</w:t>
      </w:r>
      <w:proofErr w:type="gramEnd"/>
      <w:r w:rsidRPr="00F52884">
        <w:rPr>
          <w:rFonts w:eastAsia="Times New Roman" w:cstheme="minorHAnsi"/>
          <w:szCs w:val="23"/>
          <w:lang w:val="fr-CA"/>
        </w:rPr>
        <w:t xml:space="preserve"> Tous les services, y compris les services de construction, sauf indication contraire; </w:t>
      </w:r>
    </w:p>
    <w:p w14:paraId="07D9AA42" w14:textId="77777777" w:rsidR="0050306B" w:rsidRPr="00F52884" w:rsidRDefault="0050306B" w:rsidP="0050306B">
      <w:pPr>
        <w:jc w:val="both"/>
        <w:rPr>
          <w:rFonts w:eastAsia="Times New Roman" w:cstheme="minorHAnsi"/>
          <w:szCs w:val="23"/>
          <w:lang w:val="fr-CA"/>
        </w:rPr>
      </w:pPr>
    </w:p>
    <w:p w14:paraId="44656CA2" w14:textId="5D81F492" w:rsidR="0050306B" w:rsidRPr="00F52884" w:rsidRDefault="0050306B" w:rsidP="0050306B">
      <w:pPr>
        <w:rPr>
          <w:rFonts w:cstheme="minorHAnsi"/>
          <w:szCs w:val="23"/>
          <w:lang w:val="fr-CA"/>
        </w:rPr>
      </w:pPr>
      <w:proofErr w:type="gramStart"/>
      <w:r w:rsidRPr="00F52884">
        <w:rPr>
          <w:rFonts w:cstheme="minorHAnsi"/>
          <w:b/>
          <w:bCs/>
          <w:szCs w:val="23"/>
          <w:lang w:val="fr-CA"/>
        </w:rPr>
        <w:t>service</w:t>
      </w:r>
      <w:proofErr w:type="gramEnd"/>
      <w:r w:rsidRPr="00F52884">
        <w:rPr>
          <w:rFonts w:cstheme="minorHAnsi"/>
          <w:b/>
          <w:bCs/>
          <w:szCs w:val="23"/>
          <w:lang w:val="fr-CA"/>
        </w:rPr>
        <w:t xml:space="preserve"> canadien</w:t>
      </w:r>
      <w:r w:rsidRPr="00F52884">
        <w:rPr>
          <w:rFonts w:cstheme="minorHAnsi"/>
          <w:szCs w:val="23"/>
          <w:lang w:val="fr-CA"/>
        </w:rPr>
        <w:t xml:space="preserve"> Service fourni par une personne physique établie au Canada; </w:t>
      </w:r>
    </w:p>
    <w:p w14:paraId="020567B6" w14:textId="77777777" w:rsidR="0050306B" w:rsidRPr="00F52884" w:rsidRDefault="0050306B" w:rsidP="0050306B">
      <w:pPr>
        <w:rPr>
          <w:rFonts w:cstheme="minorHAnsi"/>
          <w:szCs w:val="23"/>
          <w:lang w:val="fr-CA"/>
        </w:rPr>
      </w:pPr>
    </w:p>
    <w:p w14:paraId="246850F7" w14:textId="31007E32" w:rsidR="0050306B" w:rsidRPr="00F52884" w:rsidRDefault="0050306B" w:rsidP="0050306B">
      <w:pPr>
        <w:rPr>
          <w:rFonts w:cstheme="minorHAnsi"/>
          <w:szCs w:val="23"/>
          <w:lang w:val="fr-CA"/>
        </w:rPr>
      </w:pPr>
      <w:proofErr w:type="gramStart"/>
      <w:r w:rsidRPr="00F52884">
        <w:rPr>
          <w:rFonts w:cstheme="minorHAnsi"/>
          <w:szCs w:val="23"/>
          <w:lang w:val="fr-CA"/>
        </w:rPr>
        <w:t>lorsque</w:t>
      </w:r>
      <w:proofErr w:type="gramEnd"/>
      <w:r w:rsidRPr="00F52884">
        <w:rPr>
          <w:rFonts w:cstheme="minorHAnsi"/>
          <w:szCs w:val="23"/>
          <w:lang w:val="fr-CA"/>
        </w:rPr>
        <w:t xml:space="preserve"> la prescription concerne un seul service qui est fourni par plusieurs personnes physiques, le service sera considéré comme un service canadien s’il est fourni, dans une proportion de 70 pour cent ou plus du prix total soumissionné pour le service, par des personnes physiques établies au Canada;</w:t>
      </w:r>
    </w:p>
    <w:p w14:paraId="50F6CEC7" w14:textId="77777777" w:rsidR="0050306B" w:rsidRPr="00F52884" w:rsidRDefault="0050306B" w:rsidP="0050306B">
      <w:pPr>
        <w:rPr>
          <w:rFonts w:cstheme="minorHAnsi"/>
          <w:szCs w:val="23"/>
          <w:lang w:val="fr-CA"/>
        </w:rPr>
      </w:pPr>
    </w:p>
    <w:p w14:paraId="276777DE" w14:textId="03F042EE" w:rsidR="0050306B" w:rsidRPr="00F52884" w:rsidRDefault="0050306B" w:rsidP="0050306B">
      <w:pPr>
        <w:rPr>
          <w:rFonts w:eastAsia="Times New Roman" w:cstheme="minorHAnsi"/>
          <w:szCs w:val="23"/>
          <w:lang w:val="fr-CA"/>
        </w:rPr>
      </w:pPr>
      <w:proofErr w:type="gramStart"/>
      <w:r w:rsidRPr="00F52884">
        <w:rPr>
          <w:rFonts w:eastAsia="Times New Roman" w:cstheme="minorHAnsi"/>
          <w:szCs w:val="23"/>
          <w:lang w:val="fr-CA"/>
        </w:rPr>
        <w:t>lorsque</w:t>
      </w:r>
      <w:proofErr w:type="gramEnd"/>
      <w:r w:rsidRPr="00F52884">
        <w:rPr>
          <w:rFonts w:eastAsia="Times New Roman" w:cstheme="minorHAnsi"/>
          <w:szCs w:val="23"/>
          <w:lang w:val="fr-CA"/>
        </w:rPr>
        <w:t xml:space="preserve"> la prescription concerne deux services ou plus et qu’il fera l’objet d’une certification globale, le service sera considéré comme un service canadien s’il est fourni, dans une proportion de 70 pour cent ou plus du prix total soumissionné pour le service, par des personnes physiques établies au Canada;</w:t>
      </w:r>
    </w:p>
    <w:p w14:paraId="476E55BE" w14:textId="77777777" w:rsidR="0050306B" w:rsidRPr="00F52884" w:rsidRDefault="0050306B" w:rsidP="0050306B">
      <w:pPr>
        <w:rPr>
          <w:rFonts w:eastAsia="Times New Roman" w:cstheme="minorHAnsi"/>
          <w:szCs w:val="23"/>
          <w:lang w:val="fr-CA"/>
        </w:rPr>
      </w:pPr>
    </w:p>
    <w:p w14:paraId="6EDC288C" w14:textId="77777777"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szCs w:val="23"/>
          <w:lang w:val="fr-CA"/>
        </w:rPr>
        <w:t>service</w:t>
      </w:r>
      <w:proofErr w:type="gramEnd"/>
      <w:r w:rsidRPr="00F52884">
        <w:rPr>
          <w:rFonts w:eastAsia="Times New Roman" w:cstheme="minorHAnsi"/>
          <w:b/>
          <w:bCs/>
          <w:szCs w:val="23"/>
          <w:lang w:val="fr-CA"/>
        </w:rPr>
        <w:t xml:space="preserve"> de construction</w:t>
      </w:r>
      <w:r w:rsidRPr="00F52884">
        <w:rPr>
          <w:rFonts w:eastAsia="Times New Roman" w:cstheme="minorHAnsi"/>
          <w:szCs w:val="23"/>
          <w:lang w:val="fr-CA"/>
        </w:rPr>
        <w:t xml:space="preserve"> Service ayant comme objectif la réalisation, par quelque moyen que ce soit, de travaux de génie civil ou de construction, au sens de la division 51 de la Classification centrale de produits provisoire (CPC provisoire) des Nations Unies;</w:t>
      </w:r>
    </w:p>
    <w:p w14:paraId="0F0C6A7D" w14:textId="77777777" w:rsidR="0050306B" w:rsidRPr="00F52884" w:rsidRDefault="0050306B" w:rsidP="0050306B">
      <w:pPr>
        <w:rPr>
          <w:rFonts w:eastAsia="Times New Roman" w:cstheme="minorHAnsi"/>
          <w:szCs w:val="23"/>
          <w:lang w:val="fr-CA"/>
        </w:rPr>
      </w:pPr>
    </w:p>
    <w:p w14:paraId="6A5DF8FA" w14:textId="33444954" w:rsidR="0050306B" w:rsidRPr="00F52884" w:rsidRDefault="0050306B" w:rsidP="0050306B">
      <w:pPr>
        <w:jc w:val="both"/>
        <w:rPr>
          <w:rFonts w:eastAsia="Times New Roman" w:cstheme="minorHAnsi"/>
          <w:b/>
          <w:szCs w:val="23"/>
          <w:lang w:val="fr-CA"/>
        </w:rPr>
      </w:pPr>
      <w:proofErr w:type="gramStart"/>
      <w:r w:rsidRPr="00F52884">
        <w:rPr>
          <w:rFonts w:eastAsia="Times New Roman" w:cstheme="minorHAnsi"/>
          <w:b/>
          <w:szCs w:val="23"/>
          <w:lang w:val="fr-CA"/>
        </w:rPr>
        <w:t>soumission</w:t>
      </w:r>
      <w:proofErr w:type="gramEnd"/>
      <w:r w:rsidRPr="00F52884">
        <w:rPr>
          <w:rFonts w:eastAsia="Times New Roman" w:cstheme="minorHAnsi"/>
          <w:szCs w:val="23"/>
          <w:lang w:val="fr-CA"/>
        </w:rPr>
        <w:t xml:space="preserve"> Offre présentée par un fournisseur en réponse à un avis d’appel d’offres;</w:t>
      </w:r>
    </w:p>
    <w:p w14:paraId="3225782C" w14:textId="77777777" w:rsidR="0050306B" w:rsidRPr="00F52884" w:rsidRDefault="0050306B" w:rsidP="0050306B">
      <w:pPr>
        <w:rPr>
          <w:rFonts w:eastAsia="Times New Roman" w:cstheme="minorHAnsi"/>
          <w:szCs w:val="23"/>
          <w:lang w:val="fr-CA"/>
        </w:rPr>
      </w:pPr>
    </w:p>
    <w:p w14:paraId="627FF24B" w14:textId="63FD9CAE" w:rsidR="0050306B" w:rsidRPr="00F52884" w:rsidRDefault="0050306B" w:rsidP="0050306B">
      <w:pPr>
        <w:jc w:val="both"/>
        <w:rPr>
          <w:rFonts w:eastAsia="Times New Roman" w:cstheme="minorHAnsi"/>
          <w:szCs w:val="23"/>
          <w:lang w:val="fr-CA"/>
        </w:rPr>
      </w:pPr>
      <w:proofErr w:type="gramStart"/>
      <w:r w:rsidRPr="00F52884">
        <w:rPr>
          <w:rFonts w:eastAsia="Times New Roman" w:cstheme="minorHAnsi"/>
          <w:b/>
          <w:bCs/>
          <w:szCs w:val="23"/>
          <w:lang w:val="fr-CA"/>
        </w:rPr>
        <w:t>spécification</w:t>
      </w:r>
      <w:proofErr w:type="gramEnd"/>
      <w:r w:rsidRPr="00F52884">
        <w:rPr>
          <w:rFonts w:eastAsia="Times New Roman" w:cstheme="minorHAnsi"/>
          <w:b/>
          <w:bCs/>
          <w:szCs w:val="23"/>
          <w:lang w:val="fr-CA"/>
        </w:rPr>
        <w:t xml:space="preserve"> technique</w:t>
      </w:r>
      <w:r w:rsidRPr="00F52884">
        <w:rPr>
          <w:rFonts w:eastAsia="Times New Roman" w:cstheme="minorHAnsi"/>
          <w:szCs w:val="23"/>
          <w:lang w:val="fr-CA"/>
        </w:rPr>
        <w:t xml:space="preserve"> Prescription de l’appel d’offres qui, selon le cas :</w:t>
      </w:r>
    </w:p>
    <w:p w14:paraId="617F1DEE" w14:textId="77777777" w:rsidR="0050306B" w:rsidRPr="00F52884" w:rsidRDefault="0050306B" w:rsidP="0050306B">
      <w:pPr>
        <w:jc w:val="both"/>
        <w:rPr>
          <w:rFonts w:eastAsia="Times New Roman" w:cstheme="minorHAnsi"/>
          <w:szCs w:val="23"/>
          <w:lang w:val="fr-CA"/>
        </w:rPr>
      </w:pPr>
    </w:p>
    <w:p w14:paraId="64AC28DF" w14:textId="1370A770" w:rsidR="0050306B" w:rsidRPr="00F52884" w:rsidRDefault="0050306B" w:rsidP="0050306B">
      <w:pPr>
        <w:pStyle w:val="ListParagraph"/>
        <w:numPr>
          <w:ilvl w:val="0"/>
          <w:numId w:val="386"/>
        </w:numPr>
        <w:ind w:left="1440"/>
        <w:jc w:val="both"/>
        <w:rPr>
          <w:rFonts w:eastAsia="Times New Roman" w:cstheme="minorHAnsi"/>
          <w:szCs w:val="23"/>
          <w:lang w:val="fr-CA"/>
        </w:rPr>
      </w:pPr>
      <w:proofErr w:type="gramStart"/>
      <w:r w:rsidRPr="00F52884">
        <w:rPr>
          <w:rFonts w:eastAsia="Times New Roman" w:cstheme="minorHAnsi"/>
          <w:szCs w:val="23"/>
          <w:lang w:val="fr-CA"/>
        </w:rPr>
        <w:t>énonce</w:t>
      </w:r>
      <w:proofErr w:type="gramEnd"/>
      <w:r w:rsidRPr="00F52884">
        <w:rPr>
          <w:rFonts w:eastAsia="Times New Roman" w:cstheme="minorHAnsi"/>
          <w:szCs w:val="23"/>
          <w:lang w:val="fr-CA"/>
        </w:rPr>
        <w:t xml:space="preserve"> les caractéristiques d’un produit ou d’un service devant faire l’objet du marché, y compris la qualité, les performances, la sécurité et les dimensions, ou les procédés et méthodes pour leur production ou fourniture;</w:t>
      </w:r>
    </w:p>
    <w:p w14:paraId="3BA8E50E" w14:textId="77777777" w:rsidR="0050306B" w:rsidRPr="00F52884" w:rsidRDefault="0050306B" w:rsidP="0050306B">
      <w:pPr>
        <w:pStyle w:val="ListParagraph"/>
        <w:ind w:left="1440" w:hanging="720"/>
        <w:jc w:val="both"/>
        <w:rPr>
          <w:rFonts w:eastAsia="Times New Roman" w:cstheme="minorHAnsi"/>
          <w:szCs w:val="23"/>
          <w:lang w:val="fr-CA"/>
        </w:rPr>
      </w:pPr>
    </w:p>
    <w:p w14:paraId="59680F18" w14:textId="63D44090" w:rsidR="0050306B" w:rsidRPr="00F52884" w:rsidRDefault="0050306B" w:rsidP="0050306B">
      <w:pPr>
        <w:pStyle w:val="ListParagraph"/>
        <w:numPr>
          <w:ilvl w:val="0"/>
          <w:numId w:val="386"/>
        </w:numPr>
        <w:ind w:left="1440"/>
        <w:rPr>
          <w:rFonts w:eastAsia="Times New Roman" w:cstheme="minorHAnsi"/>
          <w:szCs w:val="23"/>
          <w:lang w:val="fr-CA"/>
        </w:rPr>
      </w:pPr>
      <w:proofErr w:type="gramStart"/>
      <w:r w:rsidRPr="00F52884">
        <w:rPr>
          <w:rFonts w:eastAsia="Times New Roman" w:cstheme="minorHAnsi"/>
          <w:szCs w:val="23"/>
          <w:lang w:val="fr-CA"/>
        </w:rPr>
        <w:lastRenderedPageBreak/>
        <w:t>porte</w:t>
      </w:r>
      <w:proofErr w:type="gramEnd"/>
      <w:r w:rsidRPr="00F52884">
        <w:rPr>
          <w:rFonts w:eastAsia="Times New Roman" w:cstheme="minorHAnsi"/>
          <w:szCs w:val="23"/>
          <w:lang w:val="fr-CA"/>
        </w:rPr>
        <w:t xml:space="preserve"> sur la terminologie, les symboles, les prescriptions en matière d’emballage, de marquage ou d’étiquetage, tels qu’ils s’appliquent à un produit ou à un service; </w:t>
      </w:r>
    </w:p>
    <w:p w14:paraId="0817F0BA" w14:textId="77777777" w:rsidR="0050306B" w:rsidRPr="00F52884" w:rsidRDefault="0050306B" w:rsidP="0050306B">
      <w:pPr>
        <w:rPr>
          <w:rFonts w:eastAsia="Times New Roman" w:cstheme="minorHAnsi"/>
          <w:szCs w:val="23"/>
          <w:lang w:val="fr-CA"/>
        </w:rPr>
      </w:pPr>
    </w:p>
    <w:p w14:paraId="7E441D9A" w14:textId="4BAB1818" w:rsidR="0050306B" w:rsidRPr="00F52884" w:rsidRDefault="0050306B" w:rsidP="0050306B">
      <w:pPr>
        <w:ind w:left="720" w:hanging="720"/>
        <w:jc w:val="both"/>
        <w:rPr>
          <w:rFonts w:cstheme="minorHAnsi"/>
          <w:szCs w:val="23"/>
          <w:lang w:val="fr-CA"/>
        </w:rPr>
      </w:pPr>
      <w:proofErr w:type="gramStart"/>
      <w:r w:rsidRPr="00F52884">
        <w:rPr>
          <w:rFonts w:cstheme="minorHAnsi"/>
          <w:b/>
          <w:bCs/>
          <w:szCs w:val="23"/>
          <w:lang w:val="fr-CA"/>
        </w:rPr>
        <w:t>valeur</w:t>
      </w:r>
      <w:proofErr w:type="gramEnd"/>
      <w:r w:rsidRPr="00F52884">
        <w:rPr>
          <w:rFonts w:cstheme="minorHAnsi"/>
          <w:b/>
          <w:bCs/>
          <w:szCs w:val="23"/>
          <w:lang w:val="fr-CA"/>
        </w:rPr>
        <w:t xml:space="preserve"> ajoutée canadienne</w:t>
      </w:r>
      <w:r w:rsidRPr="00F52884">
        <w:rPr>
          <w:rFonts w:cstheme="minorHAnsi"/>
          <w:szCs w:val="23"/>
          <w:lang w:val="fr-CA"/>
        </w:rPr>
        <w:t xml:space="preserve">  </w:t>
      </w:r>
    </w:p>
    <w:p w14:paraId="16309B6D" w14:textId="77777777" w:rsidR="0050306B" w:rsidRPr="00F52884" w:rsidRDefault="0050306B" w:rsidP="0050306B">
      <w:pPr>
        <w:ind w:left="720" w:hanging="720"/>
        <w:jc w:val="both"/>
        <w:rPr>
          <w:rFonts w:eastAsia="Times New Roman" w:cstheme="minorHAnsi"/>
          <w:szCs w:val="23"/>
          <w:lang w:val="fr-CA"/>
        </w:rPr>
      </w:pPr>
    </w:p>
    <w:p w14:paraId="61C76F73" w14:textId="059C4487" w:rsidR="0050306B" w:rsidRPr="00F52884" w:rsidRDefault="0050306B" w:rsidP="0050306B">
      <w:pPr>
        <w:pStyle w:val="ListParagraph"/>
        <w:numPr>
          <w:ilvl w:val="3"/>
          <w:numId w:val="18"/>
        </w:numPr>
        <w:ind w:left="1440" w:hanging="720"/>
        <w:rPr>
          <w:rFonts w:cstheme="minorHAnsi"/>
          <w:szCs w:val="23"/>
          <w:lang w:val="fr-CA"/>
        </w:rPr>
      </w:pPr>
      <w:r w:rsidRPr="00F52884">
        <w:rPr>
          <w:rFonts w:cstheme="minorHAnsi"/>
          <w:szCs w:val="23"/>
          <w:lang w:val="fr-CA"/>
        </w:rPr>
        <w:t>Dans le cas des services, la proportion du marché de services qui est exécutée par des personnes physiques établies au Canada;</w:t>
      </w:r>
    </w:p>
    <w:p w14:paraId="3B0B7A3A" w14:textId="77777777" w:rsidR="0050306B" w:rsidRPr="00F52884" w:rsidRDefault="0050306B" w:rsidP="0050306B">
      <w:pPr>
        <w:pStyle w:val="ListParagraph"/>
        <w:ind w:left="1440" w:hanging="720"/>
        <w:rPr>
          <w:rFonts w:cstheme="minorHAnsi"/>
          <w:szCs w:val="23"/>
          <w:lang w:val="fr-CA"/>
        </w:rPr>
      </w:pPr>
    </w:p>
    <w:p w14:paraId="425CC8AE" w14:textId="73074962" w:rsidR="0050306B" w:rsidRPr="00F52884" w:rsidRDefault="0050306B" w:rsidP="0050306B">
      <w:pPr>
        <w:pStyle w:val="ListParagraph"/>
        <w:numPr>
          <w:ilvl w:val="3"/>
          <w:numId w:val="18"/>
        </w:numPr>
        <w:tabs>
          <w:tab w:val="left" w:pos="1418"/>
        </w:tabs>
        <w:ind w:left="1440" w:hanging="720"/>
        <w:rPr>
          <w:rFonts w:cstheme="minorHAnsi"/>
          <w:szCs w:val="23"/>
          <w:lang w:val="fr-CA"/>
        </w:rPr>
      </w:pPr>
      <w:r w:rsidRPr="00F52884">
        <w:rPr>
          <w:rFonts w:cstheme="minorHAnsi"/>
          <w:szCs w:val="23"/>
          <w:lang w:val="fr-CA"/>
        </w:rPr>
        <w:t>Dans le cas des produits, la valeur de la partie du produit qui est produite au Canada ou la différence entre la valeur en douane de produits importés et leur prix de vente, compte tenu de la valeur ajoutée par des fabricants et des distributeurs et des frais engagés au Canada ayant trait à la recherche et au développement, à la vente et à la commercialisation, aux communications et aux guides, à la personnalisation et aux modifications, à l’installation et au soutien, à l’entreposage et à la distribution, à la formation et au service après-vente.</w:t>
      </w:r>
    </w:p>
    <w:p w14:paraId="7C8B8B3B" w14:textId="77777777" w:rsidR="0050306B" w:rsidRPr="00F52884" w:rsidRDefault="0050306B" w:rsidP="0050306B">
      <w:pPr>
        <w:tabs>
          <w:tab w:val="left" w:pos="1276"/>
        </w:tabs>
        <w:rPr>
          <w:rFonts w:cstheme="minorHAnsi"/>
          <w:szCs w:val="23"/>
          <w:lang w:val="fr-CA"/>
        </w:rPr>
      </w:pPr>
    </w:p>
    <w:p w14:paraId="10695657" w14:textId="3983FFE1" w:rsidR="0050306B" w:rsidRPr="00F52884" w:rsidRDefault="0050306B" w:rsidP="0050306B">
      <w:pPr>
        <w:rPr>
          <w:rFonts w:cstheme="minorHAnsi"/>
          <w:szCs w:val="23"/>
          <w:lang w:val="fr-CA"/>
        </w:rPr>
      </w:pPr>
      <w:r w:rsidRPr="00F52884">
        <w:rPr>
          <w:rFonts w:cstheme="minorHAnsi"/>
          <w:szCs w:val="23"/>
          <w:lang w:val="fr-CA"/>
        </w:rPr>
        <w:t>La préférence accordée en fonction de la valeur ajoutée canadienne au sens de l’alinéa 503.4a) désigne l’avantage, ne pouvant pas dépasser 10 pour cent, qui peut être attribué par une Partie pendant l’évaluation des soumissions au regard de la valeur ajoutée canadienne, et non pas la teneur exigée en éléments d’origine canadienne.</w:t>
      </w:r>
    </w:p>
    <w:p w14:paraId="1706222A" w14:textId="77777777" w:rsidR="0050306B" w:rsidRPr="00F52884" w:rsidRDefault="0050306B" w:rsidP="0050306B">
      <w:pPr>
        <w:spacing w:after="200" w:line="276" w:lineRule="auto"/>
        <w:rPr>
          <w:szCs w:val="23"/>
          <w:lang w:val="fr-CA"/>
        </w:rPr>
      </w:pPr>
    </w:p>
    <w:p w14:paraId="6843ECBF" w14:textId="77777777" w:rsidR="00AA05B4" w:rsidRPr="00F52884" w:rsidRDefault="00AA05B4" w:rsidP="000C25A3">
      <w:pPr>
        <w:rPr>
          <w:rFonts w:cstheme="minorHAnsi"/>
          <w:szCs w:val="23"/>
          <w:lang w:val="fr-CA"/>
        </w:rPr>
      </w:pPr>
    </w:p>
    <w:p w14:paraId="10DE59B8" w14:textId="4EC6FE02" w:rsidR="00AA05B4" w:rsidRPr="00F52884" w:rsidRDefault="00AA05B4">
      <w:pPr>
        <w:rPr>
          <w:rFonts w:cstheme="minorHAnsi"/>
          <w:b/>
          <w:bCs/>
          <w:szCs w:val="23"/>
          <w:lang w:val="fr-CA"/>
        </w:rPr>
      </w:pPr>
      <w:r w:rsidRPr="00F52884">
        <w:rPr>
          <w:rFonts w:cstheme="minorHAnsi"/>
          <w:b/>
          <w:bCs/>
          <w:szCs w:val="23"/>
          <w:lang w:val="fr-CA"/>
        </w:rPr>
        <w:br w:type="page"/>
      </w:r>
    </w:p>
    <w:p w14:paraId="71A6FF79" w14:textId="3F57BC02" w:rsidR="00AF5F98" w:rsidRPr="00F52884" w:rsidRDefault="00AF5F98" w:rsidP="00AF5F98">
      <w:pPr>
        <w:jc w:val="center"/>
        <w:rPr>
          <w:rFonts w:cstheme="minorHAnsi"/>
          <w:b/>
          <w:bCs/>
          <w:szCs w:val="23"/>
          <w:lang w:val="fr-CA"/>
        </w:rPr>
      </w:pPr>
      <w:bookmarkStart w:id="32" w:name="_Toc476566308"/>
      <w:bookmarkStart w:id="33" w:name="_Toc471907453"/>
      <w:r w:rsidRPr="00F52884">
        <w:rPr>
          <w:rFonts w:cstheme="minorHAnsi"/>
          <w:b/>
          <w:bCs/>
          <w:szCs w:val="23"/>
          <w:lang w:val="fr-CA"/>
        </w:rPr>
        <w:lastRenderedPageBreak/>
        <w:t>Annexe 504.4 :</w:t>
      </w:r>
      <w:r w:rsidRPr="00F52884">
        <w:rPr>
          <w:rFonts w:cstheme="minorHAnsi"/>
          <w:szCs w:val="23"/>
          <w:lang w:val="fr-CA"/>
        </w:rPr>
        <w:t xml:space="preserve"> </w:t>
      </w:r>
      <w:r w:rsidR="005042D0" w:rsidRPr="00F52884">
        <w:rPr>
          <w:rFonts w:cstheme="minorHAnsi"/>
          <w:szCs w:val="23"/>
          <w:lang w:val="fr-CA"/>
        </w:rPr>
        <w:tab/>
      </w:r>
      <w:r w:rsidRPr="00F52884">
        <w:rPr>
          <w:rFonts w:cstheme="minorHAnsi"/>
          <w:b/>
          <w:bCs/>
          <w:szCs w:val="23"/>
          <w:lang w:val="fr-CA"/>
        </w:rPr>
        <w:t>Indexation sur l’inflation</w:t>
      </w:r>
    </w:p>
    <w:p w14:paraId="2EA3CA41" w14:textId="77777777" w:rsidR="00AF5F98" w:rsidRPr="00F52884" w:rsidRDefault="00AF5F98" w:rsidP="00AF5F98">
      <w:pPr>
        <w:jc w:val="center"/>
        <w:rPr>
          <w:rFonts w:cstheme="minorHAnsi"/>
          <w:b/>
          <w:szCs w:val="23"/>
          <w:lang w:val="fr-CA"/>
        </w:rPr>
      </w:pPr>
    </w:p>
    <w:p w14:paraId="5C92FED9" w14:textId="6E37D228" w:rsidR="00AF5F98" w:rsidRPr="00F52884" w:rsidRDefault="00AF5F98" w:rsidP="00AF5F98">
      <w:pPr>
        <w:pStyle w:val="ListParagraph"/>
        <w:numPr>
          <w:ilvl w:val="0"/>
          <w:numId w:val="52"/>
        </w:numPr>
        <w:ind w:left="0" w:firstLine="0"/>
        <w:contextualSpacing w:val="0"/>
        <w:rPr>
          <w:rFonts w:cstheme="minorHAnsi"/>
          <w:szCs w:val="23"/>
          <w:lang w:val="fr-CA"/>
        </w:rPr>
      </w:pPr>
      <w:r w:rsidRPr="00F52884">
        <w:rPr>
          <w:rFonts w:cstheme="minorHAnsi"/>
          <w:szCs w:val="23"/>
          <w:lang w:val="fr-CA"/>
        </w:rPr>
        <w:t>En application de l’article 504.4, les valeurs de seuil applicables aux marchés couverts seront indexées sur l’inflation conformément à ce qui suit :</w:t>
      </w:r>
    </w:p>
    <w:p w14:paraId="0E479F81" w14:textId="77777777" w:rsidR="00AF5F98" w:rsidRPr="00F52884" w:rsidRDefault="00AF5F98" w:rsidP="00AF5F98">
      <w:pPr>
        <w:pStyle w:val="ListParagraph"/>
        <w:ind w:left="360"/>
        <w:contextualSpacing w:val="0"/>
        <w:rPr>
          <w:rFonts w:cstheme="minorHAnsi"/>
          <w:szCs w:val="23"/>
          <w:lang w:val="fr-CA"/>
        </w:rPr>
      </w:pPr>
    </w:p>
    <w:p w14:paraId="6CBED514" w14:textId="2F264070" w:rsidR="00AF5F98" w:rsidRPr="00F52884" w:rsidRDefault="00AF5F98" w:rsidP="007F3179">
      <w:pPr>
        <w:pStyle w:val="ListParagraph"/>
        <w:numPr>
          <w:ilvl w:val="0"/>
          <w:numId w:val="53"/>
        </w:numPr>
        <w:ind w:left="1440" w:hanging="720"/>
        <w:contextualSpacing w:val="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taux d’inflation applicable sera déterminé par référence aux derniers Indices des prix des produits industriels (« IPPI ») publiés par Statistique Canada;</w:t>
      </w:r>
    </w:p>
    <w:p w14:paraId="70014976" w14:textId="77777777" w:rsidR="00AF5F98" w:rsidRPr="00F52884" w:rsidRDefault="00AF5F98" w:rsidP="007F3179">
      <w:pPr>
        <w:pStyle w:val="ListParagraph"/>
        <w:ind w:left="1440" w:hanging="720"/>
        <w:contextualSpacing w:val="0"/>
        <w:rPr>
          <w:rFonts w:cstheme="minorHAnsi"/>
          <w:szCs w:val="23"/>
          <w:lang w:val="fr-CA"/>
        </w:rPr>
      </w:pPr>
    </w:p>
    <w:p w14:paraId="7C6C34F7" w14:textId="2E252FDD" w:rsidR="00AF5F98" w:rsidRPr="00F52884" w:rsidRDefault="00AF5F98" w:rsidP="007F3179">
      <w:pPr>
        <w:pStyle w:val="ListParagraph"/>
        <w:numPr>
          <w:ilvl w:val="0"/>
          <w:numId w:val="53"/>
        </w:numPr>
        <w:ind w:left="1440" w:hanging="720"/>
        <w:contextualSpacing w:val="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première indexation, prenant effet le 1</w:t>
      </w:r>
      <w:r w:rsidRPr="00F52884">
        <w:rPr>
          <w:rFonts w:cstheme="minorHAnsi"/>
          <w:szCs w:val="23"/>
          <w:vertAlign w:val="superscript"/>
          <w:lang w:val="fr-CA"/>
        </w:rPr>
        <w:t>er</w:t>
      </w:r>
      <w:r w:rsidRPr="00F52884">
        <w:rPr>
          <w:rFonts w:cstheme="minorHAnsi"/>
          <w:szCs w:val="23"/>
          <w:lang w:val="fr-CA"/>
        </w:rPr>
        <w:t> janvier 2018, sera calculée en utilisant les valeurs de l’IPPI pour les périodes de référence d’août 2015 et d’août 2017;</w:t>
      </w:r>
    </w:p>
    <w:p w14:paraId="5E38E6BB" w14:textId="77777777" w:rsidR="00AF5F98" w:rsidRPr="00F52884" w:rsidRDefault="00AF5F98" w:rsidP="007F3179">
      <w:pPr>
        <w:pStyle w:val="ListParagraph"/>
        <w:ind w:left="1440" w:hanging="720"/>
        <w:contextualSpacing w:val="0"/>
        <w:rPr>
          <w:rFonts w:cstheme="minorHAnsi"/>
          <w:szCs w:val="23"/>
          <w:lang w:val="fr-CA"/>
        </w:rPr>
      </w:pPr>
    </w:p>
    <w:p w14:paraId="47F88FA4" w14:textId="75866E14" w:rsidR="00AF5F98" w:rsidRPr="00F52884" w:rsidRDefault="00AF5F98" w:rsidP="007F3179">
      <w:pPr>
        <w:pStyle w:val="ListParagraph"/>
        <w:numPr>
          <w:ilvl w:val="0"/>
          <w:numId w:val="53"/>
        </w:numPr>
        <w:ind w:left="1440" w:hanging="720"/>
        <w:contextualSpacing w:val="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indexations ultérieures prendront effet le 1</w:t>
      </w:r>
      <w:r w:rsidRPr="00F52884">
        <w:rPr>
          <w:rFonts w:cstheme="minorHAnsi"/>
          <w:szCs w:val="23"/>
          <w:vertAlign w:val="superscript"/>
          <w:lang w:val="fr-CA"/>
        </w:rPr>
        <w:t>er</w:t>
      </w:r>
      <w:r w:rsidRPr="00F52884">
        <w:rPr>
          <w:rFonts w:cstheme="minorHAnsi"/>
          <w:szCs w:val="23"/>
          <w:lang w:val="fr-CA"/>
        </w:rPr>
        <w:t> janvier tous les deux ans après le 1</w:t>
      </w:r>
      <w:r w:rsidRPr="00F52884">
        <w:rPr>
          <w:rFonts w:cstheme="minorHAnsi"/>
          <w:szCs w:val="23"/>
          <w:vertAlign w:val="superscript"/>
          <w:lang w:val="fr-CA"/>
        </w:rPr>
        <w:t>er</w:t>
      </w:r>
      <w:r w:rsidRPr="00F52884">
        <w:rPr>
          <w:rFonts w:cstheme="minorHAnsi"/>
          <w:szCs w:val="23"/>
          <w:lang w:val="fr-CA"/>
        </w:rPr>
        <w:t xml:space="preserve"> janvier 2018; </w:t>
      </w:r>
    </w:p>
    <w:p w14:paraId="25AB5C26" w14:textId="77777777" w:rsidR="00AF5F98" w:rsidRPr="00F52884" w:rsidRDefault="00AF5F98" w:rsidP="007F3179">
      <w:pPr>
        <w:pStyle w:val="ListParagraph"/>
        <w:ind w:left="1440" w:hanging="720"/>
        <w:contextualSpacing w:val="0"/>
        <w:rPr>
          <w:rFonts w:cstheme="minorHAnsi"/>
          <w:szCs w:val="23"/>
          <w:lang w:val="fr-CA"/>
        </w:rPr>
      </w:pPr>
    </w:p>
    <w:p w14:paraId="39FAE1EA" w14:textId="1D0A4A73" w:rsidR="00AF5F98" w:rsidRPr="00F52884" w:rsidRDefault="00AF5F98" w:rsidP="007F3179">
      <w:pPr>
        <w:pStyle w:val="ListParagraph"/>
        <w:numPr>
          <w:ilvl w:val="0"/>
          <w:numId w:val="53"/>
        </w:numPr>
        <w:ind w:left="1440" w:hanging="720"/>
        <w:contextualSpacing w:val="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valeur de seuil indexée sera arrondie au 100 $ le plus proche.</w:t>
      </w:r>
    </w:p>
    <w:p w14:paraId="68B9AC1E" w14:textId="77777777" w:rsidR="00AF5F98" w:rsidRPr="00F52884" w:rsidRDefault="00AF5F98" w:rsidP="00AF5F98">
      <w:pPr>
        <w:pStyle w:val="ListParagraph"/>
        <w:ind w:left="0"/>
        <w:contextualSpacing w:val="0"/>
        <w:rPr>
          <w:rFonts w:cstheme="minorHAnsi"/>
          <w:szCs w:val="23"/>
          <w:lang w:val="fr-CA"/>
        </w:rPr>
      </w:pPr>
    </w:p>
    <w:p w14:paraId="360CDA22" w14:textId="2ED6EE1A" w:rsidR="00AF5F98" w:rsidRPr="00F52884" w:rsidRDefault="00AF5F98" w:rsidP="00AF5F98">
      <w:pPr>
        <w:pStyle w:val="ListParagraph"/>
        <w:numPr>
          <w:ilvl w:val="0"/>
          <w:numId w:val="52"/>
        </w:numPr>
        <w:ind w:left="0" w:firstLine="0"/>
        <w:contextualSpacing w:val="0"/>
        <w:rPr>
          <w:rFonts w:cstheme="minorHAnsi"/>
          <w:szCs w:val="23"/>
          <w:lang w:val="fr-CA"/>
        </w:rPr>
      </w:pPr>
      <w:r w:rsidRPr="00F52884">
        <w:rPr>
          <w:rFonts w:cstheme="minorHAnsi"/>
          <w:szCs w:val="23"/>
          <w:lang w:val="fr-CA"/>
        </w:rPr>
        <w:t>L’indexation sera calculée au moyen de la formule suivante :</w:t>
      </w:r>
    </w:p>
    <w:p w14:paraId="26191F06" w14:textId="77777777" w:rsidR="00AF5F98" w:rsidRPr="00F52884" w:rsidRDefault="00AF5F98" w:rsidP="00AF5F98">
      <w:pPr>
        <w:pStyle w:val="ListParagraph"/>
        <w:ind w:left="0"/>
        <w:contextualSpacing w:val="0"/>
        <w:rPr>
          <w:rFonts w:cstheme="minorHAnsi"/>
          <w:szCs w:val="23"/>
          <w:lang w:val="fr-CA"/>
        </w:rPr>
      </w:pPr>
    </w:p>
    <w:p w14:paraId="2CC7E666" w14:textId="716015D0" w:rsidR="00AF5F98" w:rsidRPr="00F52884" w:rsidRDefault="002B7C66" w:rsidP="00AF5F98">
      <w:pPr>
        <w:pStyle w:val="ListParagraph"/>
        <w:spacing w:line="360" w:lineRule="auto"/>
        <w:rPr>
          <w:rFonts w:cstheme="minorHAnsi"/>
          <w:szCs w:val="23"/>
          <w:lang w:val="fr-CA"/>
        </w:rPr>
      </w:pPr>
      <m:oMath>
        <m:sSub>
          <m:sSubPr>
            <m:ctrlPr>
              <w:rPr>
                <w:rFonts w:ascii="Cambria Math" w:hAnsi="Cambria Math" w:cstheme="minorHAnsi"/>
                <w:i/>
                <w:szCs w:val="23"/>
                <w:lang w:val="fr-CA"/>
              </w:rPr>
            </m:ctrlPr>
          </m:sSubPr>
          <m:e>
            <m:r>
              <w:rPr>
                <w:rFonts w:ascii="Cambria Math" w:hAnsi="Cambria Math" w:cstheme="minorHAnsi"/>
                <w:szCs w:val="23"/>
                <w:lang w:val="fr-CA"/>
              </w:rPr>
              <m:t>T</m:t>
            </m:r>
          </m:e>
          <m:sub>
            <m:r>
              <w:rPr>
                <w:rFonts w:ascii="Cambria Math" w:hAnsi="Cambria Math" w:cstheme="minorHAnsi"/>
                <w:szCs w:val="23"/>
                <w:lang w:val="fr-CA"/>
              </w:rPr>
              <m:t>c</m:t>
            </m:r>
          </m:sub>
        </m:sSub>
        <m:r>
          <w:rPr>
            <w:rFonts w:ascii="Cambria Math" w:hAnsi="Cambria Math" w:cstheme="minorHAnsi"/>
            <w:szCs w:val="23"/>
            <w:lang w:val="fr-CA"/>
          </w:rPr>
          <m:t xml:space="preserve"> ×(1+ p) = </m:t>
        </m:r>
        <m:sSub>
          <m:sSubPr>
            <m:ctrlPr>
              <w:rPr>
                <w:rFonts w:ascii="Cambria Math" w:hAnsi="Cambria Math" w:cstheme="minorHAnsi"/>
                <w:i/>
                <w:szCs w:val="23"/>
                <w:lang w:val="fr-CA"/>
              </w:rPr>
            </m:ctrlPr>
          </m:sSubPr>
          <m:e>
            <m:r>
              <w:rPr>
                <w:rFonts w:ascii="Cambria Math" w:hAnsi="Cambria Math" w:cstheme="minorHAnsi"/>
                <w:szCs w:val="23"/>
                <w:lang w:val="fr-CA"/>
              </w:rPr>
              <m:t>T</m:t>
            </m:r>
          </m:e>
          <m:sub>
            <m:r>
              <w:rPr>
                <w:rFonts w:ascii="Cambria Math" w:hAnsi="Cambria Math" w:cstheme="minorHAnsi"/>
                <w:szCs w:val="23"/>
                <w:lang w:val="fr-CA"/>
              </w:rPr>
              <m:t>n</m:t>
            </m:r>
          </m:sub>
        </m:sSub>
      </m:oMath>
      <w:r w:rsidR="00AF5F98" w:rsidRPr="00F52884">
        <w:rPr>
          <w:rFonts w:cstheme="minorHAnsi"/>
          <w:szCs w:val="23"/>
          <w:lang w:val="fr-CA"/>
        </w:rPr>
        <w:t>, où :</w:t>
      </w:r>
    </w:p>
    <w:p w14:paraId="0BDE99E5" w14:textId="6B81C655" w:rsidR="00AF5F98" w:rsidRPr="00F52884" w:rsidRDefault="00AF5F98" w:rsidP="00AF5F98">
      <w:pPr>
        <w:spacing w:line="360" w:lineRule="auto"/>
        <w:ind w:left="720"/>
        <w:rPr>
          <w:rFonts w:cstheme="minorHAnsi"/>
          <w:szCs w:val="23"/>
          <w:lang w:val="fr-CA"/>
        </w:rPr>
      </w:pPr>
      <w:r w:rsidRPr="00F52884">
        <w:rPr>
          <w:rFonts w:cstheme="minorHAnsi"/>
          <w:i/>
          <w:iCs/>
          <w:szCs w:val="23"/>
          <w:lang w:val="fr-CA"/>
        </w:rPr>
        <w:t>T</w:t>
      </w:r>
      <w:r w:rsidRPr="00F52884">
        <w:rPr>
          <w:rFonts w:cstheme="minorHAnsi"/>
          <w:i/>
          <w:iCs/>
          <w:szCs w:val="23"/>
          <w:vertAlign w:val="subscript"/>
          <w:lang w:val="fr-CA"/>
        </w:rPr>
        <w:t>c</w:t>
      </w:r>
      <w:r w:rsidRPr="00F52884">
        <w:rPr>
          <w:rFonts w:cstheme="minorHAnsi"/>
          <w:i/>
          <w:iCs/>
          <w:szCs w:val="23"/>
          <w:lang w:val="fr-CA"/>
        </w:rPr>
        <w:t xml:space="preserve"> </w:t>
      </w:r>
      <w:r w:rsidRPr="00F52884">
        <w:rPr>
          <w:rFonts w:cstheme="minorHAnsi"/>
          <w:szCs w:val="23"/>
          <w:lang w:val="fr-CA"/>
        </w:rPr>
        <w:t>= Valeur de seuil actuelle;</w:t>
      </w:r>
      <w:r w:rsidRPr="00F52884">
        <w:rPr>
          <w:rFonts w:cstheme="minorHAnsi"/>
          <w:szCs w:val="23"/>
          <w:lang w:val="fr-CA"/>
        </w:rPr>
        <w:br/>
      </w:r>
      <w:r w:rsidRPr="00F52884">
        <w:rPr>
          <w:rFonts w:cstheme="minorHAnsi"/>
          <w:i/>
          <w:iCs/>
          <w:szCs w:val="23"/>
          <w:lang w:val="fr-CA"/>
        </w:rPr>
        <w:t>p</w:t>
      </w:r>
      <w:r w:rsidRPr="00F52884">
        <w:rPr>
          <w:rFonts w:cstheme="minorHAnsi"/>
          <w:szCs w:val="23"/>
          <w:lang w:val="fr-CA"/>
        </w:rPr>
        <w:t xml:space="preserve"> = Augmentation (en pourcentage) des prix pour la période applicable de deux ans, calculée au moyen de la formule suivante : </w:t>
      </w:r>
    </w:p>
    <w:p w14:paraId="75C29A90" w14:textId="6CA2A5D5" w:rsidR="00AF5F98" w:rsidRPr="00F52884" w:rsidRDefault="00AF5F98" w:rsidP="00AF5F98">
      <w:pPr>
        <w:spacing w:line="360" w:lineRule="auto"/>
        <w:ind w:left="1276"/>
        <w:rPr>
          <w:rFonts w:cstheme="minorHAnsi"/>
          <w:szCs w:val="23"/>
          <w:lang w:val="fr-CA"/>
        </w:rPr>
      </w:pPr>
      <m:oMath>
        <m:r>
          <w:rPr>
            <w:rFonts w:ascii="Cambria Math" w:hAnsi="Cambria Math" w:cstheme="minorHAnsi"/>
            <w:szCs w:val="23"/>
          </w:rPr>
          <m:t>p</m:t>
        </m:r>
        <m:r>
          <w:rPr>
            <w:rFonts w:ascii="Cambria Math" w:hAnsi="Cambria Math" w:cstheme="minorHAnsi"/>
            <w:szCs w:val="23"/>
            <w:lang w:val="fr-CA"/>
          </w:rPr>
          <m:t>=</m:t>
        </m:r>
        <m:f>
          <m:fPr>
            <m:ctrlPr>
              <w:rPr>
                <w:rFonts w:ascii="Cambria Math" w:hAnsi="Cambria Math" w:cstheme="minorHAnsi"/>
                <w:i/>
                <w:szCs w:val="23"/>
              </w:rPr>
            </m:ctrlPr>
          </m:fPr>
          <m:num>
            <m:r>
              <w:rPr>
                <w:rFonts w:ascii="Cambria Math" w:hAnsi="Cambria Math" w:cstheme="minorHAnsi"/>
                <w:szCs w:val="23"/>
              </w:rPr>
              <m:t>A</m:t>
            </m:r>
          </m:num>
          <m:den>
            <m:r>
              <w:rPr>
                <w:rFonts w:ascii="Cambria Math" w:hAnsi="Cambria Math" w:cstheme="minorHAnsi"/>
                <w:szCs w:val="23"/>
              </w:rPr>
              <m:t>B</m:t>
            </m:r>
          </m:den>
        </m:f>
        <m:r>
          <w:rPr>
            <w:rFonts w:ascii="Cambria Math" w:hAnsi="Cambria Math" w:cstheme="minorHAnsi"/>
            <w:szCs w:val="23"/>
            <w:lang w:val="fr-CA"/>
          </w:rPr>
          <m:t>-1</m:t>
        </m:r>
      </m:oMath>
      <w:r w:rsidRPr="00F52884">
        <w:rPr>
          <w:rFonts w:cstheme="minorHAnsi"/>
          <w:i/>
          <w:szCs w:val="23"/>
          <w:lang w:val="fr-CA"/>
        </w:rPr>
        <w:t xml:space="preserve">, </w:t>
      </w:r>
      <w:r w:rsidRPr="00F52884">
        <w:rPr>
          <w:rFonts w:cstheme="minorHAnsi"/>
          <w:szCs w:val="23"/>
          <w:lang w:val="fr-CA"/>
        </w:rPr>
        <w:t>où :</w:t>
      </w:r>
    </w:p>
    <w:p w14:paraId="45B0853E" w14:textId="4AAF441B" w:rsidR="00AF5F98" w:rsidRPr="00F52884" w:rsidRDefault="00AF5F98" w:rsidP="00AF5F98">
      <w:pPr>
        <w:spacing w:line="360" w:lineRule="auto"/>
        <w:ind w:left="1276"/>
        <w:rPr>
          <w:rFonts w:cstheme="minorHAnsi"/>
          <w:szCs w:val="23"/>
          <w:lang w:val="fr-CA"/>
        </w:rPr>
      </w:pPr>
      <w:r w:rsidRPr="00F52884">
        <w:rPr>
          <w:rFonts w:cstheme="minorHAnsi"/>
          <w:i/>
          <w:szCs w:val="23"/>
          <w:lang w:val="fr-CA"/>
        </w:rPr>
        <w:t>A</w:t>
      </w:r>
      <w:r w:rsidRPr="00F52884">
        <w:rPr>
          <w:rFonts w:cstheme="minorHAnsi"/>
          <w:szCs w:val="23"/>
          <w:lang w:val="fr-CA"/>
        </w:rPr>
        <w:t xml:space="preserve"> = la valeur de l’IPPI pour la période de référence d’août de l’année précédant immédiatement celle où l’indexation prend effet; </w:t>
      </w:r>
    </w:p>
    <w:p w14:paraId="1FF469FA" w14:textId="1AC56B93" w:rsidR="00AF5F98" w:rsidRPr="00F52884" w:rsidRDefault="00AF5F98" w:rsidP="00AF5F98">
      <w:pPr>
        <w:spacing w:line="360" w:lineRule="auto"/>
        <w:ind w:left="1276"/>
        <w:rPr>
          <w:rFonts w:cstheme="minorHAnsi"/>
          <w:szCs w:val="23"/>
          <w:lang w:val="fr-CA"/>
        </w:rPr>
      </w:pPr>
      <w:r w:rsidRPr="00F52884">
        <w:rPr>
          <w:rFonts w:cstheme="minorHAnsi"/>
          <w:i/>
          <w:szCs w:val="23"/>
          <w:lang w:val="fr-CA"/>
        </w:rPr>
        <w:t xml:space="preserve">B </w:t>
      </w:r>
      <w:r w:rsidRPr="00F52884">
        <w:rPr>
          <w:rFonts w:cstheme="minorHAnsi"/>
          <w:szCs w:val="23"/>
          <w:lang w:val="fr-CA"/>
        </w:rPr>
        <w:t xml:space="preserve">= la valeur de l’IPPI pour la période de référence d’août précédant de deux ans la période de référence d’août visée à </w:t>
      </w:r>
      <w:r w:rsidRPr="00F52884">
        <w:rPr>
          <w:rFonts w:cstheme="minorHAnsi"/>
          <w:i/>
          <w:szCs w:val="23"/>
          <w:lang w:val="fr-CA"/>
        </w:rPr>
        <w:t>A</w:t>
      </w:r>
      <w:r w:rsidRPr="00F52884">
        <w:rPr>
          <w:rFonts w:cstheme="minorHAnsi"/>
          <w:szCs w:val="23"/>
          <w:lang w:val="fr-CA"/>
        </w:rPr>
        <w:t xml:space="preserve">; </w:t>
      </w:r>
    </w:p>
    <w:p w14:paraId="7E92561C" w14:textId="3B19FF5F" w:rsidR="00AF5F98" w:rsidRPr="00F52884" w:rsidRDefault="00AF5F98" w:rsidP="00AF5F98">
      <w:pPr>
        <w:spacing w:line="360" w:lineRule="auto"/>
        <w:ind w:left="720"/>
        <w:rPr>
          <w:rFonts w:cstheme="minorHAnsi"/>
          <w:szCs w:val="23"/>
          <w:lang w:val="fr-CA"/>
        </w:rPr>
      </w:pPr>
      <w:proofErr w:type="spellStart"/>
      <w:r w:rsidRPr="00F52884">
        <w:rPr>
          <w:rFonts w:cstheme="minorHAnsi"/>
          <w:i/>
          <w:iCs/>
          <w:szCs w:val="23"/>
          <w:lang w:val="fr-CA"/>
        </w:rPr>
        <w:t>T</w:t>
      </w:r>
      <w:r w:rsidRPr="00F52884">
        <w:rPr>
          <w:rFonts w:cstheme="minorHAnsi"/>
          <w:i/>
          <w:iCs/>
          <w:szCs w:val="23"/>
          <w:vertAlign w:val="subscript"/>
          <w:lang w:val="fr-CA"/>
        </w:rPr>
        <w:t>n</w:t>
      </w:r>
      <w:proofErr w:type="spellEnd"/>
      <w:r w:rsidRPr="00F52884">
        <w:rPr>
          <w:rFonts w:cstheme="minorHAnsi"/>
          <w:szCs w:val="23"/>
          <w:lang w:val="fr-CA"/>
        </w:rPr>
        <w:t xml:space="preserve"> = Nouvelle valeur de seuil indexée.</w:t>
      </w:r>
    </w:p>
    <w:p w14:paraId="4EFE7C83" w14:textId="77777777" w:rsidR="00AF5F98" w:rsidRPr="00F52884" w:rsidRDefault="00AF5F98" w:rsidP="00AF5F98">
      <w:pPr>
        <w:ind w:left="720"/>
        <w:rPr>
          <w:rFonts w:cstheme="minorHAnsi"/>
          <w:szCs w:val="23"/>
          <w:lang w:val="fr-CA"/>
        </w:rPr>
      </w:pPr>
    </w:p>
    <w:p w14:paraId="13FB8FAD" w14:textId="0AF56D30" w:rsidR="00AF5F98" w:rsidRPr="00F52884" w:rsidRDefault="00AF5F98" w:rsidP="00AF5F98">
      <w:pPr>
        <w:rPr>
          <w:rFonts w:cstheme="minorHAnsi"/>
          <w:szCs w:val="23"/>
          <w:lang w:val="fr-CA"/>
        </w:rPr>
      </w:pPr>
      <w:r w:rsidRPr="00F52884">
        <w:rPr>
          <w:rFonts w:cstheme="minorHAnsi"/>
          <w:szCs w:val="23"/>
          <w:lang w:val="fr-CA"/>
        </w:rPr>
        <w:t>3.</w:t>
      </w:r>
      <w:r w:rsidRPr="00F52884">
        <w:rPr>
          <w:rFonts w:cstheme="minorHAnsi"/>
          <w:szCs w:val="23"/>
          <w:lang w:val="fr-CA"/>
        </w:rPr>
        <w:tab/>
        <w:t>Le Secrétariat notifie aux Parties les valeurs de seuil indexées au plus tard le 1</w:t>
      </w:r>
      <w:r w:rsidRPr="00F52884">
        <w:rPr>
          <w:rFonts w:cstheme="minorHAnsi"/>
          <w:szCs w:val="23"/>
          <w:vertAlign w:val="superscript"/>
          <w:lang w:val="fr-CA"/>
        </w:rPr>
        <w:t>er</w:t>
      </w:r>
      <w:r w:rsidRPr="00F52884">
        <w:rPr>
          <w:rFonts w:cstheme="minorHAnsi"/>
          <w:szCs w:val="23"/>
          <w:lang w:val="fr-CA"/>
        </w:rPr>
        <w:t> novembre de l’année qui précède la prise d’effet de l’indexation.</w:t>
      </w:r>
    </w:p>
    <w:p w14:paraId="34C38A68" w14:textId="77777777" w:rsidR="00AF5F98" w:rsidRPr="00F52884" w:rsidRDefault="00AF5F98" w:rsidP="00AF5F98">
      <w:pPr>
        <w:rPr>
          <w:lang w:val="fr-CA"/>
        </w:rPr>
      </w:pPr>
    </w:p>
    <w:p w14:paraId="4CA19837" w14:textId="77777777" w:rsidR="00AF5F98" w:rsidRPr="00F52884" w:rsidRDefault="00AF5F98" w:rsidP="00AF5F98">
      <w:pPr>
        <w:rPr>
          <w:lang w:val="fr-CA"/>
        </w:rPr>
      </w:pPr>
    </w:p>
    <w:p w14:paraId="6E59470D" w14:textId="77777777" w:rsidR="00AF5F98" w:rsidRPr="00F52884" w:rsidRDefault="00AF5F98" w:rsidP="00AF5F98">
      <w:pPr>
        <w:rPr>
          <w:rFonts w:ascii="Arial" w:eastAsia="SimHei" w:hAnsi="Arial" w:cs="Arial"/>
          <w:b/>
          <w:bCs/>
          <w:szCs w:val="23"/>
          <w:lang w:val="fr-CA"/>
        </w:rPr>
      </w:pPr>
      <w:r w:rsidRPr="00F52884">
        <w:rPr>
          <w:rFonts w:ascii="Arial" w:eastAsia="SimHei" w:hAnsi="Arial" w:cs="Arial"/>
          <w:b/>
          <w:bCs/>
          <w:szCs w:val="23"/>
          <w:lang w:val="fr-CA"/>
        </w:rPr>
        <w:br w:type="page"/>
      </w:r>
    </w:p>
    <w:p w14:paraId="7207AC17" w14:textId="7DC34DFB" w:rsidR="00AF5F98" w:rsidRPr="00F52884" w:rsidRDefault="00AF5F98" w:rsidP="00215444">
      <w:pPr>
        <w:jc w:val="center"/>
        <w:rPr>
          <w:rFonts w:eastAsia="Times New Roman"/>
          <w:bCs/>
          <w:lang w:val="fr-CA"/>
        </w:rPr>
      </w:pPr>
      <w:r w:rsidRPr="00F52884">
        <w:rPr>
          <w:rStyle w:val="shorttext"/>
          <w:rFonts w:ascii="Arial" w:hAnsi="Arial" w:cs="Arial"/>
          <w:b/>
          <w:szCs w:val="23"/>
          <w:lang w:val="fr-FR"/>
        </w:rPr>
        <w:lastRenderedPageBreak/>
        <w:t>Annexe</w:t>
      </w:r>
      <w:r w:rsidRPr="00F52884">
        <w:rPr>
          <w:rStyle w:val="shorttext"/>
          <w:rFonts w:ascii="Arial" w:hAnsi="Arial" w:cs="Arial"/>
          <w:b/>
          <w:sz w:val="24"/>
          <w:szCs w:val="24"/>
          <w:lang w:val="fr-FR"/>
        </w:rPr>
        <w:t xml:space="preserve"> 5</w:t>
      </w:r>
      <w:r w:rsidR="00C9302A">
        <w:rPr>
          <w:rStyle w:val="shorttext"/>
          <w:rFonts w:ascii="Arial" w:hAnsi="Arial" w:cs="Arial"/>
          <w:b/>
          <w:sz w:val="24"/>
          <w:szCs w:val="24"/>
          <w:lang w:val="fr-FR"/>
        </w:rPr>
        <w:t>19</w:t>
      </w:r>
      <w:r w:rsidRPr="00F52884">
        <w:rPr>
          <w:rStyle w:val="shorttext"/>
          <w:rFonts w:ascii="Arial" w:hAnsi="Arial" w:cs="Arial"/>
          <w:b/>
          <w:sz w:val="24"/>
          <w:szCs w:val="24"/>
          <w:lang w:val="fr-FR"/>
        </w:rPr>
        <w:t>.1: Exceptions propres aux Parties</w:t>
      </w:r>
    </w:p>
    <w:p w14:paraId="2B61DDA0" w14:textId="77777777" w:rsidR="00AF5F98" w:rsidRPr="00F52884" w:rsidRDefault="00AF5F98" w:rsidP="00AF5F98">
      <w:pPr>
        <w:contextualSpacing/>
        <w:jc w:val="center"/>
        <w:outlineLvl w:val="2"/>
        <w:rPr>
          <w:rFonts w:ascii="Arial" w:eastAsia="Times New Roman" w:hAnsi="Arial" w:cs="Arial"/>
          <w:b/>
          <w:bCs/>
          <w:szCs w:val="23"/>
          <w:lang w:val="fr-CA"/>
        </w:rPr>
      </w:pPr>
    </w:p>
    <w:p w14:paraId="2062D2BC" w14:textId="77777777" w:rsidR="00AF5F98" w:rsidRPr="00F52884" w:rsidRDefault="00AF5F98" w:rsidP="00C2527D">
      <w:pPr>
        <w:pStyle w:val="Heading3"/>
        <w:jc w:val="center"/>
        <w:rPr>
          <w:sz w:val="24"/>
          <w:szCs w:val="24"/>
          <w:lang w:val="fr-CA"/>
        </w:rPr>
      </w:pPr>
      <w:bookmarkStart w:id="34" w:name="_Toc156311760"/>
      <w:r w:rsidRPr="00F52884">
        <w:rPr>
          <w:sz w:val="24"/>
          <w:szCs w:val="24"/>
          <w:lang w:val="fr-CA"/>
        </w:rPr>
        <w:t>Liste du Canada</w:t>
      </w:r>
      <w:bookmarkEnd w:id="34"/>
    </w:p>
    <w:p w14:paraId="0A3B3876" w14:textId="77777777" w:rsidR="00AF5F98" w:rsidRPr="00F52884" w:rsidRDefault="00AF5F98" w:rsidP="00AF5F98">
      <w:pPr>
        <w:contextualSpacing/>
        <w:jc w:val="center"/>
        <w:rPr>
          <w:rFonts w:ascii="Arial" w:eastAsia="Times New Roman" w:hAnsi="Arial" w:cs="Arial"/>
          <w:szCs w:val="23"/>
          <w:lang w:val="fr-CA"/>
        </w:rPr>
      </w:pPr>
    </w:p>
    <w:p w14:paraId="1CF1C942" w14:textId="77777777" w:rsidR="00AF5F98" w:rsidRPr="00F52884" w:rsidRDefault="00AF5F98" w:rsidP="00AF5F98">
      <w:pPr>
        <w:contextualSpacing/>
        <w:jc w:val="center"/>
        <w:rPr>
          <w:rFonts w:ascii="Arial" w:eastAsia="Times New Roman" w:hAnsi="Arial" w:cs="Arial"/>
          <w:b/>
          <w:szCs w:val="23"/>
          <w:lang w:val="fr-CA"/>
        </w:rPr>
      </w:pPr>
      <w:r w:rsidRPr="00F52884">
        <w:rPr>
          <w:rFonts w:ascii="Arial" w:eastAsia="Times New Roman" w:hAnsi="Arial" w:cs="Arial"/>
          <w:b/>
          <w:szCs w:val="23"/>
          <w:lang w:val="fr-CA"/>
        </w:rPr>
        <w:t>Marchés publics - Exceptions</w:t>
      </w:r>
    </w:p>
    <w:p w14:paraId="02C299E9" w14:textId="77777777" w:rsidR="00AF5F98" w:rsidRPr="00F52884" w:rsidRDefault="00AF5F98" w:rsidP="00AF5F98">
      <w:pPr>
        <w:autoSpaceDE w:val="0"/>
        <w:autoSpaceDN w:val="0"/>
        <w:adjustRightInd w:val="0"/>
        <w:rPr>
          <w:rFonts w:ascii="Arial" w:eastAsia="Arial" w:hAnsi="Arial" w:cs="Arial"/>
          <w:b/>
          <w:bCs/>
          <w:szCs w:val="23"/>
          <w:lang w:val="fr-CA"/>
        </w:rPr>
      </w:pPr>
    </w:p>
    <w:p w14:paraId="7E972435" w14:textId="77777777" w:rsidR="00AF5F98" w:rsidRPr="00F52884" w:rsidRDefault="00AF5F98" w:rsidP="00AF5F98">
      <w:pPr>
        <w:autoSpaceDE w:val="0"/>
        <w:autoSpaceDN w:val="0"/>
        <w:adjustRightInd w:val="0"/>
        <w:rPr>
          <w:rFonts w:ascii="Arial" w:eastAsia="Arial" w:hAnsi="Arial" w:cs="Arial"/>
          <w:b/>
          <w:bCs/>
          <w:szCs w:val="23"/>
          <w:lang w:val="fr-CA"/>
        </w:rPr>
      </w:pPr>
      <w:r w:rsidRPr="00F52884">
        <w:rPr>
          <w:rStyle w:val="shorttext"/>
          <w:rFonts w:ascii="Arial" w:hAnsi="Arial" w:cs="Arial"/>
          <w:lang w:val="fr-FR"/>
        </w:rPr>
        <w:t>En ce qui concerne le Canada, le présent chapitre ne couvre pas ce qui suit :</w:t>
      </w:r>
    </w:p>
    <w:p w14:paraId="0754F7AD" w14:textId="77777777" w:rsidR="00AF5F98" w:rsidRPr="00F52884" w:rsidRDefault="00AF5F98" w:rsidP="00AF5F98">
      <w:pPr>
        <w:autoSpaceDE w:val="0"/>
        <w:autoSpaceDN w:val="0"/>
        <w:adjustRightInd w:val="0"/>
        <w:rPr>
          <w:rFonts w:ascii="Arial" w:eastAsia="Arial" w:hAnsi="Arial" w:cs="Arial"/>
          <w:b/>
          <w:bCs/>
          <w:szCs w:val="23"/>
          <w:lang w:val="fr-CA"/>
        </w:rPr>
      </w:pPr>
    </w:p>
    <w:p w14:paraId="61AE59F9" w14:textId="046A7779" w:rsidR="00AF5F98" w:rsidRPr="00F52884" w:rsidRDefault="00AF5F98" w:rsidP="00C2527D">
      <w:pPr>
        <w:pStyle w:val="ListParagraph"/>
        <w:numPr>
          <w:ilvl w:val="0"/>
          <w:numId w:val="228"/>
        </w:numPr>
        <w:autoSpaceDE w:val="0"/>
        <w:autoSpaceDN w:val="0"/>
        <w:adjustRightInd w:val="0"/>
        <w:ind w:left="720" w:hanging="720"/>
        <w:rPr>
          <w:rFonts w:ascii="Arial" w:eastAsia="Arial" w:hAnsi="Arial" w:cs="Arial"/>
          <w:szCs w:val="23"/>
          <w:lang w:val="fr-FR"/>
        </w:rPr>
      </w:pPr>
      <w:r w:rsidRPr="00F52884">
        <w:rPr>
          <w:rFonts w:ascii="Arial" w:eastAsia="Arial" w:hAnsi="Arial" w:cs="Arial"/>
          <w:b/>
          <w:bCs/>
          <w:szCs w:val="23"/>
          <w:lang w:val="fr-CA"/>
        </w:rPr>
        <w:t xml:space="preserve">Entités exclues </w:t>
      </w:r>
    </w:p>
    <w:p w14:paraId="78BE9326" w14:textId="77777777" w:rsidR="00AF5F98" w:rsidRPr="00F52884" w:rsidRDefault="00AF5F98" w:rsidP="00AF5F98">
      <w:pPr>
        <w:autoSpaceDE w:val="0"/>
        <w:autoSpaceDN w:val="0"/>
        <w:adjustRightInd w:val="0"/>
        <w:rPr>
          <w:rFonts w:ascii="Arial" w:eastAsia="Arial" w:hAnsi="Arial" w:cs="Arial"/>
          <w:szCs w:val="23"/>
          <w:lang w:val="fr-FR"/>
        </w:rPr>
      </w:pPr>
    </w:p>
    <w:p w14:paraId="42201603" w14:textId="037616CE" w:rsidR="00AF5F98" w:rsidRPr="00F52884" w:rsidRDefault="00AF5F98" w:rsidP="00AF5F98">
      <w:pPr>
        <w:rPr>
          <w:rFonts w:ascii="Arial" w:eastAsia="Arial" w:hAnsi="Arial" w:cs="Arial"/>
          <w:szCs w:val="23"/>
          <w:lang w:val="fr-CA"/>
        </w:rPr>
      </w:pPr>
      <w:r w:rsidRPr="00F52884">
        <w:rPr>
          <w:rFonts w:ascii="Arial" w:eastAsia="Arial" w:hAnsi="Arial" w:cs="Arial"/>
          <w:szCs w:val="23"/>
          <w:lang w:val="fr-CA"/>
        </w:rPr>
        <w:t>Les entités suivantes ne sont pas couvertes par le présent chapitre :</w:t>
      </w:r>
    </w:p>
    <w:p w14:paraId="63F938A5" w14:textId="64559900" w:rsidR="00AF5F98" w:rsidRPr="00F52884" w:rsidRDefault="00AF5F98" w:rsidP="00AF5F98">
      <w:pPr>
        <w:rPr>
          <w:rFonts w:ascii="Arial" w:eastAsia="Arial" w:hAnsi="Arial" w:cs="Arial"/>
          <w:szCs w:val="23"/>
          <w:lang w:val="fr-FR"/>
        </w:rPr>
      </w:pPr>
    </w:p>
    <w:p w14:paraId="6AFEFDB0" w14:textId="77777777" w:rsidR="00AF5F98" w:rsidRPr="00F52884" w:rsidRDefault="00AF5F98" w:rsidP="00C2527D">
      <w:pPr>
        <w:numPr>
          <w:ilvl w:val="0"/>
          <w:numId w:val="159"/>
        </w:numPr>
        <w:spacing w:before="240"/>
        <w:ind w:left="0" w:firstLine="0"/>
        <w:contextualSpacing/>
        <w:rPr>
          <w:rFonts w:ascii="Arial" w:eastAsia="Arial" w:hAnsi="Arial" w:cs="Arial"/>
          <w:szCs w:val="23"/>
          <w:lang w:val="fr-FR"/>
        </w:rPr>
      </w:pPr>
      <w:r w:rsidRPr="00F52884">
        <w:rPr>
          <w:rFonts w:ascii="Arial" w:eastAsia="Arial" w:hAnsi="Arial" w:cs="Arial"/>
          <w:szCs w:val="23"/>
          <w:lang w:val="fr-CA"/>
        </w:rPr>
        <w:t xml:space="preserve">Service canadien du renseignement de sécurité; </w:t>
      </w:r>
      <w:r w:rsidRPr="00F52884">
        <w:rPr>
          <w:rFonts w:ascii="Arial" w:hAnsi="Arial" w:cs="Arial"/>
          <w:szCs w:val="24"/>
          <w:lang w:val="fr-CA"/>
        </w:rPr>
        <w:br/>
      </w:r>
    </w:p>
    <w:p w14:paraId="53572A6B" w14:textId="77777777" w:rsidR="00AF5F98" w:rsidRPr="00F52884" w:rsidRDefault="00AF5F98" w:rsidP="00C2527D">
      <w:pPr>
        <w:numPr>
          <w:ilvl w:val="0"/>
          <w:numId w:val="159"/>
        </w:numPr>
        <w:spacing w:before="240"/>
        <w:ind w:left="0" w:firstLine="0"/>
        <w:contextualSpacing/>
        <w:rPr>
          <w:rFonts w:ascii="Arial" w:eastAsia="Arial" w:hAnsi="Arial" w:cs="Arial"/>
          <w:szCs w:val="23"/>
          <w:lang w:val="fr-FR"/>
        </w:rPr>
      </w:pPr>
      <w:r w:rsidRPr="00F52884">
        <w:rPr>
          <w:rFonts w:ascii="Arial" w:eastAsia="Arial" w:hAnsi="Arial" w:cs="Arial"/>
          <w:szCs w:val="23"/>
          <w:lang w:val="fr-CA"/>
        </w:rPr>
        <w:t xml:space="preserve">Centre de la sécurité des télécommunications; </w:t>
      </w:r>
      <w:r w:rsidRPr="00F52884">
        <w:rPr>
          <w:rFonts w:ascii="Arial" w:hAnsi="Arial" w:cs="Arial"/>
          <w:szCs w:val="24"/>
          <w:lang w:val="fr-CA"/>
        </w:rPr>
        <w:br/>
      </w:r>
    </w:p>
    <w:p w14:paraId="520330D9" w14:textId="77777777" w:rsidR="00AF5F98" w:rsidRPr="00F52884" w:rsidRDefault="00AF5F98" w:rsidP="00C2527D">
      <w:pPr>
        <w:numPr>
          <w:ilvl w:val="0"/>
          <w:numId w:val="159"/>
        </w:numPr>
        <w:spacing w:before="240"/>
        <w:ind w:left="0" w:firstLine="0"/>
        <w:contextualSpacing/>
        <w:rPr>
          <w:rFonts w:ascii="Arial" w:eastAsia="Arial" w:hAnsi="Arial" w:cs="Arial"/>
          <w:szCs w:val="23"/>
          <w:lang w:val="fr-FR"/>
        </w:rPr>
      </w:pPr>
      <w:r w:rsidRPr="00F52884">
        <w:rPr>
          <w:rFonts w:ascii="Arial" w:eastAsia="Arial" w:hAnsi="Arial" w:cs="Arial"/>
          <w:szCs w:val="23"/>
          <w:lang w:val="fr-CA"/>
        </w:rPr>
        <w:t xml:space="preserve">Centre d’analyse des opérations et déclarations financières du Canada; </w:t>
      </w:r>
      <w:r w:rsidRPr="00F52884">
        <w:rPr>
          <w:rFonts w:ascii="Arial" w:hAnsi="Arial" w:cs="Arial"/>
          <w:szCs w:val="24"/>
          <w:lang w:val="fr-CA"/>
        </w:rPr>
        <w:br/>
      </w:r>
    </w:p>
    <w:p w14:paraId="5F75D6D6" w14:textId="77777777" w:rsidR="00AF5F98" w:rsidRPr="00F52884" w:rsidRDefault="00AF5F98" w:rsidP="00C2527D">
      <w:pPr>
        <w:numPr>
          <w:ilvl w:val="0"/>
          <w:numId w:val="159"/>
        </w:numPr>
        <w:spacing w:before="240"/>
        <w:ind w:left="0" w:firstLine="0"/>
        <w:contextualSpacing/>
        <w:rPr>
          <w:rFonts w:ascii="Arial" w:eastAsia="Arial" w:hAnsi="Arial" w:cs="Arial"/>
          <w:szCs w:val="23"/>
        </w:rPr>
      </w:pPr>
      <w:r w:rsidRPr="00F52884">
        <w:rPr>
          <w:rFonts w:ascii="Arial" w:eastAsia="Arial" w:hAnsi="Arial" w:cs="Arial"/>
          <w:szCs w:val="23"/>
          <w:lang w:val="fr-CA"/>
        </w:rPr>
        <w:t>Banque du Canada;</w:t>
      </w:r>
      <w:r w:rsidRPr="00F52884">
        <w:rPr>
          <w:rFonts w:ascii="Arial" w:hAnsi="Arial" w:cs="Arial"/>
          <w:szCs w:val="24"/>
        </w:rPr>
        <w:t xml:space="preserve"> </w:t>
      </w:r>
      <w:r w:rsidRPr="00F52884">
        <w:rPr>
          <w:rFonts w:ascii="Arial" w:hAnsi="Arial" w:cs="Arial"/>
          <w:szCs w:val="24"/>
        </w:rPr>
        <w:br/>
      </w:r>
    </w:p>
    <w:p w14:paraId="46BFC00F" w14:textId="77777777" w:rsidR="00AF5F98" w:rsidRPr="00F52884" w:rsidRDefault="00AF5F98" w:rsidP="00C2527D">
      <w:pPr>
        <w:numPr>
          <w:ilvl w:val="0"/>
          <w:numId w:val="159"/>
        </w:numPr>
        <w:spacing w:before="240"/>
        <w:ind w:left="0" w:firstLine="0"/>
        <w:contextualSpacing/>
        <w:rPr>
          <w:rFonts w:ascii="Arial" w:eastAsia="Arial" w:hAnsi="Arial" w:cs="Arial"/>
          <w:szCs w:val="23"/>
          <w:lang w:val="fr-FR"/>
        </w:rPr>
      </w:pPr>
      <w:r w:rsidRPr="00F52884">
        <w:rPr>
          <w:rFonts w:ascii="Arial" w:eastAsia="Arial" w:hAnsi="Arial" w:cs="Arial"/>
          <w:szCs w:val="23"/>
          <w:lang w:val="fr-CA"/>
        </w:rPr>
        <w:t>Office d’investissement du régime de pensions du Canada et ses filiales;</w:t>
      </w:r>
      <w:r w:rsidRPr="00F52884">
        <w:rPr>
          <w:rFonts w:ascii="Arial" w:hAnsi="Arial" w:cs="Arial"/>
          <w:szCs w:val="24"/>
          <w:lang w:val="fr-CA"/>
        </w:rPr>
        <w:t xml:space="preserve"> </w:t>
      </w:r>
      <w:r w:rsidRPr="00F52884">
        <w:rPr>
          <w:rFonts w:ascii="Arial" w:hAnsi="Arial" w:cs="Arial"/>
          <w:szCs w:val="24"/>
          <w:lang w:val="fr-CA"/>
        </w:rPr>
        <w:br/>
      </w:r>
    </w:p>
    <w:p w14:paraId="4537E401" w14:textId="77777777" w:rsidR="00AF5F98" w:rsidRPr="00F52884" w:rsidRDefault="00AF5F98" w:rsidP="00C2527D">
      <w:pPr>
        <w:numPr>
          <w:ilvl w:val="0"/>
          <w:numId w:val="159"/>
        </w:numPr>
        <w:ind w:left="0" w:firstLine="0"/>
        <w:contextualSpacing/>
        <w:rPr>
          <w:rFonts w:ascii="Arial" w:eastAsia="Arial" w:hAnsi="Arial" w:cs="Arial"/>
          <w:szCs w:val="23"/>
          <w:lang w:val="fr-FR"/>
        </w:rPr>
      </w:pPr>
      <w:r w:rsidRPr="00F52884">
        <w:rPr>
          <w:rFonts w:ascii="Arial" w:eastAsia="Arial" w:hAnsi="Arial" w:cs="Arial"/>
          <w:szCs w:val="23"/>
          <w:lang w:val="fr-CA"/>
        </w:rPr>
        <w:t>Office d’investissement des régimes de pensions du secteur public et ses filiales;</w:t>
      </w:r>
      <w:r w:rsidRPr="00F52884">
        <w:rPr>
          <w:rFonts w:ascii="Arial" w:hAnsi="Arial" w:cs="Arial"/>
          <w:szCs w:val="24"/>
          <w:lang w:val="fr-CA"/>
        </w:rPr>
        <w:t xml:space="preserve"> </w:t>
      </w:r>
      <w:r w:rsidRPr="00F52884">
        <w:rPr>
          <w:rFonts w:ascii="Arial" w:hAnsi="Arial" w:cs="Arial"/>
          <w:szCs w:val="24"/>
          <w:lang w:val="fr-CA"/>
        </w:rPr>
        <w:br/>
      </w:r>
    </w:p>
    <w:p w14:paraId="0C32CB11" w14:textId="77777777" w:rsidR="00AF5F98" w:rsidRPr="00F52884" w:rsidRDefault="00AF5F98" w:rsidP="00C2527D">
      <w:pPr>
        <w:numPr>
          <w:ilvl w:val="0"/>
          <w:numId w:val="159"/>
        </w:numPr>
        <w:spacing w:before="240"/>
        <w:ind w:left="0" w:firstLine="0"/>
        <w:contextualSpacing/>
        <w:rPr>
          <w:rFonts w:ascii="Arial" w:eastAsia="Arial" w:hAnsi="Arial" w:cs="Arial"/>
          <w:szCs w:val="23"/>
        </w:rPr>
      </w:pPr>
      <w:r w:rsidRPr="00F52884">
        <w:rPr>
          <w:rFonts w:ascii="Arial" w:eastAsia="Arial" w:hAnsi="Arial" w:cs="Arial"/>
          <w:szCs w:val="23"/>
          <w:lang w:val="fr-CA"/>
        </w:rPr>
        <w:t>Sénat;</w:t>
      </w:r>
      <w:r w:rsidRPr="00F52884">
        <w:rPr>
          <w:rFonts w:ascii="Arial" w:hAnsi="Arial" w:cs="Arial"/>
          <w:szCs w:val="24"/>
        </w:rPr>
        <w:t xml:space="preserve"> </w:t>
      </w:r>
      <w:r w:rsidRPr="00F52884">
        <w:rPr>
          <w:rFonts w:ascii="Arial" w:hAnsi="Arial" w:cs="Arial"/>
          <w:szCs w:val="24"/>
        </w:rPr>
        <w:br/>
      </w:r>
    </w:p>
    <w:p w14:paraId="13A4F058" w14:textId="77777777" w:rsidR="00AF5F98" w:rsidRPr="00F52884" w:rsidRDefault="00AF5F98" w:rsidP="00C2527D">
      <w:pPr>
        <w:numPr>
          <w:ilvl w:val="0"/>
          <w:numId w:val="159"/>
        </w:numPr>
        <w:spacing w:before="240"/>
        <w:ind w:left="0" w:firstLine="0"/>
        <w:contextualSpacing/>
        <w:rPr>
          <w:rFonts w:ascii="Arial" w:eastAsia="Arial" w:hAnsi="Arial" w:cs="Arial"/>
          <w:szCs w:val="23"/>
        </w:rPr>
      </w:pPr>
      <w:r w:rsidRPr="00F52884">
        <w:rPr>
          <w:rFonts w:ascii="Arial" w:eastAsia="Arial" w:hAnsi="Arial" w:cs="Arial"/>
          <w:szCs w:val="23"/>
          <w:lang w:val="fr-CA"/>
        </w:rPr>
        <w:t xml:space="preserve">Chambre des communes; </w:t>
      </w:r>
      <w:r w:rsidRPr="00F52884">
        <w:rPr>
          <w:rFonts w:ascii="Arial" w:hAnsi="Arial" w:cs="Arial"/>
          <w:szCs w:val="24"/>
        </w:rPr>
        <w:br/>
      </w:r>
    </w:p>
    <w:p w14:paraId="39A5170B" w14:textId="77777777" w:rsidR="00AF5F98" w:rsidRPr="00F52884" w:rsidRDefault="00AF5F98" w:rsidP="00C2527D">
      <w:pPr>
        <w:numPr>
          <w:ilvl w:val="0"/>
          <w:numId w:val="159"/>
        </w:numPr>
        <w:spacing w:before="240"/>
        <w:ind w:left="0" w:firstLine="0"/>
        <w:contextualSpacing/>
        <w:rPr>
          <w:rFonts w:ascii="Arial" w:eastAsia="Arial" w:hAnsi="Arial" w:cs="Arial"/>
          <w:szCs w:val="23"/>
        </w:rPr>
      </w:pPr>
      <w:r w:rsidRPr="00F52884">
        <w:rPr>
          <w:rFonts w:ascii="Arial" w:eastAsia="Arial" w:hAnsi="Arial" w:cs="Arial"/>
          <w:szCs w:val="23"/>
          <w:lang w:val="fr-CA"/>
        </w:rPr>
        <w:t>Bibliothèque du Parlement;</w:t>
      </w:r>
      <w:r w:rsidRPr="00F52884">
        <w:rPr>
          <w:rFonts w:ascii="Arial" w:hAnsi="Arial" w:cs="Arial"/>
          <w:szCs w:val="24"/>
        </w:rPr>
        <w:t xml:space="preserve"> </w:t>
      </w:r>
      <w:r w:rsidRPr="00F52884">
        <w:rPr>
          <w:rFonts w:ascii="Arial" w:hAnsi="Arial" w:cs="Arial"/>
          <w:szCs w:val="24"/>
        </w:rPr>
        <w:br/>
      </w:r>
    </w:p>
    <w:p w14:paraId="0D71C7E2" w14:textId="77777777" w:rsidR="00AF5F98" w:rsidRPr="00F52884" w:rsidRDefault="00AF5F98" w:rsidP="00C2527D">
      <w:pPr>
        <w:numPr>
          <w:ilvl w:val="0"/>
          <w:numId w:val="159"/>
        </w:numPr>
        <w:spacing w:before="240"/>
        <w:ind w:left="0" w:firstLine="0"/>
        <w:contextualSpacing/>
        <w:rPr>
          <w:rFonts w:ascii="Arial" w:eastAsia="Arial" w:hAnsi="Arial" w:cs="Arial"/>
          <w:szCs w:val="23"/>
          <w:lang w:val="fr-FR"/>
        </w:rPr>
      </w:pPr>
      <w:r w:rsidRPr="00F52884">
        <w:rPr>
          <w:rFonts w:ascii="Arial" w:eastAsia="Arial" w:hAnsi="Arial" w:cs="Arial"/>
          <w:szCs w:val="23"/>
          <w:lang w:val="fr-CA"/>
        </w:rPr>
        <w:t>Bureau du conseiller sénatorial en éthique;</w:t>
      </w:r>
      <w:r w:rsidRPr="00F52884">
        <w:rPr>
          <w:rFonts w:ascii="Arial" w:hAnsi="Arial" w:cs="Arial"/>
          <w:szCs w:val="24"/>
          <w:lang w:val="fr-CA"/>
        </w:rPr>
        <w:t xml:space="preserve"> </w:t>
      </w:r>
      <w:r w:rsidRPr="00F52884">
        <w:rPr>
          <w:rFonts w:ascii="Arial" w:hAnsi="Arial" w:cs="Arial"/>
          <w:szCs w:val="24"/>
          <w:lang w:val="fr-CA"/>
        </w:rPr>
        <w:br/>
      </w:r>
    </w:p>
    <w:p w14:paraId="610DD622" w14:textId="77777777" w:rsidR="00AF5F98" w:rsidRPr="00F52884" w:rsidRDefault="00AF5F98" w:rsidP="00C2527D">
      <w:pPr>
        <w:numPr>
          <w:ilvl w:val="0"/>
          <w:numId w:val="159"/>
        </w:numPr>
        <w:spacing w:before="240"/>
        <w:ind w:left="0" w:firstLine="0"/>
        <w:contextualSpacing/>
        <w:rPr>
          <w:rFonts w:ascii="Arial" w:eastAsia="Arial" w:hAnsi="Arial" w:cs="Arial"/>
          <w:szCs w:val="23"/>
          <w:lang w:val="fr-FR"/>
        </w:rPr>
      </w:pPr>
      <w:r w:rsidRPr="00F52884">
        <w:rPr>
          <w:rFonts w:ascii="Arial" w:eastAsia="Arial" w:hAnsi="Arial" w:cs="Arial"/>
          <w:szCs w:val="23"/>
          <w:lang w:val="fr-CA"/>
        </w:rPr>
        <w:t>Commissariat aux conflits d’intérêts et à l’éthique;</w:t>
      </w:r>
      <w:r w:rsidRPr="00F52884">
        <w:rPr>
          <w:rFonts w:ascii="Arial" w:hAnsi="Arial" w:cs="Arial"/>
          <w:szCs w:val="24"/>
          <w:lang w:val="fr-CA"/>
        </w:rPr>
        <w:t xml:space="preserve"> </w:t>
      </w:r>
      <w:r w:rsidRPr="00F52884">
        <w:rPr>
          <w:rFonts w:ascii="Arial" w:hAnsi="Arial" w:cs="Arial"/>
          <w:szCs w:val="24"/>
          <w:lang w:val="fr-CA"/>
        </w:rPr>
        <w:br/>
      </w:r>
    </w:p>
    <w:p w14:paraId="6ADCB68F" w14:textId="77777777" w:rsidR="00AF5F98" w:rsidRPr="00F52884" w:rsidRDefault="00AF5F98" w:rsidP="00C2527D">
      <w:pPr>
        <w:numPr>
          <w:ilvl w:val="0"/>
          <w:numId w:val="159"/>
        </w:numPr>
        <w:spacing w:before="240"/>
        <w:ind w:left="0" w:firstLine="0"/>
        <w:contextualSpacing/>
        <w:rPr>
          <w:rFonts w:ascii="Arial" w:eastAsia="Arial" w:hAnsi="Arial" w:cs="Arial"/>
          <w:szCs w:val="23"/>
        </w:rPr>
      </w:pPr>
      <w:r w:rsidRPr="00F52884">
        <w:rPr>
          <w:rFonts w:ascii="Arial" w:eastAsia="Arial" w:hAnsi="Arial" w:cs="Arial"/>
          <w:szCs w:val="23"/>
          <w:lang w:val="fr-CA"/>
        </w:rPr>
        <w:t>Service de protection parlementaire.</w:t>
      </w:r>
    </w:p>
    <w:p w14:paraId="30546E7B" w14:textId="77777777" w:rsidR="00AF5F98" w:rsidRPr="00F52884" w:rsidRDefault="00AF5F98" w:rsidP="00AF5F98">
      <w:pPr>
        <w:autoSpaceDE w:val="0"/>
        <w:autoSpaceDN w:val="0"/>
        <w:adjustRightInd w:val="0"/>
        <w:rPr>
          <w:rFonts w:ascii="Arial" w:eastAsia="Arial" w:hAnsi="Arial" w:cs="Arial"/>
          <w:b/>
          <w:bCs/>
          <w:szCs w:val="23"/>
          <w:u w:val="single"/>
        </w:rPr>
      </w:pPr>
    </w:p>
    <w:p w14:paraId="321F3921" w14:textId="77777777" w:rsidR="00AF5F98" w:rsidRPr="00F52884" w:rsidRDefault="00AF5F98" w:rsidP="00C2527D">
      <w:pPr>
        <w:pStyle w:val="ListParagraph"/>
        <w:numPr>
          <w:ilvl w:val="0"/>
          <w:numId w:val="228"/>
        </w:numPr>
        <w:autoSpaceDE w:val="0"/>
        <w:autoSpaceDN w:val="0"/>
        <w:adjustRightInd w:val="0"/>
        <w:ind w:left="720" w:hanging="720"/>
        <w:rPr>
          <w:rFonts w:ascii="Arial" w:eastAsia="Arial" w:hAnsi="Arial" w:cs="Arial"/>
          <w:szCs w:val="23"/>
        </w:rPr>
      </w:pPr>
      <w:r w:rsidRPr="00F52884">
        <w:rPr>
          <w:rFonts w:ascii="Arial" w:eastAsia="Arial" w:hAnsi="Arial" w:cs="Arial"/>
          <w:b/>
          <w:bCs/>
          <w:szCs w:val="23"/>
          <w:lang w:val="fr-CA"/>
        </w:rPr>
        <w:t xml:space="preserve">Exceptions et remarques </w:t>
      </w:r>
    </w:p>
    <w:p w14:paraId="72DF75A9" w14:textId="77777777" w:rsidR="00AF5F98" w:rsidRPr="00F52884" w:rsidRDefault="00AF5F98" w:rsidP="00AF5F98">
      <w:pPr>
        <w:autoSpaceDE w:val="0"/>
        <w:autoSpaceDN w:val="0"/>
        <w:adjustRightInd w:val="0"/>
        <w:ind w:left="360"/>
        <w:rPr>
          <w:rFonts w:ascii="Arial" w:eastAsia="Times New Roman" w:hAnsi="Arial" w:cs="Arial"/>
          <w:szCs w:val="23"/>
        </w:rPr>
      </w:pPr>
    </w:p>
    <w:p w14:paraId="01B1C9F6" w14:textId="7C25E700" w:rsidR="00AF5F98" w:rsidRPr="00F52884" w:rsidRDefault="00AF5F98" w:rsidP="00C2527D">
      <w:pPr>
        <w:numPr>
          <w:ilvl w:val="0"/>
          <w:numId w:val="160"/>
        </w:numPr>
        <w:autoSpaceDE w:val="0"/>
        <w:autoSpaceDN w:val="0"/>
        <w:adjustRightInd w:val="0"/>
        <w:ind w:left="720" w:hanging="720"/>
        <w:rPr>
          <w:rFonts w:ascii="Arial" w:eastAsia="Times New Roman" w:hAnsi="Arial" w:cs="Arial"/>
          <w:szCs w:val="23"/>
          <w:lang w:val="fr-FR"/>
        </w:rPr>
      </w:pPr>
      <w:r w:rsidRPr="00F52884">
        <w:rPr>
          <w:rFonts w:ascii="Arial" w:eastAsia="Times New Roman" w:hAnsi="Arial" w:cs="Arial"/>
          <w:szCs w:val="23"/>
          <w:lang w:val="fr-CA"/>
        </w:rPr>
        <w:t>Le présent chapitre ne s’applique pas aux marchés :</w:t>
      </w:r>
    </w:p>
    <w:p w14:paraId="1C9D95B2" w14:textId="77777777" w:rsidR="00AF5F98" w:rsidRPr="00F52884" w:rsidRDefault="00AF5F98" w:rsidP="00AF5F98">
      <w:pPr>
        <w:autoSpaceDE w:val="0"/>
        <w:autoSpaceDN w:val="0"/>
        <w:adjustRightInd w:val="0"/>
        <w:ind w:left="360"/>
        <w:rPr>
          <w:rFonts w:ascii="Arial" w:eastAsia="Times New Roman" w:hAnsi="Arial" w:cs="Arial"/>
          <w:szCs w:val="23"/>
          <w:lang w:val="fr-FR"/>
        </w:rPr>
      </w:pPr>
    </w:p>
    <w:p w14:paraId="64849166" w14:textId="2C06C5F0"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FR"/>
        </w:rPr>
        <w:t>passés</w:t>
      </w:r>
      <w:proofErr w:type="gramEnd"/>
      <w:r w:rsidRPr="00F52884">
        <w:rPr>
          <w:rFonts w:ascii="Arial" w:eastAsia="Times New Roman" w:hAnsi="Arial" w:cs="Arial"/>
          <w:szCs w:val="23"/>
          <w:lang w:val="fr-FR"/>
        </w:rPr>
        <w:t xml:space="preserve"> par une</w:t>
      </w:r>
      <w:r w:rsidRPr="00F52884">
        <w:rPr>
          <w:rFonts w:ascii="Arial" w:eastAsia="Times New Roman" w:hAnsi="Arial" w:cs="Arial"/>
          <w:szCs w:val="23"/>
          <w:lang w:val="fr-CA"/>
        </w:rPr>
        <w:t xml:space="preserve"> société à gouvernance partagée, une entreprise en coparticipation, une entreprise mixte, une organisation internationale et toute autre entité qui n’est pas détenue à cent pour cent par le gouvernement du Canada. </w:t>
      </w:r>
      <w:r w:rsidRPr="00F52884">
        <w:rPr>
          <w:rFonts w:ascii="Arial" w:eastAsia="Times New Roman" w:hAnsi="Arial" w:cs="Arial"/>
          <w:szCs w:val="23"/>
          <w:lang w:val="fr-FR"/>
        </w:rPr>
        <w:t xml:space="preserve">Il est entendu que le terme « société à gouvernance partagée » comprend toute entité dont les nominations au conseil d'administration ne sont pas effectuées exclusivement par le gouvernement du </w:t>
      </w:r>
      <w:proofErr w:type="gramStart"/>
      <w:r w:rsidRPr="00F52884">
        <w:rPr>
          <w:rFonts w:ascii="Arial" w:eastAsia="Times New Roman" w:hAnsi="Arial" w:cs="Arial"/>
          <w:szCs w:val="23"/>
          <w:lang w:val="fr-FR"/>
        </w:rPr>
        <w:t>Canada;</w:t>
      </w:r>
      <w:proofErr w:type="gramEnd"/>
    </w:p>
    <w:p w14:paraId="4CCAEEB0" w14:textId="77777777" w:rsidR="00AF5F98" w:rsidRPr="00F52884" w:rsidRDefault="00AF5F98" w:rsidP="00AF5F98">
      <w:pPr>
        <w:autoSpaceDE w:val="0"/>
        <w:autoSpaceDN w:val="0"/>
        <w:adjustRightInd w:val="0"/>
        <w:ind w:left="360"/>
        <w:rPr>
          <w:rFonts w:ascii="Arial" w:eastAsia="Times New Roman" w:hAnsi="Arial" w:cs="Arial"/>
          <w:szCs w:val="23"/>
          <w:lang w:val="fr-FR"/>
        </w:rPr>
      </w:pPr>
    </w:p>
    <w:p w14:paraId="2033C0B6" w14:textId="0EDBF11D"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CA"/>
        </w:rPr>
        <w:lastRenderedPageBreak/>
        <w:t>passés</w:t>
      </w:r>
      <w:proofErr w:type="gramEnd"/>
      <w:r w:rsidRPr="00F52884">
        <w:rPr>
          <w:rFonts w:ascii="Arial" w:eastAsia="Times New Roman" w:hAnsi="Arial" w:cs="Arial"/>
          <w:szCs w:val="23"/>
          <w:lang w:val="fr-CA"/>
        </w:rPr>
        <w:t xml:space="preserve"> par des commissions en vertu de la </w:t>
      </w:r>
      <w:r w:rsidRPr="00F52884">
        <w:rPr>
          <w:rFonts w:ascii="Arial" w:eastAsia="Times New Roman" w:hAnsi="Arial" w:cs="Arial"/>
          <w:i/>
          <w:iCs/>
          <w:szCs w:val="23"/>
          <w:lang w:val="fr-CA"/>
        </w:rPr>
        <w:t>Loi sur les enquêtes</w:t>
      </w:r>
      <w:r w:rsidRPr="00F52884">
        <w:rPr>
          <w:rFonts w:ascii="Arial" w:eastAsia="Times New Roman" w:hAnsi="Arial" w:cs="Arial"/>
          <w:iCs/>
          <w:szCs w:val="23"/>
          <w:lang w:val="fr-CA"/>
        </w:rPr>
        <w:t>, LRC 1985, c I-11, avec ses modifications</w:t>
      </w:r>
      <w:r w:rsidRPr="00F52884">
        <w:rPr>
          <w:rFonts w:ascii="Arial" w:eastAsia="Times New Roman" w:hAnsi="Arial" w:cs="Arial"/>
          <w:i/>
          <w:iCs/>
          <w:szCs w:val="23"/>
          <w:lang w:val="fr-CA"/>
        </w:rPr>
        <w:t>;</w:t>
      </w:r>
      <w:r w:rsidRPr="00F52884">
        <w:rPr>
          <w:rFonts w:ascii="Arial" w:eastAsia="Times New Roman" w:hAnsi="Arial" w:cs="Arial"/>
          <w:szCs w:val="23"/>
          <w:lang w:val="fr-CA"/>
        </w:rPr>
        <w:t xml:space="preserve"> </w:t>
      </w:r>
    </w:p>
    <w:p w14:paraId="7C74D9BC" w14:textId="77777777" w:rsidR="00AF5F98" w:rsidRPr="00F52884" w:rsidRDefault="00AF5F98" w:rsidP="007C33E1">
      <w:pPr>
        <w:autoSpaceDE w:val="0"/>
        <w:autoSpaceDN w:val="0"/>
        <w:adjustRightInd w:val="0"/>
        <w:ind w:left="1440" w:hanging="720"/>
        <w:rPr>
          <w:rFonts w:ascii="Arial" w:eastAsia="Times New Roman" w:hAnsi="Arial" w:cs="Arial"/>
          <w:szCs w:val="23"/>
          <w:lang w:val="fr-FR"/>
        </w:rPr>
      </w:pPr>
    </w:p>
    <w:p w14:paraId="29D1F669" w14:textId="52AB87F2"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CA"/>
        </w:rPr>
        <w:t>passés</w:t>
      </w:r>
      <w:proofErr w:type="gramEnd"/>
      <w:r w:rsidRPr="00F52884">
        <w:rPr>
          <w:rFonts w:ascii="Arial" w:eastAsia="Times New Roman" w:hAnsi="Arial" w:cs="Arial"/>
          <w:szCs w:val="23"/>
          <w:lang w:val="fr-CA"/>
        </w:rPr>
        <w:t xml:space="preserve"> par une société constituée ou acquise par la Gendarmerie royale du Canada ou pour le compte de celle-ci en vue d’exercer ses fonctions conformément  à la législation du Canada et par toute société qui est détenue à cent pour cent par une telle société;</w:t>
      </w:r>
    </w:p>
    <w:p w14:paraId="76E6F062" w14:textId="77777777" w:rsidR="00AF5F98" w:rsidRPr="00F52884" w:rsidRDefault="00AF5F98" w:rsidP="007C33E1">
      <w:pPr>
        <w:autoSpaceDE w:val="0"/>
        <w:autoSpaceDN w:val="0"/>
        <w:adjustRightInd w:val="0"/>
        <w:ind w:left="1440" w:hanging="720"/>
        <w:rPr>
          <w:rFonts w:ascii="Arial" w:eastAsia="Times New Roman" w:hAnsi="Arial" w:cs="Arial"/>
          <w:szCs w:val="23"/>
          <w:lang w:val="fr-FR"/>
        </w:rPr>
      </w:pPr>
    </w:p>
    <w:p w14:paraId="14A0E26E" w14:textId="12E4120A"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CA"/>
        </w:rPr>
        <w:t>passés</w:t>
      </w:r>
      <w:proofErr w:type="gramEnd"/>
      <w:r w:rsidRPr="00F52884">
        <w:rPr>
          <w:rFonts w:ascii="Arial" w:eastAsia="Times New Roman" w:hAnsi="Arial" w:cs="Arial"/>
          <w:szCs w:val="23"/>
          <w:lang w:val="fr-CA"/>
        </w:rPr>
        <w:t xml:space="preserve"> par une société constituée ou acquise par un service établi en vertu d’une loi du Parlement ou pour le compte d’un tel service afin de recueillir de l’information et des renseignements concernant la sécurité du Canada, et par toute société qui est détenue à cent pour cent par une telle société;</w:t>
      </w:r>
    </w:p>
    <w:p w14:paraId="7B1B4F21" w14:textId="77777777" w:rsidR="00AF5F98" w:rsidRPr="00F52884" w:rsidRDefault="00AF5F98" w:rsidP="007C33E1">
      <w:pPr>
        <w:autoSpaceDE w:val="0"/>
        <w:autoSpaceDN w:val="0"/>
        <w:adjustRightInd w:val="0"/>
        <w:ind w:left="1440" w:hanging="720"/>
        <w:rPr>
          <w:rFonts w:ascii="Arial" w:eastAsia="Times New Roman" w:hAnsi="Arial" w:cs="Arial"/>
          <w:szCs w:val="23"/>
          <w:lang w:val="fr-FR"/>
        </w:rPr>
      </w:pPr>
    </w:p>
    <w:p w14:paraId="61B79587" w14:textId="7E1DE639"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CA"/>
        </w:rPr>
        <w:t>relatifs</w:t>
      </w:r>
      <w:proofErr w:type="gramEnd"/>
      <w:r w:rsidRPr="00F52884">
        <w:rPr>
          <w:rFonts w:ascii="Arial" w:eastAsia="Times New Roman" w:hAnsi="Arial" w:cs="Arial"/>
          <w:szCs w:val="23"/>
          <w:lang w:val="fr-CA"/>
        </w:rPr>
        <w:t xml:space="preserve"> aux activités d’intervention de la Société d’assurance-dépôts du Canada ou de ses filiales, ni aux marchés  passés par toute filiale créée dans le cadre de telles activités d’intervention;</w:t>
      </w:r>
    </w:p>
    <w:p w14:paraId="5AF055A6" w14:textId="77777777" w:rsidR="00AF5F98" w:rsidRPr="00F52884" w:rsidRDefault="00AF5F98" w:rsidP="007C33E1">
      <w:pPr>
        <w:autoSpaceDE w:val="0"/>
        <w:autoSpaceDN w:val="0"/>
        <w:adjustRightInd w:val="0"/>
        <w:ind w:left="1440" w:hanging="720"/>
        <w:rPr>
          <w:rFonts w:ascii="Arial" w:eastAsia="Times New Roman" w:hAnsi="Arial" w:cs="Arial"/>
          <w:szCs w:val="23"/>
          <w:lang w:val="fr-FR"/>
        </w:rPr>
      </w:pPr>
    </w:p>
    <w:p w14:paraId="5112B9F0" w14:textId="65A16757"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CA"/>
        </w:rPr>
        <w:t>passés</w:t>
      </w:r>
      <w:proofErr w:type="gramEnd"/>
      <w:r w:rsidRPr="00F52884">
        <w:rPr>
          <w:rFonts w:ascii="Arial" w:eastAsia="Times New Roman" w:hAnsi="Arial" w:cs="Arial"/>
          <w:szCs w:val="23"/>
          <w:lang w:val="fr-CA"/>
        </w:rPr>
        <w:t xml:space="preserve"> par la Société immobilière du Canada limitée ou ses filiales en vue du développement de biens immobiliers à des fins de vente ou de revente commerciales;</w:t>
      </w:r>
    </w:p>
    <w:p w14:paraId="567416F6" w14:textId="77777777" w:rsidR="00AF5F98" w:rsidRPr="00F52884" w:rsidRDefault="00AF5F98" w:rsidP="007C33E1">
      <w:pPr>
        <w:ind w:left="1440" w:hanging="720"/>
        <w:rPr>
          <w:rFonts w:ascii="Arial" w:eastAsia="Times New Roman" w:hAnsi="Arial" w:cs="Arial"/>
          <w:szCs w:val="23"/>
          <w:lang w:val="fr-FR"/>
        </w:rPr>
      </w:pPr>
    </w:p>
    <w:p w14:paraId="3EA1AEFD" w14:textId="76313933"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FR"/>
        </w:rPr>
      </w:pPr>
      <w:proofErr w:type="gramStart"/>
      <w:r w:rsidRPr="00F52884">
        <w:rPr>
          <w:rFonts w:ascii="Arial" w:eastAsia="Times New Roman" w:hAnsi="Arial" w:cs="Arial"/>
          <w:szCs w:val="23"/>
          <w:lang w:val="fr-CA"/>
        </w:rPr>
        <w:t>passés</w:t>
      </w:r>
      <w:proofErr w:type="gramEnd"/>
      <w:r w:rsidRPr="00F52884">
        <w:rPr>
          <w:rFonts w:ascii="Arial" w:eastAsia="Times New Roman" w:hAnsi="Arial" w:cs="Arial"/>
          <w:szCs w:val="23"/>
          <w:lang w:val="fr-CA"/>
        </w:rPr>
        <w:t xml:space="preserve"> par une entité succédant à une entité dont les marchés ne sont pas couverts par le présent chapitre;</w:t>
      </w:r>
    </w:p>
    <w:p w14:paraId="5BC2EEA9" w14:textId="77777777" w:rsidR="00AF5F98" w:rsidRPr="00F52884" w:rsidRDefault="00AF5F98" w:rsidP="007C33E1">
      <w:pPr>
        <w:ind w:left="1440" w:hanging="720"/>
        <w:rPr>
          <w:rFonts w:ascii="Arial" w:eastAsia="Times New Roman" w:hAnsi="Arial" w:cs="Arial"/>
          <w:szCs w:val="23"/>
          <w:lang w:val="fr-FR"/>
        </w:rPr>
      </w:pPr>
    </w:p>
    <w:p w14:paraId="4001F1D6" w14:textId="6D5D1217"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relatifs</w:t>
      </w:r>
      <w:proofErr w:type="gramEnd"/>
      <w:r w:rsidRPr="00F52884">
        <w:rPr>
          <w:rFonts w:ascii="Arial" w:eastAsia="Times New Roman" w:hAnsi="Arial" w:cs="Arial"/>
          <w:szCs w:val="23"/>
          <w:lang w:val="fr-CA"/>
        </w:rPr>
        <w:t xml:space="preserve"> à la construction navale et à la réparation de navires, y compris aux services d’architecture et d’ingénierie connexes, passés par une société d’État à l’égard de laquelle le ministre des Transports est nommé, ou était nommé à la date d'entrée en vigueur, ministre de tutelle; </w:t>
      </w:r>
    </w:p>
    <w:p w14:paraId="25A77D9A" w14:textId="77777777" w:rsidR="00AF5F98" w:rsidRPr="00F52884" w:rsidRDefault="00AF5F98" w:rsidP="007C33E1">
      <w:pPr>
        <w:ind w:left="1440" w:hanging="720"/>
        <w:rPr>
          <w:rFonts w:ascii="Arial" w:eastAsia="Arial" w:hAnsi="Arial" w:cs="Arial"/>
          <w:szCs w:val="23"/>
          <w:lang w:val="fr-FR"/>
        </w:rPr>
      </w:pPr>
    </w:p>
    <w:p w14:paraId="258A5523" w14:textId="2F0C6A4D" w:rsidR="00AF5F98" w:rsidRPr="00F52884" w:rsidRDefault="00AF5F98" w:rsidP="007C33E1">
      <w:pPr>
        <w:numPr>
          <w:ilvl w:val="1"/>
          <w:numId w:val="160"/>
        </w:numPr>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liés</w:t>
      </w:r>
      <w:proofErr w:type="gramEnd"/>
      <w:r w:rsidRPr="00F52884">
        <w:rPr>
          <w:rFonts w:ascii="Arial" w:eastAsia="Times New Roman" w:hAnsi="Arial" w:cs="Arial"/>
          <w:szCs w:val="23"/>
          <w:lang w:val="fr-CA"/>
        </w:rPr>
        <w:t xml:space="preserve"> à un passage international entre le Canada et un autre pays, y compris à la conception, à la construction, à l’exploitation ou à l’entretien du passage et de toute infrastructure connexe; </w:t>
      </w:r>
    </w:p>
    <w:p w14:paraId="46F0F189" w14:textId="77777777" w:rsidR="00AF5F98" w:rsidRPr="00F52884" w:rsidRDefault="00AF5F98" w:rsidP="007C33E1">
      <w:pPr>
        <w:autoSpaceDE w:val="0"/>
        <w:autoSpaceDN w:val="0"/>
        <w:adjustRightInd w:val="0"/>
        <w:ind w:left="1440" w:hanging="720"/>
        <w:rPr>
          <w:rFonts w:ascii="Arial" w:eastAsia="Times New Roman" w:hAnsi="Arial" w:cs="Arial"/>
          <w:szCs w:val="23"/>
          <w:lang w:val="fr-CA"/>
        </w:rPr>
      </w:pPr>
    </w:p>
    <w:p w14:paraId="246EFC19" w14:textId="2154F8C9" w:rsidR="00AF5F98" w:rsidRPr="00F52884" w:rsidRDefault="00AF5F98" w:rsidP="007C33E1">
      <w:pPr>
        <w:numPr>
          <w:ilvl w:val="1"/>
          <w:numId w:val="160"/>
        </w:numPr>
        <w:autoSpaceDE w:val="0"/>
        <w:autoSpaceDN w:val="0"/>
        <w:adjustRightInd w:val="0"/>
        <w:ind w:left="1440" w:hanging="720"/>
        <w:rPr>
          <w:rFonts w:ascii="Arial" w:eastAsia="Arial" w:hAnsi="Arial" w:cs="Arial"/>
          <w:szCs w:val="23"/>
          <w:lang w:val="fr-FR"/>
        </w:rPr>
      </w:pPr>
      <w:proofErr w:type="gramStart"/>
      <w:r w:rsidRPr="00F52884">
        <w:rPr>
          <w:rFonts w:ascii="Arial" w:eastAsia="Arial" w:hAnsi="Arial" w:cs="Arial"/>
          <w:szCs w:val="23"/>
          <w:lang w:val="fr-CA"/>
        </w:rPr>
        <w:t>portant</w:t>
      </w:r>
      <w:proofErr w:type="gramEnd"/>
      <w:r w:rsidRPr="00F52884">
        <w:rPr>
          <w:rFonts w:ascii="Arial" w:eastAsia="Arial" w:hAnsi="Arial" w:cs="Arial"/>
          <w:szCs w:val="23"/>
          <w:lang w:val="fr-CA"/>
        </w:rPr>
        <w:t xml:space="preserve"> sur les services de transport, le crédit-bail et la location d’équipement de transport, ou sur les services de transport rattachés à un marché passé par Marine Atlantique SCC., par la Société canadienne des postes ou par les administrations de pilotage constituées en vertu de la </w:t>
      </w:r>
      <w:r w:rsidRPr="00F52884">
        <w:rPr>
          <w:rFonts w:ascii="Arial" w:eastAsia="Arial" w:hAnsi="Arial" w:cs="Arial"/>
          <w:i/>
          <w:iCs/>
          <w:szCs w:val="23"/>
          <w:lang w:val="fr-CA"/>
        </w:rPr>
        <w:t>Loi sur le pilotage</w:t>
      </w:r>
      <w:r w:rsidRPr="00F52884">
        <w:rPr>
          <w:rFonts w:ascii="Arial" w:eastAsia="Arial" w:hAnsi="Arial" w:cs="Arial"/>
          <w:iCs/>
          <w:szCs w:val="23"/>
          <w:lang w:val="fr-CA"/>
        </w:rPr>
        <w:t>, LRC1985, c P-14</w:t>
      </w:r>
      <w:r w:rsidRPr="00F52884">
        <w:rPr>
          <w:rFonts w:ascii="Arial" w:eastAsia="Arial" w:hAnsi="Arial" w:cs="Arial"/>
          <w:szCs w:val="23"/>
          <w:lang w:val="fr-CA"/>
        </w:rPr>
        <w:t>, avec ses modifications;</w:t>
      </w:r>
    </w:p>
    <w:p w14:paraId="50CA1110" w14:textId="77777777" w:rsidR="00AF5F98" w:rsidRPr="00F52884" w:rsidRDefault="00AF5F98" w:rsidP="007C33E1">
      <w:pPr>
        <w:ind w:left="1440" w:hanging="720"/>
        <w:contextualSpacing/>
        <w:rPr>
          <w:rFonts w:ascii="Arial" w:eastAsia="Arial" w:hAnsi="Arial" w:cs="Arial"/>
          <w:szCs w:val="23"/>
          <w:lang w:val="fr-FR"/>
        </w:rPr>
      </w:pPr>
    </w:p>
    <w:p w14:paraId="72FD85AD" w14:textId="03E9DD44" w:rsidR="00AF5F98" w:rsidRPr="00F52884" w:rsidRDefault="00AF5F98" w:rsidP="007C33E1">
      <w:pPr>
        <w:numPr>
          <w:ilvl w:val="1"/>
          <w:numId w:val="160"/>
        </w:numPr>
        <w:autoSpaceDE w:val="0"/>
        <w:autoSpaceDN w:val="0"/>
        <w:adjustRightInd w:val="0"/>
        <w:ind w:left="1440" w:hanging="720"/>
        <w:rPr>
          <w:rFonts w:ascii="Arial" w:eastAsia="Arial" w:hAnsi="Arial" w:cs="Arial"/>
          <w:szCs w:val="23"/>
          <w:lang w:val="fr-FR"/>
        </w:rPr>
      </w:pPr>
      <w:proofErr w:type="gramStart"/>
      <w:r w:rsidRPr="00F52884">
        <w:rPr>
          <w:rFonts w:ascii="Arial" w:eastAsia="Arial" w:hAnsi="Arial" w:cs="Arial"/>
          <w:szCs w:val="23"/>
          <w:lang w:val="fr-CA"/>
        </w:rPr>
        <w:t>passés</w:t>
      </w:r>
      <w:proofErr w:type="gramEnd"/>
      <w:r w:rsidRPr="00F52884">
        <w:rPr>
          <w:rFonts w:ascii="Arial" w:eastAsia="Arial" w:hAnsi="Arial" w:cs="Arial"/>
          <w:szCs w:val="23"/>
          <w:lang w:val="fr-CA"/>
        </w:rPr>
        <w:t xml:space="preserve"> par l’Administration canadienne de la sûreté du transport aérien portant sur le contrôle de sécurité, y compris les services et les produits liés ou rattachés à ce contrôle; </w:t>
      </w:r>
    </w:p>
    <w:p w14:paraId="41387697" w14:textId="77777777" w:rsidR="00AF5F98" w:rsidRPr="00F52884" w:rsidRDefault="00AF5F98" w:rsidP="007C33E1">
      <w:pPr>
        <w:ind w:left="1440" w:hanging="720"/>
        <w:rPr>
          <w:rFonts w:ascii="Arial" w:eastAsia="Arial" w:hAnsi="Arial" w:cs="Arial"/>
          <w:szCs w:val="23"/>
          <w:lang w:val="fr-FR"/>
        </w:rPr>
      </w:pPr>
    </w:p>
    <w:p w14:paraId="2E2A485D" w14:textId="219B0986" w:rsidR="00AF5F98" w:rsidRPr="00F52884" w:rsidRDefault="00AF5F98" w:rsidP="007C33E1">
      <w:pPr>
        <w:numPr>
          <w:ilvl w:val="1"/>
          <w:numId w:val="160"/>
        </w:numPr>
        <w:autoSpaceDE w:val="0"/>
        <w:autoSpaceDN w:val="0"/>
        <w:adjustRightInd w:val="0"/>
        <w:ind w:left="1440" w:hanging="720"/>
        <w:rPr>
          <w:rFonts w:ascii="Arial" w:eastAsia="Arial" w:hAnsi="Arial" w:cs="Arial"/>
          <w:szCs w:val="23"/>
          <w:lang w:val="fr-FR"/>
        </w:rPr>
      </w:pPr>
      <w:proofErr w:type="gramStart"/>
      <w:r w:rsidRPr="00F52884">
        <w:rPr>
          <w:rFonts w:ascii="Arial" w:eastAsia="Arial" w:hAnsi="Arial" w:cs="Arial"/>
          <w:szCs w:val="23"/>
          <w:lang w:val="fr-CA"/>
        </w:rPr>
        <w:t>liés</w:t>
      </w:r>
      <w:proofErr w:type="gramEnd"/>
      <w:r w:rsidRPr="00F52884">
        <w:rPr>
          <w:rFonts w:ascii="Arial" w:eastAsia="Arial" w:hAnsi="Arial" w:cs="Arial"/>
          <w:szCs w:val="23"/>
          <w:lang w:val="fr-CA"/>
        </w:rPr>
        <w:t xml:space="preserve"> aux projets spatiaux de l’Agence spatiale canadienne; </w:t>
      </w:r>
    </w:p>
    <w:p w14:paraId="12B58AAA" w14:textId="77777777" w:rsidR="00AF5F98" w:rsidRPr="00F52884" w:rsidRDefault="00AF5F98" w:rsidP="007C33E1">
      <w:pPr>
        <w:ind w:left="1440" w:hanging="720"/>
        <w:rPr>
          <w:rFonts w:ascii="Arial" w:eastAsia="Arial" w:hAnsi="Arial" w:cs="Arial"/>
          <w:szCs w:val="23"/>
          <w:lang w:val="fr-FR"/>
        </w:rPr>
      </w:pPr>
    </w:p>
    <w:p w14:paraId="59955CA5" w14:textId="3D0E910C" w:rsidR="00AF5F98" w:rsidRPr="00F52884" w:rsidRDefault="00AF5F98" w:rsidP="007C33E1">
      <w:pPr>
        <w:numPr>
          <w:ilvl w:val="1"/>
          <w:numId w:val="160"/>
        </w:numPr>
        <w:autoSpaceDE w:val="0"/>
        <w:autoSpaceDN w:val="0"/>
        <w:adjustRightInd w:val="0"/>
        <w:ind w:left="1440" w:hanging="720"/>
        <w:rPr>
          <w:rFonts w:ascii="Arial" w:eastAsia="Arial" w:hAnsi="Arial" w:cs="Arial"/>
          <w:szCs w:val="23"/>
          <w:lang w:val="fr-FR"/>
        </w:rPr>
      </w:pPr>
      <w:proofErr w:type="gramStart"/>
      <w:r w:rsidRPr="00F52884">
        <w:rPr>
          <w:rFonts w:ascii="Arial" w:eastAsia="Arial" w:hAnsi="Arial" w:cs="Arial"/>
          <w:szCs w:val="23"/>
          <w:lang w:val="fr-CA"/>
        </w:rPr>
        <w:t>portant</w:t>
      </w:r>
      <w:proofErr w:type="gramEnd"/>
      <w:r w:rsidRPr="00F52884">
        <w:rPr>
          <w:rFonts w:ascii="Arial" w:eastAsia="Arial" w:hAnsi="Arial" w:cs="Arial"/>
          <w:szCs w:val="23"/>
          <w:lang w:val="fr-CA"/>
        </w:rPr>
        <w:t xml:space="preserve"> sur les services de relations publiques;</w:t>
      </w:r>
    </w:p>
    <w:p w14:paraId="52100B52" w14:textId="77777777" w:rsidR="00AF5F98" w:rsidRPr="00F52884" w:rsidRDefault="00AF5F98" w:rsidP="007C33E1">
      <w:pPr>
        <w:autoSpaceDE w:val="0"/>
        <w:autoSpaceDN w:val="0"/>
        <w:adjustRightInd w:val="0"/>
        <w:ind w:left="1440" w:hanging="720"/>
        <w:rPr>
          <w:rFonts w:ascii="Arial" w:eastAsia="Arial" w:hAnsi="Arial" w:cs="Arial"/>
          <w:szCs w:val="23"/>
          <w:lang w:val="fr-FR"/>
        </w:rPr>
      </w:pPr>
    </w:p>
    <w:p w14:paraId="4C8F1969" w14:textId="77777777" w:rsidR="00AF5F98" w:rsidRPr="00F52884" w:rsidRDefault="00AF5F98" w:rsidP="007C33E1">
      <w:pPr>
        <w:numPr>
          <w:ilvl w:val="1"/>
          <w:numId w:val="160"/>
        </w:numPr>
        <w:autoSpaceDE w:val="0"/>
        <w:autoSpaceDN w:val="0"/>
        <w:adjustRightInd w:val="0"/>
        <w:ind w:left="1440" w:hanging="720"/>
        <w:rPr>
          <w:rFonts w:ascii="Arial" w:eastAsia="Arial" w:hAnsi="Arial" w:cs="Arial"/>
          <w:szCs w:val="23"/>
          <w:lang w:val="fr-FR"/>
        </w:rPr>
      </w:pPr>
      <w:proofErr w:type="gramStart"/>
      <w:r w:rsidRPr="00F52884">
        <w:rPr>
          <w:rFonts w:ascii="Arial" w:eastAsia="Arial" w:hAnsi="Arial" w:cs="Arial"/>
          <w:szCs w:val="23"/>
          <w:lang w:val="fr-CA"/>
        </w:rPr>
        <w:t>passés</w:t>
      </w:r>
      <w:proofErr w:type="gramEnd"/>
      <w:r w:rsidRPr="00F52884">
        <w:rPr>
          <w:rFonts w:ascii="Arial" w:eastAsia="Arial" w:hAnsi="Arial" w:cs="Arial"/>
          <w:szCs w:val="23"/>
          <w:lang w:val="fr-CA"/>
        </w:rPr>
        <w:t xml:space="preserve"> dans le but spécifique de fournir une assistance internationale, y compris une aide au développement.</w:t>
      </w:r>
    </w:p>
    <w:p w14:paraId="28CEBC12" w14:textId="77777777" w:rsidR="00AF5F98" w:rsidRPr="00F52884" w:rsidRDefault="00AF5F98" w:rsidP="00AF5F98">
      <w:pPr>
        <w:rPr>
          <w:rFonts w:ascii="Arial" w:eastAsia="Arial" w:hAnsi="Arial" w:cs="Arial"/>
          <w:szCs w:val="23"/>
          <w:lang w:val="fr-FR"/>
        </w:rPr>
      </w:pPr>
    </w:p>
    <w:p w14:paraId="290F27CE" w14:textId="72DF5F7C" w:rsidR="00AF5F98" w:rsidRPr="00F52884" w:rsidRDefault="007C33E1" w:rsidP="007C33E1">
      <w:pPr>
        <w:contextualSpacing/>
        <w:rPr>
          <w:rFonts w:ascii="Arial" w:eastAsia="Arial" w:hAnsi="Arial" w:cs="Arial"/>
          <w:iCs/>
          <w:szCs w:val="23"/>
          <w:lang w:val="fr-FR"/>
        </w:rPr>
      </w:pPr>
      <w:r w:rsidRPr="00F52884">
        <w:rPr>
          <w:rFonts w:ascii="Arial" w:eastAsia="Arial" w:hAnsi="Arial" w:cs="Arial"/>
          <w:szCs w:val="23"/>
          <w:lang w:val="fr-CA"/>
        </w:rPr>
        <w:t>2.</w:t>
      </w:r>
      <w:r w:rsidRPr="00F52884">
        <w:rPr>
          <w:rFonts w:ascii="Arial" w:eastAsia="Arial" w:hAnsi="Arial" w:cs="Arial"/>
          <w:szCs w:val="23"/>
          <w:lang w:val="fr-CA"/>
        </w:rPr>
        <w:tab/>
      </w:r>
      <w:r w:rsidR="00AF5F98" w:rsidRPr="00F52884">
        <w:rPr>
          <w:rFonts w:ascii="Arial" w:eastAsia="Arial" w:hAnsi="Arial" w:cs="Arial"/>
          <w:szCs w:val="23"/>
          <w:lang w:val="fr-CA"/>
        </w:rPr>
        <w:t>Le présent chapitre ne s’applique pas à ce qui suit :</w:t>
      </w:r>
    </w:p>
    <w:p w14:paraId="4576E0C1" w14:textId="77777777" w:rsidR="00AF5F98" w:rsidRPr="00F52884" w:rsidRDefault="00AF5F98" w:rsidP="00AF5F98">
      <w:pPr>
        <w:ind w:left="3240"/>
        <w:contextualSpacing/>
        <w:rPr>
          <w:rFonts w:ascii="Arial" w:eastAsia="Arial" w:hAnsi="Arial" w:cs="Arial"/>
          <w:iCs/>
          <w:szCs w:val="23"/>
          <w:lang w:val="fr-FR"/>
        </w:rPr>
      </w:pPr>
    </w:p>
    <w:p w14:paraId="7C991A8F" w14:textId="0D41562D" w:rsidR="00AF5F98" w:rsidRPr="00F52884" w:rsidRDefault="00AF5F98" w:rsidP="007C33E1">
      <w:pPr>
        <w:numPr>
          <w:ilvl w:val="0"/>
          <w:numId w:val="395"/>
        </w:numPr>
        <w:ind w:left="1440" w:hanging="726"/>
        <w:contextualSpacing/>
        <w:rPr>
          <w:rFonts w:ascii="Arial" w:eastAsia="Arial" w:hAnsi="Arial" w:cs="Arial"/>
          <w:iCs/>
          <w:szCs w:val="23"/>
          <w:lang w:val="fr-FR"/>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retombées industrielles et technologiques appliquées en vertu de la Politique des retombées industrielles et technologiques, ou de toute politique la remplaçant ayant des objectifs semblables, à un marché d’une valeur de plus de 20 millions de dollars, à la condition que l’évaluation des retombées régionales menée dans le cadre du processus d’appel d’offres soit effectuée d’une manière non discriminatoire à l’égard des régions; </w:t>
      </w:r>
    </w:p>
    <w:p w14:paraId="189CE6F9" w14:textId="77777777" w:rsidR="00AF5F98" w:rsidRPr="00F52884" w:rsidRDefault="00AF5F98" w:rsidP="00AF5F98">
      <w:pPr>
        <w:ind w:left="357"/>
        <w:rPr>
          <w:rFonts w:ascii="Arial" w:eastAsia="Arial" w:hAnsi="Arial" w:cs="Arial"/>
          <w:iCs/>
          <w:szCs w:val="23"/>
          <w:lang w:val="fr-FR"/>
        </w:rPr>
      </w:pPr>
    </w:p>
    <w:p w14:paraId="56559E38" w14:textId="6A2C5147" w:rsidR="00AF5F98" w:rsidRPr="00F52884" w:rsidRDefault="00AF5F98" w:rsidP="007C33E1">
      <w:pPr>
        <w:numPr>
          <w:ilvl w:val="0"/>
          <w:numId w:val="395"/>
        </w:numPr>
        <w:ind w:left="1440" w:hanging="726"/>
        <w:contextualSpacing/>
        <w:rPr>
          <w:rFonts w:ascii="Arial" w:eastAsia="Arial" w:hAnsi="Arial" w:cs="Arial"/>
          <w:iCs/>
          <w:szCs w:val="23"/>
          <w:lang w:val="fr-FR"/>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retombées industrielles et régionales appliquées en vertu de la Politique des retombées industrielles et régionales à un marché d’une valeur de plus de deux millions de dollars, à la condition que l’évaluation des retombées régionales menée dans le cadre du processus d’appel d’offres soit effectuée d’une manière non discriminatoire à l’égard des régions.  </w:t>
      </w:r>
    </w:p>
    <w:p w14:paraId="2DA3BA4A" w14:textId="77777777" w:rsidR="00AF5F98" w:rsidRPr="00F52884" w:rsidRDefault="00AF5F98" w:rsidP="00AF5F98">
      <w:pPr>
        <w:ind w:left="360"/>
        <w:contextualSpacing/>
        <w:rPr>
          <w:rFonts w:ascii="Arial" w:eastAsia="Arial" w:hAnsi="Arial" w:cs="Arial"/>
          <w:iCs/>
          <w:szCs w:val="23"/>
          <w:lang w:val="fr-FR"/>
        </w:rPr>
      </w:pPr>
    </w:p>
    <w:p w14:paraId="7D2E6A97" w14:textId="76AE86D9" w:rsidR="00AF5F98" w:rsidRPr="00F52884" w:rsidRDefault="007C33E1" w:rsidP="007C33E1">
      <w:pPr>
        <w:ind w:left="720" w:hanging="720"/>
        <w:contextualSpacing/>
        <w:rPr>
          <w:rFonts w:ascii="Arial" w:eastAsia="Arial" w:hAnsi="Arial" w:cs="Arial"/>
          <w:iCs/>
          <w:szCs w:val="23"/>
          <w:lang w:val="fr-FR"/>
        </w:rPr>
      </w:pPr>
      <w:r w:rsidRPr="00F52884">
        <w:rPr>
          <w:rFonts w:ascii="Arial" w:eastAsia="Arial" w:hAnsi="Arial" w:cs="Arial"/>
          <w:szCs w:val="23"/>
          <w:lang w:val="fr-FR"/>
        </w:rPr>
        <w:t>3.</w:t>
      </w:r>
      <w:r w:rsidRPr="00F52884">
        <w:rPr>
          <w:rFonts w:ascii="Arial" w:eastAsia="Arial" w:hAnsi="Arial" w:cs="Arial"/>
          <w:szCs w:val="23"/>
          <w:lang w:val="fr-FR"/>
        </w:rPr>
        <w:tab/>
      </w:r>
      <w:r w:rsidR="00AF5F98" w:rsidRPr="00F52884">
        <w:rPr>
          <w:rFonts w:ascii="Arial" w:eastAsia="Arial" w:hAnsi="Arial" w:cs="Arial"/>
          <w:szCs w:val="23"/>
          <w:lang w:val="fr-CA"/>
        </w:rPr>
        <w:t>Le gouvernement du Canada se réserve le droit d’exclure toute entité nouvellement créée de l’application du présent chapitre dans les cas où la divulgation des marchés passés par cette entité mettrait en danger la sécurité des Canadiens.</w:t>
      </w:r>
    </w:p>
    <w:p w14:paraId="78BC2E85" w14:textId="77777777" w:rsidR="00AF5F98" w:rsidRPr="00F52884" w:rsidRDefault="00AF5F98" w:rsidP="00AF5F98">
      <w:pPr>
        <w:ind w:left="360"/>
        <w:contextualSpacing/>
        <w:rPr>
          <w:rFonts w:ascii="Arial" w:eastAsia="Arial" w:hAnsi="Arial" w:cs="Arial"/>
          <w:iCs/>
          <w:szCs w:val="23"/>
          <w:lang w:val="fr-FR"/>
        </w:rPr>
      </w:pPr>
    </w:p>
    <w:p w14:paraId="62B46FFF" w14:textId="77777777" w:rsidR="00AF5F98" w:rsidRPr="00F52884" w:rsidRDefault="00AF5F98" w:rsidP="00AF5F98">
      <w:pPr>
        <w:rPr>
          <w:lang w:val="fr-CA"/>
        </w:rPr>
      </w:pPr>
    </w:p>
    <w:p w14:paraId="3F3971CA" w14:textId="77777777" w:rsidR="00AF5F98" w:rsidRPr="00F52884" w:rsidRDefault="00AF5F98">
      <w:pPr>
        <w:rPr>
          <w:rFonts w:ascii="Arial" w:eastAsia="SimHei" w:hAnsi="Arial" w:cs="Arial"/>
          <w:b/>
          <w:bCs/>
          <w:szCs w:val="23"/>
          <w:lang w:val="fr-CA"/>
        </w:rPr>
      </w:pPr>
    </w:p>
    <w:p w14:paraId="19CF184B" w14:textId="77777777" w:rsidR="00AF5F98" w:rsidRPr="00F52884" w:rsidRDefault="00AF5F98">
      <w:pPr>
        <w:rPr>
          <w:rFonts w:ascii="Arial" w:eastAsia="SimHei" w:hAnsi="Arial" w:cs="Arial"/>
          <w:b/>
          <w:bCs/>
          <w:szCs w:val="23"/>
          <w:lang w:val="fr-CA"/>
        </w:rPr>
      </w:pPr>
      <w:r w:rsidRPr="00F52884">
        <w:rPr>
          <w:rFonts w:ascii="Arial" w:eastAsia="SimHei" w:hAnsi="Arial" w:cs="Arial"/>
          <w:b/>
          <w:bCs/>
          <w:szCs w:val="23"/>
          <w:lang w:val="fr-CA"/>
        </w:rPr>
        <w:br w:type="page"/>
      </w:r>
    </w:p>
    <w:p w14:paraId="38E3BAC8" w14:textId="77777777" w:rsidR="00AF5F98" w:rsidRPr="00F52884" w:rsidRDefault="00AF5F98" w:rsidP="00F52884">
      <w:pPr>
        <w:pStyle w:val="Heading3"/>
        <w:jc w:val="center"/>
        <w:rPr>
          <w:sz w:val="24"/>
          <w:szCs w:val="24"/>
          <w:lang w:val="fr-FR"/>
        </w:rPr>
      </w:pPr>
      <w:bookmarkStart w:id="35" w:name="_Toc156311761"/>
      <w:r w:rsidRPr="00F52884">
        <w:rPr>
          <w:sz w:val="24"/>
          <w:szCs w:val="24"/>
          <w:lang w:val="fr-CA"/>
        </w:rPr>
        <w:lastRenderedPageBreak/>
        <w:t>Liste de l’Ontario</w:t>
      </w:r>
      <w:bookmarkEnd w:id="32"/>
      <w:bookmarkEnd w:id="35"/>
    </w:p>
    <w:p w14:paraId="138153B7" w14:textId="77777777" w:rsidR="00AF5F98" w:rsidRPr="00F52884" w:rsidRDefault="00AF5F98" w:rsidP="00AF5F98">
      <w:pPr>
        <w:contextualSpacing/>
        <w:jc w:val="center"/>
        <w:rPr>
          <w:rFonts w:ascii="Arial" w:eastAsia="Times New Roman" w:hAnsi="Arial" w:cs="Arial"/>
          <w:szCs w:val="23"/>
          <w:lang w:val="fr-FR"/>
        </w:rPr>
      </w:pPr>
    </w:p>
    <w:p w14:paraId="63754AC7" w14:textId="3FAF21FB" w:rsidR="00AF5F98" w:rsidRPr="00F52884" w:rsidRDefault="00AF5F98" w:rsidP="00AF5F98">
      <w:pPr>
        <w:contextualSpacing/>
        <w:jc w:val="center"/>
        <w:rPr>
          <w:rFonts w:ascii="Arial" w:eastAsia="Times New Roman" w:hAnsi="Arial" w:cs="Arial"/>
          <w:b/>
          <w:bCs/>
          <w:szCs w:val="23"/>
          <w:lang w:val="fr-CA"/>
        </w:rPr>
      </w:pPr>
      <w:r w:rsidRPr="00F52884">
        <w:rPr>
          <w:rFonts w:ascii="Arial" w:eastAsia="Times New Roman" w:hAnsi="Arial" w:cs="Arial"/>
          <w:b/>
          <w:bCs/>
          <w:szCs w:val="23"/>
          <w:lang w:val="fr-CA"/>
        </w:rPr>
        <w:t>Marchés publics – Exceptions</w:t>
      </w:r>
    </w:p>
    <w:p w14:paraId="341E3CA9" w14:textId="77777777" w:rsidR="00AF5F98" w:rsidRPr="00F52884" w:rsidRDefault="00AF5F98" w:rsidP="00AF5F98">
      <w:pPr>
        <w:contextualSpacing/>
        <w:jc w:val="center"/>
        <w:rPr>
          <w:rFonts w:ascii="Arial" w:eastAsia="Times New Roman" w:hAnsi="Arial" w:cs="Arial"/>
          <w:szCs w:val="23"/>
          <w:lang w:val="fr-FR"/>
        </w:rPr>
      </w:pPr>
    </w:p>
    <w:p w14:paraId="070A00BB" w14:textId="2028DAD5"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En ce qui concerne l’Ontario, le présent chapitre ne couvre pas ce qui suit :</w:t>
      </w:r>
    </w:p>
    <w:p w14:paraId="25CAB78A" w14:textId="77777777" w:rsidR="00AF5F98" w:rsidRPr="00F52884" w:rsidRDefault="00AF5F98" w:rsidP="00AF5F98">
      <w:pPr>
        <w:rPr>
          <w:rFonts w:ascii="Arial" w:eastAsia="Arial" w:hAnsi="Arial" w:cs="Arial"/>
          <w:b/>
          <w:szCs w:val="23"/>
          <w:lang w:val="fr-FR"/>
        </w:rPr>
      </w:pPr>
    </w:p>
    <w:p w14:paraId="6CEFE60C" w14:textId="77777777" w:rsidR="00AF5F98" w:rsidRPr="00F52884" w:rsidRDefault="00AF5F98" w:rsidP="00AF5F98">
      <w:pPr>
        <w:numPr>
          <w:ilvl w:val="0"/>
          <w:numId w:val="211"/>
        </w:numPr>
        <w:ind w:hanging="720"/>
        <w:contextualSpacing/>
        <w:rPr>
          <w:rFonts w:ascii="Arial" w:eastAsia="Arial" w:hAnsi="Arial" w:cs="Arial"/>
          <w:b/>
          <w:szCs w:val="23"/>
        </w:rPr>
      </w:pPr>
      <w:r w:rsidRPr="00F52884">
        <w:rPr>
          <w:rFonts w:ascii="Arial" w:eastAsia="Arial" w:hAnsi="Arial" w:cs="Arial"/>
          <w:b/>
          <w:bCs/>
          <w:szCs w:val="23"/>
          <w:lang w:val="fr-CA"/>
        </w:rPr>
        <w:t>Entités exclues</w:t>
      </w:r>
    </w:p>
    <w:p w14:paraId="4A594E0C" w14:textId="77777777" w:rsidR="00AF5F98" w:rsidRPr="00F52884" w:rsidRDefault="00AF5F98" w:rsidP="00AF5F98">
      <w:pPr>
        <w:rPr>
          <w:rFonts w:ascii="Arial" w:eastAsia="Arial" w:hAnsi="Arial" w:cs="Arial"/>
          <w:szCs w:val="23"/>
        </w:rPr>
      </w:pPr>
    </w:p>
    <w:p w14:paraId="5F140D95" w14:textId="5A5FD905"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Les entités suivantes ne sont pas couvertes par le présent chapitre :</w:t>
      </w:r>
    </w:p>
    <w:p w14:paraId="1F59E433" w14:textId="77777777" w:rsidR="00AF5F98" w:rsidRPr="00F52884" w:rsidRDefault="00AF5F98" w:rsidP="00AF5F98">
      <w:pPr>
        <w:rPr>
          <w:rFonts w:ascii="Arial" w:eastAsia="Arial" w:hAnsi="Arial" w:cs="Arial"/>
          <w:szCs w:val="23"/>
          <w:lang w:val="fr-FR"/>
        </w:rPr>
      </w:pPr>
    </w:p>
    <w:p w14:paraId="56942E8D" w14:textId="77777777" w:rsidR="00AF5F98" w:rsidRPr="00F52884" w:rsidRDefault="00AF5F98" w:rsidP="00AF5F98">
      <w:pPr>
        <w:numPr>
          <w:ilvl w:val="0"/>
          <w:numId w:val="210"/>
        </w:numPr>
        <w:ind w:hanging="720"/>
        <w:contextualSpacing/>
        <w:rPr>
          <w:rFonts w:ascii="Arial" w:eastAsia="Arial" w:hAnsi="Arial" w:cs="Arial"/>
          <w:szCs w:val="23"/>
        </w:rPr>
      </w:pPr>
      <w:r w:rsidRPr="00F52884">
        <w:rPr>
          <w:rFonts w:ascii="Arial" w:eastAsia="Arial" w:hAnsi="Arial" w:cs="Arial"/>
          <w:szCs w:val="23"/>
          <w:lang w:val="fr-CA"/>
        </w:rPr>
        <w:t>Bureaux de l’Assemblée législative</w:t>
      </w:r>
    </w:p>
    <w:p w14:paraId="0DCAAFA4" w14:textId="77777777" w:rsidR="00AF5F98" w:rsidRPr="00F52884" w:rsidRDefault="00AF5F98" w:rsidP="00AF5F98">
      <w:pPr>
        <w:spacing w:before="60" w:after="60"/>
        <w:ind w:left="720"/>
        <w:contextualSpacing/>
        <w:rPr>
          <w:rFonts w:ascii="Arial" w:eastAsia="Arial" w:hAnsi="Arial" w:cs="Arial"/>
          <w:b/>
          <w:szCs w:val="23"/>
        </w:rPr>
      </w:pPr>
    </w:p>
    <w:p w14:paraId="33C0E6F1" w14:textId="77777777" w:rsidR="00AF5F98" w:rsidRPr="00F52884" w:rsidRDefault="00AF5F98" w:rsidP="00AF5F98">
      <w:pPr>
        <w:numPr>
          <w:ilvl w:val="0"/>
          <w:numId w:val="211"/>
        </w:numPr>
        <w:ind w:hanging="720"/>
        <w:contextualSpacing/>
        <w:rPr>
          <w:rFonts w:ascii="Arial" w:eastAsia="Arial" w:hAnsi="Arial" w:cs="Arial"/>
          <w:b/>
          <w:szCs w:val="23"/>
        </w:rPr>
      </w:pPr>
      <w:r w:rsidRPr="00F52884">
        <w:rPr>
          <w:rFonts w:ascii="Arial" w:eastAsia="Arial" w:hAnsi="Arial" w:cs="Arial"/>
          <w:b/>
          <w:bCs/>
          <w:szCs w:val="23"/>
          <w:lang w:val="fr-CA"/>
        </w:rPr>
        <w:t>Exceptions et remarques</w:t>
      </w:r>
    </w:p>
    <w:p w14:paraId="0A688684" w14:textId="77777777" w:rsidR="00AF5F98" w:rsidRPr="00F52884" w:rsidRDefault="00AF5F98" w:rsidP="00AF5F98">
      <w:pPr>
        <w:ind w:left="720"/>
        <w:contextualSpacing/>
        <w:rPr>
          <w:rFonts w:ascii="Arial" w:eastAsia="Arial" w:hAnsi="Arial" w:cs="Arial"/>
          <w:b/>
          <w:szCs w:val="23"/>
        </w:rPr>
      </w:pPr>
    </w:p>
    <w:p w14:paraId="66FD3D0F" w14:textId="2114BB55" w:rsidR="00AF5F98" w:rsidRPr="00F52884" w:rsidRDefault="00AF5F98" w:rsidP="00AF5F98">
      <w:pPr>
        <w:numPr>
          <w:ilvl w:val="0"/>
          <w:numId w:val="212"/>
        </w:numPr>
        <w:ind w:hanging="720"/>
        <w:contextualSpacing/>
        <w:rPr>
          <w:rFonts w:ascii="Arial" w:eastAsia="Arial" w:hAnsi="Arial" w:cs="Arial"/>
          <w:szCs w:val="23"/>
          <w:lang w:val="fr-FR"/>
        </w:rPr>
      </w:pPr>
      <w:r w:rsidRPr="00F52884">
        <w:rPr>
          <w:rFonts w:ascii="Arial" w:eastAsia="Arial" w:hAnsi="Arial" w:cs="Arial"/>
          <w:szCs w:val="23"/>
          <w:lang w:val="fr-CA"/>
        </w:rPr>
        <w:t>L’article 507.1 et l’article 509.1 ne s’appliquent pas aux marchés ayant pour objectif la réduction de la pauvreté pour les personnes physiques défavorisées lorsque la valeur de ces marchés est inférieure à 200 000 $.</w:t>
      </w:r>
    </w:p>
    <w:p w14:paraId="1C1C50C0" w14:textId="77777777" w:rsidR="00AF5F98" w:rsidRPr="00F52884" w:rsidRDefault="00AF5F98" w:rsidP="00AF5F98">
      <w:pPr>
        <w:ind w:left="720"/>
        <w:contextualSpacing/>
        <w:rPr>
          <w:rFonts w:ascii="Arial" w:eastAsia="Arial" w:hAnsi="Arial" w:cs="Arial"/>
          <w:szCs w:val="23"/>
          <w:lang w:val="fr-FR"/>
        </w:rPr>
      </w:pPr>
    </w:p>
    <w:p w14:paraId="0552A999" w14:textId="4718A7D2" w:rsidR="00AF5F98" w:rsidRPr="00F52884" w:rsidRDefault="00AF5F98" w:rsidP="00AF5F98">
      <w:pPr>
        <w:numPr>
          <w:ilvl w:val="0"/>
          <w:numId w:val="212"/>
        </w:numPr>
        <w:ind w:hanging="720"/>
        <w:contextualSpacing/>
        <w:rPr>
          <w:rFonts w:ascii="Arial" w:eastAsia="Arial" w:hAnsi="Arial" w:cs="Arial"/>
          <w:b/>
          <w:szCs w:val="23"/>
          <w:lang w:val="fr-FR"/>
        </w:rPr>
      </w:pPr>
      <w:r w:rsidRPr="00F52884">
        <w:rPr>
          <w:rFonts w:ascii="Arial" w:eastAsia="Arial" w:hAnsi="Arial" w:cs="Arial"/>
          <w:szCs w:val="23"/>
          <w:lang w:val="fr-CA"/>
        </w:rPr>
        <w:t>Le présent chapitre ne couvre pas les marchés liés à un passage international appartenant conjointement à l’Ontario et à un autre pays, ou à une administration sous-centrale de ce pays, y compris à la conception, à la construction, à l’exploitation ou à l’entretien du passage et de toute infrastructure connexe. La présente exception ne s’applique pas aux marchés passés uniquement par l’Ontario.</w:t>
      </w:r>
    </w:p>
    <w:p w14:paraId="4F410FDF" w14:textId="77777777" w:rsidR="00AF5F98" w:rsidRPr="00F52884" w:rsidRDefault="00AF5F98" w:rsidP="00AF5F98">
      <w:pPr>
        <w:jc w:val="center"/>
        <w:rPr>
          <w:rFonts w:ascii="Arial" w:eastAsia="Arial" w:hAnsi="Arial" w:cs="Arial"/>
          <w:b/>
          <w:szCs w:val="23"/>
          <w:lang w:val="fr-FR"/>
        </w:rPr>
      </w:pPr>
    </w:p>
    <w:p w14:paraId="0E0ACE2F" w14:textId="77777777" w:rsidR="00AF5F98" w:rsidRPr="00F52884" w:rsidRDefault="00AF5F98" w:rsidP="00AF5F98">
      <w:pPr>
        <w:jc w:val="center"/>
        <w:rPr>
          <w:rFonts w:ascii="Arial" w:eastAsia="Arial" w:hAnsi="Arial" w:cs="Arial"/>
          <w:b/>
          <w:szCs w:val="23"/>
          <w:lang w:val="fr-FR"/>
        </w:rPr>
      </w:pPr>
    </w:p>
    <w:p w14:paraId="4F949154"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11981C75" w14:textId="77777777" w:rsidR="00AF5F98" w:rsidRPr="00F52884" w:rsidRDefault="00AF5F98" w:rsidP="00F52884">
      <w:pPr>
        <w:pStyle w:val="Heading3"/>
        <w:jc w:val="center"/>
        <w:rPr>
          <w:sz w:val="24"/>
          <w:szCs w:val="24"/>
          <w:lang w:val="fr-FR"/>
        </w:rPr>
      </w:pPr>
      <w:bookmarkStart w:id="36" w:name="_Toc476566309"/>
      <w:bookmarkStart w:id="37" w:name="_Toc156311762"/>
      <w:r w:rsidRPr="00F52884">
        <w:rPr>
          <w:sz w:val="24"/>
          <w:szCs w:val="24"/>
          <w:lang w:val="fr-CA"/>
        </w:rPr>
        <w:lastRenderedPageBreak/>
        <w:t>Liste du Québec</w:t>
      </w:r>
      <w:bookmarkEnd w:id="36"/>
      <w:bookmarkEnd w:id="37"/>
    </w:p>
    <w:p w14:paraId="13887F49" w14:textId="77777777" w:rsidR="00AF5F98" w:rsidRPr="00F52884" w:rsidRDefault="00AF5F98" w:rsidP="00AF5F98">
      <w:pPr>
        <w:rPr>
          <w:rFonts w:ascii="Arial" w:eastAsia="Times New Roman" w:hAnsi="Arial" w:cs="Arial"/>
          <w:szCs w:val="23"/>
          <w:lang w:val="fr-FR"/>
        </w:rPr>
      </w:pPr>
    </w:p>
    <w:p w14:paraId="7687D1A2" w14:textId="17EAF03E" w:rsidR="00AF5F98" w:rsidRPr="00F52884" w:rsidRDefault="00AF5F98" w:rsidP="00F52884">
      <w:pPr>
        <w:spacing w:after="120"/>
        <w:jc w:val="center"/>
        <w:rPr>
          <w:rFonts w:ascii="Arial" w:eastAsia="Arial" w:hAnsi="Arial" w:cs="Arial"/>
          <w:b/>
          <w:bCs/>
          <w:szCs w:val="23"/>
          <w:shd w:val="clear" w:color="auto" w:fill="FFFFFF"/>
          <w:lang w:val="fr-CA"/>
        </w:rPr>
      </w:pPr>
      <w:r w:rsidRPr="00F52884">
        <w:rPr>
          <w:rFonts w:ascii="Arial" w:eastAsia="Arial" w:hAnsi="Arial" w:cs="Arial"/>
          <w:b/>
          <w:bCs/>
          <w:szCs w:val="23"/>
          <w:shd w:val="clear" w:color="auto" w:fill="FFFFFF"/>
          <w:lang w:val="fr-CA"/>
        </w:rPr>
        <w:t>Marchés publics – Exceptions</w:t>
      </w:r>
    </w:p>
    <w:p w14:paraId="538223F2" w14:textId="77777777" w:rsidR="00AF5F98" w:rsidRPr="00F52884" w:rsidRDefault="00AF5F98" w:rsidP="00AF5F98">
      <w:pPr>
        <w:spacing w:after="120"/>
        <w:rPr>
          <w:rFonts w:ascii="Arial" w:eastAsia="Arial" w:hAnsi="Arial" w:cs="Arial"/>
          <w:b/>
          <w:bCs/>
          <w:szCs w:val="23"/>
          <w:shd w:val="clear" w:color="auto" w:fill="FFFFFF"/>
          <w:lang w:val="fr-CA"/>
        </w:rPr>
      </w:pPr>
    </w:p>
    <w:p w14:paraId="42A9CA90" w14:textId="77777777" w:rsidR="00AF5F98" w:rsidRPr="00F52884" w:rsidRDefault="00AF5F98" w:rsidP="00996A22">
      <w:pPr>
        <w:rPr>
          <w:lang w:val="fr-FR"/>
        </w:rPr>
      </w:pPr>
      <w:r w:rsidRPr="00F52884">
        <w:rPr>
          <w:lang w:val="fr-CA"/>
        </w:rPr>
        <w:t>En ce qui concerne le Québec, le présent chapitre ne couvre pas ce qui suit :</w:t>
      </w:r>
    </w:p>
    <w:p w14:paraId="06CCD361" w14:textId="77777777" w:rsidR="00AF5F98" w:rsidRPr="00F52884" w:rsidRDefault="00AF5F98" w:rsidP="00996A22">
      <w:pPr>
        <w:rPr>
          <w:b/>
          <w:bCs/>
          <w:shd w:val="clear" w:color="auto" w:fill="FFFFFF"/>
          <w:lang w:val="fr-FR"/>
        </w:rPr>
      </w:pPr>
    </w:p>
    <w:p w14:paraId="0C2671EC" w14:textId="2B0F42E8" w:rsidR="007C33E1" w:rsidRPr="00F52884" w:rsidRDefault="00AF5F98" w:rsidP="00996A22">
      <w:pPr>
        <w:rPr>
          <w:shd w:val="clear" w:color="auto" w:fill="FFFFFF"/>
          <w:lang w:val="fr-CA"/>
        </w:rPr>
      </w:pPr>
      <w:r w:rsidRPr="00F52884">
        <w:rPr>
          <w:b/>
          <w:shd w:val="clear" w:color="auto" w:fill="FFFFFF"/>
          <w:lang w:val="fr-CA"/>
        </w:rPr>
        <w:t>A.</w:t>
      </w:r>
      <w:r w:rsidRPr="00F52884">
        <w:rPr>
          <w:b/>
          <w:shd w:val="clear" w:color="auto" w:fill="FFFFFF"/>
          <w:lang w:val="fr-CA"/>
        </w:rPr>
        <w:tab/>
      </w:r>
      <w:r w:rsidR="007C33E1" w:rsidRPr="00F52884">
        <w:rPr>
          <w:b/>
          <w:shd w:val="clear" w:color="auto" w:fill="FFFFFF"/>
          <w:lang w:val="fr-CA"/>
        </w:rPr>
        <w:t>Entités exclues</w:t>
      </w:r>
    </w:p>
    <w:p w14:paraId="4389A80E" w14:textId="77777777" w:rsidR="007C33E1" w:rsidRPr="00F52884" w:rsidRDefault="007C33E1" w:rsidP="007C33E1">
      <w:pPr>
        <w:rPr>
          <w:shd w:val="clear" w:color="auto" w:fill="FFFFFF"/>
          <w:lang w:val="fr-CA"/>
        </w:rPr>
      </w:pPr>
    </w:p>
    <w:p w14:paraId="6CC23D14" w14:textId="5A73125E" w:rsidR="00AF5F98" w:rsidRPr="00F52884" w:rsidRDefault="00AF5F98" w:rsidP="007C33E1">
      <w:pPr>
        <w:rPr>
          <w:shd w:val="clear" w:color="auto" w:fill="FFFFFF"/>
          <w:lang w:val="fr-CA"/>
        </w:rPr>
      </w:pPr>
      <w:r w:rsidRPr="00F52884">
        <w:rPr>
          <w:shd w:val="clear" w:color="auto" w:fill="FFFFFF"/>
          <w:lang w:val="fr-CA"/>
        </w:rPr>
        <w:t>Les entités suivantes ne sont pas couvertes par le présent chapitre :</w:t>
      </w:r>
    </w:p>
    <w:p w14:paraId="72AE1C7A" w14:textId="77777777" w:rsidR="00AF5F98" w:rsidRPr="00F52884" w:rsidRDefault="00AF5F98" w:rsidP="00AF5F98">
      <w:pPr>
        <w:rPr>
          <w:rFonts w:ascii="Arial" w:eastAsia="Arial" w:hAnsi="Arial" w:cs="Arial"/>
          <w:szCs w:val="23"/>
          <w:shd w:val="clear" w:color="auto" w:fill="FFFFFF"/>
          <w:lang w:val="fr-CA"/>
        </w:rPr>
      </w:pPr>
    </w:p>
    <w:p w14:paraId="1C876A09" w14:textId="0B948A2D" w:rsidR="00AF5F98" w:rsidRPr="00F52884" w:rsidRDefault="00AF5F98" w:rsidP="00F52884">
      <w:pPr>
        <w:pStyle w:val="ListParagraph"/>
        <w:numPr>
          <w:ilvl w:val="0"/>
          <w:numId w:val="394"/>
        </w:numPr>
        <w:shd w:val="clear" w:color="auto" w:fill="FFFFFF"/>
        <w:ind w:right="150" w:hanging="720"/>
        <w:rPr>
          <w:rFonts w:ascii="Arial" w:eastAsia="Arial" w:hAnsi="Arial" w:cs="Arial"/>
          <w:szCs w:val="23"/>
          <w:shd w:val="clear" w:color="auto" w:fill="FFFFFF"/>
          <w:lang w:val="fr-CA"/>
        </w:rPr>
      </w:pPr>
      <w:r w:rsidRPr="00F52884">
        <w:rPr>
          <w:rFonts w:ascii="Arial" w:eastAsia="Arial" w:hAnsi="Arial" w:cs="Arial"/>
          <w:szCs w:val="23"/>
          <w:shd w:val="clear" w:color="auto" w:fill="FFFFFF"/>
          <w:lang w:val="fr-CA"/>
        </w:rPr>
        <w:t>Assemblée nationale du Québec et les personnes désignées par elle</w:t>
      </w:r>
    </w:p>
    <w:p w14:paraId="11FB9C89" w14:textId="77777777" w:rsidR="00AF5F98" w:rsidRPr="00F52884" w:rsidRDefault="00AF5F98" w:rsidP="00AF5F98">
      <w:pPr>
        <w:rPr>
          <w:rFonts w:ascii="Arial" w:eastAsia="Arial" w:hAnsi="Arial" w:cs="Arial"/>
          <w:b/>
          <w:szCs w:val="23"/>
          <w:shd w:val="clear" w:color="auto" w:fill="FFFFFF"/>
          <w:lang w:val="fr-CA"/>
        </w:rPr>
      </w:pPr>
    </w:p>
    <w:p w14:paraId="7CB0EF42" w14:textId="5C8594A5" w:rsidR="00AF5F98" w:rsidRPr="00F52884" w:rsidRDefault="00AF5F98" w:rsidP="007C33E1">
      <w:pPr>
        <w:rPr>
          <w:b/>
          <w:shd w:val="clear" w:color="auto" w:fill="FFFFFF"/>
          <w:lang w:val="fr-CA"/>
        </w:rPr>
      </w:pPr>
      <w:r w:rsidRPr="00F52884">
        <w:rPr>
          <w:b/>
          <w:bCs/>
          <w:shd w:val="clear" w:color="auto" w:fill="FFFFFF"/>
          <w:lang w:val="fr-CA"/>
        </w:rPr>
        <w:t>B.</w:t>
      </w:r>
      <w:r w:rsidRPr="00F52884">
        <w:rPr>
          <w:b/>
          <w:bCs/>
          <w:shd w:val="clear" w:color="auto" w:fill="FFFFFF"/>
          <w:lang w:val="fr-CA"/>
        </w:rPr>
        <w:tab/>
      </w:r>
      <w:r w:rsidRPr="00F52884">
        <w:rPr>
          <w:b/>
          <w:shd w:val="clear" w:color="auto" w:fill="FFFFFF"/>
          <w:lang w:val="fr-CA"/>
        </w:rPr>
        <w:t>Exceptions et remarques</w:t>
      </w:r>
    </w:p>
    <w:p w14:paraId="79C11D56" w14:textId="77777777" w:rsidR="007C33E1" w:rsidRPr="00F52884" w:rsidRDefault="007C33E1" w:rsidP="007C33E1">
      <w:pPr>
        <w:rPr>
          <w:shd w:val="clear" w:color="auto" w:fill="FFFFFF"/>
          <w:lang w:val="fr-CA"/>
        </w:rPr>
      </w:pPr>
    </w:p>
    <w:p w14:paraId="2AD7BFB9" w14:textId="7CD215C0" w:rsidR="00AF5F98" w:rsidRPr="00F52884" w:rsidRDefault="0028052A" w:rsidP="00F52884">
      <w:pPr>
        <w:rPr>
          <w:shd w:val="clear" w:color="auto" w:fill="FFFFFF"/>
          <w:lang w:val="fr-CA"/>
        </w:rPr>
      </w:pPr>
      <w:r w:rsidRPr="00F52884">
        <w:rPr>
          <w:shd w:val="clear" w:color="auto" w:fill="FFFFFF"/>
          <w:lang w:val="fr-CA"/>
        </w:rPr>
        <w:t>1.</w:t>
      </w:r>
      <w:r w:rsidRPr="00F52884">
        <w:rPr>
          <w:shd w:val="clear" w:color="auto" w:fill="FFFFFF"/>
          <w:lang w:val="fr-CA"/>
        </w:rPr>
        <w:tab/>
      </w:r>
      <w:r w:rsidR="00AF5F98" w:rsidRPr="00F52884">
        <w:rPr>
          <w:shd w:val="clear" w:color="auto" w:fill="FFFFFF"/>
          <w:lang w:val="fr-CA"/>
        </w:rPr>
        <w:t>Le présent chapitre ne couvre pas les marchés :</w:t>
      </w:r>
    </w:p>
    <w:p w14:paraId="31E2E2B7" w14:textId="77777777" w:rsidR="00AF5F98" w:rsidRPr="00F52884" w:rsidRDefault="00AF5F98" w:rsidP="00AF5F98">
      <w:pPr>
        <w:shd w:val="clear" w:color="auto" w:fill="FFFFFF"/>
        <w:spacing w:after="120"/>
        <w:ind w:left="426"/>
        <w:contextualSpacing/>
        <w:rPr>
          <w:rFonts w:ascii="Arial" w:eastAsia="Arial" w:hAnsi="Arial" w:cs="Arial"/>
          <w:szCs w:val="23"/>
          <w:shd w:val="clear" w:color="auto" w:fill="FFFFFF"/>
          <w:lang w:val="fr-CA"/>
        </w:rPr>
      </w:pPr>
    </w:p>
    <w:p w14:paraId="68205D65" w14:textId="17AFD8DF" w:rsidR="00AF5F98" w:rsidRPr="00F52884" w:rsidRDefault="00AF5F98" w:rsidP="00F52884">
      <w:pPr>
        <w:numPr>
          <w:ilvl w:val="1"/>
          <w:numId w:val="231"/>
        </w:numPr>
        <w:shd w:val="clear" w:color="auto" w:fill="FFFFFF"/>
        <w:spacing w:after="120"/>
        <w:ind w:left="1440" w:hanging="72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passés</w:t>
      </w:r>
      <w:proofErr w:type="gramEnd"/>
      <w:r w:rsidRPr="00F52884">
        <w:rPr>
          <w:rFonts w:ascii="Arial" w:eastAsia="Arial" w:hAnsi="Arial" w:cs="Arial"/>
          <w:szCs w:val="23"/>
          <w:shd w:val="clear" w:color="auto" w:fill="FFFFFF"/>
          <w:lang w:val="fr-CA"/>
        </w:rPr>
        <w:t xml:space="preserve"> par Hydro-Québec pour l’achat des produits suivants (désignés par leur code du Système harmonisé (SH)) : SH 7308.20; SH 8406; SH 8410; SH 8426; SH 8504; SH 8535; SH 8536; SH 8537; SH 8544; SH 8705.10; SH 8705.20; SH 8705.90; SH 8707; SH 8708; SH 8716.39; SH 8716.40; </w:t>
      </w:r>
    </w:p>
    <w:p w14:paraId="3CABE081" w14:textId="77777777" w:rsidR="00AF5F98" w:rsidRPr="00F52884" w:rsidRDefault="00AF5F98" w:rsidP="007C33E1">
      <w:pPr>
        <w:shd w:val="clear" w:color="auto" w:fill="FFFFFF"/>
        <w:spacing w:after="120"/>
        <w:ind w:left="1440" w:hanging="720"/>
        <w:contextualSpacing/>
        <w:rPr>
          <w:rFonts w:ascii="Arial" w:eastAsia="Arial" w:hAnsi="Arial" w:cs="Arial"/>
          <w:szCs w:val="23"/>
          <w:shd w:val="clear" w:color="auto" w:fill="FFFFFF"/>
          <w:lang w:val="fr-CA"/>
        </w:rPr>
      </w:pPr>
    </w:p>
    <w:p w14:paraId="28D09586" w14:textId="4B0C388A" w:rsidR="00AF5F98" w:rsidRPr="00F52884" w:rsidRDefault="00AF5F98" w:rsidP="00F52884">
      <w:pPr>
        <w:numPr>
          <w:ilvl w:val="1"/>
          <w:numId w:val="231"/>
        </w:numPr>
        <w:shd w:val="clear" w:color="auto" w:fill="FFFFFF"/>
        <w:spacing w:after="120"/>
        <w:ind w:left="1440" w:hanging="72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passés</w:t>
      </w:r>
      <w:proofErr w:type="gramEnd"/>
      <w:r w:rsidRPr="00F52884">
        <w:rPr>
          <w:rFonts w:ascii="Arial" w:eastAsia="Arial" w:hAnsi="Arial" w:cs="Arial"/>
          <w:szCs w:val="23"/>
          <w:shd w:val="clear" w:color="auto" w:fill="FFFFFF"/>
          <w:lang w:val="fr-CA"/>
        </w:rPr>
        <w:t xml:space="preserve"> par Hydro-Québec pour l’achat des services suivants (désignés conformément à la Classification centrale de produits provisoire des Nations Unies (CPC)) :</w:t>
      </w:r>
    </w:p>
    <w:p w14:paraId="0A432042" w14:textId="77777777" w:rsidR="00AF5F98" w:rsidRPr="00F52884" w:rsidRDefault="00AF5F98" w:rsidP="00F52884">
      <w:pPr>
        <w:shd w:val="clear" w:color="auto" w:fill="FFFFFF"/>
        <w:spacing w:after="120"/>
        <w:ind w:left="851"/>
        <w:contextualSpacing/>
        <w:rPr>
          <w:rFonts w:ascii="Arial" w:eastAsia="Arial" w:hAnsi="Arial" w:cs="Arial"/>
          <w:szCs w:val="23"/>
          <w:shd w:val="clear" w:color="auto" w:fill="FFFFFF"/>
          <w:lang w:val="fr-CA"/>
        </w:rPr>
      </w:pPr>
    </w:p>
    <w:p w14:paraId="4C392791" w14:textId="77777777" w:rsidR="00AF5F98" w:rsidRPr="00F52884" w:rsidRDefault="00AF5F98" w:rsidP="0028052A">
      <w:pPr>
        <w:shd w:val="clear" w:color="auto" w:fill="FFFFFF"/>
        <w:spacing w:after="120"/>
        <w:ind w:left="2880" w:hanging="720"/>
        <w:contextualSpacing/>
        <w:rPr>
          <w:rFonts w:ascii="Arial" w:eastAsia="Arial" w:hAnsi="Arial" w:cs="Arial"/>
          <w:szCs w:val="23"/>
          <w:shd w:val="clear" w:color="auto" w:fill="FFFFFF"/>
          <w:lang w:val="fr-CA"/>
        </w:rPr>
      </w:pPr>
      <w:r w:rsidRPr="00F52884">
        <w:rPr>
          <w:rFonts w:ascii="Arial" w:eastAsia="Arial" w:hAnsi="Arial" w:cs="Arial"/>
          <w:szCs w:val="23"/>
          <w:shd w:val="clear" w:color="auto" w:fill="FFFFFF"/>
          <w:lang w:val="fr-CA"/>
        </w:rPr>
        <w:t>84 – Services informatiques et services connexes;</w:t>
      </w:r>
    </w:p>
    <w:p w14:paraId="47AFCA3B" w14:textId="002D393A" w:rsidR="00AF5F98" w:rsidRPr="00F52884" w:rsidRDefault="00AF5F98" w:rsidP="0028052A">
      <w:pPr>
        <w:shd w:val="clear" w:color="auto" w:fill="FFFFFF"/>
        <w:spacing w:after="120"/>
        <w:ind w:left="2160"/>
        <w:contextualSpacing/>
        <w:rPr>
          <w:rFonts w:ascii="Arial" w:eastAsia="Arial" w:hAnsi="Arial" w:cs="Arial"/>
          <w:szCs w:val="23"/>
          <w:shd w:val="clear" w:color="auto" w:fill="FFFFFF"/>
          <w:lang w:val="fr-CA"/>
        </w:rPr>
      </w:pPr>
      <w:r w:rsidRPr="00F52884">
        <w:rPr>
          <w:rFonts w:ascii="Arial" w:eastAsia="Arial" w:hAnsi="Arial" w:cs="Arial"/>
          <w:szCs w:val="23"/>
          <w:shd w:val="clear" w:color="auto" w:fill="FFFFFF"/>
          <w:lang w:val="fr-CA"/>
        </w:rPr>
        <w:t>86724 – Services d'établissem</w:t>
      </w:r>
      <w:r w:rsidR="0028052A" w:rsidRPr="00F52884">
        <w:rPr>
          <w:rFonts w:ascii="Arial" w:eastAsia="Arial" w:hAnsi="Arial" w:cs="Arial"/>
          <w:szCs w:val="23"/>
          <w:shd w:val="clear" w:color="auto" w:fill="FFFFFF"/>
          <w:lang w:val="fr-CA"/>
        </w:rPr>
        <w:t xml:space="preserve">ent de plans techniques pour la </w:t>
      </w:r>
      <w:r w:rsidRPr="00F52884">
        <w:rPr>
          <w:rFonts w:ascii="Arial" w:eastAsia="Arial" w:hAnsi="Arial" w:cs="Arial"/>
          <w:szCs w:val="23"/>
          <w:shd w:val="clear" w:color="auto" w:fill="FFFFFF"/>
          <w:lang w:val="fr-CA"/>
        </w:rPr>
        <w:t>construction d'ouvrages de génie civil;</w:t>
      </w:r>
    </w:p>
    <w:p w14:paraId="3DEE0A22" w14:textId="77777777" w:rsidR="00AF5F98" w:rsidRPr="00F52884" w:rsidRDefault="00AF5F98" w:rsidP="0028052A">
      <w:pPr>
        <w:shd w:val="clear" w:color="auto" w:fill="FFFFFF"/>
        <w:spacing w:after="120"/>
        <w:ind w:left="2880" w:hanging="720"/>
        <w:contextualSpacing/>
        <w:rPr>
          <w:rFonts w:ascii="Arial" w:eastAsia="Arial" w:hAnsi="Arial" w:cs="Arial"/>
          <w:szCs w:val="23"/>
          <w:shd w:val="clear" w:color="auto" w:fill="FFFFFF"/>
          <w:lang w:val="fr-CA"/>
        </w:rPr>
      </w:pPr>
      <w:r w:rsidRPr="00F52884">
        <w:rPr>
          <w:rFonts w:ascii="Arial" w:eastAsia="Arial" w:hAnsi="Arial" w:cs="Arial"/>
          <w:szCs w:val="23"/>
          <w:shd w:val="clear" w:color="auto" w:fill="FFFFFF"/>
          <w:lang w:val="fr-CA"/>
        </w:rPr>
        <w:t xml:space="preserve">86729 – Autres services d'ingénierie; </w:t>
      </w:r>
    </w:p>
    <w:p w14:paraId="700785E0" w14:textId="77777777" w:rsidR="00AF5F98" w:rsidRPr="00F52884" w:rsidRDefault="00AF5F98" w:rsidP="00AF5F98">
      <w:pPr>
        <w:shd w:val="clear" w:color="auto" w:fill="FFFFFF"/>
        <w:spacing w:after="120"/>
        <w:ind w:left="851"/>
        <w:contextualSpacing/>
        <w:rPr>
          <w:rFonts w:ascii="Arial" w:eastAsia="Arial" w:hAnsi="Arial" w:cs="Arial"/>
          <w:szCs w:val="23"/>
          <w:shd w:val="clear" w:color="auto" w:fill="FFFFFF"/>
          <w:vertAlign w:val="superscript"/>
          <w:lang w:val="fr-CA"/>
        </w:rPr>
      </w:pPr>
    </w:p>
    <w:p w14:paraId="6BA7E62C" w14:textId="7EB66640" w:rsidR="00AF5F98" w:rsidRPr="00F52884" w:rsidRDefault="00AF5F98" w:rsidP="00F52884">
      <w:pPr>
        <w:numPr>
          <w:ilvl w:val="1"/>
          <w:numId w:val="231"/>
        </w:numPr>
        <w:shd w:val="clear" w:color="auto" w:fill="FFFFFF"/>
        <w:spacing w:after="120"/>
        <w:ind w:left="1440" w:hanging="72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portant</w:t>
      </w:r>
      <w:proofErr w:type="gramEnd"/>
      <w:r w:rsidRPr="00F52884">
        <w:rPr>
          <w:rFonts w:ascii="Arial" w:eastAsia="Arial" w:hAnsi="Arial" w:cs="Arial"/>
          <w:szCs w:val="23"/>
          <w:shd w:val="clear" w:color="auto" w:fill="FFFFFF"/>
          <w:lang w:val="fr-CA"/>
        </w:rPr>
        <w:t xml:space="preserve"> sur les produits, passés achetés à des fins de représentation ou de promotion, ou ceux portant sur des services ou des travaux de construction achetés à des fins de représentation ou de promotion à l’extérieur de la province; </w:t>
      </w:r>
    </w:p>
    <w:p w14:paraId="2336134F" w14:textId="77777777" w:rsidR="00AF5F98" w:rsidRPr="00F52884" w:rsidRDefault="00AF5F98" w:rsidP="007C33E1">
      <w:pPr>
        <w:spacing w:after="120"/>
        <w:ind w:left="1440" w:hanging="720"/>
        <w:contextualSpacing/>
        <w:rPr>
          <w:rFonts w:ascii="Arial" w:eastAsia="Arial" w:hAnsi="Arial" w:cs="Arial"/>
          <w:szCs w:val="23"/>
          <w:shd w:val="clear" w:color="auto" w:fill="FFFFFF"/>
          <w:lang w:val="fr-CA"/>
        </w:rPr>
      </w:pPr>
    </w:p>
    <w:p w14:paraId="6C8F71C6" w14:textId="6F8FCD48" w:rsidR="00AF5F98" w:rsidRPr="00F52884" w:rsidRDefault="00AF5F98" w:rsidP="00F52884">
      <w:pPr>
        <w:numPr>
          <w:ilvl w:val="1"/>
          <w:numId w:val="231"/>
        </w:numPr>
        <w:shd w:val="clear" w:color="auto" w:fill="FFFFFF"/>
        <w:spacing w:after="120"/>
        <w:ind w:left="1440" w:hanging="72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portant</w:t>
      </w:r>
      <w:proofErr w:type="gramEnd"/>
      <w:r w:rsidRPr="00F52884">
        <w:rPr>
          <w:rFonts w:ascii="Arial" w:eastAsia="Arial" w:hAnsi="Arial" w:cs="Arial"/>
          <w:szCs w:val="23"/>
          <w:shd w:val="clear" w:color="auto" w:fill="FFFFFF"/>
          <w:lang w:val="fr-CA"/>
        </w:rPr>
        <w:t xml:space="preserve"> sur les services, à l'exclusion des marchés de services de construction, qui confèrent </w:t>
      </w:r>
      <w:r w:rsidR="00303D09" w:rsidRPr="00F52884">
        <w:rPr>
          <w:rFonts w:ascii="Arial" w:eastAsia="Arial" w:hAnsi="Arial" w:cs="Arial"/>
          <w:szCs w:val="23"/>
          <w:shd w:val="clear" w:color="auto" w:fill="FFFFFF"/>
          <w:lang w:val="fr-CA"/>
        </w:rPr>
        <w:t>au</w:t>
      </w:r>
      <w:r w:rsidRPr="00F52884">
        <w:rPr>
          <w:rFonts w:ascii="Arial" w:eastAsia="Arial" w:hAnsi="Arial" w:cs="Arial"/>
          <w:szCs w:val="23"/>
          <w:shd w:val="clear" w:color="auto" w:fill="FFFFFF"/>
          <w:lang w:val="fr-CA"/>
        </w:rPr>
        <w:t xml:space="preserve"> fournisseur le droit de fournir et d'exploiter un service destiné au public en contrepartie totale ou partielle de la prestation d'un service dans le cadre d'un marché;</w:t>
      </w:r>
    </w:p>
    <w:p w14:paraId="560C9BFC" w14:textId="77777777" w:rsidR="00AF5F98" w:rsidRPr="00F52884" w:rsidRDefault="00AF5F98" w:rsidP="007C33E1">
      <w:pPr>
        <w:ind w:left="1440" w:hanging="720"/>
        <w:contextualSpacing/>
        <w:rPr>
          <w:rFonts w:ascii="Arial" w:eastAsia="Arial" w:hAnsi="Arial" w:cs="Arial"/>
          <w:szCs w:val="23"/>
          <w:shd w:val="clear" w:color="auto" w:fill="FFFFFF"/>
          <w:lang w:val="fr-CA"/>
        </w:rPr>
      </w:pPr>
    </w:p>
    <w:p w14:paraId="3CC8F17B" w14:textId="77777777" w:rsidR="00AF5F98" w:rsidRPr="00F52884" w:rsidRDefault="00AF5F98" w:rsidP="00F52884">
      <w:pPr>
        <w:numPr>
          <w:ilvl w:val="1"/>
          <w:numId w:val="231"/>
        </w:numPr>
        <w:shd w:val="clear" w:color="auto" w:fill="FFFFFF"/>
        <w:spacing w:after="120"/>
        <w:ind w:left="1440" w:hanging="72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portant</w:t>
      </w:r>
      <w:proofErr w:type="gramEnd"/>
      <w:r w:rsidRPr="00F52884">
        <w:rPr>
          <w:rFonts w:ascii="Arial" w:eastAsia="Arial" w:hAnsi="Arial" w:cs="Arial"/>
          <w:szCs w:val="23"/>
          <w:shd w:val="clear" w:color="auto" w:fill="FFFFFF"/>
          <w:lang w:val="fr-CA"/>
        </w:rPr>
        <w:t xml:space="preserve"> sur les services suivants :</w:t>
      </w:r>
    </w:p>
    <w:p w14:paraId="03E4DAD9" w14:textId="77777777" w:rsidR="00AF5F98" w:rsidRPr="00F52884" w:rsidRDefault="00AF5F98" w:rsidP="00AF5F98">
      <w:pPr>
        <w:spacing w:after="120"/>
        <w:ind w:left="720"/>
        <w:contextualSpacing/>
        <w:rPr>
          <w:rFonts w:ascii="Arial" w:eastAsia="Arial" w:hAnsi="Arial" w:cs="Arial"/>
          <w:szCs w:val="23"/>
          <w:shd w:val="clear" w:color="auto" w:fill="FFFFFF"/>
          <w:lang w:val="fr-CA"/>
        </w:rPr>
      </w:pPr>
    </w:p>
    <w:p w14:paraId="7DAC5E2A" w14:textId="7AC34035" w:rsidR="00AF5F98" w:rsidRPr="00F52884" w:rsidRDefault="00AF5F98" w:rsidP="00F52884">
      <w:pPr>
        <w:numPr>
          <w:ilvl w:val="2"/>
          <w:numId w:val="230"/>
        </w:numPr>
        <w:autoSpaceDE w:val="0"/>
        <w:autoSpaceDN w:val="0"/>
        <w:adjustRightInd w:val="0"/>
        <w:spacing w:after="120"/>
        <w:ind w:hanging="54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les</w:t>
      </w:r>
      <w:proofErr w:type="gramEnd"/>
      <w:r w:rsidRPr="00F52884">
        <w:rPr>
          <w:rFonts w:ascii="Arial" w:eastAsia="Arial" w:hAnsi="Arial" w:cs="Arial"/>
          <w:szCs w:val="23"/>
          <w:shd w:val="clear" w:color="auto" w:fill="FFFFFF"/>
          <w:lang w:val="fr-CA"/>
        </w:rPr>
        <w:t xml:space="preserve"> services de transport fournis par des entreprises locales de camionnage pour le transport d’agrégats dans le cadre de travaux de construction de routes;</w:t>
      </w:r>
      <w:r w:rsidRPr="00F52884">
        <w:rPr>
          <w:rFonts w:ascii="Arial" w:eastAsia="Arial" w:hAnsi="Arial" w:cs="Arial"/>
          <w:szCs w:val="23"/>
          <w:shd w:val="clear" w:color="auto" w:fill="FFFFFF"/>
          <w:vertAlign w:val="superscript"/>
          <w:lang w:val="fr-CA"/>
        </w:rPr>
        <w:t xml:space="preserve"> </w:t>
      </w:r>
    </w:p>
    <w:p w14:paraId="58A57F52" w14:textId="77777777" w:rsidR="00AF5F98" w:rsidRPr="00F52884" w:rsidRDefault="00AF5F98" w:rsidP="0028052A">
      <w:pPr>
        <w:spacing w:after="120"/>
        <w:ind w:left="2160" w:hanging="540"/>
        <w:contextualSpacing/>
        <w:rPr>
          <w:rFonts w:ascii="Arial" w:eastAsia="Arial" w:hAnsi="Arial" w:cs="Arial"/>
          <w:szCs w:val="23"/>
          <w:shd w:val="clear" w:color="auto" w:fill="FFFFFF"/>
          <w:lang w:val="fr-CA"/>
        </w:rPr>
      </w:pPr>
    </w:p>
    <w:p w14:paraId="6012559D" w14:textId="77777777" w:rsidR="00AF5F98" w:rsidRPr="00F52884" w:rsidRDefault="00AF5F98" w:rsidP="00F52884">
      <w:pPr>
        <w:numPr>
          <w:ilvl w:val="2"/>
          <w:numId w:val="230"/>
        </w:numPr>
        <w:autoSpaceDE w:val="0"/>
        <w:autoSpaceDN w:val="0"/>
        <w:adjustRightInd w:val="0"/>
        <w:spacing w:after="120"/>
        <w:ind w:hanging="54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lastRenderedPageBreak/>
        <w:t>les</w:t>
      </w:r>
      <w:proofErr w:type="gramEnd"/>
      <w:r w:rsidRPr="00F52884">
        <w:rPr>
          <w:rFonts w:ascii="Arial" w:eastAsia="Arial" w:hAnsi="Arial" w:cs="Arial"/>
          <w:szCs w:val="23"/>
          <w:shd w:val="clear" w:color="auto" w:fill="FFFFFF"/>
          <w:lang w:val="fr-CA"/>
        </w:rPr>
        <w:t xml:space="preserve"> services intégrés d’ingénierie pour les projets de constructions clés en main d’infrastructures de transport; </w:t>
      </w:r>
    </w:p>
    <w:p w14:paraId="3A6B464C" w14:textId="77777777" w:rsidR="00AF5F98" w:rsidRPr="00F52884" w:rsidRDefault="00AF5F98" w:rsidP="0028052A">
      <w:pPr>
        <w:spacing w:after="120"/>
        <w:ind w:left="2160" w:hanging="540"/>
        <w:contextualSpacing/>
        <w:rPr>
          <w:rFonts w:ascii="Arial" w:eastAsia="Arial" w:hAnsi="Arial" w:cs="Arial"/>
          <w:szCs w:val="23"/>
          <w:shd w:val="clear" w:color="auto" w:fill="FFFFFF"/>
          <w:lang w:val="fr-CA"/>
        </w:rPr>
      </w:pPr>
    </w:p>
    <w:p w14:paraId="4074986B" w14:textId="77777777" w:rsidR="00AF5F98" w:rsidRPr="00F52884" w:rsidRDefault="00AF5F98" w:rsidP="00F52884">
      <w:pPr>
        <w:numPr>
          <w:ilvl w:val="2"/>
          <w:numId w:val="230"/>
        </w:numPr>
        <w:autoSpaceDE w:val="0"/>
        <w:autoSpaceDN w:val="0"/>
        <w:adjustRightInd w:val="0"/>
        <w:spacing w:after="120"/>
        <w:ind w:hanging="540"/>
        <w:contextualSpacing/>
        <w:rPr>
          <w:rFonts w:ascii="Arial" w:eastAsia="Arial" w:hAnsi="Arial" w:cs="Arial"/>
          <w:szCs w:val="23"/>
          <w:shd w:val="clear" w:color="auto" w:fill="FFFFFF"/>
          <w:lang w:val="fr-CA"/>
        </w:rPr>
      </w:pPr>
      <w:proofErr w:type="gramStart"/>
      <w:r w:rsidRPr="00F52884">
        <w:rPr>
          <w:rFonts w:ascii="Arial" w:eastAsia="Arial" w:hAnsi="Arial" w:cs="Arial"/>
          <w:szCs w:val="23"/>
          <w:shd w:val="clear" w:color="auto" w:fill="FFFFFF"/>
          <w:lang w:val="fr-CA"/>
        </w:rPr>
        <w:t>les</w:t>
      </w:r>
      <w:proofErr w:type="gramEnd"/>
      <w:r w:rsidRPr="00F52884">
        <w:rPr>
          <w:rFonts w:ascii="Arial" w:eastAsia="Arial" w:hAnsi="Arial" w:cs="Arial"/>
          <w:szCs w:val="23"/>
          <w:shd w:val="clear" w:color="auto" w:fill="FFFFFF"/>
          <w:lang w:val="fr-CA"/>
        </w:rPr>
        <w:t xml:space="preserve"> services de publicité et de relations publiques. </w:t>
      </w:r>
    </w:p>
    <w:p w14:paraId="02AA49C3" w14:textId="77777777" w:rsidR="0028052A" w:rsidRPr="00F52884" w:rsidRDefault="0028052A" w:rsidP="0028052A">
      <w:pPr>
        <w:widowControl w:val="0"/>
        <w:autoSpaceDE w:val="0"/>
        <w:autoSpaceDN w:val="0"/>
        <w:adjustRightInd w:val="0"/>
        <w:spacing w:after="120"/>
        <w:rPr>
          <w:rFonts w:ascii="Arial" w:eastAsia="Arial" w:hAnsi="Arial" w:cs="Arial"/>
          <w:szCs w:val="23"/>
          <w:shd w:val="clear" w:color="auto" w:fill="FFFFFF"/>
          <w:lang w:val="fr-CA"/>
        </w:rPr>
      </w:pPr>
    </w:p>
    <w:p w14:paraId="53F300F0" w14:textId="2F83379A" w:rsidR="00AF5F98" w:rsidRPr="00F52884" w:rsidRDefault="0028052A" w:rsidP="00F52884">
      <w:pPr>
        <w:ind w:left="720" w:hanging="720"/>
        <w:rPr>
          <w:shd w:val="clear" w:color="auto" w:fill="FFFFFF"/>
          <w:lang w:val="fr-CA"/>
        </w:rPr>
      </w:pPr>
      <w:r w:rsidRPr="00F52884">
        <w:rPr>
          <w:shd w:val="clear" w:color="auto" w:fill="FFFFFF"/>
          <w:lang w:val="fr-CA"/>
        </w:rPr>
        <w:t>2.</w:t>
      </w:r>
      <w:r w:rsidRPr="00F52884">
        <w:rPr>
          <w:shd w:val="clear" w:color="auto" w:fill="FFFFFF"/>
          <w:lang w:val="fr-CA"/>
        </w:rPr>
        <w:tab/>
      </w:r>
      <w:r w:rsidR="00AF5F98" w:rsidRPr="00F52884">
        <w:rPr>
          <w:shd w:val="clear" w:color="auto" w:fill="FFFFFF"/>
          <w:lang w:val="fr-CA"/>
        </w:rPr>
        <w:t>Le Québec peut exiger que l’assemblage final ait lieu au Canada lorsqu’il achète des véhicules de transport en commun.</w:t>
      </w:r>
    </w:p>
    <w:p w14:paraId="279EE2E9" w14:textId="77777777" w:rsidR="00303D09" w:rsidRPr="00F52884" w:rsidRDefault="00303D09" w:rsidP="0028052A">
      <w:pPr>
        <w:ind w:left="720" w:hanging="720"/>
        <w:rPr>
          <w:shd w:val="clear" w:color="auto" w:fill="FFFFFF"/>
          <w:lang w:val="fr-CA"/>
        </w:rPr>
      </w:pPr>
    </w:p>
    <w:p w14:paraId="0CD9DCDD" w14:textId="0FEC2E05" w:rsidR="00AF5F98" w:rsidRPr="00F52884" w:rsidRDefault="00303D09" w:rsidP="00F52884">
      <w:pPr>
        <w:ind w:left="720" w:hanging="720"/>
        <w:rPr>
          <w:lang w:val="fr-CA"/>
        </w:rPr>
      </w:pPr>
      <w:r w:rsidRPr="00F52884">
        <w:rPr>
          <w:shd w:val="clear" w:color="auto" w:fill="FFFFFF"/>
          <w:lang w:val="fr-CA"/>
        </w:rPr>
        <w:t>3.</w:t>
      </w:r>
      <w:r w:rsidRPr="00F52884">
        <w:rPr>
          <w:shd w:val="clear" w:color="auto" w:fill="FFFFFF"/>
          <w:lang w:val="fr-CA"/>
        </w:rPr>
        <w:tab/>
      </w:r>
      <w:r w:rsidR="00AF5F98" w:rsidRPr="00F52884">
        <w:rPr>
          <w:shd w:val="clear" w:color="auto" w:fill="FFFFFF"/>
          <w:lang w:val="fr-CA"/>
        </w:rPr>
        <w:t>Le Québec se réserve le droit d’adopter ou de maintenir toute mesure favorisant la sous-traitance locale dans le cas des marchés de services de construction passés par Hydro-Québec. Il est entendu qu’une telle mesure ne peut en aucun cas constituer une condition de participation ou de qualification des fournisseurs.</w:t>
      </w:r>
    </w:p>
    <w:p w14:paraId="1CFAC03C" w14:textId="77777777" w:rsidR="00AF5F98" w:rsidRPr="00F52884" w:rsidRDefault="00AF5F98" w:rsidP="00AF5F98">
      <w:pPr>
        <w:jc w:val="center"/>
        <w:rPr>
          <w:rFonts w:ascii="Arial" w:eastAsia="Arial" w:hAnsi="Arial" w:cs="Arial"/>
          <w:b/>
          <w:szCs w:val="23"/>
          <w:lang w:val="fr-FR"/>
        </w:rPr>
      </w:pPr>
    </w:p>
    <w:p w14:paraId="5AAD8F3E"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4F5D285F" w14:textId="77777777" w:rsidR="00AF5F98" w:rsidRPr="00F52884" w:rsidRDefault="00AF5F98" w:rsidP="00F52884">
      <w:pPr>
        <w:pStyle w:val="Heading3"/>
        <w:jc w:val="center"/>
        <w:rPr>
          <w:sz w:val="24"/>
          <w:szCs w:val="24"/>
          <w:lang w:val="fr-FR"/>
        </w:rPr>
      </w:pPr>
      <w:bookmarkStart w:id="38" w:name="_Toc476566310"/>
      <w:bookmarkStart w:id="39" w:name="_Toc156311763"/>
      <w:r w:rsidRPr="00F52884">
        <w:rPr>
          <w:sz w:val="24"/>
          <w:szCs w:val="24"/>
          <w:lang w:val="fr-CA"/>
        </w:rPr>
        <w:lastRenderedPageBreak/>
        <w:t>Liste de la Nouvelle-Écosse</w:t>
      </w:r>
      <w:bookmarkEnd w:id="38"/>
      <w:bookmarkEnd w:id="39"/>
    </w:p>
    <w:p w14:paraId="43E29F1A" w14:textId="77777777" w:rsidR="00AF5F98" w:rsidRPr="00F52884" w:rsidRDefault="00AF5F98" w:rsidP="00AF5F98">
      <w:pPr>
        <w:shd w:val="clear" w:color="auto" w:fill="FFFFFF"/>
        <w:ind w:right="150"/>
        <w:rPr>
          <w:rFonts w:ascii="Arial" w:eastAsia="Arial" w:hAnsi="Arial" w:cs="Arial"/>
          <w:b/>
          <w:szCs w:val="23"/>
          <w:lang w:val="fr-FR"/>
        </w:rPr>
      </w:pPr>
    </w:p>
    <w:p w14:paraId="67FE7312" w14:textId="72AE1E93" w:rsidR="00AF5F98" w:rsidRPr="00F52884" w:rsidRDefault="00AF5F98" w:rsidP="00F52884">
      <w:pPr>
        <w:jc w:val="center"/>
        <w:rPr>
          <w:rFonts w:ascii="Arial" w:eastAsia="Arial" w:hAnsi="Arial" w:cs="Arial"/>
          <w:b/>
          <w:bCs/>
          <w:szCs w:val="23"/>
          <w:shd w:val="clear" w:color="auto" w:fill="FFFFFF"/>
          <w:lang w:val="fr-CA"/>
        </w:rPr>
      </w:pPr>
      <w:r w:rsidRPr="00F52884">
        <w:rPr>
          <w:rFonts w:ascii="Arial" w:eastAsia="Arial" w:hAnsi="Arial" w:cs="Arial"/>
          <w:b/>
          <w:bCs/>
          <w:szCs w:val="23"/>
          <w:shd w:val="clear" w:color="auto" w:fill="FFFFFF"/>
          <w:lang w:val="fr-CA"/>
        </w:rPr>
        <w:t>Marchés publics – Exceptions</w:t>
      </w:r>
    </w:p>
    <w:p w14:paraId="1279C564" w14:textId="77777777" w:rsidR="00AF5F98" w:rsidRPr="00F52884" w:rsidRDefault="00AF5F98" w:rsidP="00AF5F98">
      <w:pPr>
        <w:rPr>
          <w:rFonts w:ascii="Arial" w:eastAsia="Arial" w:hAnsi="Arial" w:cs="Arial"/>
          <w:b/>
          <w:bCs/>
          <w:szCs w:val="23"/>
          <w:lang w:val="fr-FR"/>
        </w:rPr>
      </w:pPr>
    </w:p>
    <w:p w14:paraId="649635DD" w14:textId="5909B4F0" w:rsidR="00AF5F98" w:rsidRPr="00F52884" w:rsidRDefault="00AF5F98" w:rsidP="00AF5F98">
      <w:pPr>
        <w:shd w:val="clear" w:color="auto" w:fill="FFFFFF"/>
        <w:ind w:right="150"/>
        <w:rPr>
          <w:rFonts w:ascii="Arial" w:eastAsia="Arial" w:hAnsi="Arial" w:cs="Arial"/>
          <w:szCs w:val="23"/>
          <w:lang w:val="fr-CA"/>
        </w:rPr>
      </w:pPr>
      <w:r w:rsidRPr="00F52884">
        <w:rPr>
          <w:rFonts w:ascii="Arial" w:eastAsia="Arial" w:hAnsi="Arial" w:cs="Arial"/>
          <w:szCs w:val="23"/>
          <w:lang w:val="fr-CA"/>
        </w:rPr>
        <w:t>En ce qui concerne le gouvernement de la Nouvelle-Écosse, le présent chapitre ne couvre pas ce qui suit :</w:t>
      </w:r>
    </w:p>
    <w:p w14:paraId="719D4363" w14:textId="77777777" w:rsidR="00AF5F98" w:rsidRPr="00F52884" w:rsidRDefault="00AF5F98" w:rsidP="00AF5F98">
      <w:pPr>
        <w:shd w:val="clear" w:color="auto" w:fill="FFFFFF"/>
        <w:ind w:right="150"/>
        <w:rPr>
          <w:rFonts w:ascii="Arial" w:eastAsia="Arial" w:hAnsi="Arial" w:cs="Arial"/>
          <w:b/>
          <w:szCs w:val="23"/>
          <w:lang w:val="fr-CA"/>
        </w:rPr>
      </w:pPr>
    </w:p>
    <w:p w14:paraId="6001B218" w14:textId="78DEA482" w:rsidR="00AF5F98" w:rsidRPr="00F52884" w:rsidRDefault="00AF5F98" w:rsidP="0028052A">
      <w:pPr>
        <w:shd w:val="clear" w:color="auto" w:fill="FFFFFF"/>
        <w:ind w:right="150"/>
        <w:rPr>
          <w:rFonts w:ascii="Arial" w:eastAsia="Arial" w:hAnsi="Arial" w:cs="Arial"/>
          <w:b/>
          <w:szCs w:val="23"/>
          <w:lang w:val="fr-CA"/>
        </w:rPr>
      </w:pPr>
      <w:r w:rsidRPr="00F52884">
        <w:rPr>
          <w:rFonts w:ascii="Arial" w:eastAsia="Arial" w:hAnsi="Arial" w:cs="Arial"/>
          <w:b/>
          <w:szCs w:val="23"/>
          <w:lang w:val="fr-CA"/>
        </w:rPr>
        <w:t xml:space="preserve">A. </w:t>
      </w:r>
      <w:r w:rsidR="0028052A" w:rsidRPr="00F52884">
        <w:rPr>
          <w:rFonts w:ascii="Arial" w:eastAsia="Arial" w:hAnsi="Arial" w:cs="Arial"/>
          <w:b/>
          <w:szCs w:val="23"/>
          <w:lang w:val="fr-CA"/>
        </w:rPr>
        <w:tab/>
      </w:r>
      <w:r w:rsidRPr="00F52884">
        <w:rPr>
          <w:rFonts w:ascii="Arial" w:eastAsia="Arial" w:hAnsi="Arial" w:cs="Arial"/>
          <w:b/>
          <w:szCs w:val="23"/>
          <w:lang w:val="fr-CA"/>
        </w:rPr>
        <w:t>Entités exclues</w:t>
      </w:r>
    </w:p>
    <w:p w14:paraId="3C1A24E0" w14:textId="77777777" w:rsidR="00AF5F98" w:rsidRPr="00F52884" w:rsidRDefault="00AF5F98" w:rsidP="00AF5F98">
      <w:pPr>
        <w:shd w:val="clear" w:color="auto" w:fill="FFFFFF"/>
        <w:ind w:right="150"/>
        <w:rPr>
          <w:rFonts w:ascii="Arial" w:eastAsia="Arial" w:hAnsi="Arial" w:cs="Arial"/>
          <w:b/>
          <w:szCs w:val="23"/>
          <w:lang w:val="fr-CA"/>
        </w:rPr>
      </w:pPr>
    </w:p>
    <w:p w14:paraId="52057D44" w14:textId="646F4E0D" w:rsidR="00AF5F98" w:rsidRPr="00F52884" w:rsidRDefault="00AF5F98" w:rsidP="00AF5F98">
      <w:pPr>
        <w:shd w:val="clear" w:color="auto" w:fill="FFFFFF"/>
        <w:ind w:right="150"/>
        <w:rPr>
          <w:rFonts w:ascii="Arial" w:eastAsia="Arial" w:hAnsi="Arial" w:cs="Arial"/>
          <w:szCs w:val="23"/>
          <w:lang w:val="fr-CA"/>
        </w:rPr>
      </w:pPr>
      <w:r w:rsidRPr="00F52884">
        <w:rPr>
          <w:rFonts w:ascii="Arial" w:eastAsia="Arial" w:hAnsi="Arial" w:cs="Arial"/>
          <w:szCs w:val="23"/>
          <w:lang w:val="fr-CA"/>
        </w:rPr>
        <w:t>Aucune.</w:t>
      </w:r>
    </w:p>
    <w:p w14:paraId="37A37604" w14:textId="77777777" w:rsidR="00AF5F98" w:rsidRPr="00F52884" w:rsidRDefault="00AF5F98" w:rsidP="00AF5F98">
      <w:pPr>
        <w:shd w:val="clear" w:color="auto" w:fill="FFFFFF"/>
        <w:ind w:right="150"/>
        <w:rPr>
          <w:rFonts w:ascii="Arial" w:eastAsia="Arial" w:hAnsi="Arial" w:cs="Arial"/>
          <w:b/>
          <w:szCs w:val="23"/>
          <w:lang w:val="fr-CA"/>
        </w:rPr>
      </w:pPr>
    </w:p>
    <w:p w14:paraId="54408A67" w14:textId="1D123406" w:rsidR="00AF5F98" w:rsidRPr="00F52884" w:rsidRDefault="00AF5F98" w:rsidP="00AF5F98">
      <w:pPr>
        <w:shd w:val="clear" w:color="auto" w:fill="FFFFFF"/>
        <w:ind w:right="150"/>
        <w:rPr>
          <w:rFonts w:ascii="Arial" w:eastAsia="Arial" w:hAnsi="Arial" w:cs="Arial"/>
          <w:b/>
          <w:szCs w:val="23"/>
          <w:lang w:val="fr-CA" w:eastAsia="fr-CA"/>
        </w:rPr>
      </w:pPr>
      <w:r w:rsidRPr="00F52884">
        <w:rPr>
          <w:rFonts w:ascii="Arial" w:eastAsia="Arial" w:hAnsi="Arial" w:cs="Arial"/>
          <w:b/>
          <w:szCs w:val="23"/>
          <w:lang w:val="fr-CA"/>
        </w:rPr>
        <w:t xml:space="preserve">B. </w:t>
      </w:r>
      <w:r w:rsidR="0028052A" w:rsidRPr="00F52884">
        <w:rPr>
          <w:rFonts w:ascii="Arial" w:eastAsia="Arial" w:hAnsi="Arial" w:cs="Arial"/>
          <w:b/>
          <w:szCs w:val="23"/>
          <w:lang w:val="fr-CA"/>
        </w:rPr>
        <w:tab/>
      </w:r>
      <w:r w:rsidRPr="00F52884">
        <w:rPr>
          <w:rFonts w:ascii="Arial" w:eastAsia="Arial" w:hAnsi="Arial" w:cs="Arial"/>
          <w:b/>
          <w:szCs w:val="23"/>
          <w:lang w:val="fr-CA"/>
        </w:rPr>
        <w:t>Exceptions et remarques</w:t>
      </w:r>
    </w:p>
    <w:p w14:paraId="4B0A6C02" w14:textId="77777777" w:rsidR="00AF5F98" w:rsidRPr="00F52884" w:rsidRDefault="00AF5F98" w:rsidP="00AF5F98">
      <w:pPr>
        <w:shd w:val="clear" w:color="auto" w:fill="FFFFFF"/>
        <w:ind w:right="150"/>
        <w:rPr>
          <w:rFonts w:ascii="Arial" w:eastAsia="Arial" w:hAnsi="Arial" w:cs="Arial"/>
          <w:szCs w:val="23"/>
          <w:lang w:val="fr-CA" w:eastAsia="fr-CA"/>
        </w:rPr>
      </w:pPr>
    </w:p>
    <w:p w14:paraId="69DE535A" w14:textId="4A6E7B3C" w:rsidR="00AF5F98" w:rsidRPr="00F52884" w:rsidRDefault="00AF5F98" w:rsidP="00AF5F98">
      <w:pPr>
        <w:shd w:val="clear" w:color="auto" w:fill="FFFFFF"/>
        <w:ind w:right="150"/>
        <w:rPr>
          <w:rFonts w:ascii="Arial" w:eastAsia="Times New Roman" w:hAnsi="Arial" w:cs="Arial"/>
          <w:szCs w:val="23"/>
          <w:lang w:val="fr-CA" w:eastAsia="fr-CA"/>
        </w:rPr>
      </w:pPr>
      <w:r w:rsidRPr="00F52884">
        <w:rPr>
          <w:rFonts w:ascii="Arial" w:eastAsia="Arial" w:hAnsi="Arial" w:cs="Arial"/>
          <w:szCs w:val="23"/>
          <w:lang w:val="fr-CA" w:eastAsia="fr-CA"/>
        </w:rPr>
        <w:t xml:space="preserve">En ce qui concerne le gouvernement de la Nouvelle-Écosse, </w:t>
      </w:r>
      <w:r w:rsidRPr="00F52884">
        <w:rPr>
          <w:rFonts w:ascii="Arial" w:eastAsia="Times New Roman" w:hAnsi="Arial" w:cs="Arial"/>
          <w:szCs w:val="23"/>
          <w:lang w:val="fr-CA" w:eastAsia="fr-CA"/>
        </w:rPr>
        <w:t>le chapitre sur les Marchés publics ne couvre pas les marchés suivants :</w:t>
      </w:r>
      <w:r w:rsidRPr="00F52884">
        <w:rPr>
          <w:rFonts w:ascii="Arial" w:eastAsia="Arial" w:hAnsi="Arial" w:cs="Arial"/>
          <w:szCs w:val="23"/>
          <w:lang w:val="fr-CA" w:eastAsia="fr-CA"/>
        </w:rPr>
        <w:br/>
      </w:r>
    </w:p>
    <w:p w14:paraId="1130A09B" w14:textId="7E5BD64C" w:rsidR="00AF5F98" w:rsidRPr="00F52884" w:rsidRDefault="00AF5F98" w:rsidP="00F52884">
      <w:pPr>
        <w:numPr>
          <w:ilvl w:val="0"/>
          <w:numId w:val="221"/>
        </w:numPr>
        <w:shd w:val="clear" w:color="auto" w:fill="FFFFFF"/>
        <w:ind w:right="150" w:hanging="720"/>
        <w:contextualSpacing/>
        <w:rPr>
          <w:rFonts w:ascii="Arial" w:eastAsia="Arial" w:hAnsi="Arial" w:cs="Arial"/>
          <w:szCs w:val="23"/>
          <w:lang w:val="fr-CA" w:eastAsia="fr-CA"/>
        </w:rPr>
      </w:pPr>
      <w:r w:rsidRPr="00F52884">
        <w:rPr>
          <w:rFonts w:ascii="Arial" w:eastAsia="Calibri" w:hAnsi="Arial" w:cs="Arial"/>
          <w:szCs w:val="23"/>
          <w:lang w:val="fr-CA" w:eastAsia="fr-CA"/>
        </w:rPr>
        <w:t>Les produits achetés à des fins de représentation ou de promotion; ou les services ou les services de construction achetés à des fins de représentation ou de promotion à l’extérieur de la Nouvelle-Écosse</w:t>
      </w:r>
      <w:r w:rsidRPr="00F52884">
        <w:rPr>
          <w:rFonts w:ascii="Arial" w:eastAsia="Arial" w:hAnsi="Arial" w:cs="Arial"/>
          <w:szCs w:val="23"/>
          <w:lang w:val="fr-CA"/>
        </w:rPr>
        <w:t>.</w:t>
      </w:r>
    </w:p>
    <w:p w14:paraId="118E05EC" w14:textId="77777777" w:rsidR="00AF5F98" w:rsidRPr="00F52884" w:rsidRDefault="00AF5F98" w:rsidP="00AF5F98">
      <w:pPr>
        <w:shd w:val="clear" w:color="auto" w:fill="FFFFFF"/>
        <w:ind w:right="150"/>
        <w:contextualSpacing/>
        <w:rPr>
          <w:rFonts w:ascii="Arial" w:eastAsia="Arial" w:hAnsi="Arial" w:cs="Arial"/>
          <w:szCs w:val="23"/>
          <w:lang w:val="fr-CA" w:eastAsia="fr-CA"/>
        </w:rPr>
      </w:pPr>
    </w:p>
    <w:p w14:paraId="1085D746" w14:textId="5DD74843" w:rsidR="00AF5F98" w:rsidRPr="00F52884" w:rsidRDefault="00AF5F98" w:rsidP="00F52884">
      <w:pPr>
        <w:numPr>
          <w:ilvl w:val="0"/>
          <w:numId w:val="221"/>
        </w:numPr>
        <w:shd w:val="clear" w:color="auto" w:fill="FFFFFF"/>
        <w:ind w:right="150" w:hanging="720"/>
        <w:contextualSpacing/>
        <w:rPr>
          <w:rFonts w:ascii="Arial" w:eastAsia="Arial" w:hAnsi="Arial" w:cs="Arial"/>
          <w:szCs w:val="23"/>
          <w:lang w:val="fr-CA" w:eastAsia="fr-CA"/>
        </w:rPr>
      </w:pPr>
      <w:r w:rsidRPr="00F52884">
        <w:rPr>
          <w:rFonts w:ascii="Arial" w:eastAsia="Times New Roman" w:hAnsi="Arial" w:cs="Arial"/>
          <w:szCs w:val="23"/>
          <w:lang w:val="fr-CA" w:eastAsia="fr-CA"/>
        </w:rPr>
        <w:t>Les entités contractantes couvertes du gouvernement de la Nouvelle-Écosse peuvent déroger au chapitre sur les Marchés publics dans le but de promouvoir le développement économique régional, sous réserve des conditions suivantes </w:t>
      </w:r>
      <w:r w:rsidRPr="00F52884">
        <w:rPr>
          <w:rFonts w:ascii="Arial" w:eastAsia="Arial" w:hAnsi="Arial" w:cs="Arial"/>
          <w:szCs w:val="23"/>
          <w:lang w:val="fr-CA" w:eastAsia="fr-CA"/>
        </w:rPr>
        <w:t>:</w:t>
      </w:r>
    </w:p>
    <w:p w14:paraId="79A0562B" w14:textId="77777777" w:rsidR="00AF5F98" w:rsidRPr="00F52884" w:rsidRDefault="00AF5F98" w:rsidP="00AF5F98">
      <w:pPr>
        <w:shd w:val="clear" w:color="auto" w:fill="FFFFFF"/>
        <w:ind w:left="720" w:right="150"/>
        <w:contextualSpacing/>
        <w:rPr>
          <w:rFonts w:ascii="Arial" w:eastAsia="Arial" w:hAnsi="Arial" w:cs="Arial"/>
          <w:szCs w:val="23"/>
          <w:lang w:val="fr-CA" w:eastAsia="fr-CA"/>
        </w:rPr>
      </w:pPr>
    </w:p>
    <w:p w14:paraId="1716A33D" w14:textId="322C2730" w:rsidR="00AF5F98" w:rsidRPr="00F52884" w:rsidRDefault="00AF5F98" w:rsidP="00AF5F98">
      <w:pPr>
        <w:numPr>
          <w:ilvl w:val="0"/>
          <w:numId w:val="392"/>
        </w:numPr>
        <w:rPr>
          <w:rFonts w:ascii="Arial" w:eastAsia="Arial" w:hAnsi="Arial" w:cs="Arial"/>
          <w:szCs w:val="23"/>
          <w:lang w:val="fr-CA" w:eastAsia="fr-CA"/>
        </w:rPr>
      </w:pPr>
      <w:r w:rsidRPr="00F52884">
        <w:rPr>
          <w:rFonts w:ascii="Arial" w:eastAsia="Arial" w:hAnsi="Arial" w:cs="Arial"/>
          <w:szCs w:val="23"/>
          <w:lang w:val="fr-CA" w:eastAsia="fr-CA"/>
        </w:rPr>
        <w:t>Tout marché pouvant bénéficier d’une dérogation au titre du présent paragraphe doit remplir les conditions suivantes :</w:t>
      </w:r>
    </w:p>
    <w:p w14:paraId="5A811920" w14:textId="77777777" w:rsidR="00AF5F98" w:rsidRPr="00F52884" w:rsidRDefault="00AF5F98" w:rsidP="00F52884">
      <w:pPr>
        <w:ind w:left="1440"/>
        <w:rPr>
          <w:rFonts w:ascii="Arial" w:eastAsia="Arial" w:hAnsi="Arial" w:cs="Arial"/>
          <w:szCs w:val="23"/>
          <w:lang w:val="fr-CA" w:eastAsia="fr-CA"/>
        </w:rPr>
      </w:pPr>
    </w:p>
    <w:p w14:paraId="25ADC2C8" w14:textId="02180C3A" w:rsidR="00AF5F98" w:rsidRPr="00F52884" w:rsidRDefault="00AF5F98" w:rsidP="00CA3048">
      <w:pPr>
        <w:numPr>
          <w:ilvl w:val="1"/>
          <w:numId w:val="223"/>
        </w:numPr>
        <w:ind w:left="2160" w:right="206" w:hanging="540"/>
        <w:rPr>
          <w:rFonts w:ascii="Arial" w:eastAsia="Arial" w:hAnsi="Arial" w:cs="Arial"/>
          <w:szCs w:val="23"/>
          <w:lang w:val="fr-CA" w:eastAsia="fr-CA"/>
        </w:rPr>
      </w:pPr>
      <w:proofErr w:type="gramStart"/>
      <w:r w:rsidRPr="00F52884">
        <w:rPr>
          <w:rFonts w:ascii="Arial" w:eastAsia="Arial" w:hAnsi="Arial" w:cs="Arial"/>
          <w:szCs w:val="23"/>
          <w:lang w:val="fr-CA" w:eastAsia="fr-CA"/>
        </w:rPr>
        <w:t>être</w:t>
      </w:r>
      <w:proofErr w:type="gramEnd"/>
      <w:r w:rsidRPr="00F52884">
        <w:rPr>
          <w:rFonts w:ascii="Arial" w:eastAsia="Arial" w:hAnsi="Arial" w:cs="Arial"/>
          <w:szCs w:val="23"/>
          <w:lang w:val="fr-CA" w:eastAsia="fr-CA"/>
        </w:rPr>
        <w:t xml:space="preserve"> passé dans le but de soutenir les petites entreprises ou l’emploi dans les régions rurales;</w:t>
      </w:r>
    </w:p>
    <w:p w14:paraId="16164A8D" w14:textId="6F99BF7F" w:rsidR="00AF5F98" w:rsidRPr="00F52884" w:rsidRDefault="00AF5F98" w:rsidP="00F52884">
      <w:pPr>
        <w:ind w:left="2160" w:right="206" w:hanging="540"/>
        <w:rPr>
          <w:rFonts w:ascii="Arial" w:eastAsia="Arial" w:hAnsi="Arial" w:cs="Arial"/>
          <w:szCs w:val="23"/>
          <w:lang w:val="fr-CA" w:eastAsia="fr-CA"/>
        </w:rPr>
      </w:pPr>
    </w:p>
    <w:p w14:paraId="7036B92B" w14:textId="2CC60E85" w:rsidR="00AF5F98" w:rsidRPr="00F52884" w:rsidRDefault="00AF5F98" w:rsidP="00CA3048">
      <w:pPr>
        <w:numPr>
          <w:ilvl w:val="1"/>
          <w:numId w:val="223"/>
        </w:numPr>
        <w:ind w:left="2160" w:right="206" w:hanging="540"/>
        <w:rPr>
          <w:rFonts w:ascii="Arial" w:eastAsia="Arial" w:hAnsi="Arial" w:cs="Arial"/>
          <w:szCs w:val="23"/>
          <w:lang w:val="fr-CA" w:eastAsia="fr-CA"/>
        </w:rPr>
      </w:pPr>
      <w:proofErr w:type="gramStart"/>
      <w:r w:rsidRPr="00F52884">
        <w:rPr>
          <w:rFonts w:ascii="Arial" w:eastAsia="Calibri" w:hAnsi="Arial" w:cs="Arial"/>
          <w:szCs w:val="23"/>
          <w:lang w:val="fr-CA" w:eastAsia="fr-CA"/>
        </w:rPr>
        <w:t>avoir</w:t>
      </w:r>
      <w:proofErr w:type="gramEnd"/>
      <w:r w:rsidRPr="00F52884">
        <w:rPr>
          <w:rFonts w:ascii="Arial" w:eastAsia="Calibri" w:hAnsi="Arial" w:cs="Arial"/>
          <w:szCs w:val="23"/>
          <w:lang w:val="fr-CA" w:eastAsia="fr-CA"/>
        </w:rPr>
        <w:t xml:space="preserve"> une valeur totale ne dépassant pas un million de dollars, ou, si sa valeur totale est supérieure à un million de dollars, la valeur de la portion du marché qui serait touchée par la dérogation ne doit pas dépasser un million de dollars</w:t>
      </w:r>
      <w:r w:rsidRPr="00F52884">
        <w:rPr>
          <w:rFonts w:ascii="Arial" w:eastAsia="Arial" w:hAnsi="Arial" w:cs="Arial"/>
          <w:szCs w:val="23"/>
          <w:lang w:val="fr-CA" w:eastAsia="fr-CA"/>
        </w:rPr>
        <w:t>.</w:t>
      </w:r>
    </w:p>
    <w:p w14:paraId="7E6A9E6E" w14:textId="77777777" w:rsidR="00AF5F98" w:rsidRPr="00F52884" w:rsidRDefault="00AF5F98" w:rsidP="00F52884">
      <w:pPr>
        <w:ind w:left="1800" w:right="206"/>
        <w:rPr>
          <w:rFonts w:ascii="Arial" w:eastAsia="Arial" w:hAnsi="Arial" w:cs="Arial"/>
          <w:szCs w:val="23"/>
          <w:lang w:val="fr-CA" w:eastAsia="fr-CA"/>
        </w:rPr>
      </w:pPr>
    </w:p>
    <w:p w14:paraId="5B4CCCE2" w14:textId="719D70D3" w:rsidR="00AF5F98" w:rsidRPr="00F52884" w:rsidRDefault="00E97AEA" w:rsidP="00AF5F98">
      <w:pPr>
        <w:numPr>
          <w:ilvl w:val="0"/>
          <w:numId w:val="392"/>
        </w:numPr>
        <w:contextualSpacing/>
        <w:rPr>
          <w:rFonts w:ascii="Arial" w:eastAsia="Arial" w:hAnsi="Arial" w:cs="Arial"/>
          <w:szCs w:val="23"/>
          <w:lang w:val="fr-CA" w:eastAsia="fr-CA"/>
        </w:rPr>
      </w:pPr>
      <w:proofErr w:type="gramStart"/>
      <w:r w:rsidRPr="00F52884">
        <w:rPr>
          <w:rFonts w:ascii="Arial" w:eastAsia="Calibri" w:hAnsi="Arial" w:cs="Arial"/>
          <w:szCs w:val="23"/>
          <w:lang w:val="fr-CA" w:eastAsia="fr-CA"/>
        </w:rPr>
        <w:t>i</w:t>
      </w:r>
      <w:r w:rsidR="00AF5F98" w:rsidRPr="00F52884">
        <w:rPr>
          <w:rFonts w:ascii="Arial" w:eastAsia="Calibri" w:hAnsi="Arial" w:cs="Arial"/>
          <w:szCs w:val="23"/>
          <w:lang w:val="fr-CA" w:eastAsia="fr-CA"/>
        </w:rPr>
        <w:t>l</w:t>
      </w:r>
      <w:proofErr w:type="gramEnd"/>
      <w:r w:rsidR="00AF5F98" w:rsidRPr="00F52884">
        <w:rPr>
          <w:rFonts w:ascii="Arial" w:eastAsia="Calibri" w:hAnsi="Arial" w:cs="Arial"/>
          <w:szCs w:val="23"/>
          <w:lang w:val="fr-CA" w:eastAsia="fr-CA"/>
        </w:rPr>
        <w:t xml:space="preserve"> ne peut être recouru à la présente dérogation plus de dix fois par année civile</w:t>
      </w:r>
      <w:r w:rsidR="00AF5F98" w:rsidRPr="00F52884">
        <w:rPr>
          <w:rFonts w:ascii="Arial" w:eastAsia="Arial" w:hAnsi="Arial" w:cs="Arial"/>
          <w:szCs w:val="23"/>
          <w:lang w:val="fr-CA" w:eastAsia="fr-CA"/>
        </w:rPr>
        <w:t>;</w:t>
      </w:r>
    </w:p>
    <w:p w14:paraId="2C5CDBBC" w14:textId="77777777" w:rsidR="00AF5F98" w:rsidRPr="00F52884" w:rsidRDefault="00AF5F98" w:rsidP="00AF5F98">
      <w:pPr>
        <w:ind w:left="1440"/>
        <w:contextualSpacing/>
        <w:rPr>
          <w:rFonts w:ascii="Arial" w:eastAsia="Arial" w:hAnsi="Arial" w:cs="Arial"/>
          <w:szCs w:val="23"/>
          <w:lang w:val="fr-CA" w:eastAsia="fr-CA"/>
        </w:rPr>
      </w:pPr>
    </w:p>
    <w:p w14:paraId="016688C7" w14:textId="679D915F" w:rsidR="00AF5F98" w:rsidRPr="00F52884" w:rsidRDefault="00AF5F98" w:rsidP="00AF5F98">
      <w:pPr>
        <w:numPr>
          <w:ilvl w:val="0"/>
          <w:numId w:val="392"/>
        </w:numPr>
        <w:contextualSpacing/>
        <w:rPr>
          <w:rFonts w:ascii="Arial" w:eastAsia="Arial" w:hAnsi="Arial" w:cs="Arial"/>
          <w:szCs w:val="23"/>
          <w:lang w:val="fr-CA" w:eastAsia="fr-CA"/>
        </w:rPr>
      </w:pPr>
      <w:proofErr w:type="gramStart"/>
      <w:r w:rsidRPr="00F52884">
        <w:rPr>
          <w:rFonts w:ascii="Arial" w:eastAsia="Calibri" w:hAnsi="Arial" w:cs="Arial"/>
          <w:szCs w:val="23"/>
          <w:lang w:val="fr-CA" w:eastAsia="fr-CA"/>
        </w:rPr>
        <w:t>un</w:t>
      </w:r>
      <w:proofErr w:type="gramEnd"/>
      <w:r w:rsidRPr="00F52884">
        <w:rPr>
          <w:rFonts w:ascii="Arial" w:eastAsia="Calibri" w:hAnsi="Arial" w:cs="Arial"/>
          <w:szCs w:val="23"/>
          <w:lang w:val="fr-CA" w:eastAsia="fr-CA"/>
        </w:rPr>
        <w:t xml:space="preserve"> marché financé par le gouvernement du Canada ne peut être exclu; </w:t>
      </w:r>
    </w:p>
    <w:p w14:paraId="5599E6B9" w14:textId="77777777" w:rsidR="00AF5F98" w:rsidRPr="00F52884" w:rsidRDefault="00AF5F98" w:rsidP="00AF5F98">
      <w:pPr>
        <w:contextualSpacing/>
        <w:rPr>
          <w:rFonts w:ascii="Arial" w:eastAsia="Arial" w:hAnsi="Arial" w:cs="Arial"/>
          <w:szCs w:val="23"/>
          <w:lang w:val="fr-CA" w:eastAsia="fr-CA"/>
        </w:rPr>
      </w:pPr>
    </w:p>
    <w:p w14:paraId="0C353C66" w14:textId="237ABD7F" w:rsidR="00AF5F98" w:rsidRPr="00F52884" w:rsidRDefault="00AF5F98" w:rsidP="00AF5F98">
      <w:pPr>
        <w:numPr>
          <w:ilvl w:val="0"/>
          <w:numId w:val="392"/>
        </w:numPr>
        <w:contextualSpacing/>
        <w:rPr>
          <w:rFonts w:ascii="Arial" w:eastAsia="Arial" w:hAnsi="Arial" w:cs="Arial"/>
          <w:szCs w:val="23"/>
          <w:lang w:val="fr-CA" w:eastAsia="fr-CA"/>
        </w:rPr>
      </w:pPr>
      <w:proofErr w:type="gramStart"/>
      <w:r w:rsidRPr="00F52884">
        <w:rPr>
          <w:rFonts w:ascii="Arial" w:eastAsia="Arial" w:hAnsi="Arial" w:cs="Arial"/>
          <w:szCs w:val="23"/>
          <w:lang w:val="fr-CA" w:eastAsia="fr-CA"/>
        </w:rPr>
        <w:t>lorsque</w:t>
      </w:r>
      <w:proofErr w:type="gramEnd"/>
      <w:r w:rsidRPr="00F52884">
        <w:rPr>
          <w:rFonts w:ascii="Arial" w:eastAsia="Arial" w:hAnsi="Arial" w:cs="Arial"/>
          <w:szCs w:val="23"/>
          <w:lang w:val="fr-CA" w:eastAsia="fr-CA"/>
        </w:rPr>
        <w:t xml:space="preserve"> le gouvernement de la Nouvelle-Écosse entend se prévaloir de la présente dérogation pour exclure tout ou partie d’un marché, il notifiera aux autres Parties, au moins 30 jours avant la signature du marché concerné, son intention de se prévaloir de la présente dérogation. </w:t>
      </w:r>
      <w:r w:rsidRPr="00F52884">
        <w:rPr>
          <w:rFonts w:ascii="Arial" w:eastAsia="Calibri" w:hAnsi="Arial" w:cs="Arial"/>
          <w:szCs w:val="23"/>
          <w:lang w:val="fr-CA" w:eastAsia="fr-CA"/>
        </w:rPr>
        <w:t>Cette notification sera accompagnée des renseignements suivants :</w:t>
      </w:r>
    </w:p>
    <w:p w14:paraId="34884AF5" w14:textId="77777777" w:rsidR="00E97AEA" w:rsidRPr="00F52884" w:rsidRDefault="00E97AEA" w:rsidP="00F52884">
      <w:pPr>
        <w:ind w:left="2160"/>
        <w:contextualSpacing/>
        <w:rPr>
          <w:rFonts w:ascii="Arial" w:eastAsia="Arial" w:hAnsi="Arial" w:cs="Arial"/>
          <w:szCs w:val="23"/>
          <w:lang w:val="fr-CA" w:eastAsia="fr-CA"/>
        </w:rPr>
      </w:pPr>
    </w:p>
    <w:p w14:paraId="715AD74A" w14:textId="2C25D53A" w:rsidR="00AF5F98" w:rsidRPr="00F52884" w:rsidRDefault="00AF5F98" w:rsidP="00CA3048">
      <w:pPr>
        <w:numPr>
          <w:ilvl w:val="0"/>
          <w:numId w:val="224"/>
        </w:numPr>
        <w:ind w:hanging="450"/>
        <w:contextualSpacing/>
        <w:rPr>
          <w:rFonts w:ascii="Arial" w:eastAsia="Arial" w:hAnsi="Arial" w:cs="Arial"/>
          <w:szCs w:val="23"/>
          <w:lang w:val="fr-CA" w:eastAsia="fr-CA"/>
        </w:rPr>
      </w:pPr>
      <w:proofErr w:type="gramStart"/>
      <w:r w:rsidRPr="00F52884">
        <w:rPr>
          <w:rFonts w:ascii="Arial" w:eastAsia="Arial" w:hAnsi="Arial" w:cs="Arial"/>
          <w:szCs w:val="23"/>
          <w:lang w:val="fr-CA" w:eastAsia="fr-CA"/>
        </w:rPr>
        <w:t>des</w:t>
      </w:r>
      <w:proofErr w:type="gramEnd"/>
      <w:r w:rsidRPr="00F52884">
        <w:rPr>
          <w:rFonts w:ascii="Arial" w:eastAsia="Arial" w:hAnsi="Arial" w:cs="Arial"/>
          <w:szCs w:val="23"/>
          <w:lang w:val="fr-CA" w:eastAsia="fr-CA"/>
        </w:rPr>
        <w:t xml:space="preserve"> précisions sur les circonstances justifiant la dérogation au titre du présent paragraphe;</w:t>
      </w:r>
    </w:p>
    <w:p w14:paraId="4502219A" w14:textId="77777777" w:rsidR="00AF5F98" w:rsidRPr="00F52884" w:rsidRDefault="00AF5F98" w:rsidP="00CA3048">
      <w:pPr>
        <w:ind w:left="2160" w:hanging="450"/>
        <w:contextualSpacing/>
        <w:rPr>
          <w:rFonts w:ascii="Arial" w:eastAsia="Arial" w:hAnsi="Arial" w:cs="Arial"/>
          <w:szCs w:val="23"/>
          <w:lang w:val="fr-CA" w:eastAsia="fr-CA"/>
        </w:rPr>
      </w:pPr>
    </w:p>
    <w:p w14:paraId="7DCFE430" w14:textId="10CE872D" w:rsidR="00AF5F98" w:rsidRPr="00F52884" w:rsidRDefault="00AF5F98" w:rsidP="00CA3048">
      <w:pPr>
        <w:numPr>
          <w:ilvl w:val="0"/>
          <w:numId w:val="224"/>
        </w:numPr>
        <w:ind w:hanging="450"/>
        <w:contextualSpacing/>
        <w:rPr>
          <w:rFonts w:ascii="Arial" w:eastAsia="Arial" w:hAnsi="Arial" w:cs="Arial"/>
          <w:szCs w:val="23"/>
          <w:lang w:val="fr-CA" w:eastAsia="fr-CA"/>
        </w:rPr>
      </w:pPr>
      <w:proofErr w:type="gramStart"/>
      <w:r w:rsidRPr="00F52884">
        <w:rPr>
          <w:rFonts w:ascii="Arial" w:eastAsia="Arial" w:hAnsi="Arial" w:cs="Arial"/>
          <w:szCs w:val="23"/>
          <w:lang w:val="fr-CA" w:eastAsia="fr-CA"/>
        </w:rPr>
        <w:t>les</w:t>
      </w:r>
      <w:proofErr w:type="gramEnd"/>
      <w:r w:rsidRPr="00F52884">
        <w:rPr>
          <w:rFonts w:ascii="Arial" w:eastAsia="Arial" w:hAnsi="Arial" w:cs="Arial"/>
          <w:szCs w:val="23"/>
          <w:lang w:val="fr-CA" w:eastAsia="fr-CA"/>
        </w:rPr>
        <w:t xml:space="preserve"> dénominations sociales des entreprises concernées et </w:t>
      </w:r>
      <w:r w:rsidR="00BD3893" w:rsidRPr="00F52884">
        <w:rPr>
          <w:rFonts w:ascii="Arial" w:eastAsia="Arial" w:hAnsi="Arial" w:cs="Arial"/>
          <w:szCs w:val="23"/>
          <w:lang w:val="fr-CA" w:eastAsia="fr-CA"/>
        </w:rPr>
        <w:t xml:space="preserve">les </w:t>
      </w:r>
      <w:r w:rsidRPr="00F52884">
        <w:rPr>
          <w:rFonts w:ascii="Arial" w:eastAsia="Arial" w:hAnsi="Arial" w:cs="Arial"/>
          <w:szCs w:val="23"/>
          <w:lang w:val="fr-CA" w:eastAsia="fr-CA"/>
        </w:rPr>
        <w:t xml:space="preserve">régions concernées; </w:t>
      </w:r>
    </w:p>
    <w:p w14:paraId="2B71FE13" w14:textId="5E248537" w:rsidR="00AF5F98" w:rsidRPr="00F52884" w:rsidRDefault="00AF5F98" w:rsidP="00CA3048">
      <w:pPr>
        <w:ind w:left="2160" w:hanging="450"/>
        <w:contextualSpacing/>
        <w:rPr>
          <w:rFonts w:ascii="Arial" w:eastAsia="Arial" w:hAnsi="Arial" w:cs="Arial"/>
          <w:szCs w:val="23"/>
          <w:lang w:val="fr-CA" w:eastAsia="fr-CA"/>
        </w:rPr>
      </w:pPr>
    </w:p>
    <w:p w14:paraId="4F2CE376" w14:textId="2FDDA94C" w:rsidR="00AF5F98" w:rsidRPr="00F52884" w:rsidRDefault="00AF5F98" w:rsidP="00CA3048">
      <w:pPr>
        <w:numPr>
          <w:ilvl w:val="0"/>
          <w:numId w:val="224"/>
        </w:numPr>
        <w:ind w:hanging="450"/>
        <w:contextualSpacing/>
        <w:rPr>
          <w:rFonts w:ascii="Arial" w:eastAsia="Arial" w:hAnsi="Arial" w:cs="Arial"/>
          <w:szCs w:val="23"/>
          <w:lang w:val="fr-CA" w:eastAsia="fr-CA"/>
        </w:rPr>
      </w:pPr>
      <w:proofErr w:type="gramStart"/>
      <w:r w:rsidRPr="00F52884">
        <w:rPr>
          <w:rFonts w:ascii="Arial" w:eastAsia="Arial" w:hAnsi="Arial" w:cs="Arial"/>
          <w:szCs w:val="23"/>
          <w:lang w:val="fr-CA" w:eastAsia="fr-CA"/>
        </w:rPr>
        <w:t>une</w:t>
      </w:r>
      <w:proofErr w:type="gramEnd"/>
      <w:r w:rsidRPr="00F52884">
        <w:rPr>
          <w:rFonts w:ascii="Arial" w:eastAsia="Arial" w:hAnsi="Arial" w:cs="Arial"/>
          <w:szCs w:val="23"/>
          <w:lang w:val="fr-CA" w:eastAsia="fr-CA"/>
        </w:rPr>
        <w:t xml:space="preserve"> justification de la conformité de la dérogation envisagée aux exigences du présent paragraphe.  </w:t>
      </w:r>
    </w:p>
    <w:p w14:paraId="081F076D" w14:textId="77777777" w:rsidR="00AF5F98" w:rsidRPr="00F52884" w:rsidRDefault="00AF5F98" w:rsidP="00AF5F98">
      <w:pPr>
        <w:spacing w:line="257" w:lineRule="auto"/>
        <w:jc w:val="center"/>
        <w:rPr>
          <w:rFonts w:ascii="Arial" w:eastAsia="Arial" w:hAnsi="Arial" w:cs="Arial"/>
          <w:b/>
          <w:szCs w:val="23"/>
          <w:lang w:val="fr-CA" w:eastAsia="fr-CA"/>
        </w:rPr>
      </w:pPr>
    </w:p>
    <w:p w14:paraId="296CA71B" w14:textId="5981BA26" w:rsidR="00AF5F98" w:rsidRPr="00F52884" w:rsidRDefault="00AF5F98" w:rsidP="00F52884">
      <w:pPr>
        <w:numPr>
          <w:ilvl w:val="0"/>
          <w:numId w:val="151"/>
        </w:numPr>
        <w:ind w:left="709" w:hanging="709"/>
        <w:contextualSpacing/>
        <w:rPr>
          <w:rFonts w:ascii="Arial" w:eastAsia="Arial" w:hAnsi="Arial" w:cs="Arial"/>
          <w:szCs w:val="23"/>
          <w:lang w:val="fr-CA" w:eastAsia="fr-CA"/>
        </w:rPr>
      </w:pPr>
      <w:r w:rsidRPr="00F52884">
        <w:rPr>
          <w:rFonts w:ascii="Arial" w:eastAsia="Arial" w:hAnsi="Arial" w:cs="Arial"/>
          <w:szCs w:val="23"/>
          <w:lang w:val="fr-CA" w:eastAsia="fr-CA"/>
        </w:rPr>
        <w:t>Les marchés liés aux ambulance</w:t>
      </w:r>
      <w:r w:rsidR="00E97AEA" w:rsidRPr="00F52884">
        <w:rPr>
          <w:rFonts w:ascii="Arial" w:eastAsia="Arial" w:hAnsi="Arial" w:cs="Arial"/>
          <w:szCs w:val="23"/>
          <w:lang w:val="fr-CA" w:eastAsia="fr-CA"/>
        </w:rPr>
        <w:t>s</w:t>
      </w:r>
      <w:r w:rsidRPr="00F52884">
        <w:rPr>
          <w:rFonts w:ascii="Arial" w:eastAsia="Arial" w:hAnsi="Arial" w:cs="Arial"/>
          <w:szCs w:val="23"/>
          <w:lang w:val="fr-CA" w:eastAsia="fr-CA"/>
        </w:rPr>
        <w:t xml:space="preserve"> au sol et </w:t>
      </w:r>
      <w:r w:rsidR="00E97AEA" w:rsidRPr="00F52884">
        <w:rPr>
          <w:rFonts w:ascii="Arial" w:eastAsia="Arial" w:hAnsi="Arial" w:cs="Arial"/>
          <w:szCs w:val="23"/>
          <w:lang w:val="fr-CA" w:eastAsia="fr-CA"/>
        </w:rPr>
        <w:t xml:space="preserve">de </w:t>
      </w:r>
      <w:r w:rsidRPr="00F52884">
        <w:rPr>
          <w:rFonts w:ascii="Arial" w:eastAsia="Arial" w:hAnsi="Arial" w:cs="Arial"/>
          <w:szCs w:val="23"/>
          <w:lang w:val="fr-CA" w:eastAsia="fr-CA"/>
        </w:rPr>
        <w:t xml:space="preserve">télécommunications </w:t>
      </w:r>
      <w:r w:rsidR="00E97AEA" w:rsidRPr="00F52884">
        <w:rPr>
          <w:rFonts w:ascii="Arial" w:eastAsia="Arial" w:hAnsi="Arial" w:cs="Arial"/>
          <w:szCs w:val="23"/>
          <w:lang w:val="fr-CA" w:eastAsia="fr-CA"/>
        </w:rPr>
        <w:t xml:space="preserve">pour les </w:t>
      </w:r>
      <w:r w:rsidRPr="00F52884">
        <w:rPr>
          <w:rFonts w:ascii="Arial" w:eastAsia="Arial" w:hAnsi="Arial" w:cs="Arial"/>
          <w:szCs w:val="23"/>
          <w:lang w:val="fr-CA" w:eastAsia="fr-CA"/>
        </w:rPr>
        <w:t>soins de santé d’urgence.</w:t>
      </w:r>
    </w:p>
    <w:p w14:paraId="48538DBA" w14:textId="77777777" w:rsidR="00AF5F98" w:rsidRPr="00F52884" w:rsidRDefault="00AF5F98" w:rsidP="00AF5F98">
      <w:pPr>
        <w:rPr>
          <w:rFonts w:ascii="Arial" w:eastAsia="Arial" w:hAnsi="Arial" w:cs="Arial"/>
          <w:szCs w:val="23"/>
          <w:lang w:val="fr-FR"/>
        </w:rPr>
      </w:pPr>
    </w:p>
    <w:p w14:paraId="4870E705" w14:textId="77777777" w:rsidR="00AF5F98" w:rsidRPr="00F52884" w:rsidRDefault="00AF5F98" w:rsidP="00AF5F98">
      <w:pPr>
        <w:rPr>
          <w:rFonts w:ascii="Arial" w:eastAsia="Arial" w:hAnsi="Arial" w:cs="Arial"/>
          <w:szCs w:val="23"/>
          <w:lang w:val="fr-FR"/>
        </w:rPr>
      </w:pPr>
    </w:p>
    <w:p w14:paraId="2E5B8B7A"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090286F0" w14:textId="77777777" w:rsidR="00AF5F98" w:rsidRPr="00F52884" w:rsidRDefault="00AF5F98" w:rsidP="00F52884">
      <w:pPr>
        <w:pStyle w:val="Heading3"/>
        <w:jc w:val="center"/>
        <w:rPr>
          <w:sz w:val="24"/>
          <w:szCs w:val="24"/>
          <w:lang w:val="fr-FR"/>
        </w:rPr>
      </w:pPr>
      <w:bookmarkStart w:id="40" w:name="_Toc476566311"/>
      <w:bookmarkStart w:id="41" w:name="_Toc156311764"/>
      <w:r w:rsidRPr="00F52884">
        <w:rPr>
          <w:sz w:val="24"/>
          <w:szCs w:val="24"/>
          <w:lang w:val="fr-CA"/>
        </w:rPr>
        <w:lastRenderedPageBreak/>
        <w:t>Liste du Nouveau-Brunswick</w:t>
      </w:r>
      <w:bookmarkEnd w:id="40"/>
      <w:bookmarkEnd w:id="41"/>
    </w:p>
    <w:p w14:paraId="40FF60D5" w14:textId="77777777" w:rsidR="00AF5F98" w:rsidRPr="00F52884" w:rsidRDefault="00AF5F98" w:rsidP="00AF5F98">
      <w:pPr>
        <w:contextualSpacing/>
        <w:rPr>
          <w:rFonts w:ascii="Arial" w:eastAsia="Times New Roman" w:hAnsi="Arial" w:cs="Arial"/>
          <w:szCs w:val="23"/>
          <w:lang w:val="fr-FR"/>
        </w:rPr>
      </w:pPr>
    </w:p>
    <w:p w14:paraId="4F97C26F" w14:textId="768704F2" w:rsidR="00AF5F98" w:rsidRPr="00F52884" w:rsidRDefault="00AF5F98" w:rsidP="00AF5F98">
      <w:pPr>
        <w:jc w:val="center"/>
        <w:rPr>
          <w:rFonts w:ascii="Arial" w:eastAsia="Arial" w:hAnsi="Arial" w:cs="Arial"/>
          <w:b/>
          <w:szCs w:val="23"/>
          <w:lang w:val="fr-FR"/>
        </w:rPr>
      </w:pPr>
      <w:r w:rsidRPr="00F52884">
        <w:rPr>
          <w:rFonts w:ascii="Arial" w:eastAsia="Arial" w:hAnsi="Arial" w:cs="Arial"/>
          <w:b/>
          <w:bCs/>
          <w:szCs w:val="23"/>
          <w:lang w:val="fr-CA"/>
        </w:rPr>
        <w:t xml:space="preserve"> </w:t>
      </w:r>
      <w:r w:rsidRPr="00F52884">
        <w:rPr>
          <w:rFonts w:ascii="Arial" w:eastAsia="Arial" w:hAnsi="Arial" w:cs="Arial"/>
          <w:b/>
          <w:bCs/>
          <w:szCs w:val="23"/>
          <w:shd w:val="clear" w:color="auto" w:fill="FFFFFF"/>
          <w:lang w:val="fr-CA"/>
        </w:rPr>
        <w:t>Marchés publics - Exceptions</w:t>
      </w:r>
    </w:p>
    <w:p w14:paraId="0C0AED07" w14:textId="77777777" w:rsidR="00AF5F98" w:rsidRPr="00F52884" w:rsidRDefault="00AF5F98" w:rsidP="00AF5F98">
      <w:pPr>
        <w:rPr>
          <w:rFonts w:ascii="Arial" w:eastAsia="Arial" w:hAnsi="Arial" w:cs="Arial"/>
          <w:szCs w:val="23"/>
          <w:lang w:val="fr-CA"/>
        </w:rPr>
      </w:pPr>
    </w:p>
    <w:p w14:paraId="1A33CAB6" w14:textId="3F054B3D"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En ce qui concerne le Nouveau-Brunswick, le présent chapitre ne couvre pas ce qui suit :</w:t>
      </w:r>
    </w:p>
    <w:p w14:paraId="4FF45F30" w14:textId="77777777" w:rsidR="00AF5F98" w:rsidRPr="00F52884" w:rsidRDefault="00AF5F98" w:rsidP="00AF5F98">
      <w:pPr>
        <w:rPr>
          <w:rFonts w:ascii="Arial" w:eastAsia="Arial" w:hAnsi="Arial" w:cs="Arial"/>
          <w:b/>
          <w:szCs w:val="23"/>
          <w:lang w:val="fr-FR"/>
        </w:rPr>
      </w:pPr>
    </w:p>
    <w:p w14:paraId="6CF4A1AE" w14:textId="77777777" w:rsidR="00AF5F98" w:rsidRPr="00F52884" w:rsidRDefault="00AF5F98" w:rsidP="00AF5F98">
      <w:pPr>
        <w:numPr>
          <w:ilvl w:val="0"/>
          <w:numId w:val="205"/>
        </w:numPr>
        <w:ind w:hanging="720"/>
        <w:contextualSpacing/>
        <w:rPr>
          <w:rFonts w:ascii="Arial" w:eastAsia="Arial" w:hAnsi="Arial" w:cs="Arial"/>
          <w:b/>
          <w:szCs w:val="23"/>
        </w:rPr>
      </w:pPr>
      <w:r w:rsidRPr="00F52884">
        <w:rPr>
          <w:rFonts w:ascii="Arial" w:eastAsia="Calibri" w:hAnsi="Arial" w:cs="Arial"/>
          <w:b/>
          <w:bCs/>
          <w:szCs w:val="23"/>
          <w:lang w:val="fr-CA"/>
        </w:rPr>
        <w:t>Entités exclues</w:t>
      </w:r>
    </w:p>
    <w:p w14:paraId="7FEB89F7" w14:textId="77777777" w:rsidR="00AF5F98" w:rsidRPr="00F52884" w:rsidRDefault="00AF5F98" w:rsidP="00AF5F98">
      <w:pPr>
        <w:ind w:left="720"/>
        <w:contextualSpacing/>
        <w:rPr>
          <w:rFonts w:ascii="Arial" w:eastAsia="Calibri" w:hAnsi="Arial" w:cs="Arial"/>
          <w:b/>
          <w:szCs w:val="23"/>
        </w:rPr>
      </w:pPr>
    </w:p>
    <w:p w14:paraId="0A18CF61" w14:textId="49243A3A"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Les entités suivantes ne sont pas couvertes par le présent chapitre :</w:t>
      </w:r>
    </w:p>
    <w:p w14:paraId="74D87F72" w14:textId="77777777" w:rsidR="00AF5F98" w:rsidRPr="00F52884" w:rsidRDefault="00AF5F98" w:rsidP="00AF5F98">
      <w:pPr>
        <w:rPr>
          <w:rFonts w:ascii="Arial" w:eastAsia="Arial" w:hAnsi="Arial" w:cs="Arial"/>
          <w:szCs w:val="23"/>
          <w:lang w:val="fr-FR"/>
        </w:rPr>
      </w:pPr>
    </w:p>
    <w:p w14:paraId="309E35FF" w14:textId="77777777" w:rsidR="00AF5F98" w:rsidRPr="00F52884" w:rsidRDefault="00AF5F98" w:rsidP="00F52884">
      <w:pPr>
        <w:pStyle w:val="ListParagraph"/>
        <w:numPr>
          <w:ilvl w:val="3"/>
          <w:numId w:val="230"/>
        </w:numPr>
        <w:ind w:left="709" w:hanging="709"/>
        <w:rPr>
          <w:rFonts w:ascii="Arial" w:eastAsia="Arial" w:hAnsi="Arial" w:cs="Arial"/>
          <w:szCs w:val="23"/>
          <w:lang w:val="fr-FR"/>
        </w:rPr>
      </w:pPr>
      <w:r w:rsidRPr="00F52884">
        <w:rPr>
          <w:rFonts w:ascii="Arial" w:eastAsia="Arial" w:hAnsi="Arial" w:cs="Arial"/>
          <w:szCs w:val="23"/>
          <w:lang w:val="fr-CA"/>
        </w:rPr>
        <w:t>Société d’Énergie du Nouveau-</w:t>
      </w:r>
      <w:r w:rsidRPr="00F52884">
        <w:rPr>
          <w:rFonts w:ascii="Arial" w:eastAsia="Arial" w:hAnsi="Arial" w:cs="Arial"/>
          <w:lang w:val="fr-CA"/>
        </w:rPr>
        <w:t>Brunswick</w:t>
      </w:r>
      <w:r w:rsidRPr="00F52884">
        <w:rPr>
          <w:rFonts w:ascii="Arial" w:eastAsia="Arial" w:hAnsi="Arial" w:cs="Arial"/>
          <w:szCs w:val="23"/>
          <w:lang w:val="fr-CA"/>
        </w:rPr>
        <w:t xml:space="preserve"> et toutes ses filiales et sociétés affiliées existantes et futures</w:t>
      </w:r>
    </w:p>
    <w:p w14:paraId="121D2CC2" w14:textId="0DDA9F76" w:rsidR="00AF5F98" w:rsidRPr="00F52884" w:rsidRDefault="00AF5F98" w:rsidP="00F52884">
      <w:pPr>
        <w:pStyle w:val="ListParagraph"/>
        <w:numPr>
          <w:ilvl w:val="3"/>
          <w:numId w:val="230"/>
        </w:numPr>
        <w:ind w:left="0" w:firstLine="0"/>
        <w:rPr>
          <w:rFonts w:ascii="Arial" w:eastAsia="Arial" w:hAnsi="Arial" w:cs="Arial"/>
          <w:sz w:val="22"/>
          <w:lang w:val="fr-CA"/>
        </w:rPr>
      </w:pPr>
      <w:r w:rsidRPr="00F52884">
        <w:rPr>
          <w:rFonts w:ascii="Arial" w:eastAsia="Arial" w:hAnsi="Arial" w:cs="Arial"/>
          <w:szCs w:val="23"/>
          <w:lang w:val="fr-CA"/>
        </w:rPr>
        <w:t>Services municipaux de distribution d’énergie</w:t>
      </w:r>
    </w:p>
    <w:p w14:paraId="450AA7C6" w14:textId="77777777" w:rsidR="00AF5F98" w:rsidRPr="00F52884" w:rsidRDefault="00AF5F98" w:rsidP="00F52884">
      <w:pPr>
        <w:pStyle w:val="ListParagraph"/>
        <w:numPr>
          <w:ilvl w:val="3"/>
          <w:numId w:val="230"/>
        </w:numPr>
        <w:ind w:left="0" w:firstLine="0"/>
        <w:rPr>
          <w:lang w:val="fr-CA"/>
        </w:rPr>
      </w:pPr>
      <w:r w:rsidRPr="00F52884">
        <w:rPr>
          <w:rFonts w:ascii="Arial" w:hAnsi="Arial" w:cs="Arial"/>
          <w:lang w:val="fr-CA"/>
        </w:rPr>
        <w:t>Gestion provinciale Ltée</w:t>
      </w:r>
    </w:p>
    <w:p w14:paraId="7786AA44" w14:textId="77777777" w:rsidR="00AF5F98" w:rsidRPr="00F52884" w:rsidRDefault="00AF5F98" w:rsidP="00F52884">
      <w:pPr>
        <w:pStyle w:val="ListParagraph"/>
        <w:numPr>
          <w:ilvl w:val="3"/>
          <w:numId w:val="230"/>
        </w:numPr>
        <w:ind w:left="709" w:hanging="709"/>
        <w:rPr>
          <w:rFonts w:ascii="Arial" w:eastAsia="Arial" w:hAnsi="Arial" w:cs="Arial"/>
          <w:szCs w:val="23"/>
          <w:lang w:val="fr-CA"/>
        </w:rPr>
      </w:pPr>
      <w:r w:rsidRPr="00F52884">
        <w:rPr>
          <w:rFonts w:ascii="Arial" w:eastAsia="Arial" w:hAnsi="Arial" w:cs="Arial"/>
          <w:szCs w:val="23"/>
          <w:lang w:val="fr-CA"/>
        </w:rPr>
        <w:t>Société des loteries de l’Atlantique</w:t>
      </w:r>
    </w:p>
    <w:p w14:paraId="7D8C44F0" w14:textId="77777777" w:rsidR="00AF5F98" w:rsidRPr="00F52884" w:rsidRDefault="00AF5F98" w:rsidP="00F52884">
      <w:pPr>
        <w:pStyle w:val="ListParagraph"/>
        <w:numPr>
          <w:ilvl w:val="3"/>
          <w:numId w:val="230"/>
        </w:numPr>
        <w:ind w:left="709" w:hanging="709"/>
        <w:rPr>
          <w:rFonts w:ascii="Arial" w:eastAsia="Arial" w:hAnsi="Arial" w:cs="Arial"/>
          <w:szCs w:val="23"/>
          <w:lang w:val="fr-FR"/>
        </w:rPr>
      </w:pPr>
      <w:r w:rsidRPr="00F52884">
        <w:rPr>
          <w:rFonts w:ascii="Arial" w:eastAsia="Arial" w:hAnsi="Arial" w:cs="Arial"/>
          <w:szCs w:val="23"/>
          <w:lang w:val="fr-CA"/>
        </w:rPr>
        <w:t>Commissions d’épuration des eaux usées (exception ci-dessous)</w:t>
      </w:r>
    </w:p>
    <w:p w14:paraId="093DB50F" w14:textId="77777777" w:rsidR="00AF5F98" w:rsidRPr="00F52884" w:rsidRDefault="00AF5F98" w:rsidP="00AF5F98">
      <w:pPr>
        <w:ind w:left="720"/>
        <w:contextualSpacing/>
        <w:rPr>
          <w:rFonts w:ascii="Arial" w:eastAsia="Arial" w:hAnsi="Arial" w:cs="Arial"/>
          <w:szCs w:val="23"/>
          <w:lang w:val="fr-FR"/>
        </w:rPr>
      </w:pPr>
    </w:p>
    <w:p w14:paraId="1F57BC52" w14:textId="2F783041" w:rsidR="00AF5F98" w:rsidRPr="00F52884" w:rsidRDefault="00AF5F98" w:rsidP="00AF5F98">
      <w:pPr>
        <w:contextualSpacing/>
        <w:rPr>
          <w:rFonts w:ascii="Arial" w:eastAsia="Arial" w:hAnsi="Arial" w:cs="Arial"/>
          <w:szCs w:val="23"/>
          <w:lang w:val="fr-FR"/>
        </w:rPr>
      </w:pPr>
      <w:r w:rsidRPr="00F52884">
        <w:rPr>
          <w:rFonts w:ascii="Arial" w:eastAsia="Arial" w:hAnsi="Arial" w:cs="Arial"/>
          <w:szCs w:val="23"/>
          <w:lang w:val="fr-CA"/>
        </w:rPr>
        <w:t>(Remarque : les valeurs de seuil applicables aux entités actuellement couvertes demeureront les mêmes que celles spécifiées dans les annexes correspondantes de l’ACI actuel.)</w:t>
      </w:r>
    </w:p>
    <w:p w14:paraId="03E04E4A" w14:textId="77777777" w:rsidR="00AF5F98" w:rsidRPr="00F52884" w:rsidRDefault="00AF5F98" w:rsidP="00AF5F98">
      <w:pPr>
        <w:ind w:left="720"/>
        <w:contextualSpacing/>
        <w:rPr>
          <w:rFonts w:ascii="Arial" w:eastAsia="Arial" w:hAnsi="Arial" w:cs="Arial"/>
          <w:szCs w:val="23"/>
          <w:lang w:val="fr-FR"/>
        </w:rPr>
      </w:pPr>
    </w:p>
    <w:p w14:paraId="4F281EB6" w14:textId="18E3F3D0"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Le présent chapitre couvre les entités suivantes uniquement au-delà des valeurs de seuil spécifiées dans l’AECG, et uniquement à l’égard des produits, services et services de construction couverts par l’AECG :</w:t>
      </w:r>
    </w:p>
    <w:p w14:paraId="512EFDF0" w14:textId="77777777" w:rsidR="00AF5F98" w:rsidRPr="00F52884" w:rsidRDefault="00AF5F98" w:rsidP="00AF5F98">
      <w:pPr>
        <w:ind w:left="720"/>
        <w:contextualSpacing/>
        <w:rPr>
          <w:rFonts w:ascii="Arial" w:eastAsia="Arial" w:hAnsi="Arial" w:cs="Arial"/>
          <w:szCs w:val="23"/>
          <w:lang w:val="fr-FR"/>
        </w:rPr>
      </w:pPr>
    </w:p>
    <w:p w14:paraId="12D0C784" w14:textId="77777777" w:rsidR="00AF5F98" w:rsidRPr="00F52884" w:rsidRDefault="00AF5F98" w:rsidP="00AF5F98">
      <w:pPr>
        <w:numPr>
          <w:ilvl w:val="0"/>
          <w:numId w:val="153"/>
        </w:numPr>
        <w:ind w:left="1080"/>
        <w:contextualSpacing/>
        <w:rPr>
          <w:rFonts w:ascii="Arial" w:eastAsia="Arial" w:hAnsi="Arial" w:cs="Arial"/>
          <w:szCs w:val="23"/>
        </w:rPr>
      </w:pPr>
      <w:r w:rsidRPr="00F52884">
        <w:rPr>
          <w:rFonts w:ascii="Arial" w:eastAsia="Arial" w:hAnsi="Arial" w:cs="Arial"/>
          <w:szCs w:val="23"/>
          <w:lang w:val="fr-CA"/>
        </w:rPr>
        <w:t>Forest Protection Limited</w:t>
      </w:r>
    </w:p>
    <w:p w14:paraId="6E82D8EF" w14:textId="77777777" w:rsidR="00AF5F98" w:rsidRPr="00F52884" w:rsidRDefault="00AF5F98" w:rsidP="00AF5F98">
      <w:pPr>
        <w:numPr>
          <w:ilvl w:val="0"/>
          <w:numId w:val="153"/>
        </w:numPr>
        <w:ind w:left="1080"/>
        <w:contextualSpacing/>
        <w:rPr>
          <w:rFonts w:ascii="Arial" w:eastAsia="Arial" w:hAnsi="Arial" w:cs="Arial"/>
          <w:szCs w:val="23"/>
          <w:lang w:val="fr-FR"/>
        </w:rPr>
      </w:pPr>
      <w:r w:rsidRPr="00F52884">
        <w:rPr>
          <w:rFonts w:ascii="Arial" w:eastAsia="Arial" w:hAnsi="Arial" w:cs="Arial"/>
          <w:szCs w:val="23"/>
          <w:lang w:val="fr-CA"/>
        </w:rPr>
        <w:t>Conseil de la recherche et de la productivité du Nouveau-Brunswick</w:t>
      </w:r>
    </w:p>
    <w:p w14:paraId="2CC93BB1" w14:textId="77777777" w:rsidR="00AF5F98" w:rsidRPr="00F52884" w:rsidRDefault="00AF5F98" w:rsidP="00AF5F98">
      <w:pPr>
        <w:numPr>
          <w:ilvl w:val="0"/>
          <w:numId w:val="153"/>
        </w:numPr>
        <w:ind w:left="1080"/>
        <w:contextualSpacing/>
        <w:rPr>
          <w:rFonts w:ascii="Arial" w:eastAsia="Arial" w:hAnsi="Arial" w:cs="Arial"/>
          <w:szCs w:val="23"/>
          <w:lang w:val="fr-FR"/>
        </w:rPr>
      </w:pPr>
      <w:r w:rsidRPr="00F52884">
        <w:rPr>
          <w:rFonts w:ascii="Arial" w:eastAsia="Arial" w:hAnsi="Arial" w:cs="Arial"/>
          <w:szCs w:val="23"/>
          <w:lang w:val="fr-CA"/>
        </w:rPr>
        <w:t>Les Commissions d’épuration des eaux usées sont exclues sauf la Commission de contrôle de la pollution de la région de Fredericton et la Commission d’épuration des eaux usées du Grand Moncton</w:t>
      </w:r>
    </w:p>
    <w:p w14:paraId="3F03BA4F" w14:textId="21DA83E4" w:rsidR="00AF5F98" w:rsidRPr="00F52884" w:rsidRDefault="00AF5F98" w:rsidP="00AF5F98">
      <w:pPr>
        <w:numPr>
          <w:ilvl w:val="0"/>
          <w:numId w:val="153"/>
        </w:numPr>
        <w:ind w:left="1080"/>
        <w:contextualSpacing/>
        <w:rPr>
          <w:rFonts w:ascii="Arial" w:eastAsia="Arial" w:hAnsi="Arial" w:cs="Arial"/>
          <w:szCs w:val="23"/>
          <w:lang w:val="fr-FR"/>
        </w:rPr>
      </w:pPr>
      <w:r w:rsidRPr="00F52884">
        <w:rPr>
          <w:rFonts w:ascii="Arial" w:eastAsia="Arial" w:hAnsi="Arial" w:cs="Arial"/>
          <w:szCs w:val="23"/>
          <w:lang w:val="fr-CA"/>
        </w:rPr>
        <w:t>Les Commissions régionales de gestion des matières usées solides qui sont indiquées comme figurant sur une liste jointe à l’AECG</w:t>
      </w:r>
    </w:p>
    <w:p w14:paraId="0D0F4DB5" w14:textId="77777777" w:rsidR="00AF5F98" w:rsidRPr="00F52884" w:rsidRDefault="00AF5F98" w:rsidP="00AF5F98">
      <w:pPr>
        <w:numPr>
          <w:ilvl w:val="0"/>
          <w:numId w:val="153"/>
        </w:numPr>
        <w:ind w:left="1080"/>
        <w:contextualSpacing/>
        <w:rPr>
          <w:rFonts w:ascii="Arial" w:eastAsia="Arial" w:hAnsi="Arial" w:cs="Arial"/>
          <w:szCs w:val="23"/>
          <w:lang w:val="fr-FR"/>
        </w:rPr>
      </w:pPr>
      <w:r w:rsidRPr="00F52884">
        <w:rPr>
          <w:rFonts w:ascii="Arial" w:eastAsia="Arial" w:hAnsi="Arial" w:cs="Arial"/>
          <w:szCs w:val="23"/>
          <w:lang w:val="fr-CA"/>
        </w:rPr>
        <w:t>Conseil des arts du Nouveau-Brunswick</w:t>
      </w:r>
    </w:p>
    <w:p w14:paraId="1F24C68A" w14:textId="77777777" w:rsidR="00AF5F98" w:rsidRPr="00F52884" w:rsidRDefault="00AF5F98" w:rsidP="00AF5F98">
      <w:pPr>
        <w:numPr>
          <w:ilvl w:val="0"/>
          <w:numId w:val="153"/>
        </w:numPr>
        <w:ind w:left="1080"/>
        <w:contextualSpacing/>
        <w:rPr>
          <w:rFonts w:ascii="Arial" w:eastAsia="Arial" w:hAnsi="Arial" w:cs="Arial"/>
          <w:szCs w:val="23"/>
          <w:lang w:val="fr-FR"/>
        </w:rPr>
      </w:pPr>
      <w:r w:rsidRPr="00F52884">
        <w:rPr>
          <w:rFonts w:ascii="Arial" w:eastAsia="Arial" w:hAnsi="Arial" w:cs="Arial"/>
          <w:szCs w:val="23"/>
          <w:lang w:val="fr-CA"/>
        </w:rPr>
        <w:t>Société d’assurance-dépôts des caisses populaires du Nouveau-Brunswick</w:t>
      </w:r>
    </w:p>
    <w:p w14:paraId="60E14EEF" w14:textId="77777777" w:rsidR="00AF5F98" w:rsidRPr="00F52884" w:rsidRDefault="00AF5F98" w:rsidP="00AF5F98">
      <w:pPr>
        <w:numPr>
          <w:ilvl w:val="0"/>
          <w:numId w:val="153"/>
        </w:numPr>
        <w:ind w:left="1080"/>
        <w:contextualSpacing/>
        <w:rPr>
          <w:rFonts w:ascii="Arial" w:eastAsia="Arial" w:hAnsi="Arial" w:cs="Arial"/>
          <w:szCs w:val="23"/>
        </w:rPr>
      </w:pPr>
      <w:r w:rsidRPr="00F52884">
        <w:rPr>
          <w:rFonts w:ascii="Arial" w:eastAsia="Arial" w:hAnsi="Arial" w:cs="Arial"/>
          <w:szCs w:val="23"/>
          <w:lang w:val="fr-CA"/>
        </w:rPr>
        <w:t>Commission des produits de ferme</w:t>
      </w:r>
    </w:p>
    <w:p w14:paraId="3E9E0682" w14:textId="77777777" w:rsidR="00AF5F98" w:rsidRPr="00F52884" w:rsidRDefault="00AF5F98" w:rsidP="00AF5F98">
      <w:pPr>
        <w:numPr>
          <w:ilvl w:val="0"/>
          <w:numId w:val="153"/>
        </w:numPr>
        <w:ind w:left="1080"/>
        <w:contextualSpacing/>
        <w:rPr>
          <w:rFonts w:ascii="Arial" w:eastAsia="Arial" w:hAnsi="Arial" w:cs="Arial"/>
          <w:szCs w:val="23"/>
        </w:rPr>
      </w:pPr>
      <w:r w:rsidRPr="00F52884">
        <w:rPr>
          <w:rFonts w:ascii="Arial" w:eastAsia="Arial" w:hAnsi="Arial" w:cs="Arial"/>
          <w:szCs w:val="23"/>
          <w:lang w:val="fr-CA"/>
        </w:rPr>
        <w:t>Musée du Nouveau-Brunswick</w:t>
      </w:r>
    </w:p>
    <w:p w14:paraId="4F6C8157" w14:textId="77777777" w:rsidR="00AF5F98" w:rsidRPr="00F52884" w:rsidRDefault="00AF5F98" w:rsidP="00AF5F98">
      <w:pPr>
        <w:ind w:left="720"/>
        <w:contextualSpacing/>
        <w:rPr>
          <w:rFonts w:ascii="Arial" w:eastAsia="Arial" w:hAnsi="Arial" w:cs="Arial"/>
          <w:i/>
          <w:szCs w:val="23"/>
        </w:rPr>
      </w:pPr>
    </w:p>
    <w:p w14:paraId="10AAD7D3" w14:textId="77777777" w:rsidR="00AF5F98" w:rsidRPr="00F52884" w:rsidRDefault="00AF5F98" w:rsidP="00AF5F98">
      <w:pPr>
        <w:numPr>
          <w:ilvl w:val="0"/>
          <w:numId w:val="205"/>
        </w:numPr>
        <w:ind w:hanging="720"/>
        <w:contextualSpacing/>
        <w:rPr>
          <w:rFonts w:ascii="Arial" w:eastAsia="Calibri" w:hAnsi="Arial" w:cs="Arial"/>
          <w:szCs w:val="23"/>
        </w:rPr>
      </w:pPr>
      <w:r w:rsidRPr="00F52884">
        <w:rPr>
          <w:rFonts w:ascii="Arial" w:eastAsia="Arial" w:hAnsi="Arial" w:cs="Arial"/>
          <w:b/>
          <w:bCs/>
          <w:szCs w:val="23"/>
          <w:lang w:val="fr-CA"/>
        </w:rPr>
        <w:t>Exceptions et remarques</w:t>
      </w:r>
    </w:p>
    <w:p w14:paraId="05267EBD" w14:textId="77777777" w:rsidR="00AF5F98" w:rsidRPr="00F52884" w:rsidRDefault="00AF5F98" w:rsidP="00AF5F98">
      <w:pPr>
        <w:ind w:left="720"/>
        <w:contextualSpacing/>
        <w:rPr>
          <w:rFonts w:ascii="Arial" w:eastAsia="Arial" w:hAnsi="Arial" w:cs="Arial"/>
          <w:szCs w:val="23"/>
        </w:rPr>
      </w:pPr>
    </w:p>
    <w:p w14:paraId="30D8DE45" w14:textId="3D8B8CD5" w:rsidR="00AF5F98" w:rsidRPr="00F52884" w:rsidRDefault="00AF5F98" w:rsidP="00AF5F98">
      <w:pPr>
        <w:numPr>
          <w:ilvl w:val="0"/>
          <w:numId w:val="206"/>
        </w:numPr>
        <w:ind w:hanging="720"/>
        <w:contextualSpacing/>
        <w:rPr>
          <w:rFonts w:ascii="Arial" w:eastAsia="Times New Roman" w:hAnsi="Arial" w:cs="Arial"/>
          <w:szCs w:val="23"/>
          <w:lang w:val="fr-FR"/>
        </w:rPr>
      </w:pPr>
      <w:r w:rsidRPr="00F52884">
        <w:rPr>
          <w:rFonts w:ascii="Arial" w:eastAsia="Times New Roman" w:hAnsi="Arial" w:cs="Arial"/>
          <w:szCs w:val="23"/>
          <w:lang w:val="fr-CA"/>
        </w:rPr>
        <w:t>En ce qui concerne le Nouveau-Brunswick, le présent chapitre ne couvre pas les marchés :</w:t>
      </w:r>
    </w:p>
    <w:p w14:paraId="0AD3CD18" w14:textId="77777777" w:rsidR="00AF5F98" w:rsidRPr="00F52884" w:rsidRDefault="00AF5F98" w:rsidP="00AF5F98">
      <w:pPr>
        <w:ind w:left="1440" w:hanging="720"/>
        <w:rPr>
          <w:rFonts w:ascii="Arial" w:eastAsia="Times New Roman" w:hAnsi="Arial" w:cs="Arial"/>
          <w:szCs w:val="23"/>
          <w:lang w:val="fr-CA"/>
        </w:rPr>
      </w:pPr>
    </w:p>
    <w:p w14:paraId="7A6FC4E4" w14:textId="23B361A4" w:rsidR="00AF5F98" w:rsidRPr="00F52884" w:rsidRDefault="00AF5F98" w:rsidP="00AF5F98">
      <w:pPr>
        <w:ind w:left="1440" w:hanging="720"/>
        <w:rPr>
          <w:rFonts w:ascii="Arial" w:eastAsia="Times New Roman" w:hAnsi="Arial" w:cs="Arial"/>
          <w:szCs w:val="23"/>
          <w:lang w:val="fr-CA"/>
        </w:rPr>
      </w:pPr>
      <w:r w:rsidRPr="00F52884">
        <w:rPr>
          <w:rFonts w:ascii="Arial" w:eastAsia="Times New Roman" w:hAnsi="Arial" w:cs="Arial"/>
          <w:szCs w:val="23"/>
          <w:lang w:val="fr-CA"/>
        </w:rPr>
        <w:t>a)</w:t>
      </w:r>
      <w:r w:rsidRPr="00F52884">
        <w:rPr>
          <w:rFonts w:ascii="Arial" w:eastAsia="Times New Roman" w:hAnsi="Arial" w:cs="Arial"/>
          <w:szCs w:val="23"/>
          <w:lang w:val="fr-CA"/>
        </w:rPr>
        <w:tab/>
        <w:t>des services qui ne peuvent, en vertu de la législation applicable de la Partie lançant l’appel d’offres, être fournis que par les professionnels autorisés suivants peu importe la valeur : vétérinaires, arpenteurs-géomètres, ingénieurs, architectes et comptables en-deçà des valeurs de seuil spécifiées dans l’AECG.</w:t>
      </w:r>
      <w:r w:rsidRPr="00F52884">
        <w:rPr>
          <w:rFonts w:ascii="Arial" w:eastAsia="Times New Roman" w:hAnsi="Arial" w:cs="Arial"/>
          <w:b/>
          <w:bCs/>
          <w:szCs w:val="23"/>
          <w:lang w:val="fr-CA"/>
        </w:rPr>
        <w:t xml:space="preserve"> </w:t>
      </w:r>
      <w:r w:rsidRPr="00F52884">
        <w:rPr>
          <w:rFonts w:ascii="Arial" w:eastAsia="Times New Roman" w:hAnsi="Arial" w:cs="Arial"/>
          <w:szCs w:val="23"/>
          <w:lang w:val="fr-CA"/>
        </w:rPr>
        <w:t xml:space="preserve">Le présent chapitre ne couvre pas les ingénieurs, architectes et </w:t>
      </w:r>
      <w:r w:rsidRPr="00F52884">
        <w:rPr>
          <w:rFonts w:ascii="Arial" w:eastAsia="Times New Roman" w:hAnsi="Arial" w:cs="Arial"/>
          <w:szCs w:val="23"/>
          <w:lang w:val="fr-CA"/>
        </w:rPr>
        <w:lastRenderedPageBreak/>
        <w:t>comptables sans égard à la valeur en ce qui concerne les entités qui ne sont pas couvertes par l’AECG;</w:t>
      </w:r>
    </w:p>
    <w:p w14:paraId="461ABE36" w14:textId="77777777" w:rsidR="0028052A" w:rsidRPr="00F52884" w:rsidRDefault="0028052A" w:rsidP="00AF5F98">
      <w:pPr>
        <w:ind w:left="1440" w:hanging="720"/>
        <w:rPr>
          <w:rFonts w:ascii="Arial" w:eastAsia="Times New Roman" w:hAnsi="Arial" w:cs="Arial"/>
          <w:szCs w:val="23"/>
          <w:lang w:val="fr-FR"/>
        </w:rPr>
      </w:pPr>
    </w:p>
    <w:p w14:paraId="2CE1615B" w14:textId="366FC766" w:rsidR="00AF5F98" w:rsidRPr="00F52884" w:rsidRDefault="00AF5F98" w:rsidP="00AF5F98">
      <w:pPr>
        <w:ind w:left="1440" w:hanging="720"/>
        <w:rPr>
          <w:rFonts w:ascii="Arial" w:eastAsia="Times New Roman" w:hAnsi="Arial" w:cs="Arial"/>
          <w:szCs w:val="23"/>
          <w:lang w:val="fr-CA"/>
        </w:rPr>
      </w:pPr>
      <w:r w:rsidRPr="00F52884">
        <w:rPr>
          <w:rFonts w:ascii="Arial" w:eastAsia="Times New Roman" w:hAnsi="Arial" w:cs="Arial"/>
          <w:szCs w:val="23"/>
          <w:lang w:val="fr-CA"/>
        </w:rPr>
        <w:t>b)</w:t>
      </w:r>
      <w:r w:rsidRPr="00F52884">
        <w:rPr>
          <w:rFonts w:ascii="Arial" w:eastAsia="Times New Roman" w:hAnsi="Arial" w:cs="Arial"/>
          <w:szCs w:val="23"/>
          <w:lang w:val="fr-CA"/>
        </w:rPr>
        <w:tab/>
        <w:t>les services de transport fournis par des entreprises locales de camionnage pour le transport d’agrégats dans le cadre des projets de construction de routes visés au-delà des seuils de l’AECG en ce qui concerne les entités couvertes par l’AECG;</w:t>
      </w:r>
    </w:p>
    <w:p w14:paraId="3CF46B60" w14:textId="77777777" w:rsidR="0028052A" w:rsidRPr="00F52884" w:rsidRDefault="0028052A" w:rsidP="00AF5F98">
      <w:pPr>
        <w:ind w:left="1440" w:hanging="720"/>
        <w:rPr>
          <w:rFonts w:ascii="Arial" w:eastAsia="Times New Roman" w:hAnsi="Arial" w:cs="Arial"/>
          <w:szCs w:val="23"/>
          <w:lang w:val="fr-FR"/>
        </w:rPr>
      </w:pPr>
    </w:p>
    <w:p w14:paraId="46CD8438" w14:textId="79415D08" w:rsidR="0028052A" w:rsidRPr="00F52884" w:rsidRDefault="00AF5F98" w:rsidP="0028052A">
      <w:pPr>
        <w:ind w:left="1440" w:hanging="720"/>
        <w:rPr>
          <w:rFonts w:ascii="Arial" w:eastAsia="Times New Roman" w:hAnsi="Arial" w:cs="Arial"/>
          <w:szCs w:val="23"/>
          <w:lang w:val="fr-CA"/>
        </w:rPr>
      </w:pPr>
      <w:r w:rsidRPr="00F52884">
        <w:rPr>
          <w:rFonts w:ascii="Arial" w:eastAsia="Times New Roman" w:hAnsi="Arial" w:cs="Arial"/>
          <w:szCs w:val="23"/>
          <w:lang w:val="fr-CA"/>
        </w:rPr>
        <w:t>c)</w:t>
      </w:r>
      <w:r w:rsidRPr="00F52884">
        <w:rPr>
          <w:rFonts w:ascii="Arial" w:eastAsia="Times New Roman" w:hAnsi="Arial" w:cs="Arial"/>
          <w:szCs w:val="23"/>
          <w:lang w:val="fr-CA"/>
        </w:rPr>
        <w:tab/>
        <w:t>les services de publicité et de relations publiques;</w:t>
      </w:r>
    </w:p>
    <w:p w14:paraId="766ECFD7" w14:textId="77777777" w:rsidR="0028052A" w:rsidRPr="00F52884" w:rsidRDefault="0028052A" w:rsidP="0028052A">
      <w:pPr>
        <w:ind w:left="1440" w:hanging="720"/>
        <w:rPr>
          <w:rFonts w:ascii="Arial" w:eastAsia="Times New Roman" w:hAnsi="Arial" w:cs="Arial"/>
          <w:szCs w:val="23"/>
          <w:lang w:val="fr-CA"/>
        </w:rPr>
      </w:pPr>
    </w:p>
    <w:p w14:paraId="011E5019" w14:textId="63B46043" w:rsidR="0028052A" w:rsidRPr="00F52884" w:rsidRDefault="0028052A" w:rsidP="0028052A">
      <w:pPr>
        <w:ind w:left="1440" w:hanging="720"/>
        <w:rPr>
          <w:rFonts w:ascii="Arial" w:eastAsia="Times New Roman" w:hAnsi="Arial" w:cs="Arial"/>
          <w:szCs w:val="23"/>
          <w:lang w:val="fr-CA"/>
        </w:rPr>
      </w:pPr>
      <w:r w:rsidRPr="00F52884">
        <w:rPr>
          <w:rFonts w:ascii="Arial" w:eastAsia="Times New Roman" w:hAnsi="Arial" w:cs="Arial"/>
          <w:szCs w:val="23"/>
          <w:lang w:val="fr-CA"/>
        </w:rPr>
        <w:t>d)</w:t>
      </w:r>
      <w:r w:rsidRPr="00F52884">
        <w:rPr>
          <w:rFonts w:ascii="Arial" w:eastAsia="Times New Roman" w:hAnsi="Arial" w:cs="Arial"/>
          <w:szCs w:val="23"/>
          <w:lang w:val="fr-CA"/>
        </w:rPr>
        <w:tab/>
      </w:r>
      <w:r w:rsidR="00AF5F98" w:rsidRPr="00F52884">
        <w:rPr>
          <w:rFonts w:ascii="Arial" w:eastAsia="Times New Roman" w:hAnsi="Arial" w:cs="Arial"/>
          <w:szCs w:val="23"/>
          <w:lang w:val="fr-CA"/>
        </w:rPr>
        <w:t>les services de consultation en matière de gestion de la commercialisation en-deçà des valeurs de seuil spécifiées dans l’AECG. Les services de consultation en matière de gestion de la commercialisation ne sont pas visés peu importe la valeur en ce qui concerne les entités qui ne sont pas couvertes par l’AECG;</w:t>
      </w:r>
    </w:p>
    <w:p w14:paraId="14A272B7" w14:textId="77777777" w:rsidR="0028052A" w:rsidRPr="00F52884" w:rsidRDefault="0028052A" w:rsidP="0028052A">
      <w:pPr>
        <w:pStyle w:val="ListParagraph"/>
        <w:ind w:left="1440"/>
        <w:rPr>
          <w:rFonts w:ascii="Arial" w:eastAsia="Times New Roman" w:hAnsi="Arial" w:cs="Arial"/>
          <w:szCs w:val="23"/>
          <w:lang w:val="fr-CA"/>
        </w:rPr>
      </w:pPr>
    </w:p>
    <w:p w14:paraId="5B489212" w14:textId="65F5E116" w:rsidR="0028052A" w:rsidRPr="00F52884" w:rsidRDefault="00AF5F98" w:rsidP="0028052A">
      <w:pPr>
        <w:pStyle w:val="ListParagraph"/>
        <w:numPr>
          <w:ilvl w:val="0"/>
          <w:numId w:val="392"/>
        </w:numPr>
        <w:rPr>
          <w:rFonts w:ascii="Arial" w:eastAsia="Times New Roman" w:hAnsi="Arial" w:cs="Arial"/>
          <w:szCs w:val="23"/>
          <w:lang w:val="fr-CA"/>
        </w:rPr>
      </w:pPr>
      <w:r w:rsidRPr="00F52884">
        <w:rPr>
          <w:rFonts w:ascii="Arial" w:eastAsia="Arial" w:hAnsi="Arial" w:cs="Arial"/>
          <w:szCs w:val="23"/>
          <w:lang w:val="fr-CA"/>
        </w:rPr>
        <w:t xml:space="preserve">lorsque des matériaux de construction doivent être achetés et qu’il est possible de démontrer que les frais de transport ou des considérations d’ordre technique ont pour effet de limiter, sur le plan géographique, les sources d’approvisionnement disponibles, particulièrement en ce qui a trait au sable, à la pierre, au gravier, aux bitumes, aux bétons composites et aux bétons </w:t>
      </w:r>
      <w:proofErr w:type="spellStart"/>
      <w:r w:rsidRPr="00F52884">
        <w:rPr>
          <w:rFonts w:ascii="Arial" w:eastAsia="Arial" w:hAnsi="Arial" w:cs="Arial"/>
          <w:szCs w:val="23"/>
          <w:lang w:val="fr-CA"/>
        </w:rPr>
        <w:t>prémélangés</w:t>
      </w:r>
      <w:proofErr w:type="spellEnd"/>
      <w:r w:rsidRPr="00F52884">
        <w:rPr>
          <w:rFonts w:ascii="Arial" w:eastAsia="Arial" w:hAnsi="Arial" w:cs="Arial"/>
          <w:szCs w:val="23"/>
          <w:lang w:val="fr-CA"/>
        </w:rPr>
        <w:t xml:space="preserve"> utilisés dans la construction des routes ou leur réparation, visés au-delà des niveaux de l’AECG en ce qui concerne les entités couvertes par l’AECG;</w:t>
      </w:r>
    </w:p>
    <w:p w14:paraId="3BCD1905" w14:textId="77777777" w:rsidR="0028052A" w:rsidRPr="00F52884" w:rsidRDefault="0028052A" w:rsidP="0028052A">
      <w:pPr>
        <w:pStyle w:val="ListParagraph"/>
        <w:rPr>
          <w:rFonts w:ascii="Arial" w:eastAsia="Arial" w:hAnsi="Arial" w:cs="Arial"/>
          <w:szCs w:val="23"/>
          <w:lang w:val="fr-CA"/>
        </w:rPr>
      </w:pPr>
    </w:p>
    <w:p w14:paraId="262F990A" w14:textId="64D8E26D" w:rsidR="0028052A" w:rsidRPr="00F52884" w:rsidRDefault="00AF5F98" w:rsidP="0028052A">
      <w:pPr>
        <w:pStyle w:val="ListParagraph"/>
        <w:numPr>
          <w:ilvl w:val="0"/>
          <w:numId w:val="392"/>
        </w:numPr>
        <w:rPr>
          <w:rFonts w:ascii="Arial" w:eastAsia="Times New Roman" w:hAnsi="Arial" w:cs="Arial"/>
          <w:szCs w:val="23"/>
          <w:lang w:val="fr-CA"/>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produits achetés à des fins de représentation ou de promotion, ou les services ou les services de construction passés à des fins de représentation ou de promotion à l’extérieur du territoire de la Partie, visés au-delà des niveaux de l’AECG en ce qui concerne les entités couvertes par l’AECG;</w:t>
      </w:r>
    </w:p>
    <w:p w14:paraId="0F611EEF" w14:textId="77777777" w:rsidR="0028052A" w:rsidRPr="00F52884" w:rsidRDefault="0028052A" w:rsidP="0028052A">
      <w:pPr>
        <w:pStyle w:val="ListParagraph"/>
        <w:rPr>
          <w:rFonts w:ascii="Arial" w:eastAsia="Arial" w:hAnsi="Arial" w:cs="Arial"/>
          <w:szCs w:val="23"/>
          <w:lang w:val="fr-CA"/>
        </w:rPr>
      </w:pPr>
    </w:p>
    <w:p w14:paraId="437AA460" w14:textId="55D130D5" w:rsidR="0028052A" w:rsidRPr="00F52884" w:rsidRDefault="00AF5F98" w:rsidP="0028052A">
      <w:pPr>
        <w:pStyle w:val="ListParagraph"/>
        <w:numPr>
          <w:ilvl w:val="0"/>
          <w:numId w:val="392"/>
        </w:numPr>
        <w:rPr>
          <w:rFonts w:ascii="Arial" w:eastAsia="Times New Roman" w:hAnsi="Arial" w:cs="Arial"/>
          <w:szCs w:val="23"/>
          <w:lang w:val="fr-CA"/>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marchés  portant sur des produits dont la circulation entre les provinces est restreinte par des règles de droit qui ne sont pas incompatibles avec le présent accord, visés au-delà des niveaux de l’AECG en ce qui concerne les entités couvertes par l’AECG;</w:t>
      </w:r>
    </w:p>
    <w:p w14:paraId="59C84B1C" w14:textId="77777777" w:rsidR="0028052A" w:rsidRPr="00F52884" w:rsidRDefault="0028052A" w:rsidP="0028052A">
      <w:pPr>
        <w:pStyle w:val="ListParagraph"/>
        <w:rPr>
          <w:rFonts w:ascii="Arial" w:eastAsia="Arial" w:hAnsi="Arial" w:cs="Arial"/>
          <w:szCs w:val="23"/>
          <w:lang w:val="fr-CA"/>
        </w:rPr>
      </w:pPr>
    </w:p>
    <w:p w14:paraId="5B1D7608" w14:textId="4436AC23" w:rsidR="00AF5F98" w:rsidRPr="00F52884" w:rsidRDefault="00AF5F98" w:rsidP="0028052A">
      <w:pPr>
        <w:pStyle w:val="ListParagraph"/>
        <w:numPr>
          <w:ilvl w:val="0"/>
          <w:numId w:val="392"/>
        </w:numPr>
        <w:rPr>
          <w:rFonts w:ascii="Arial" w:eastAsia="Times New Roman" w:hAnsi="Arial" w:cs="Arial"/>
          <w:szCs w:val="23"/>
          <w:lang w:val="fr-CA"/>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aliments locaux</w:t>
      </w:r>
      <w:r w:rsidR="00725565" w:rsidRPr="00F52884">
        <w:rPr>
          <w:rFonts w:ascii="Arial" w:eastAsia="Arial" w:hAnsi="Arial" w:cs="Arial"/>
          <w:szCs w:val="23"/>
          <w:lang w:val="fr-CA"/>
        </w:rPr>
        <w:t>.</w:t>
      </w:r>
    </w:p>
    <w:p w14:paraId="144609EB" w14:textId="77777777" w:rsidR="00AF5F98" w:rsidRPr="00F52884" w:rsidRDefault="00AF5F98" w:rsidP="00AF5F98">
      <w:pPr>
        <w:autoSpaceDE w:val="0"/>
        <w:autoSpaceDN w:val="0"/>
        <w:adjustRightInd w:val="0"/>
        <w:ind w:left="720"/>
        <w:rPr>
          <w:rFonts w:ascii="Arial" w:eastAsia="Arial" w:hAnsi="Arial" w:cs="Arial"/>
          <w:szCs w:val="23"/>
        </w:rPr>
      </w:pPr>
    </w:p>
    <w:p w14:paraId="5DF73D42" w14:textId="5DEC1740" w:rsidR="00AF5F98" w:rsidRPr="00F52884" w:rsidRDefault="00AF5F98" w:rsidP="00AF5F98">
      <w:pPr>
        <w:numPr>
          <w:ilvl w:val="0"/>
          <w:numId w:val="206"/>
        </w:numPr>
        <w:shd w:val="clear" w:color="auto" w:fill="FFFFFF"/>
        <w:ind w:right="150" w:hanging="720"/>
        <w:contextualSpacing/>
        <w:rPr>
          <w:rFonts w:ascii="Arial" w:eastAsia="Calibri" w:hAnsi="Arial" w:cs="Arial"/>
          <w:szCs w:val="23"/>
          <w:lang w:val="fr-FR"/>
        </w:rPr>
      </w:pPr>
      <w:r w:rsidRPr="00F52884">
        <w:rPr>
          <w:rFonts w:ascii="Arial" w:eastAsia="Times New Roman" w:hAnsi="Arial" w:cs="Arial"/>
          <w:szCs w:val="23"/>
          <w:lang w:val="fr-CA"/>
        </w:rPr>
        <w:t>Les entités contractantes couvertes du Nouveau-Brunswick peuvent déroger au présent chapitre aux fins de la promotion du développement économique régional.</w:t>
      </w:r>
    </w:p>
    <w:p w14:paraId="70F5F25A" w14:textId="77777777" w:rsidR="00AF5F98" w:rsidRPr="00F52884" w:rsidRDefault="00AF5F98" w:rsidP="00AF5F98">
      <w:pPr>
        <w:shd w:val="clear" w:color="auto" w:fill="FFFFFF"/>
        <w:ind w:left="720" w:right="150"/>
        <w:contextualSpacing/>
        <w:rPr>
          <w:rFonts w:ascii="Arial" w:eastAsia="Calibri" w:hAnsi="Arial" w:cs="Arial"/>
          <w:szCs w:val="23"/>
          <w:lang w:val="fr-FR"/>
        </w:rPr>
      </w:pPr>
    </w:p>
    <w:p w14:paraId="265F5DAF" w14:textId="4544E258" w:rsidR="00AF5F98" w:rsidRPr="00F52884" w:rsidRDefault="00AF5F98" w:rsidP="00AF5F98">
      <w:pPr>
        <w:numPr>
          <w:ilvl w:val="0"/>
          <w:numId w:val="207"/>
        </w:numPr>
        <w:rPr>
          <w:rFonts w:ascii="Arial" w:eastAsia="Arial" w:hAnsi="Arial" w:cs="Arial"/>
          <w:szCs w:val="23"/>
          <w:lang w:val="fr-FR"/>
        </w:rPr>
      </w:pPr>
      <w:r w:rsidRPr="00F52884">
        <w:rPr>
          <w:rFonts w:ascii="Arial" w:eastAsia="Arial" w:hAnsi="Arial" w:cs="Arial"/>
          <w:szCs w:val="23"/>
          <w:lang w:val="fr-CA"/>
        </w:rPr>
        <w:t xml:space="preserve">Tout marché pouvant bénéficier d’une dérogation au titre du présent paragraphe </w:t>
      </w:r>
      <w:proofErr w:type="gramStart"/>
      <w:r w:rsidRPr="00F52884">
        <w:rPr>
          <w:rFonts w:ascii="Arial" w:eastAsia="Arial" w:hAnsi="Arial" w:cs="Arial"/>
          <w:szCs w:val="23"/>
          <w:lang w:val="fr-CA"/>
        </w:rPr>
        <w:t>doit  remplir</w:t>
      </w:r>
      <w:proofErr w:type="gramEnd"/>
      <w:r w:rsidRPr="00F52884">
        <w:rPr>
          <w:rFonts w:ascii="Arial" w:eastAsia="Arial" w:hAnsi="Arial" w:cs="Arial"/>
          <w:szCs w:val="23"/>
          <w:lang w:val="fr-CA"/>
        </w:rPr>
        <w:t xml:space="preserve"> les conditions suivantes :</w:t>
      </w:r>
    </w:p>
    <w:p w14:paraId="3399C722" w14:textId="77777777" w:rsidR="00AF5F98" w:rsidRPr="00F52884" w:rsidRDefault="00AF5F98" w:rsidP="00F52884">
      <w:pPr>
        <w:ind w:left="1440"/>
        <w:rPr>
          <w:rFonts w:ascii="Arial" w:eastAsia="Arial" w:hAnsi="Arial" w:cs="Arial"/>
          <w:szCs w:val="23"/>
          <w:lang w:val="fr-FR"/>
        </w:rPr>
      </w:pPr>
    </w:p>
    <w:p w14:paraId="2D7944E9" w14:textId="768A859D" w:rsidR="00AF5F98" w:rsidRPr="00F52884" w:rsidRDefault="00AF5F98" w:rsidP="00F00107">
      <w:pPr>
        <w:numPr>
          <w:ilvl w:val="0"/>
          <w:numId w:val="209"/>
        </w:numPr>
        <w:ind w:left="2160" w:hanging="450"/>
        <w:rPr>
          <w:rFonts w:ascii="Arial" w:eastAsia="Arial" w:hAnsi="Arial" w:cs="Arial"/>
          <w:szCs w:val="23"/>
          <w:lang w:val="fr-FR"/>
        </w:rPr>
      </w:pPr>
      <w:proofErr w:type="gramStart"/>
      <w:r w:rsidRPr="00F52884">
        <w:rPr>
          <w:rFonts w:ascii="Arial" w:eastAsia="Arial" w:hAnsi="Arial" w:cs="Arial"/>
          <w:szCs w:val="23"/>
          <w:lang w:val="fr-FR"/>
        </w:rPr>
        <w:t>être</w:t>
      </w:r>
      <w:proofErr w:type="gramEnd"/>
      <w:r w:rsidRPr="00F52884">
        <w:rPr>
          <w:rFonts w:ascii="Arial" w:eastAsia="Arial" w:hAnsi="Arial" w:cs="Arial"/>
          <w:szCs w:val="23"/>
          <w:lang w:val="fr-FR"/>
        </w:rPr>
        <w:t xml:space="preserve"> passé </w:t>
      </w:r>
      <w:r w:rsidRPr="00F52884">
        <w:rPr>
          <w:rFonts w:ascii="Arial" w:eastAsia="Arial" w:hAnsi="Arial" w:cs="Arial"/>
          <w:szCs w:val="23"/>
          <w:lang w:val="fr-CA"/>
        </w:rPr>
        <w:t>dans le but de soutenir les petites entreprises ou l’emploi dans les régions rurales;</w:t>
      </w:r>
    </w:p>
    <w:p w14:paraId="20556528" w14:textId="77777777" w:rsidR="00AF5F98" w:rsidRPr="00F52884" w:rsidRDefault="00AF5F98" w:rsidP="00F00107">
      <w:pPr>
        <w:ind w:left="2160" w:hanging="450"/>
        <w:rPr>
          <w:rFonts w:ascii="Arial" w:eastAsia="Arial" w:hAnsi="Arial" w:cs="Arial"/>
          <w:szCs w:val="23"/>
          <w:lang w:val="fr-FR"/>
        </w:rPr>
      </w:pPr>
    </w:p>
    <w:p w14:paraId="07166017" w14:textId="77777777" w:rsidR="00AF5F98" w:rsidRPr="00F52884" w:rsidRDefault="00AF5F98" w:rsidP="00F00107">
      <w:pPr>
        <w:pStyle w:val="ListParagraph"/>
        <w:numPr>
          <w:ilvl w:val="0"/>
          <w:numId w:val="209"/>
        </w:numPr>
        <w:spacing w:after="200" w:line="276" w:lineRule="auto"/>
        <w:ind w:left="2127" w:hanging="450"/>
        <w:rPr>
          <w:rFonts w:ascii="Arial" w:eastAsia="Arial" w:hAnsi="Arial" w:cs="Arial"/>
          <w:szCs w:val="23"/>
          <w:lang w:val="fr-CA"/>
        </w:rPr>
      </w:pPr>
      <w:proofErr w:type="gramStart"/>
      <w:r w:rsidRPr="00F52884">
        <w:rPr>
          <w:rFonts w:ascii="Arial" w:eastAsia="Arial" w:hAnsi="Arial" w:cs="Arial"/>
          <w:szCs w:val="23"/>
          <w:lang w:val="fr-CA"/>
        </w:rPr>
        <w:lastRenderedPageBreak/>
        <w:t>avoir</w:t>
      </w:r>
      <w:proofErr w:type="gramEnd"/>
      <w:r w:rsidRPr="00F52884">
        <w:rPr>
          <w:rFonts w:ascii="Arial" w:eastAsia="Arial" w:hAnsi="Arial" w:cs="Arial"/>
          <w:szCs w:val="23"/>
          <w:lang w:val="fr-CA"/>
        </w:rPr>
        <w:t xml:space="preserve"> une valeur totale ne dépassant pas un million de dollars; toutefois, si la valeur totale du marché dépasse un million de dollars, la portion du contrat qui n’excède pas un million de dollars peut être exclue;</w:t>
      </w:r>
    </w:p>
    <w:p w14:paraId="0944A1B6" w14:textId="5D072DD4" w:rsidR="00AF5F98" w:rsidRPr="00F52884" w:rsidRDefault="00AF5F98" w:rsidP="00AF5F98">
      <w:pPr>
        <w:numPr>
          <w:ilvl w:val="0"/>
          <w:numId w:val="207"/>
        </w:numPr>
        <w:contextualSpacing/>
        <w:rPr>
          <w:rFonts w:ascii="Arial" w:eastAsia="Arial" w:hAnsi="Arial" w:cs="Arial"/>
          <w:szCs w:val="23"/>
          <w:lang w:val="fr-FR"/>
        </w:rPr>
      </w:pPr>
      <w:proofErr w:type="gramStart"/>
      <w:r w:rsidRPr="00F52884">
        <w:rPr>
          <w:rFonts w:ascii="Arial" w:eastAsia="Arial" w:hAnsi="Arial" w:cs="Arial"/>
          <w:szCs w:val="23"/>
          <w:lang w:val="fr-CA"/>
        </w:rPr>
        <w:t>le</w:t>
      </w:r>
      <w:proofErr w:type="gramEnd"/>
      <w:r w:rsidRPr="00F52884">
        <w:rPr>
          <w:rFonts w:ascii="Arial" w:eastAsia="Arial" w:hAnsi="Arial" w:cs="Arial"/>
          <w:szCs w:val="23"/>
          <w:lang w:val="fr-CA"/>
        </w:rPr>
        <w:t xml:space="preserve"> Nouveau-Brunswick ne recourra à la présente exclusion plus de dix fois par année civile;</w:t>
      </w:r>
    </w:p>
    <w:p w14:paraId="28FC82BC" w14:textId="77777777" w:rsidR="00AF5F98" w:rsidRPr="00F52884" w:rsidRDefault="00AF5F98" w:rsidP="00AF5F98">
      <w:pPr>
        <w:ind w:left="1440"/>
        <w:contextualSpacing/>
        <w:rPr>
          <w:rFonts w:ascii="Arial" w:eastAsia="Arial" w:hAnsi="Arial" w:cs="Arial"/>
          <w:szCs w:val="23"/>
          <w:lang w:val="fr-FR"/>
        </w:rPr>
      </w:pPr>
    </w:p>
    <w:p w14:paraId="7A302D70" w14:textId="11149192" w:rsidR="00AF5F98" w:rsidRPr="00F52884" w:rsidRDefault="00AF5F98" w:rsidP="00AF5F98">
      <w:pPr>
        <w:numPr>
          <w:ilvl w:val="0"/>
          <w:numId w:val="207"/>
        </w:numPr>
        <w:contextualSpacing/>
        <w:rPr>
          <w:rFonts w:ascii="Arial" w:eastAsia="Arial" w:hAnsi="Arial" w:cs="Arial"/>
          <w:szCs w:val="23"/>
          <w:lang w:val="fr-FR"/>
        </w:rPr>
      </w:pPr>
      <w:proofErr w:type="gramStart"/>
      <w:r w:rsidRPr="00F52884">
        <w:rPr>
          <w:rFonts w:ascii="Arial" w:eastAsia="Arial" w:hAnsi="Arial" w:cs="Arial"/>
          <w:szCs w:val="23"/>
          <w:lang w:val="fr-FR"/>
        </w:rPr>
        <w:t>un</w:t>
      </w:r>
      <w:proofErr w:type="gramEnd"/>
      <w:r w:rsidRPr="00F52884">
        <w:rPr>
          <w:rFonts w:ascii="Arial" w:eastAsia="Arial" w:hAnsi="Arial" w:cs="Arial"/>
          <w:szCs w:val="23"/>
          <w:lang w:val="fr-CA"/>
        </w:rPr>
        <w:t xml:space="preserve"> marché financé par le gouvernement du Canada ne peut être exclu;</w:t>
      </w:r>
    </w:p>
    <w:p w14:paraId="254C20A8" w14:textId="77777777" w:rsidR="00AF5F98" w:rsidRPr="00F52884" w:rsidRDefault="00AF5F98" w:rsidP="00AF5F98">
      <w:pPr>
        <w:contextualSpacing/>
        <w:rPr>
          <w:rFonts w:ascii="Arial" w:eastAsia="Arial" w:hAnsi="Arial" w:cs="Arial"/>
          <w:szCs w:val="23"/>
          <w:lang w:val="fr-FR"/>
        </w:rPr>
      </w:pPr>
    </w:p>
    <w:p w14:paraId="748D8BBE" w14:textId="3BE3AD7B" w:rsidR="00AF5F98" w:rsidRPr="00F52884" w:rsidRDefault="00AF5F98" w:rsidP="00AF5F98">
      <w:pPr>
        <w:numPr>
          <w:ilvl w:val="0"/>
          <w:numId w:val="207"/>
        </w:numPr>
        <w:contextualSpacing/>
        <w:rPr>
          <w:rFonts w:ascii="Arial" w:eastAsia="Arial" w:hAnsi="Arial" w:cs="Arial"/>
          <w:szCs w:val="23"/>
          <w:lang w:val="fr-CA"/>
        </w:rPr>
      </w:pPr>
      <w:proofErr w:type="gramStart"/>
      <w:r w:rsidRPr="00F52884">
        <w:rPr>
          <w:rFonts w:ascii="Arial" w:eastAsia="Arial" w:hAnsi="Arial" w:cs="Arial"/>
          <w:szCs w:val="23"/>
          <w:lang w:val="fr-CA"/>
        </w:rPr>
        <w:t>à</w:t>
      </w:r>
      <w:proofErr w:type="gramEnd"/>
      <w:r w:rsidRPr="00F52884">
        <w:rPr>
          <w:rFonts w:ascii="Arial" w:eastAsia="Arial" w:hAnsi="Arial" w:cs="Arial"/>
          <w:szCs w:val="23"/>
          <w:lang w:val="fr-CA"/>
        </w:rPr>
        <w:t xml:space="preserve"> chaque fois que le Nouveau-Brunswick entend se prévaloir de la présente exclusion pour exclure tout ou partie d’un marché, il notifiera aux Parties, au moins 30 jours avant la signature du marché concerné, son intention de se prévaloir de la présente exclusion. Cette notification sera accompagnée des renseignements suivants : </w:t>
      </w:r>
    </w:p>
    <w:p w14:paraId="7536F97F" w14:textId="77777777" w:rsidR="00AF5F98" w:rsidRPr="00F52884" w:rsidRDefault="00AF5F98" w:rsidP="00AF5F98">
      <w:pPr>
        <w:ind w:left="1440"/>
        <w:contextualSpacing/>
        <w:rPr>
          <w:rFonts w:ascii="Arial" w:eastAsia="Arial" w:hAnsi="Arial" w:cs="Arial"/>
          <w:szCs w:val="23"/>
          <w:lang w:val="fr-CA"/>
        </w:rPr>
      </w:pPr>
    </w:p>
    <w:p w14:paraId="590E788B" w14:textId="2883146A" w:rsidR="00AF5F98" w:rsidRPr="00F52884" w:rsidRDefault="00AF5F98" w:rsidP="00CA3048">
      <w:pPr>
        <w:numPr>
          <w:ilvl w:val="0"/>
          <w:numId w:val="208"/>
        </w:numPr>
        <w:ind w:hanging="450"/>
        <w:contextualSpacing/>
        <w:rPr>
          <w:rFonts w:ascii="Arial" w:eastAsia="Arial" w:hAnsi="Arial" w:cs="Arial"/>
          <w:szCs w:val="23"/>
          <w:lang w:val="fr-FR"/>
        </w:rPr>
      </w:pPr>
      <w:proofErr w:type="gramStart"/>
      <w:r w:rsidRPr="00F52884">
        <w:rPr>
          <w:rFonts w:ascii="Arial" w:eastAsia="Arial" w:hAnsi="Arial" w:cs="Arial"/>
          <w:szCs w:val="23"/>
          <w:lang w:val="fr-CA"/>
        </w:rPr>
        <w:t>des</w:t>
      </w:r>
      <w:proofErr w:type="gramEnd"/>
      <w:r w:rsidRPr="00F52884">
        <w:rPr>
          <w:rFonts w:ascii="Arial" w:eastAsia="Arial" w:hAnsi="Arial" w:cs="Arial"/>
          <w:szCs w:val="23"/>
          <w:lang w:val="fr-CA"/>
        </w:rPr>
        <w:t xml:space="preserve"> précisions sur les circonstances justifiant l’exclusion;</w:t>
      </w:r>
    </w:p>
    <w:p w14:paraId="1B334CA2" w14:textId="77777777" w:rsidR="00AF5F98" w:rsidRPr="00F52884" w:rsidRDefault="00AF5F98" w:rsidP="00CA3048">
      <w:pPr>
        <w:ind w:left="2160" w:hanging="450"/>
        <w:contextualSpacing/>
        <w:rPr>
          <w:rFonts w:ascii="Arial" w:eastAsia="Arial" w:hAnsi="Arial" w:cs="Arial"/>
          <w:szCs w:val="23"/>
          <w:lang w:val="fr-FR"/>
        </w:rPr>
      </w:pPr>
    </w:p>
    <w:p w14:paraId="1A0F980E" w14:textId="47B2E573" w:rsidR="00AF5F98" w:rsidRPr="00F52884" w:rsidRDefault="00AF5F98" w:rsidP="00CA3048">
      <w:pPr>
        <w:numPr>
          <w:ilvl w:val="0"/>
          <w:numId w:val="208"/>
        </w:numPr>
        <w:ind w:hanging="450"/>
        <w:contextualSpacing/>
        <w:rPr>
          <w:rFonts w:ascii="Arial" w:eastAsia="Arial" w:hAnsi="Arial" w:cs="Arial"/>
          <w:szCs w:val="23"/>
          <w:lang w:val="fr-FR"/>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dénominations sociales des entreprises concernées et des régions concernées;</w:t>
      </w:r>
    </w:p>
    <w:p w14:paraId="63490336" w14:textId="77777777" w:rsidR="00AF5F98" w:rsidRPr="00F52884" w:rsidRDefault="00AF5F98" w:rsidP="00CA3048">
      <w:pPr>
        <w:ind w:hanging="450"/>
        <w:contextualSpacing/>
        <w:rPr>
          <w:rFonts w:ascii="Arial" w:eastAsia="Arial" w:hAnsi="Arial" w:cs="Arial"/>
          <w:szCs w:val="23"/>
          <w:lang w:val="fr-FR"/>
        </w:rPr>
      </w:pPr>
    </w:p>
    <w:p w14:paraId="030D1C51" w14:textId="234A0902" w:rsidR="00AF5F98" w:rsidRPr="00F52884" w:rsidRDefault="00AF5F98" w:rsidP="00CA3048">
      <w:pPr>
        <w:numPr>
          <w:ilvl w:val="0"/>
          <w:numId w:val="208"/>
        </w:numPr>
        <w:ind w:hanging="450"/>
        <w:contextualSpacing/>
        <w:rPr>
          <w:rFonts w:ascii="Arial" w:eastAsia="Arial" w:hAnsi="Arial" w:cs="Arial"/>
          <w:szCs w:val="23"/>
          <w:lang w:val="fr-FR"/>
        </w:rPr>
      </w:pPr>
      <w:proofErr w:type="gramStart"/>
      <w:r w:rsidRPr="00F52884">
        <w:rPr>
          <w:rFonts w:ascii="Arial" w:eastAsia="Arial" w:hAnsi="Arial" w:cs="Arial"/>
          <w:szCs w:val="23"/>
          <w:lang w:val="fr-FR"/>
        </w:rPr>
        <w:t>une</w:t>
      </w:r>
      <w:proofErr w:type="gramEnd"/>
      <w:r w:rsidRPr="00F52884">
        <w:rPr>
          <w:rFonts w:ascii="Arial" w:eastAsia="Arial" w:hAnsi="Arial" w:cs="Arial"/>
          <w:szCs w:val="23"/>
          <w:lang w:val="fr-FR"/>
        </w:rPr>
        <w:t xml:space="preserve"> justification de la conformité de </w:t>
      </w:r>
      <w:r w:rsidRPr="00F52884">
        <w:rPr>
          <w:rFonts w:ascii="Arial" w:eastAsia="Arial" w:hAnsi="Arial" w:cs="Arial"/>
          <w:szCs w:val="23"/>
          <w:lang w:val="fr-CA"/>
        </w:rPr>
        <w:t>l’exclusion envisagée aux exigences du paragraphe 2.</w:t>
      </w:r>
    </w:p>
    <w:p w14:paraId="2903FFE8" w14:textId="77777777" w:rsidR="00AF5F98" w:rsidRPr="00F52884" w:rsidRDefault="00AF5F98" w:rsidP="00AF5F98">
      <w:pPr>
        <w:rPr>
          <w:rFonts w:ascii="Arial" w:eastAsia="Times New Roman" w:hAnsi="Arial" w:cs="Arial"/>
          <w:szCs w:val="23"/>
          <w:lang w:val="fr-FR"/>
        </w:rPr>
      </w:pPr>
    </w:p>
    <w:p w14:paraId="197D2EC5" w14:textId="77777777" w:rsidR="00AF5F98" w:rsidRPr="00F52884" w:rsidRDefault="00AF5F98" w:rsidP="00AF5F98">
      <w:pPr>
        <w:rPr>
          <w:rFonts w:ascii="Arial" w:eastAsia="Times New Roman" w:hAnsi="Arial" w:cs="Arial"/>
          <w:szCs w:val="23"/>
        </w:rPr>
      </w:pPr>
      <w:r w:rsidRPr="00F52884">
        <w:rPr>
          <w:rFonts w:ascii="Arial" w:eastAsia="Times New Roman" w:hAnsi="Arial" w:cs="Arial"/>
          <w:szCs w:val="23"/>
          <w:lang w:val="fr-CA"/>
        </w:rPr>
        <w:t>Conditions :</w:t>
      </w:r>
    </w:p>
    <w:p w14:paraId="7277EA9E" w14:textId="77777777" w:rsidR="00AF5F98" w:rsidRPr="00F52884" w:rsidRDefault="00AF5F98" w:rsidP="00AF5F98">
      <w:pPr>
        <w:rPr>
          <w:rFonts w:ascii="Arial" w:eastAsia="Times New Roman" w:hAnsi="Arial" w:cs="Arial"/>
          <w:szCs w:val="23"/>
        </w:rPr>
      </w:pPr>
    </w:p>
    <w:p w14:paraId="7D70B24B" w14:textId="72AD60E3" w:rsidR="00AF5F98" w:rsidRPr="00F52884" w:rsidRDefault="00AF5F98" w:rsidP="00AF5F98">
      <w:pPr>
        <w:numPr>
          <w:ilvl w:val="0"/>
          <w:numId w:val="206"/>
        </w:numPr>
        <w:ind w:hanging="720"/>
        <w:contextualSpacing/>
        <w:rPr>
          <w:rFonts w:ascii="Arial" w:eastAsia="Times New Roman" w:hAnsi="Arial" w:cs="Arial"/>
          <w:szCs w:val="23"/>
          <w:lang w:val="fr-FR"/>
        </w:rPr>
      </w:pPr>
      <w:r w:rsidRPr="00F52884">
        <w:rPr>
          <w:rFonts w:ascii="Arial" w:eastAsia="Times New Roman" w:hAnsi="Arial" w:cs="Arial"/>
          <w:szCs w:val="23"/>
          <w:lang w:val="fr-CA"/>
        </w:rPr>
        <w:t>Le Nouveau-Brunswick dépose la présente offre de marchés sous forme de « liste hybride négative » sans préjudice et se réserve le droit d’apporter des modifications à son offre de marchés en se fondant sur ce qui suit :</w:t>
      </w:r>
    </w:p>
    <w:p w14:paraId="6774F409" w14:textId="77777777" w:rsidR="00AF5F98" w:rsidRPr="00F52884" w:rsidRDefault="00AF5F98" w:rsidP="00F52884">
      <w:pPr>
        <w:ind w:left="720"/>
        <w:contextualSpacing/>
        <w:rPr>
          <w:rFonts w:ascii="Arial" w:eastAsia="Times New Roman" w:hAnsi="Arial" w:cs="Arial"/>
          <w:szCs w:val="23"/>
          <w:lang w:val="fr-FR"/>
        </w:rPr>
      </w:pPr>
    </w:p>
    <w:p w14:paraId="0CC2E2CD" w14:textId="006ACFFE" w:rsidR="00AF5F98" w:rsidRPr="00F52884" w:rsidRDefault="00AF5F98" w:rsidP="00AF5F98">
      <w:pPr>
        <w:ind w:left="1440"/>
        <w:rPr>
          <w:rFonts w:ascii="Arial" w:eastAsia="Times New Roman" w:hAnsi="Arial" w:cs="Arial"/>
          <w:szCs w:val="23"/>
          <w:lang w:val="fr-FR"/>
        </w:rPr>
      </w:pPr>
      <w:r w:rsidRPr="00F52884">
        <w:rPr>
          <w:rFonts w:ascii="Arial" w:eastAsia="Times New Roman" w:hAnsi="Arial" w:cs="Arial"/>
          <w:szCs w:val="23"/>
          <w:lang w:val="fr-CA"/>
        </w:rPr>
        <w:t>L’approbation officielle par le Cabinet d’une liste négative était conditionnelle à un « cliquet modifié » permettant que les entités nouvellement créées soient consultées et approuvent leur couverture en vertu du présent accord. Si elles refusent, elles figureront dans la liste négative modifiée.</w:t>
      </w:r>
    </w:p>
    <w:p w14:paraId="2B838AAC" w14:textId="77777777" w:rsidR="00AF5F98" w:rsidRPr="00F52884" w:rsidRDefault="00AF5F98" w:rsidP="00AF5F98">
      <w:pPr>
        <w:rPr>
          <w:rFonts w:ascii="Arial" w:eastAsia="Arial" w:hAnsi="Arial" w:cs="Arial"/>
          <w:szCs w:val="23"/>
          <w:lang w:val="fr-FR"/>
        </w:rPr>
      </w:pPr>
    </w:p>
    <w:p w14:paraId="706BA4CD"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6C9E2EC7" w14:textId="77777777" w:rsidR="00AF5F98" w:rsidRPr="00F52884" w:rsidRDefault="00AF5F98" w:rsidP="00F52884">
      <w:pPr>
        <w:pStyle w:val="Heading3"/>
        <w:jc w:val="center"/>
        <w:rPr>
          <w:sz w:val="24"/>
          <w:szCs w:val="24"/>
          <w:lang w:val="fr-FR"/>
        </w:rPr>
      </w:pPr>
      <w:bookmarkStart w:id="42" w:name="_Toc476566312"/>
      <w:bookmarkStart w:id="43" w:name="_Toc156311765"/>
      <w:r w:rsidRPr="00F52884">
        <w:rPr>
          <w:sz w:val="24"/>
          <w:szCs w:val="24"/>
          <w:lang w:val="fr-CA"/>
        </w:rPr>
        <w:lastRenderedPageBreak/>
        <w:t>Liste du Manitoba</w:t>
      </w:r>
      <w:bookmarkEnd w:id="42"/>
      <w:bookmarkEnd w:id="43"/>
    </w:p>
    <w:p w14:paraId="0B756E20" w14:textId="77777777" w:rsidR="00AF5F98" w:rsidRPr="00F52884" w:rsidRDefault="00AF5F98" w:rsidP="00AF5F98">
      <w:pPr>
        <w:contextualSpacing/>
        <w:outlineLvl w:val="2"/>
        <w:rPr>
          <w:rFonts w:ascii="Arial" w:eastAsia="Times New Roman" w:hAnsi="Arial" w:cs="Arial"/>
          <w:b/>
          <w:szCs w:val="23"/>
          <w:lang w:val="fr-FR"/>
        </w:rPr>
      </w:pPr>
    </w:p>
    <w:p w14:paraId="4BD4C1F2" w14:textId="23420C30" w:rsidR="00AF5F98" w:rsidRPr="00F52884" w:rsidRDefault="00AF5F98" w:rsidP="00F52884">
      <w:pPr>
        <w:jc w:val="center"/>
        <w:rPr>
          <w:rFonts w:ascii="Arial" w:eastAsia="Times New Roman" w:hAnsi="Arial" w:cs="Arial"/>
          <w:szCs w:val="23"/>
          <w:lang w:val="fr-FR"/>
        </w:rPr>
      </w:pPr>
      <w:r w:rsidRPr="00F52884">
        <w:rPr>
          <w:b/>
          <w:shd w:val="clear" w:color="auto" w:fill="FFFFFF"/>
          <w:lang w:val="fr-CA"/>
        </w:rPr>
        <w:t>Marchés publics - Exceptions</w:t>
      </w:r>
    </w:p>
    <w:p w14:paraId="3C214099" w14:textId="77777777" w:rsidR="00AF5F98" w:rsidRPr="00F52884" w:rsidRDefault="00AF5F98" w:rsidP="00AF5F98">
      <w:pPr>
        <w:rPr>
          <w:rFonts w:ascii="Arial" w:eastAsia="Arial" w:hAnsi="Arial" w:cs="Arial"/>
          <w:szCs w:val="23"/>
          <w:lang w:val="fr-CA"/>
        </w:rPr>
      </w:pPr>
    </w:p>
    <w:p w14:paraId="62B805B2" w14:textId="4C1725D0"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En ce qui concerne le Manitoba, le présent chapitre ne couvre pas ce qui suit :</w:t>
      </w:r>
    </w:p>
    <w:p w14:paraId="48BF6EE1" w14:textId="77777777" w:rsidR="00AF5F98" w:rsidRPr="00F52884" w:rsidRDefault="00AF5F98" w:rsidP="00AF5F98">
      <w:pPr>
        <w:contextualSpacing/>
        <w:jc w:val="center"/>
        <w:outlineLvl w:val="2"/>
        <w:rPr>
          <w:rFonts w:ascii="Arial" w:eastAsia="Times New Roman" w:hAnsi="Arial" w:cs="Arial"/>
          <w:b/>
          <w:szCs w:val="23"/>
          <w:lang w:val="fr-FR"/>
        </w:rPr>
      </w:pPr>
    </w:p>
    <w:p w14:paraId="730D992F" w14:textId="77777777" w:rsidR="00AF5F98" w:rsidRPr="00F52884" w:rsidRDefault="00AF5F98" w:rsidP="00AF5F98">
      <w:pPr>
        <w:numPr>
          <w:ilvl w:val="0"/>
          <w:numId w:val="213"/>
        </w:numPr>
        <w:ind w:left="0" w:firstLine="0"/>
        <w:contextualSpacing/>
        <w:rPr>
          <w:rFonts w:ascii="Arial" w:eastAsia="Arial" w:hAnsi="Arial" w:cs="Arial"/>
          <w:b/>
          <w:szCs w:val="23"/>
        </w:rPr>
      </w:pPr>
      <w:r w:rsidRPr="00F52884">
        <w:rPr>
          <w:rFonts w:ascii="Arial" w:eastAsia="Arial" w:hAnsi="Arial" w:cs="Arial"/>
          <w:b/>
          <w:bCs/>
          <w:szCs w:val="23"/>
          <w:lang w:val="fr-CA"/>
        </w:rPr>
        <w:t>Entités exclues</w:t>
      </w:r>
    </w:p>
    <w:p w14:paraId="6BBA8C0B" w14:textId="77777777" w:rsidR="00AF5F98" w:rsidRPr="00F52884" w:rsidRDefault="00AF5F98" w:rsidP="00AF5F98">
      <w:pPr>
        <w:rPr>
          <w:rFonts w:ascii="Arial" w:eastAsia="Arial" w:hAnsi="Arial" w:cs="Arial"/>
          <w:szCs w:val="23"/>
        </w:rPr>
      </w:pPr>
    </w:p>
    <w:p w14:paraId="6E9B7875" w14:textId="77777777" w:rsidR="00AF5F98" w:rsidRPr="00F52884" w:rsidRDefault="00AF5F98" w:rsidP="00AF5F98">
      <w:pPr>
        <w:rPr>
          <w:rFonts w:ascii="Arial" w:eastAsia="Arial" w:hAnsi="Arial" w:cs="Arial"/>
          <w:szCs w:val="23"/>
        </w:rPr>
      </w:pPr>
      <w:r w:rsidRPr="00F52884">
        <w:rPr>
          <w:rFonts w:ascii="Arial" w:eastAsia="Arial" w:hAnsi="Arial" w:cs="Arial"/>
          <w:szCs w:val="23"/>
          <w:lang w:val="fr-CA"/>
        </w:rPr>
        <w:t>Aucune.</w:t>
      </w:r>
    </w:p>
    <w:p w14:paraId="5D690116" w14:textId="77777777" w:rsidR="00AF5F98" w:rsidRPr="00F52884" w:rsidRDefault="00AF5F98" w:rsidP="00AF5F98">
      <w:pPr>
        <w:rPr>
          <w:rFonts w:ascii="Arial" w:eastAsia="Arial" w:hAnsi="Arial" w:cs="Arial"/>
          <w:szCs w:val="23"/>
        </w:rPr>
      </w:pPr>
    </w:p>
    <w:p w14:paraId="205B8814" w14:textId="77777777" w:rsidR="00AF5F98" w:rsidRPr="00F52884" w:rsidRDefault="00AF5F98" w:rsidP="00AF5F98">
      <w:pPr>
        <w:numPr>
          <w:ilvl w:val="0"/>
          <w:numId w:val="213"/>
        </w:numPr>
        <w:ind w:left="0" w:firstLine="0"/>
        <w:contextualSpacing/>
        <w:rPr>
          <w:rFonts w:ascii="Arial" w:eastAsia="Arial" w:hAnsi="Arial" w:cs="Arial"/>
          <w:b/>
          <w:szCs w:val="23"/>
        </w:rPr>
      </w:pPr>
      <w:r w:rsidRPr="00F52884">
        <w:rPr>
          <w:rFonts w:ascii="Arial" w:eastAsia="Arial" w:hAnsi="Arial" w:cs="Arial"/>
          <w:b/>
          <w:bCs/>
          <w:szCs w:val="23"/>
          <w:lang w:val="fr-CA"/>
        </w:rPr>
        <w:t>Exceptions et remarques</w:t>
      </w:r>
    </w:p>
    <w:p w14:paraId="72802DFF" w14:textId="77777777" w:rsidR="00AF5F98" w:rsidRPr="00F52884" w:rsidRDefault="00AF5F98" w:rsidP="00AF5F98">
      <w:pPr>
        <w:contextualSpacing/>
        <w:rPr>
          <w:rFonts w:ascii="Arial" w:eastAsia="Arial" w:hAnsi="Arial" w:cs="Arial"/>
          <w:szCs w:val="23"/>
        </w:rPr>
      </w:pPr>
    </w:p>
    <w:p w14:paraId="3A717B76" w14:textId="4B9E19E2" w:rsidR="00AF5F98" w:rsidRPr="00F52884" w:rsidRDefault="008928BD" w:rsidP="00AF5F98">
      <w:pPr>
        <w:contextualSpacing/>
        <w:rPr>
          <w:rFonts w:ascii="Arial" w:eastAsia="Times New Roman" w:hAnsi="Arial" w:cs="Arial"/>
          <w:szCs w:val="23"/>
          <w:lang w:val="fr-FR"/>
        </w:rPr>
      </w:pPr>
      <w:r>
        <w:rPr>
          <w:rFonts w:ascii="Arial" w:eastAsia="Arial" w:hAnsi="Arial" w:cs="Arial"/>
          <w:szCs w:val="23"/>
          <w:lang w:val="fr-CA"/>
        </w:rPr>
        <w:t>Aucune</w:t>
      </w:r>
      <w:r w:rsidR="00AF5F98" w:rsidRPr="00F52884">
        <w:rPr>
          <w:rFonts w:ascii="Arial" w:eastAsia="Arial" w:hAnsi="Arial" w:cs="Arial"/>
          <w:szCs w:val="23"/>
          <w:lang w:val="fr-CA"/>
        </w:rPr>
        <w:t>.</w:t>
      </w:r>
    </w:p>
    <w:p w14:paraId="2E9A2008" w14:textId="77777777" w:rsidR="00AF5F98" w:rsidRPr="00F52884" w:rsidRDefault="00AF5F98" w:rsidP="00AF5F98">
      <w:pPr>
        <w:rPr>
          <w:rFonts w:ascii="Arial" w:eastAsia="Arial" w:hAnsi="Arial" w:cs="Arial"/>
          <w:szCs w:val="23"/>
          <w:lang w:val="fr-FR"/>
        </w:rPr>
      </w:pPr>
    </w:p>
    <w:p w14:paraId="69CB954A"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422B358A" w14:textId="77777777" w:rsidR="00AF5F98" w:rsidRPr="00F52884" w:rsidRDefault="00AF5F98" w:rsidP="00F52884">
      <w:pPr>
        <w:pStyle w:val="Heading3"/>
        <w:jc w:val="center"/>
        <w:rPr>
          <w:sz w:val="24"/>
          <w:szCs w:val="24"/>
          <w:lang w:val="fr-FR"/>
        </w:rPr>
      </w:pPr>
      <w:bookmarkStart w:id="44" w:name="_Toc476566313"/>
      <w:bookmarkStart w:id="45" w:name="_Toc156311766"/>
      <w:r w:rsidRPr="00F52884">
        <w:rPr>
          <w:sz w:val="24"/>
          <w:szCs w:val="24"/>
          <w:lang w:val="fr-CA"/>
        </w:rPr>
        <w:lastRenderedPageBreak/>
        <w:t>Liste de la Colombie-Britannique</w:t>
      </w:r>
      <w:bookmarkEnd w:id="44"/>
      <w:bookmarkEnd w:id="45"/>
    </w:p>
    <w:p w14:paraId="0EB1BA10" w14:textId="77777777" w:rsidR="00AF5F98" w:rsidRPr="00F52884" w:rsidRDefault="00AF5F98" w:rsidP="00AF5F98">
      <w:pPr>
        <w:contextualSpacing/>
        <w:jc w:val="center"/>
        <w:rPr>
          <w:rFonts w:ascii="Arial" w:eastAsia="Times New Roman" w:hAnsi="Arial" w:cs="Arial"/>
          <w:szCs w:val="23"/>
          <w:lang w:val="fr-FR"/>
        </w:rPr>
      </w:pPr>
    </w:p>
    <w:p w14:paraId="36D5DD23" w14:textId="710F9DBA" w:rsidR="00AF5F98" w:rsidRPr="00F52884" w:rsidRDefault="00AF5F98" w:rsidP="00AF5F98">
      <w:pPr>
        <w:jc w:val="center"/>
        <w:rPr>
          <w:rFonts w:ascii="Arial" w:eastAsia="Arial" w:hAnsi="Arial" w:cs="Arial"/>
          <w:b/>
          <w:szCs w:val="23"/>
          <w:lang w:val="fr-FR"/>
        </w:rPr>
      </w:pPr>
      <w:r w:rsidRPr="00F52884">
        <w:rPr>
          <w:rFonts w:ascii="Arial" w:eastAsia="Arial" w:hAnsi="Arial" w:cs="Arial"/>
          <w:b/>
          <w:bCs/>
          <w:szCs w:val="23"/>
          <w:shd w:val="clear" w:color="auto" w:fill="FFFFFF"/>
          <w:lang w:val="fr-CA"/>
        </w:rPr>
        <w:t>Marchés publics - Exceptions</w:t>
      </w:r>
    </w:p>
    <w:p w14:paraId="4591581D" w14:textId="77777777" w:rsidR="00AF5F98" w:rsidRPr="00F52884" w:rsidRDefault="00AF5F98" w:rsidP="00AF5F98">
      <w:pPr>
        <w:rPr>
          <w:rFonts w:ascii="Arial" w:eastAsia="Arial" w:hAnsi="Arial" w:cs="Arial"/>
          <w:szCs w:val="23"/>
          <w:lang w:val="fr-FR"/>
        </w:rPr>
      </w:pPr>
    </w:p>
    <w:p w14:paraId="73EE268D" w14:textId="1ED0A2E5" w:rsidR="00AF5F98" w:rsidRPr="00F52884" w:rsidRDefault="00AF5F98" w:rsidP="00AF5F98">
      <w:pPr>
        <w:numPr>
          <w:ilvl w:val="0"/>
          <w:numId w:val="156"/>
        </w:numPr>
        <w:ind w:hanging="720"/>
        <w:rPr>
          <w:rFonts w:ascii="Arial" w:eastAsia="Arial" w:hAnsi="Arial" w:cs="Arial"/>
          <w:szCs w:val="23"/>
          <w:lang w:val="fr-FR"/>
        </w:rPr>
      </w:pPr>
      <w:r w:rsidRPr="00F52884">
        <w:rPr>
          <w:rFonts w:ascii="Arial" w:eastAsia="Arial" w:hAnsi="Arial" w:cs="Arial"/>
          <w:szCs w:val="23"/>
          <w:lang w:val="fr-CA"/>
        </w:rPr>
        <w:t xml:space="preserve">Sous réserve du paragraphe 2, si une Partie a formulé une exception visant les marchés dans sa liste jointe à la présente annexe, la même exception visant les marchés s’applique à cette Partie et à ses fournisseurs concernant les marchés de la Colombie-Britannique et de ses entités contractantes. Il est entendu que si une Partie nomme une entité dans son exception, cela comprend une entité comparable de la Colombie-Britannique ou, s’il n’y a pas d’entité comparable, une entité de la Colombie-Britannique exerçant des fonctions comparables. </w:t>
      </w:r>
    </w:p>
    <w:p w14:paraId="1249DD25" w14:textId="77777777"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 </w:t>
      </w:r>
    </w:p>
    <w:p w14:paraId="36B599E7" w14:textId="5975E5A4" w:rsidR="00AF5F98" w:rsidRPr="00F52884" w:rsidRDefault="00AF5F98" w:rsidP="00AF5F98">
      <w:pPr>
        <w:numPr>
          <w:ilvl w:val="0"/>
          <w:numId w:val="156"/>
        </w:numPr>
        <w:ind w:hanging="720"/>
        <w:rPr>
          <w:rFonts w:ascii="Arial" w:eastAsia="Arial" w:hAnsi="Arial" w:cs="Arial"/>
          <w:szCs w:val="23"/>
          <w:lang w:val="fr-FR"/>
        </w:rPr>
      </w:pPr>
      <w:r w:rsidRPr="00F52884">
        <w:rPr>
          <w:rFonts w:ascii="Arial" w:eastAsia="Arial" w:hAnsi="Arial" w:cs="Arial"/>
          <w:szCs w:val="23"/>
          <w:lang w:val="fr-CA"/>
        </w:rPr>
        <w:t xml:space="preserve">Le paragraphe 1 s’applique seulement à une exception visant les marchés énoncée par une Partie dans la liste jointe à la présente </w:t>
      </w:r>
      <w:proofErr w:type="gramStart"/>
      <w:r w:rsidRPr="00F52884">
        <w:rPr>
          <w:rFonts w:ascii="Arial" w:eastAsia="Arial" w:hAnsi="Arial" w:cs="Arial"/>
          <w:szCs w:val="23"/>
          <w:lang w:val="fr-CA"/>
        </w:rPr>
        <w:t>annexe  si</w:t>
      </w:r>
      <w:proofErr w:type="gramEnd"/>
      <w:r w:rsidRPr="00F52884">
        <w:rPr>
          <w:rFonts w:ascii="Arial" w:eastAsia="Arial" w:hAnsi="Arial" w:cs="Arial"/>
          <w:szCs w:val="23"/>
          <w:lang w:val="fr-CA"/>
        </w:rPr>
        <w:t xml:space="preserve"> la Colombie-Britannique a fourni un avis écrit à cette Partie, par l’intermédiaire du Secrétariat, indiquant que le paragraphe 1 s’appliquera à cette exception. </w:t>
      </w:r>
    </w:p>
    <w:p w14:paraId="6FDDF501" w14:textId="77777777" w:rsidR="00AF5F98" w:rsidRPr="00F52884" w:rsidRDefault="00AF5F98" w:rsidP="00AF5F98">
      <w:pPr>
        <w:contextualSpacing/>
        <w:rPr>
          <w:rFonts w:ascii="Arial" w:eastAsia="Arial" w:hAnsi="Arial" w:cs="Arial"/>
          <w:szCs w:val="23"/>
          <w:lang w:val="fr-FR"/>
        </w:rPr>
      </w:pPr>
      <w:r w:rsidRPr="00F52884">
        <w:rPr>
          <w:rFonts w:ascii="Arial" w:eastAsia="Arial" w:hAnsi="Arial" w:cs="Arial"/>
          <w:szCs w:val="23"/>
          <w:lang w:val="fr-CA"/>
        </w:rPr>
        <w:t> </w:t>
      </w:r>
    </w:p>
    <w:p w14:paraId="310D0925" w14:textId="48938F1E" w:rsidR="00AF5F98" w:rsidRPr="00F52884" w:rsidRDefault="00AF5F98" w:rsidP="00AF5F98">
      <w:pPr>
        <w:numPr>
          <w:ilvl w:val="0"/>
          <w:numId w:val="156"/>
        </w:numPr>
        <w:ind w:hanging="720"/>
        <w:rPr>
          <w:rFonts w:ascii="Arial" w:eastAsia="Arial" w:hAnsi="Arial" w:cs="Arial"/>
          <w:szCs w:val="23"/>
          <w:lang w:val="fr-FR"/>
        </w:rPr>
      </w:pPr>
      <w:r w:rsidRPr="00F52884">
        <w:rPr>
          <w:rFonts w:ascii="Arial" w:eastAsia="Arial" w:hAnsi="Arial" w:cs="Arial"/>
          <w:szCs w:val="23"/>
          <w:lang w:val="fr-CA"/>
        </w:rPr>
        <w:t>Le paragraphe 1 ne s’applique pas aux mesures inscrites en tant qu’exception visant les marchés à l’article 5</w:t>
      </w:r>
      <w:r w:rsidR="00C9302A">
        <w:rPr>
          <w:rFonts w:ascii="Arial" w:eastAsia="Arial" w:hAnsi="Arial" w:cs="Arial"/>
          <w:szCs w:val="23"/>
          <w:lang w:val="fr-CA"/>
        </w:rPr>
        <w:t>19</w:t>
      </w:r>
      <w:r w:rsidRPr="00F52884">
        <w:rPr>
          <w:rFonts w:ascii="Arial" w:eastAsia="Arial" w:hAnsi="Arial" w:cs="Arial"/>
          <w:szCs w:val="23"/>
          <w:lang w:val="fr-CA"/>
        </w:rPr>
        <w:t xml:space="preserve">.5 telles qu’elles existent à la date d’entrée en vigueur, mais s’applique à toute modification de telles mesures qui diminue la conformité au présent accord des mesures, telles qu’elles existaient immédiatement avant la modification. Il est entendu qu’à la phrase précédente, « toute modification de telles mesures » comprend les mesures subséquentes ou les modifications aux mesures subséquentes. </w:t>
      </w:r>
    </w:p>
    <w:p w14:paraId="5C24ABED" w14:textId="77777777" w:rsidR="00AF5F98" w:rsidRPr="00F52884" w:rsidRDefault="00AF5F98" w:rsidP="00AF5F98">
      <w:pPr>
        <w:rPr>
          <w:rFonts w:ascii="Arial" w:eastAsia="Arial" w:hAnsi="Arial" w:cs="Arial"/>
          <w:szCs w:val="23"/>
          <w:lang w:val="fr-FR"/>
        </w:rPr>
      </w:pPr>
    </w:p>
    <w:p w14:paraId="05E49AFD" w14:textId="77777777" w:rsidR="00AF5F98" w:rsidRPr="00F52884" w:rsidRDefault="00AF5F98">
      <w:pPr>
        <w:rPr>
          <w:rFonts w:ascii="Arial" w:eastAsia="Arial" w:hAnsi="Arial" w:cs="Arial"/>
          <w:szCs w:val="23"/>
          <w:lang w:val="fr-FR"/>
        </w:rPr>
      </w:pPr>
      <w:r w:rsidRPr="00F52884">
        <w:rPr>
          <w:rFonts w:ascii="Arial" w:eastAsia="Arial" w:hAnsi="Arial" w:cs="Arial"/>
          <w:szCs w:val="23"/>
          <w:lang w:val="fr-FR"/>
        </w:rPr>
        <w:br w:type="page"/>
      </w:r>
    </w:p>
    <w:p w14:paraId="2E1A8100" w14:textId="77777777" w:rsidR="00AF5F98" w:rsidRPr="00F52884" w:rsidRDefault="00AF5F98" w:rsidP="00F52884">
      <w:pPr>
        <w:pStyle w:val="Heading3"/>
        <w:jc w:val="center"/>
        <w:rPr>
          <w:sz w:val="24"/>
          <w:szCs w:val="24"/>
          <w:lang w:val="fr-FR"/>
        </w:rPr>
      </w:pPr>
      <w:bookmarkStart w:id="46" w:name="_Toc476566314"/>
      <w:bookmarkStart w:id="47" w:name="_Toc156311767"/>
      <w:r w:rsidRPr="00F52884">
        <w:rPr>
          <w:sz w:val="24"/>
          <w:szCs w:val="24"/>
          <w:lang w:val="fr-CA"/>
        </w:rPr>
        <w:lastRenderedPageBreak/>
        <w:t>Liste de l’Île-du-Prince-Édouard</w:t>
      </w:r>
      <w:bookmarkEnd w:id="46"/>
      <w:bookmarkEnd w:id="47"/>
    </w:p>
    <w:p w14:paraId="49D3B378" w14:textId="77777777" w:rsidR="00AF5F98" w:rsidRPr="00F52884" w:rsidRDefault="00AF5F98" w:rsidP="00AF5F98">
      <w:pPr>
        <w:rPr>
          <w:rFonts w:ascii="Arial" w:eastAsia="Arial" w:hAnsi="Arial" w:cs="Arial"/>
          <w:b/>
          <w:szCs w:val="23"/>
          <w:lang w:val="fr-FR"/>
        </w:rPr>
      </w:pPr>
    </w:p>
    <w:p w14:paraId="5614399A" w14:textId="70032001" w:rsidR="00AF5F98" w:rsidRPr="00F52884" w:rsidRDefault="00AF5F98" w:rsidP="00F52884">
      <w:pPr>
        <w:jc w:val="center"/>
        <w:rPr>
          <w:rFonts w:ascii="Arial" w:eastAsia="Arial" w:hAnsi="Arial" w:cs="Arial"/>
          <w:b/>
          <w:szCs w:val="23"/>
          <w:lang w:val="fr-FR"/>
        </w:rPr>
      </w:pPr>
      <w:r w:rsidRPr="00F52884">
        <w:rPr>
          <w:rFonts w:ascii="Arial" w:eastAsia="Arial" w:hAnsi="Arial" w:cs="Arial"/>
          <w:b/>
          <w:bCs/>
          <w:szCs w:val="23"/>
          <w:shd w:val="clear" w:color="auto" w:fill="FFFFFF"/>
          <w:lang w:val="fr-CA"/>
        </w:rPr>
        <w:t>Marchés publics - Exceptions</w:t>
      </w:r>
    </w:p>
    <w:p w14:paraId="60F2ACAC" w14:textId="77777777" w:rsidR="00AF5F98" w:rsidRPr="00F52884" w:rsidRDefault="00AF5F98" w:rsidP="00AF5F98">
      <w:pPr>
        <w:rPr>
          <w:rFonts w:ascii="Arial" w:eastAsia="Times New Roman" w:hAnsi="Arial" w:cs="Arial"/>
          <w:szCs w:val="23"/>
          <w:lang w:val="fr-CA"/>
        </w:rPr>
      </w:pPr>
    </w:p>
    <w:p w14:paraId="58D7399F" w14:textId="345D3324" w:rsidR="00AF5F98" w:rsidRPr="00F52884" w:rsidRDefault="00AF5F98" w:rsidP="00AF5F98">
      <w:pPr>
        <w:rPr>
          <w:rFonts w:ascii="Arial" w:eastAsia="Times New Roman" w:hAnsi="Arial" w:cs="Arial"/>
          <w:szCs w:val="23"/>
          <w:lang w:val="fr-FR"/>
        </w:rPr>
      </w:pPr>
      <w:r w:rsidRPr="00F52884">
        <w:rPr>
          <w:rFonts w:ascii="Arial" w:eastAsia="Times New Roman" w:hAnsi="Arial" w:cs="Arial"/>
          <w:szCs w:val="23"/>
          <w:lang w:val="fr-CA"/>
        </w:rPr>
        <w:t>En ce qui concerne l’Île-du-Prince-Édouard, le présent chapitre</w:t>
      </w:r>
      <w:r w:rsidRPr="00F52884">
        <w:rPr>
          <w:rFonts w:ascii="Arial" w:eastAsia="Arial" w:hAnsi="Arial" w:cs="Arial"/>
          <w:szCs w:val="23"/>
          <w:lang w:val="fr-CA"/>
        </w:rPr>
        <w:t xml:space="preserve"> ne couvre pas ce qui suit</w:t>
      </w:r>
      <w:r w:rsidRPr="00F52884">
        <w:rPr>
          <w:rFonts w:ascii="Arial" w:eastAsia="Times New Roman" w:hAnsi="Arial" w:cs="Arial"/>
          <w:szCs w:val="23"/>
          <w:lang w:val="fr-CA"/>
        </w:rPr>
        <w:t> :</w:t>
      </w:r>
    </w:p>
    <w:p w14:paraId="53CA5B42" w14:textId="77777777" w:rsidR="00AF5F98" w:rsidRPr="00F52884" w:rsidRDefault="00AF5F98" w:rsidP="00AF5F98">
      <w:pPr>
        <w:shd w:val="clear" w:color="auto" w:fill="FFFFFF"/>
        <w:ind w:right="150"/>
        <w:rPr>
          <w:rFonts w:ascii="Arial" w:eastAsia="Arial" w:hAnsi="Arial" w:cs="Arial"/>
          <w:b/>
          <w:szCs w:val="23"/>
          <w:lang w:val="fr-FR"/>
        </w:rPr>
      </w:pPr>
    </w:p>
    <w:p w14:paraId="151BCC4B" w14:textId="77777777" w:rsidR="00AF5F98" w:rsidRPr="00F52884" w:rsidRDefault="00AF5F98" w:rsidP="00AF5F98">
      <w:pPr>
        <w:shd w:val="clear" w:color="auto" w:fill="FFFFFF"/>
        <w:ind w:right="150"/>
        <w:rPr>
          <w:rFonts w:ascii="Arial" w:eastAsia="Arial" w:hAnsi="Arial" w:cs="Arial"/>
          <w:b/>
          <w:szCs w:val="23"/>
          <w:lang w:val="fr-FR"/>
        </w:rPr>
      </w:pPr>
      <w:r w:rsidRPr="00F52884">
        <w:rPr>
          <w:rFonts w:ascii="Arial" w:eastAsia="Arial" w:hAnsi="Arial" w:cs="Arial"/>
          <w:b/>
          <w:bCs/>
          <w:szCs w:val="23"/>
          <w:lang w:val="fr-CA"/>
        </w:rPr>
        <w:t xml:space="preserve">A. </w:t>
      </w:r>
      <w:r w:rsidRPr="00F52884">
        <w:rPr>
          <w:rFonts w:ascii="Arial" w:eastAsia="Arial" w:hAnsi="Arial" w:cs="Arial"/>
          <w:szCs w:val="23"/>
          <w:lang w:val="fr-CA"/>
        </w:rPr>
        <w:tab/>
      </w:r>
      <w:r w:rsidRPr="00F52884">
        <w:rPr>
          <w:rFonts w:ascii="Arial" w:eastAsia="Arial" w:hAnsi="Arial" w:cs="Arial"/>
          <w:b/>
          <w:bCs/>
          <w:szCs w:val="23"/>
          <w:lang w:val="fr-CA"/>
        </w:rPr>
        <w:t>Entités exclues</w:t>
      </w:r>
    </w:p>
    <w:p w14:paraId="66792080" w14:textId="77777777" w:rsidR="00AF5F98" w:rsidRPr="00F52884" w:rsidRDefault="00AF5F98" w:rsidP="00AF5F98">
      <w:pPr>
        <w:shd w:val="clear" w:color="auto" w:fill="FFFFFF"/>
        <w:ind w:right="150"/>
        <w:rPr>
          <w:rFonts w:ascii="Arial" w:eastAsia="Arial" w:hAnsi="Arial" w:cs="Arial"/>
          <w:b/>
          <w:szCs w:val="23"/>
          <w:lang w:val="fr-FR"/>
        </w:rPr>
      </w:pPr>
    </w:p>
    <w:p w14:paraId="4FE0C4BC" w14:textId="77777777" w:rsidR="00AF5F98" w:rsidRPr="00F52884" w:rsidRDefault="00AF5F98" w:rsidP="00AF5F98">
      <w:pPr>
        <w:shd w:val="clear" w:color="auto" w:fill="FFFFFF"/>
        <w:ind w:right="150"/>
        <w:rPr>
          <w:rFonts w:ascii="Arial" w:eastAsia="Arial" w:hAnsi="Arial" w:cs="Arial"/>
          <w:szCs w:val="23"/>
          <w:lang w:val="fr-FR"/>
        </w:rPr>
      </w:pPr>
      <w:r w:rsidRPr="00F52884">
        <w:rPr>
          <w:rFonts w:ascii="Arial" w:eastAsia="Arial" w:hAnsi="Arial" w:cs="Arial"/>
          <w:szCs w:val="23"/>
          <w:lang w:val="fr-CA"/>
        </w:rPr>
        <w:t>Aucune.</w:t>
      </w:r>
    </w:p>
    <w:p w14:paraId="7CE85242" w14:textId="77777777" w:rsidR="00AF5F98" w:rsidRPr="00F52884" w:rsidRDefault="00AF5F98" w:rsidP="00AF5F98">
      <w:pPr>
        <w:rPr>
          <w:rFonts w:ascii="Arial" w:eastAsia="Times New Roman" w:hAnsi="Arial" w:cs="Arial"/>
          <w:szCs w:val="23"/>
          <w:lang w:val="fr-FR"/>
        </w:rPr>
      </w:pPr>
    </w:p>
    <w:p w14:paraId="77A8B8BE" w14:textId="77777777" w:rsidR="00AF5F98" w:rsidRPr="00F52884" w:rsidRDefault="00AF5F98" w:rsidP="00AF5F98">
      <w:pPr>
        <w:rPr>
          <w:rFonts w:ascii="Arial" w:eastAsia="Times New Roman" w:hAnsi="Arial" w:cs="Arial"/>
          <w:szCs w:val="23"/>
          <w:lang w:val="fr-FR"/>
        </w:rPr>
      </w:pPr>
      <w:r w:rsidRPr="00F52884">
        <w:rPr>
          <w:rFonts w:ascii="Arial" w:eastAsia="Arial" w:hAnsi="Arial" w:cs="Arial"/>
          <w:b/>
          <w:bCs/>
          <w:szCs w:val="23"/>
          <w:lang w:val="fr-CA"/>
        </w:rPr>
        <w:t>B.</w:t>
      </w:r>
      <w:r w:rsidRPr="00F52884">
        <w:rPr>
          <w:rFonts w:ascii="Arial" w:eastAsia="Arial" w:hAnsi="Arial" w:cs="Arial"/>
          <w:szCs w:val="23"/>
          <w:lang w:val="fr-CA"/>
        </w:rPr>
        <w:tab/>
      </w:r>
      <w:r w:rsidRPr="00F52884">
        <w:rPr>
          <w:rFonts w:ascii="Arial" w:eastAsia="Arial" w:hAnsi="Arial" w:cs="Arial"/>
          <w:b/>
          <w:bCs/>
          <w:szCs w:val="23"/>
          <w:lang w:val="fr-CA"/>
        </w:rPr>
        <w:t>Exceptions et remarques</w:t>
      </w:r>
    </w:p>
    <w:p w14:paraId="1EC43A26" w14:textId="77777777" w:rsidR="00AF5F98" w:rsidRPr="00F52884" w:rsidRDefault="00AF5F98" w:rsidP="00AF5F98">
      <w:pPr>
        <w:ind w:left="720"/>
        <w:contextualSpacing/>
        <w:rPr>
          <w:rFonts w:ascii="Arial" w:eastAsia="Times New Roman" w:hAnsi="Arial" w:cs="Arial"/>
          <w:szCs w:val="23"/>
          <w:lang w:val="fr-FR"/>
        </w:rPr>
      </w:pPr>
    </w:p>
    <w:p w14:paraId="68F797A6" w14:textId="121EED1D" w:rsidR="00AF5F98" w:rsidRPr="00F52884" w:rsidRDefault="00AF5F98" w:rsidP="00AF5F98">
      <w:pPr>
        <w:numPr>
          <w:ilvl w:val="0"/>
          <w:numId w:val="200"/>
        </w:numPr>
        <w:ind w:hanging="720"/>
        <w:contextualSpacing/>
        <w:rPr>
          <w:rFonts w:ascii="Arial" w:eastAsia="Times New Roman" w:hAnsi="Arial" w:cs="Arial"/>
          <w:szCs w:val="23"/>
          <w:lang w:val="fr-FR"/>
        </w:rPr>
      </w:pPr>
      <w:r w:rsidRPr="00F52884">
        <w:rPr>
          <w:rFonts w:ascii="Arial" w:eastAsia="Arial" w:hAnsi="Arial" w:cs="Arial"/>
          <w:szCs w:val="23"/>
          <w:lang w:val="fr-CA"/>
        </w:rPr>
        <w:t>Les architectes en-deçà des valeurs de seuil spécifiées dans l’AECG, peu importe la valeur lorsqu’il s’agit d’entités qui ne sont pas couvertes par l’AECG.</w:t>
      </w:r>
    </w:p>
    <w:p w14:paraId="7D819EF5" w14:textId="77777777" w:rsidR="00AF5F98" w:rsidRPr="00F52884" w:rsidRDefault="00AF5F98" w:rsidP="00AF5F98">
      <w:pPr>
        <w:ind w:left="720" w:hanging="720"/>
        <w:rPr>
          <w:rFonts w:ascii="Arial" w:eastAsia="Times New Roman" w:hAnsi="Arial" w:cs="Arial"/>
          <w:szCs w:val="23"/>
          <w:lang w:val="fr-FR"/>
        </w:rPr>
      </w:pPr>
    </w:p>
    <w:p w14:paraId="70BC0D2B" w14:textId="22819F1E" w:rsidR="00AF5F98" w:rsidRPr="00F52884" w:rsidRDefault="00AF5F98" w:rsidP="00AF5F98">
      <w:pPr>
        <w:numPr>
          <w:ilvl w:val="0"/>
          <w:numId w:val="201"/>
        </w:numPr>
        <w:ind w:hanging="720"/>
        <w:contextualSpacing/>
        <w:rPr>
          <w:rFonts w:ascii="Arial" w:eastAsia="Times New Roman" w:hAnsi="Arial" w:cs="Arial"/>
          <w:szCs w:val="23"/>
          <w:lang w:val="fr-FR"/>
        </w:rPr>
      </w:pPr>
      <w:r w:rsidRPr="00F52884">
        <w:rPr>
          <w:rFonts w:ascii="Arial" w:eastAsia="Times New Roman" w:hAnsi="Arial" w:cs="Arial"/>
          <w:szCs w:val="23"/>
          <w:lang w:val="fr-CA"/>
        </w:rPr>
        <w:t>Les ingénieurs en-deçà des valeurs de seuil spécifiées dans l’AECG, peu importe la valeur lorsqu’il s’agit d’entités qui ne sont pas couvertes par l’AECG.</w:t>
      </w:r>
    </w:p>
    <w:p w14:paraId="795227AC" w14:textId="77777777" w:rsidR="00AF5F98" w:rsidRPr="00F52884" w:rsidRDefault="00AF5F98" w:rsidP="00AF5F98">
      <w:pPr>
        <w:ind w:left="720" w:hanging="720"/>
        <w:contextualSpacing/>
        <w:rPr>
          <w:rFonts w:ascii="Arial" w:eastAsia="Times New Roman" w:hAnsi="Arial" w:cs="Arial"/>
          <w:szCs w:val="23"/>
          <w:lang w:val="fr-FR"/>
        </w:rPr>
      </w:pPr>
    </w:p>
    <w:p w14:paraId="5FC8F7D4" w14:textId="36BB6550" w:rsidR="00AF5F98" w:rsidRPr="00F52884" w:rsidRDefault="00AF5F98" w:rsidP="00AF5F98">
      <w:pPr>
        <w:numPr>
          <w:ilvl w:val="0"/>
          <w:numId w:val="202"/>
        </w:numPr>
        <w:ind w:hanging="720"/>
        <w:contextualSpacing/>
        <w:rPr>
          <w:rFonts w:ascii="Arial" w:eastAsia="Arial" w:hAnsi="Arial" w:cs="Arial"/>
          <w:szCs w:val="23"/>
          <w:lang w:val="fr-FR"/>
        </w:rPr>
      </w:pPr>
      <w:r w:rsidRPr="00F52884">
        <w:rPr>
          <w:rFonts w:ascii="Arial" w:eastAsia="Arial" w:hAnsi="Arial" w:cs="Arial"/>
          <w:szCs w:val="23"/>
          <w:lang w:val="fr-CA"/>
        </w:rPr>
        <w:t xml:space="preserve">Les matériaux de construction utilisés dans la construction et l’entretien des routes (référence : PEI Public </w:t>
      </w:r>
      <w:proofErr w:type="spellStart"/>
      <w:r w:rsidRPr="00F52884">
        <w:rPr>
          <w:rFonts w:ascii="Arial" w:eastAsia="Arial" w:hAnsi="Arial" w:cs="Arial"/>
          <w:szCs w:val="23"/>
          <w:lang w:val="fr-CA"/>
        </w:rPr>
        <w:t>Purchasing</w:t>
      </w:r>
      <w:proofErr w:type="spellEnd"/>
      <w:r w:rsidRPr="00F52884">
        <w:rPr>
          <w:rFonts w:ascii="Arial" w:eastAsia="Arial" w:hAnsi="Arial" w:cs="Arial"/>
          <w:szCs w:val="23"/>
          <w:lang w:val="fr-CA"/>
        </w:rPr>
        <w:t xml:space="preserve"> </w:t>
      </w:r>
      <w:proofErr w:type="spellStart"/>
      <w:r w:rsidRPr="00F52884">
        <w:rPr>
          <w:rFonts w:ascii="Arial" w:eastAsia="Arial" w:hAnsi="Arial" w:cs="Arial"/>
          <w:szCs w:val="23"/>
          <w:lang w:val="fr-CA"/>
        </w:rPr>
        <w:t>Act</w:t>
      </w:r>
      <w:proofErr w:type="spellEnd"/>
      <w:r w:rsidRPr="00F52884">
        <w:rPr>
          <w:rFonts w:ascii="Arial" w:eastAsia="Arial" w:hAnsi="Arial" w:cs="Arial"/>
          <w:szCs w:val="23"/>
          <w:lang w:val="fr-CA"/>
        </w:rPr>
        <w:t xml:space="preserve"> </w:t>
      </w:r>
      <w:proofErr w:type="spellStart"/>
      <w:r w:rsidRPr="00F52884">
        <w:rPr>
          <w:rFonts w:ascii="Arial" w:eastAsia="Arial" w:hAnsi="Arial" w:cs="Arial"/>
          <w:szCs w:val="23"/>
          <w:lang w:val="fr-CA"/>
        </w:rPr>
        <w:t>Regulations</w:t>
      </w:r>
      <w:proofErr w:type="spellEnd"/>
      <w:r w:rsidRPr="00F52884">
        <w:rPr>
          <w:rFonts w:ascii="Arial" w:eastAsia="Arial" w:hAnsi="Arial" w:cs="Arial"/>
          <w:szCs w:val="23"/>
          <w:lang w:val="fr-CA"/>
        </w:rPr>
        <w:t xml:space="preserve"> (article 11(1)(i)).</w:t>
      </w:r>
    </w:p>
    <w:p w14:paraId="3BD87415" w14:textId="77777777" w:rsidR="00AF5F98" w:rsidRPr="00F52884" w:rsidRDefault="00AF5F98" w:rsidP="00AF5F98">
      <w:pPr>
        <w:ind w:left="720" w:hanging="720"/>
        <w:contextualSpacing/>
        <w:rPr>
          <w:rFonts w:ascii="Arial" w:eastAsia="Arial" w:hAnsi="Arial" w:cs="Arial"/>
          <w:szCs w:val="23"/>
          <w:lang w:val="fr-FR"/>
        </w:rPr>
      </w:pPr>
    </w:p>
    <w:p w14:paraId="79EA0AF7" w14:textId="06E30D6A" w:rsidR="00AF5F98" w:rsidRPr="00F52884" w:rsidRDefault="00AF5F98" w:rsidP="00AF5F98">
      <w:pPr>
        <w:numPr>
          <w:ilvl w:val="0"/>
          <w:numId w:val="202"/>
        </w:numPr>
        <w:ind w:hanging="720"/>
        <w:contextualSpacing/>
        <w:rPr>
          <w:rFonts w:ascii="Arial" w:eastAsia="Arial" w:hAnsi="Arial" w:cs="Arial"/>
          <w:szCs w:val="23"/>
          <w:lang w:val="fr-FR"/>
        </w:rPr>
      </w:pPr>
      <w:r w:rsidRPr="00F52884">
        <w:rPr>
          <w:rFonts w:ascii="Arial" w:eastAsia="Arial" w:hAnsi="Arial" w:cs="Arial"/>
          <w:szCs w:val="23"/>
          <w:lang w:val="fr-CA"/>
        </w:rPr>
        <w:t>Les produits achetés à des fins de représentation ou de promotion et les services et les services de construction achetés à des fins de représentation ou de promotion à l’extérieur du territoire d’une Partie.</w:t>
      </w:r>
    </w:p>
    <w:p w14:paraId="22B38E8F" w14:textId="77777777" w:rsidR="00AF5F98" w:rsidRPr="00F52884" w:rsidRDefault="00AF5F98" w:rsidP="00AF5F98">
      <w:pPr>
        <w:ind w:left="720" w:hanging="720"/>
        <w:contextualSpacing/>
        <w:rPr>
          <w:rFonts w:ascii="Arial" w:eastAsia="Arial" w:hAnsi="Arial" w:cs="Arial"/>
          <w:szCs w:val="23"/>
          <w:lang w:val="fr-FR"/>
        </w:rPr>
      </w:pPr>
    </w:p>
    <w:p w14:paraId="5D70BBEB" w14:textId="716B0A5E" w:rsidR="00AF5F98" w:rsidRPr="00F52884" w:rsidRDefault="00AF5F98" w:rsidP="00AF5F98">
      <w:pPr>
        <w:numPr>
          <w:ilvl w:val="0"/>
          <w:numId w:val="202"/>
        </w:numPr>
        <w:ind w:hanging="720"/>
        <w:contextualSpacing/>
        <w:rPr>
          <w:rFonts w:ascii="Arial" w:eastAsia="Arial" w:hAnsi="Arial" w:cs="Arial"/>
          <w:szCs w:val="23"/>
        </w:rPr>
      </w:pPr>
      <w:r w:rsidRPr="00F52884">
        <w:rPr>
          <w:rFonts w:ascii="Arial" w:eastAsia="Arial" w:hAnsi="Arial" w:cs="Arial"/>
          <w:szCs w:val="23"/>
          <w:lang w:val="fr-CA"/>
        </w:rPr>
        <w:t>Les aliments locaux.</w:t>
      </w:r>
    </w:p>
    <w:p w14:paraId="48E61A82" w14:textId="77777777" w:rsidR="00AF5F98" w:rsidRPr="00F52884" w:rsidRDefault="00AF5F98" w:rsidP="00AF5F98">
      <w:pPr>
        <w:ind w:left="720" w:hanging="720"/>
        <w:contextualSpacing/>
        <w:rPr>
          <w:rFonts w:ascii="Arial" w:eastAsia="Arial" w:hAnsi="Arial" w:cs="Arial"/>
          <w:szCs w:val="23"/>
        </w:rPr>
      </w:pPr>
    </w:p>
    <w:p w14:paraId="3E93DBE5" w14:textId="4770B5F2" w:rsidR="00AF5F98" w:rsidRPr="00F52884" w:rsidRDefault="00AF5F98" w:rsidP="00AF5F98">
      <w:pPr>
        <w:numPr>
          <w:ilvl w:val="0"/>
          <w:numId w:val="202"/>
        </w:numPr>
        <w:ind w:hanging="720"/>
        <w:contextualSpacing/>
        <w:rPr>
          <w:rFonts w:ascii="Arial" w:eastAsia="Arial" w:hAnsi="Arial" w:cs="Arial"/>
          <w:szCs w:val="23"/>
          <w:lang w:val="fr-FR"/>
        </w:rPr>
      </w:pPr>
      <w:r w:rsidRPr="00F52884">
        <w:rPr>
          <w:rFonts w:ascii="Arial" w:eastAsia="Arial" w:hAnsi="Arial" w:cs="Arial"/>
          <w:szCs w:val="23"/>
          <w:lang w:val="fr-CA"/>
        </w:rPr>
        <w:t>L’article 507.1 et l’article 509.1 ne s’appliquent pas aux marchés ayant pour objectif la réduction de la pauvreté pour les personnes physiques défavorisées lorsque la valeur de ces marchés est inférieure à 200 000 $.</w:t>
      </w:r>
    </w:p>
    <w:p w14:paraId="4967C4E5" w14:textId="77777777" w:rsidR="00AF5F98" w:rsidRPr="00F52884" w:rsidRDefault="00AF5F98" w:rsidP="00AF5F98">
      <w:pPr>
        <w:ind w:left="720" w:hanging="720"/>
        <w:contextualSpacing/>
        <w:rPr>
          <w:rFonts w:ascii="Arial" w:eastAsia="Arial" w:hAnsi="Arial" w:cs="Arial"/>
          <w:szCs w:val="23"/>
          <w:lang w:val="fr-FR"/>
        </w:rPr>
      </w:pPr>
    </w:p>
    <w:p w14:paraId="2CF963D4" w14:textId="4CFF88F8" w:rsidR="00AF5F98" w:rsidRPr="00F52884" w:rsidRDefault="00AF5F98" w:rsidP="00AF5F98">
      <w:pPr>
        <w:numPr>
          <w:ilvl w:val="0"/>
          <w:numId w:val="202"/>
        </w:numPr>
        <w:shd w:val="clear" w:color="auto" w:fill="FFFFFF"/>
        <w:ind w:right="150" w:hanging="720"/>
        <w:contextualSpacing/>
        <w:rPr>
          <w:rFonts w:ascii="Arial" w:eastAsia="Arial" w:hAnsi="Arial" w:cs="Arial"/>
          <w:szCs w:val="23"/>
          <w:lang w:val="fr-FR"/>
        </w:rPr>
      </w:pPr>
      <w:r w:rsidRPr="00F52884">
        <w:rPr>
          <w:rFonts w:ascii="Arial" w:eastAsia="Times New Roman" w:hAnsi="Arial" w:cs="Arial"/>
          <w:szCs w:val="23"/>
          <w:lang w:val="fr-CA"/>
        </w:rPr>
        <w:t>Les entités contractantes couvertes de l’Île-du-Prince-Édouard peuvent déroger au présent chapitre dans le but de promouvoir le développement économique régional.</w:t>
      </w:r>
    </w:p>
    <w:p w14:paraId="76777F4C" w14:textId="77777777" w:rsidR="00AF5F98" w:rsidRPr="00F52884" w:rsidRDefault="00AF5F98" w:rsidP="00AF5F98">
      <w:pPr>
        <w:shd w:val="clear" w:color="auto" w:fill="FFFFFF"/>
        <w:ind w:right="150"/>
        <w:rPr>
          <w:rFonts w:ascii="Arial" w:eastAsia="Arial" w:hAnsi="Arial" w:cs="Arial"/>
          <w:szCs w:val="23"/>
          <w:lang w:val="fr-FR"/>
        </w:rPr>
      </w:pPr>
    </w:p>
    <w:p w14:paraId="615B8B28" w14:textId="4F79E9A1" w:rsidR="00AF5F98" w:rsidRPr="00F52884" w:rsidRDefault="00AF5F98" w:rsidP="00AF5F98">
      <w:pPr>
        <w:numPr>
          <w:ilvl w:val="0"/>
          <w:numId w:val="203"/>
        </w:numPr>
        <w:rPr>
          <w:rFonts w:ascii="Arial" w:eastAsia="Arial" w:hAnsi="Arial" w:cs="Arial"/>
          <w:szCs w:val="23"/>
          <w:lang w:val="fr-FR"/>
        </w:rPr>
      </w:pPr>
      <w:r w:rsidRPr="00F52884">
        <w:rPr>
          <w:rFonts w:ascii="Arial" w:eastAsia="Arial" w:hAnsi="Arial" w:cs="Arial"/>
          <w:szCs w:val="23"/>
          <w:lang w:val="fr-FR"/>
        </w:rPr>
        <w:t>Tout</w:t>
      </w:r>
      <w:r w:rsidRPr="00F52884">
        <w:rPr>
          <w:rFonts w:ascii="Arial" w:eastAsia="Arial" w:hAnsi="Arial" w:cs="Arial"/>
          <w:szCs w:val="23"/>
          <w:lang w:val="fr-CA"/>
        </w:rPr>
        <w:t xml:space="preserve"> marché pouvant bénéficier d’une dérogation au titre du présent paragraphe doit remplir les conditions suivantes :</w:t>
      </w:r>
    </w:p>
    <w:p w14:paraId="0FF663D0" w14:textId="77777777" w:rsidR="00AF5F98" w:rsidRPr="00F52884" w:rsidRDefault="00AF5F98" w:rsidP="00AF5F98">
      <w:pPr>
        <w:ind w:left="1440"/>
        <w:rPr>
          <w:rFonts w:ascii="Arial" w:eastAsia="Arial" w:hAnsi="Arial" w:cs="Arial"/>
          <w:szCs w:val="23"/>
          <w:lang w:val="fr-FR"/>
        </w:rPr>
      </w:pPr>
    </w:p>
    <w:p w14:paraId="7A5FD3B6" w14:textId="4F2C633A" w:rsidR="00AF5F98" w:rsidRPr="00F52884" w:rsidRDefault="00AF5F98" w:rsidP="00CA3048">
      <w:pPr>
        <w:numPr>
          <w:ilvl w:val="1"/>
          <w:numId w:val="151"/>
        </w:numPr>
        <w:ind w:left="2250" w:hanging="630"/>
        <w:rPr>
          <w:rFonts w:ascii="Arial" w:eastAsia="Arial" w:hAnsi="Arial" w:cs="Arial"/>
          <w:szCs w:val="23"/>
          <w:lang w:val="fr-FR"/>
        </w:rPr>
      </w:pPr>
      <w:proofErr w:type="gramStart"/>
      <w:r w:rsidRPr="00F52884">
        <w:rPr>
          <w:rFonts w:ascii="Arial" w:eastAsia="Arial" w:hAnsi="Arial" w:cs="Arial"/>
          <w:szCs w:val="23"/>
          <w:lang w:val="fr-CA"/>
        </w:rPr>
        <w:t>être</w:t>
      </w:r>
      <w:proofErr w:type="gramEnd"/>
      <w:r w:rsidRPr="00F52884">
        <w:rPr>
          <w:rFonts w:ascii="Arial" w:eastAsia="Arial" w:hAnsi="Arial" w:cs="Arial"/>
          <w:szCs w:val="23"/>
          <w:lang w:val="fr-CA"/>
        </w:rPr>
        <w:t xml:space="preserve"> passé dans le but de soutenir les petites entreprises ou l’emploi dans les régions rurales;</w:t>
      </w:r>
    </w:p>
    <w:p w14:paraId="4949F350" w14:textId="77777777" w:rsidR="00AF5F98" w:rsidRPr="00F52884" w:rsidRDefault="00AF5F98" w:rsidP="00CA3048">
      <w:pPr>
        <w:ind w:left="2250" w:hanging="630"/>
        <w:rPr>
          <w:rFonts w:ascii="Arial" w:eastAsia="Arial" w:hAnsi="Arial" w:cs="Arial"/>
          <w:szCs w:val="23"/>
          <w:lang w:val="fr-FR"/>
        </w:rPr>
      </w:pPr>
    </w:p>
    <w:p w14:paraId="35082A31" w14:textId="0FA1DB24" w:rsidR="00AF5F98" w:rsidRPr="00F52884" w:rsidRDefault="00AF5F98" w:rsidP="00CA3048">
      <w:pPr>
        <w:numPr>
          <w:ilvl w:val="1"/>
          <w:numId w:val="151"/>
        </w:numPr>
        <w:ind w:left="2250" w:hanging="630"/>
        <w:rPr>
          <w:rFonts w:ascii="Arial" w:eastAsia="Arial" w:hAnsi="Arial" w:cs="Arial"/>
          <w:szCs w:val="23"/>
          <w:lang w:val="fr-FR"/>
        </w:rPr>
      </w:pPr>
      <w:proofErr w:type="gramStart"/>
      <w:r w:rsidRPr="00F52884">
        <w:rPr>
          <w:rFonts w:ascii="Arial" w:eastAsia="Arial" w:hAnsi="Arial" w:cs="Arial"/>
          <w:szCs w:val="23"/>
          <w:lang w:val="fr-CA"/>
        </w:rPr>
        <w:t>avoir</w:t>
      </w:r>
      <w:proofErr w:type="gramEnd"/>
      <w:r w:rsidRPr="00F52884">
        <w:rPr>
          <w:rFonts w:ascii="Arial" w:eastAsia="Arial" w:hAnsi="Arial" w:cs="Arial"/>
          <w:szCs w:val="23"/>
          <w:lang w:val="fr-CA"/>
        </w:rPr>
        <w:t xml:space="preserve"> une valeur totale ne dépassant pas un million de dollars; toutefois, si la valeur totale du marché dépasse un million de dollars, la portion du contrat qui n’excède pas un million de dollars peut être exclue;</w:t>
      </w:r>
    </w:p>
    <w:p w14:paraId="15476362" w14:textId="77777777" w:rsidR="00AF5F98" w:rsidRPr="00F52884" w:rsidRDefault="00AF5F98" w:rsidP="00F52884">
      <w:pPr>
        <w:ind w:left="2250"/>
        <w:rPr>
          <w:rFonts w:ascii="Arial" w:eastAsia="Arial" w:hAnsi="Arial" w:cs="Arial"/>
          <w:szCs w:val="23"/>
          <w:lang w:val="fr-FR"/>
        </w:rPr>
      </w:pPr>
    </w:p>
    <w:p w14:paraId="6EBC6850" w14:textId="4BCB89F8" w:rsidR="00AF5F98" w:rsidRPr="00F52884" w:rsidRDefault="00AF5F98" w:rsidP="00AF5F98">
      <w:pPr>
        <w:numPr>
          <w:ilvl w:val="0"/>
          <w:numId w:val="203"/>
        </w:numPr>
        <w:contextualSpacing/>
        <w:rPr>
          <w:rFonts w:ascii="Arial" w:eastAsia="Arial" w:hAnsi="Arial" w:cs="Arial"/>
          <w:szCs w:val="23"/>
          <w:lang w:val="fr-FR"/>
        </w:rPr>
      </w:pPr>
      <w:proofErr w:type="gramStart"/>
      <w:r w:rsidRPr="00F52884">
        <w:rPr>
          <w:rFonts w:ascii="Arial" w:eastAsia="Arial" w:hAnsi="Arial" w:cs="Arial"/>
          <w:szCs w:val="23"/>
          <w:lang w:val="fr-CA"/>
        </w:rPr>
        <w:t>l’Île</w:t>
      </w:r>
      <w:proofErr w:type="gramEnd"/>
      <w:r w:rsidRPr="00F52884">
        <w:rPr>
          <w:rFonts w:ascii="Arial" w:eastAsia="Arial" w:hAnsi="Arial" w:cs="Arial"/>
          <w:szCs w:val="23"/>
          <w:lang w:val="fr-CA"/>
        </w:rPr>
        <w:t>-du-Prince-Édouard ne recourra à la présente exclusion plus de dix fois par année civile;</w:t>
      </w:r>
    </w:p>
    <w:p w14:paraId="4CFAAA5D" w14:textId="77777777" w:rsidR="00AF5F98" w:rsidRPr="00F52884" w:rsidRDefault="00AF5F98" w:rsidP="00AF5F98">
      <w:pPr>
        <w:ind w:left="1440"/>
        <w:contextualSpacing/>
        <w:rPr>
          <w:rFonts w:ascii="Arial" w:eastAsia="Arial" w:hAnsi="Arial" w:cs="Arial"/>
          <w:szCs w:val="23"/>
          <w:lang w:val="fr-FR"/>
        </w:rPr>
      </w:pPr>
    </w:p>
    <w:p w14:paraId="4766A1CE" w14:textId="1BD95E2E" w:rsidR="00AF5F98" w:rsidRPr="00F52884" w:rsidRDefault="00AF5F98" w:rsidP="00AF5F98">
      <w:pPr>
        <w:numPr>
          <w:ilvl w:val="0"/>
          <w:numId w:val="203"/>
        </w:numPr>
        <w:contextualSpacing/>
        <w:rPr>
          <w:rFonts w:ascii="Arial" w:eastAsia="Arial" w:hAnsi="Arial" w:cs="Arial"/>
          <w:szCs w:val="23"/>
          <w:lang w:val="fr-FR"/>
        </w:rPr>
      </w:pPr>
      <w:proofErr w:type="gramStart"/>
      <w:r w:rsidRPr="00F52884">
        <w:rPr>
          <w:rFonts w:ascii="Arial" w:eastAsia="Arial" w:hAnsi="Arial" w:cs="Arial"/>
          <w:szCs w:val="23"/>
          <w:lang w:val="fr-CA"/>
        </w:rPr>
        <w:lastRenderedPageBreak/>
        <w:t>un</w:t>
      </w:r>
      <w:proofErr w:type="gramEnd"/>
      <w:r w:rsidRPr="00F52884">
        <w:rPr>
          <w:rFonts w:ascii="Arial" w:eastAsia="Arial" w:hAnsi="Arial" w:cs="Arial"/>
          <w:szCs w:val="23"/>
          <w:lang w:val="fr-CA"/>
        </w:rPr>
        <w:t xml:space="preserve"> marché financé par le gouvernement du Canada ne peut être exclu;</w:t>
      </w:r>
    </w:p>
    <w:p w14:paraId="475A2484" w14:textId="77777777" w:rsidR="00AF5F98" w:rsidRPr="00F52884" w:rsidRDefault="00AF5F98" w:rsidP="00AF5F98">
      <w:pPr>
        <w:contextualSpacing/>
        <w:rPr>
          <w:rFonts w:ascii="Arial" w:eastAsia="Arial" w:hAnsi="Arial" w:cs="Arial"/>
          <w:szCs w:val="23"/>
          <w:lang w:val="fr-FR"/>
        </w:rPr>
      </w:pPr>
    </w:p>
    <w:p w14:paraId="6837BD22" w14:textId="1ED38B33" w:rsidR="00AF5F98" w:rsidRPr="00F52884" w:rsidRDefault="00AF5F98" w:rsidP="00AF5F98">
      <w:pPr>
        <w:numPr>
          <w:ilvl w:val="0"/>
          <w:numId w:val="203"/>
        </w:numPr>
        <w:contextualSpacing/>
        <w:rPr>
          <w:rFonts w:ascii="Arial" w:eastAsia="Arial" w:hAnsi="Arial" w:cs="Arial"/>
          <w:szCs w:val="23"/>
          <w:lang w:val="fr-CA"/>
        </w:rPr>
      </w:pPr>
      <w:proofErr w:type="gramStart"/>
      <w:r w:rsidRPr="00F52884">
        <w:rPr>
          <w:rFonts w:ascii="Arial" w:eastAsia="Arial" w:hAnsi="Arial" w:cs="Arial"/>
          <w:szCs w:val="23"/>
          <w:lang w:val="fr-CA"/>
        </w:rPr>
        <w:t>chaque</w:t>
      </w:r>
      <w:proofErr w:type="gramEnd"/>
      <w:r w:rsidRPr="00F52884">
        <w:rPr>
          <w:rFonts w:ascii="Arial" w:eastAsia="Arial" w:hAnsi="Arial" w:cs="Arial"/>
          <w:szCs w:val="23"/>
          <w:lang w:val="fr-CA"/>
        </w:rPr>
        <w:t xml:space="preserve"> fois que l’Île-du-Prince-Édouard entend se prévaloir de la présente  exclusion pour exclure tout ou partie d’un marché, elle notifiera aux Parties, au moins 30 jours avant la passation du marché concerné, son intention de se prévaloir de la présente exclusion. Cette notification sera accompagnée des renseignements suivants : </w:t>
      </w:r>
    </w:p>
    <w:p w14:paraId="3D5FB1BF" w14:textId="77777777" w:rsidR="00AF5F98" w:rsidRPr="00F52884" w:rsidRDefault="00AF5F98" w:rsidP="00AF5F98">
      <w:pPr>
        <w:ind w:left="1440"/>
        <w:contextualSpacing/>
        <w:rPr>
          <w:rFonts w:ascii="Arial" w:eastAsia="Arial" w:hAnsi="Arial" w:cs="Arial"/>
          <w:szCs w:val="23"/>
          <w:lang w:val="fr-CA"/>
        </w:rPr>
      </w:pPr>
    </w:p>
    <w:p w14:paraId="1B32B18C" w14:textId="0DF5CA81" w:rsidR="00AF5F98" w:rsidRPr="00F52884" w:rsidRDefault="00AF5F98" w:rsidP="00CA3048">
      <w:pPr>
        <w:numPr>
          <w:ilvl w:val="0"/>
          <w:numId w:val="204"/>
        </w:numPr>
        <w:ind w:hanging="450"/>
        <w:contextualSpacing/>
        <w:rPr>
          <w:rFonts w:ascii="Arial" w:eastAsia="Arial" w:hAnsi="Arial" w:cs="Arial"/>
          <w:szCs w:val="23"/>
          <w:lang w:val="fr-FR"/>
        </w:rPr>
      </w:pPr>
      <w:proofErr w:type="gramStart"/>
      <w:r w:rsidRPr="00F52884">
        <w:rPr>
          <w:rFonts w:ascii="Arial" w:eastAsia="Arial" w:hAnsi="Arial" w:cs="Arial"/>
          <w:szCs w:val="23"/>
          <w:lang w:val="fr-CA"/>
        </w:rPr>
        <w:t>des</w:t>
      </w:r>
      <w:proofErr w:type="gramEnd"/>
      <w:r w:rsidRPr="00F52884">
        <w:rPr>
          <w:rFonts w:ascii="Arial" w:eastAsia="Arial" w:hAnsi="Arial" w:cs="Arial"/>
          <w:szCs w:val="23"/>
          <w:lang w:val="fr-CA"/>
        </w:rPr>
        <w:t xml:space="preserve"> précisions sur les circonstances justifiant l’exclusion;</w:t>
      </w:r>
    </w:p>
    <w:p w14:paraId="02D21471" w14:textId="77777777" w:rsidR="00AF5F98" w:rsidRPr="00F52884" w:rsidRDefault="00AF5F98" w:rsidP="00CA3048">
      <w:pPr>
        <w:ind w:left="2160" w:hanging="450"/>
        <w:contextualSpacing/>
        <w:rPr>
          <w:rFonts w:ascii="Arial" w:eastAsia="Arial" w:hAnsi="Arial" w:cs="Arial"/>
          <w:szCs w:val="23"/>
          <w:lang w:val="fr-FR"/>
        </w:rPr>
      </w:pPr>
    </w:p>
    <w:p w14:paraId="5066D897" w14:textId="5874E400" w:rsidR="00AF5F98" w:rsidRPr="00F52884" w:rsidRDefault="00AF5F98" w:rsidP="00CA3048">
      <w:pPr>
        <w:numPr>
          <w:ilvl w:val="0"/>
          <w:numId w:val="204"/>
        </w:numPr>
        <w:ind w:hanging="450"/>
        <w:contextualSpacing/>
        <w:rPr>
          <w:rFonts w:ascii="Arial" w:eastAsia="Arial" w:hAnsi="Arial" w:cs="Arial"/>
          <w:szCs w:val="23"/>
          <w:lang w:val="fr-FR"/>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dénominations sociales des entreprises concernées et les régions concernées;</w:t>
      </w:r>
    </w:p>
    <w:p w14:paraId="148FF2C6" w14:textId="77777777" w:rsidR="00AF5F98" w:rsidRPr="00F52884" w:rsidRDefault="00AF5F98" w:rsidP="00F52884">
      <w:pPr>
        <w:ind w:left="2160" w:hanging="450"/>
        <w:contextualSpacing/>
        <w:rPr>
          <w:rFonts w:ascii="Arial" w:eastAsia="Arial" w:hAnsi="Arial" w:cs="Arial"/>
          <w:szCs w:val="23"/>
          <w:lang w:val="fr-FR"/>
        </w:rPr>
      </w:pPr>
    </w:p>
    <w:p w14:paraId="71615F35" w14:textId="175BC3DF" w:rsidR="00AF5F98" w:rsidRPr="00F52884" w:rsidRDefault="00AF5F98" w:rsidP="00CA3048">
      <w:pPr>
        <w:numPr>
          <w:ilvl w:val="0"/>
          <w:numId w:val="204"/>
        </w:numPr>
        <w:ind w:hanging="450"/>
        <w:contextualSpacing/>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justification de la conformité de l’exclusion envisagée aux exigences du présent paragraphe. </w:t>
      </w:r>
    </w:p>
    <w:p w14:paraId="3F8E66D2" w14:textId="77777777" w:rsidR="00AF5F98" w:rsidRPr="00F52884" w:rsidRDefault="00AF5F98" w:rsidP="00AF5F98">
      <w:pPr>
        <w:rPr>
          <w:rFonts w:ascii="Arial" w:eastAsia="Arial" w:hAnsi="Arial" w:cs="Arial"/>
          <w:szCs w:val="23"/>
          <w:lang w:val="fr-FR"/>
        </w:rPr>
      </w:pPr>
    </w:p>
    <w:p w14:paraId="550B55C9" w14:textId="77777777" w:rsidR="00AF5F98" w:rsidRPr="00F52884" w:rsidRDefault="00AF5F98" w:rsidP="00AF5F98">
      <w:pPr>
        <w:jc w:val="center"/>
        <w:rPr>
          <w:rFonts w:ascii="Arial" w:eastAsia="Arial" w:hAnsi="Arial" w:cs="Arial"/>
          <w:b/>
          <w:szCs w:val="23"/>
          <w:lang w:val="fr-FR"/>
        </w:rPr>
      </w:pPr>
    </w:p>
    <w:p w14:paraId="2EE6F582"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6D654EDF" w14:textId="77777777" w:rsidR="00AF5F98" w:rsidRPr="00F52884" w:rsidRDefault="00AF5F98" w:rsidP="00F52884">
      <w:pPr>
        <w:pStyle w:val="Heading3"/>
        <w:jc w:val="center"/>
        <w:rPr>
          <w:sz w:val="24"/>
          <w:szCs w:val="24"/>
          <w:lang w:val="fr-FR"/>
        </w:rPr>
      </w:pPr>
      <w:bookmarkStart w:id="48" w:name="_Toc476566315"/>
      <w:bookmarkStart w:id="49" w:name="_Toc156311768"/>
      <w:r w:rsidRPr="00F52884">
        <w:rPr>
          <w:sz w:val="24"/>
          <w:szCs w:val="24"/>
          <w:lang w:val="fr-CA"/>
        </w:rPr>
        <w:lastRenderedPageBreak/>
        <w:t>Liste de la Saskatchewan</w:t>
      </w:r>
      <w:bookmarkEnd w:id="48"/>
      <w:bookmarkEnd w:id="49"/>
    </w:p>
    <w:p w14:paraId="628FA843" w14:textId="77777777" w:rsidR="00AF5F98" w:rsidRPr="00F52884" w:rsidRDefault="00AF5F98" w:rsidP="00AF5F98">
      <w:pPr>
        <w:jc w:val="center"/>
        <w:rPr>
          <w:rFonts w:ascii="Arial" w:eastAsia="Arial" w:hAnsi="Arial" w:cs="Arial"/>
          <w:b/>
          <w:szCs w:val="23"/>
          <w:lang w:val="fr-FR"/>
        </w:rPr>
      </w:pPr>
    </w:p>
    <w:p w14:paraId="23CFDE36" w14:textId="676E6189" w:rsidR="00AF5F98" w:rsidRPr="00F52884" w:rsidRDefault="00AF5F98" w:rsidP="00F52884">
      <w:pPr>
        <w:jc w:val="center"/>
        <w:rPr>
          <w:rFonts w:ascii="Arial" w:eastAsia="Arial" w:hAnsi="Arial" w:cs="Arial"/>
          <w:b/>
          <w:szCs w:val="23"/>
          <w:lang w:val="fr-FR"/>
        </w:rPr>
      </w:pPr>
      <w:r w:rsidRPr="00F52884">
        <w:rPr>
          <w:rFonts w:ascii="Arial" w:eastAsia="Arial" w:hAnsi="Arial" w:cs="Arial"/>
          <w:b/>
          <w:bCs/>
          <w:szCs w:val="23"/>
          <w:shd w:val="clear" w:color="auto" w:fill="FFFFFF"/>
          <w:lang w:val="fr-CA"/>
        </w:rPr>
        <w:t>Marchés publics - Exceptions</w:t>
      </w:r>
    </w:p>
    <w:p w14:paraId="788C79EE" w14:textId="77777777" w:rsidR="00AF5F98" w:rsidRPr="00F52884" w:rsidRDefault="00AF5F98" w:rsidP="00AF5F98">
      <w:pPr>
        <w:autoSpaceDE w:val="0"/>
        <w:autoSpaceDN w:val="0"/>
        <w:adjustRightInd w:val="0"/>
        <w:rPr>
          <w:rFonts w:ascii="Arial" w:eastAsia="Arial" w:hAnsi="Arial" w:cs="Arial"/>
          <w:szCs w:val="23"/>
          <w:lang w:val="fr-CA"/>
        </w:rPr>
      </w:pPr>
    </w:p>
    <w:p w14:paraId="402EA821" w14:textId="1D9B6ED3" w:rsidR="00AF5F98" w:rsidRPr="00F52884" w:rsidRDefault="00AF5F98" w:rsidP="00AF5F98">
      <w:pPr>
        <w:autoSpaceDE w:val="0"/>
        <w:autoSpaceDN w:val="0"/>
        <w:adjustRightInd w:val="0"/>
        <w:rPr>
          <w:rFonts w:ascii="Arial" w:eastAsia="Arial" w:hAnsi="Arial" w:cs="Arial"/>
          <w:szCs w:val="23"/>
          <w:lang w:val="fr-FR"/>
        </w:rPr>
      </w:pPr>
      <w:r w:rsidRPr="00F52884">
        <w:rPr>
          <w:rFonts w:ascii="Arial" w:eastAsia="Arial" w:hAnsi="Arial" w:cs="Arial"/>
          <w:szCs w:val="23"/>
          <w:lang w:val="fr-CA"/>
        </w:rPr>
        <w:t>En ce qui concerne la Saskatchewan, le présent chapitre ne couvre pas ce qui suit :</w:t>
      </w:r>
    </w:p>
    <w:p w14:paraId="58F4DFD1" w14:textId="77777777" w:rsidR="00AF5F98" w:rsidRPr="00F52884" w:rsidRDefault="00AF5F98" w:rsidP="00AF5F98">
      <w:pPr>
        <w:rPr>
          <w:rFonts w:ascii="Arial" w:eastAsia="Arial" w:hAnsi="Arial" w:cs="Arial"/>
          <w:b/>
          <w:szCs w:val="23"/>
          <w:lang w:val="fr-FR"/>
        </w:rPr>
      </w:pPr>
    </w:p>
    <w:p w14:paraId="453B28FF" w14:textId="77777777" w:rsidR="00AF5F98" w:rsidRPr="00F52884" w:rsidRDefault="00AF5F98" w:rsidP="00AF5F98">
      <w:pPr>
        <w:rPr>
          <w:rFonts w:ascii="Arial" w:eastAsia="Arial" w:hAnsi="Arial" w:cs="Arial"/>
          <w:szCs w:val="23"/>
          <w:lang w:val="fr-FR"/>
        </w:rPr>
      </w:pPr>
      <w:r w:rsidRPr="00F52884">
        <w:rPr>
          <w:rFonts w:ascii="Arial" w:eastAsia="Arial" w:hAnsi="Arial" w:cs="Arial"/>
          <w:b/>
          <w:bCs/>
          <w:szCs w:val="23"/>
          <w:lang w:val="fr-CA"/>
        </w:rPr>
        <w:t xml:space="preserve">A. </w:t>
      </w:r>
      <w:r w:rsidRPr="00F52884">
        <w:rPr>
          <w:rFonts w:ascii="Arial" w:eastAsia="Arial" w:hAnsi="Arial" w:cs="Arial"/>
          <w:szCs w:val="23"/>
          <w:lang w:val="fr-CA"/>
        </w:rPr>
        <w:tab/>
      </w:r>
      <w:r w:rsidRPr="00F52884">
        <w:rPr>
          <w:rFonts w:ascii="Arial" w:eastAsia="Arial" w:hAnsi="Arial" w:cs="Arial"/>
          <w:b/>
          <w:bCs/>
          <w:szCs w:val="23"/>
          <w:lang w:val="fr-CA"/>
        </w:rPr>
        <w:t>Entités exclues</w:t>
      </w:r>
    </w:p>
    <w:p w14:paraId="09A090D6" w14:textId="77777777" w:rsidR="00AF5F98" w:rsidRPr="00F52884" w:rsidRDefault="00AF5F98" w:rsidP="00AF5F98">
      <w:pPr>
        <w:rPr>
          <w:rFonts w:ascii="Arial" w:eastAsia="Arial" w:hAnsi="Arial" w:cs="Arial"/>
          <w:szCs w:val="23"/>
          <w:lang w:val="fr-FR"/>
        </w:rPr>
      </w:pPr>
    </w:p>
    <w:p w14:paraId="6FE11F2E" w14:textId="6EF75084"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Les entités suivantes ne sont pas couvertes par le présent chapitre :</w:t>
      </w:r>
    </w:p>
    <w:p w14:paraId="2A7625D1" w14:textId="77777777" w:rsidR="00AF5F98" w:rsidRPr="00F52884" w:rsidRDefault="00AF5F98" w:rsidP="00AF5F98">
      <w:pPr>
        <w:rPr>
          <w:rFonts w:ascii="Arial" w:eastAsia="Arial" w:hAnsi="Arial" w:cs="Arial"/>
          <w:szCs w:val="23"/>
          <w:lang w:val="fr-FR"/>
        </w:rPr>
      </w:pPr>
    </w:p>
    <w:p w14:paraId="11959161" w14:textId="77777777" w:rsidR="00AF5F98" w:rsidRPr="00F52884" w:rsidRDefault="00AF5F98" w:rsidP="00F52884">
      <w:pPr>
        <w:rPr>
          <w:rFonts w:ascii="Arial" w:eastAsia="Arial" w:hAnsi="Arial" w:cs="Arial"/>
          <w:szCs w:val="23"/>
          <w:lang w:val="fr-CA"/>
        </w:rPr>
      </w:pPr>
      <w:r w:rsidRPr="00F52884">
        <w:rPr>
          <w:rFonts w:ascii="Arial" w:eastAsia="Arial" w:hAnsi="Arial" w:cs="Arial"/>
          <w:szCs w:val="23"/>
          <w:lang w:val="fr-CA"/>
        </w:rPr>
        <w:t>1.</w:t>
      </w:r>
      <w:r w:rsidRPr="00F52884">
        <w:rPr>
          <w:rFonts w:ascii="Arial" w:eastAsia="Arial" w:hAnsi="Arial" w:cs="Arial"/>
          <w:szCs w:val="23"/>
          <w:lang w:val="fr-CA"/>
        </w:rPr>
        <w:tab/>
      </w:r>
      <w:proofErr w:type="spellStart"/>
      <w:r w:rsidRPr="00F52884">
        <w:rPr>
          <w:rFonts w:ascii="Arial" w:eastAsia="Arial" w:hAnsi="Arial" w:cs="Arial"/>
          <w:szCs w:val="23"/>
          <w:lang w:val="fr-CA"/>
        </w:rPr>
        <w:t>SaskPower</w:t>
      </w:r>
      <w:proofErr w:type="spellEnd"/>
      <w:r w:rsidRPr="00F52884">
        <w:rPr>
          <w:rFonts w:ascii="Arial" w:eastAsia="Arial" w:hAnsi="Arial" w:cs="Arial"/>
          <w:szCs w:val="23"/>
          <w:lang w:val="fr-CA"/>
        </w:rPr>
        <w:t xml:space="preserve"> </w:t>
      </w:r>
    </w:p>
    <w:p w14:paraId="31F6F089" w14:textId="77777777" w:rsidR="00AF5F98" w:rsidRPr="00F52884" w:rsidRDefault="00AF5F98" w:rsidP="00AF5F98">
      <w:pPr>
        <w:rPr>
          <w:rFonts w:ascii="Arial" w:eastAsia="Arial" w:hAnsi="Arial" w:cs="Arial"/>
          <w:szCs w:val="23"/>
          <w:lang w:val="fr-CA"/>
        </w:rPr>
      </w:pPr>
    </w:p>
    <w:p w14:paraId="69767762" w14:textId="77777777" w:rsidR="00AF5F98" w:rsidRPr="00F52884" w:rsidRDefault="00AF5F98" w:rsidP="00AF5F98">
      <w:pPr>
        <w:rPr>
          <w:rFonts w:ascii="Arial" w:eastAsia="Arial" w:hAnsi="Arial" w:cs="Arial"/>
          <w:b/>
          <w:szCs w:val="23"/>
          <w:lang w:val="fr-CA"/>
        </w:rPr>
      </w:pPr>
      <w:r w:rsidRPr="00F52884">
        <w:rPr>
          <w:rFonts w:ascii="Arial" w:eastAsia="Arial" w:hAnsi="Arial" w:cs="Arial"/>
          <w:b/>
          <w:bCs/>
          <w:szCs w:val="23"/>
          <w:lang w:val="fr-CA"/>
        </w:rPr>
        <w:t xml:space="preserve">B. </w:t>
      </w:r>
      <w:r w:rsidRPr="00F52884">
        <w:rPr>
          <w:rFonts w:ascii="Arial" w:eastAsia="Arial" w:hAnsi="Arial" w:cs="Arial"/>
          <w:szCs w:val="23"/>
          <w:lang w:val="fr-CA"/>
        </w:rPr>
        <w:tab/>
      </w:r>
      <w:r w:rsidRPr="00F52884">
        <w:rPr>
          <w:rFonts w:ascii="Arial" w:eastAsia="Arial" w:hAnsi="Arial" w:cs="Arial"/>
          <w:b/>
          <w:bCs/>
          <w:szCs w:val="23"/>
          <w:lang w:val="fr-CA"/>
        </w:rPr>
        <w:t>Exceptions et remarques</w:t>
      </w:r>
    </w:p>
    <w:p w14:paraId="00CECC9D" w14:textId="77777777" w:rsidR="00AF5F98" w:rsidRPr="00F52884" w:rsidRDefault="00AF5F98" w:rsidP="00AF5F98">
      <w:pPr>
        <w:rPr>
          <w:rFonts w:ascii="Arial" w:eastAsia="Arial" w:hAnsi="Arial" w:cs="Arial"/>
          <w:szCs w:val="23"/>
          <w:lang w:val="fr-CA"/>
        </w:rPr>
      </w:pPr>
    </w:p>
    <w:p w14:paraId="188C46A1" w14:textId="77777777"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Le présent chapitre ne s’applique pas :</w:t>
      </w:r>
    </w:p>
    <w:p w14:paraId="587E4CAE" w14:textId="77777777" w:rsidR="00AF5F98" w:rsidRPr="00F52884" w:rsidRDefault="00AF5F98" w:rsidP="00AF5F98">
      <w:pPr>
        <w:rPr>
          <w:rFonts w:ascii="Arial" w:eastAsia="Arial" w:hAnsi="Arial" w:cs="Arial"/>
          <w:szCs w:val="23"/>
          <w:lang w:val="fr-FR"/>
        </w:rPr>
      </w:pPr>
    </w:p>
    <w:p w14:paraId="00508B6A" w14:textId="3A070264" w:rsidR="00AF5F98" w:rsidRPr="00F52884" w:rsidRDefault="00457325" w:rsidP="0028052A">
      <w:pPr>
        <w:numPr>
          <w:ilvl w:val="0"/>
          <w:numId w:val="154"/>
        </w:numPr>
        <w:ind w:left="1080"/>
        <w:contextualSpacing/>
        <w:rPr>
          <w:rFonts w:ascii="Arial" w:eastAsia="Arial" w:hAnsi="Arial" w:cs="Arial"/>
          <w:szCs w:val="23"/>
          <w:lang w:val="fr-FR"/>
        </w:rPr>
      </w:pPr>
      <w:proofErr w:type="gramStart"/>
      <w:r>
        <w:rPr>
          <w:rFonts w:ascii="Arial" w:eastAsia="Arial" w:hAnsi="Arial" w:cs="Arial"/>
          <w:szCs w:val="23"/>
          <w:lang w:val="fr-CA"/>
        </w:rPr>
        <w:t>a</w:t>
      </w:r>
      <w:r w:rsidRPr="00F52884">
        <w:rPr>
          <w:rFonts w:ascii="Arial" w:eastAsia="Arial" w:hAnsi="Arial" w:cs="Arial"/>
          <w:szCs w:val="23"/>
          <w:lang w:val="fr-CA"/>
        </w:rPr>
        <w:t>ux</w:t>
      </w:r>
      <w:proofErr w:type="gramEnd"/>
      <w:r w:rsidRPr="00F52884">
        <w:rPr>
          <w:rFonts w:ascii="Arial" w:eastAsia="Arial" w:hAnsi="Arial" w:cs="Arial"/>
          <w:szCs w:val="23"/>
          <w:lang w:val="fr-CA"/>
        </w:rPr>
        <w:t xml:space="preserve"> </w:t>
      </w:r>
      <w:r w:rsidR="00725565" w:rsidRPr="00F52884">
        <w:rPr>
          <w:rFonts w:ascii="Arial" w:eastAsia="Arial" w:hAnsi="Arial" w:cs="Arial"/>
          <w:szCs w:val="23"/>
          <w:lang w:val="fr-CA"/>
        </w:rPr>
        <w:t xml:space="preserve">marchés </w:t>
      </w:r>
      <w:r w:rsidR="00B23531" w:rsidRPr="00F52884">
        <w:rPr>
          <w:rFonts w:ascii="Arial" w:eastAsia="Arial" w:hAnsi="Arial" w:cs="Arial"/>
          <w:szCs w:val="23"/>
          <w:lang w:val="fr-CA"/>
        </w:rPr>
        <w:t xml:space="preserve">portant sur </w:t>
      </w:r>
      <w:r w:rsidR="00725565" w:rsidRPr="00F52884">
        <w:rPr>
          <w:rFonts w:ascii="Arial" w:eastAsia="Arial" w:hAnsi="Arial" w:cs="Arial"/>
          <w:szCs w:val="23"/>
          <w:lang w:val="fr-CA"/>
        </w:rPr>
        <w:t>de</w:t>
      </w:r>
      <w:r w:rsidR="00B23531" w:rsidRPr="00F52884">
        <w:rPr>
          <w:rFonts w:ascii="Arial" w:eastAsia="Arial" w:hAnsi="Arial" w:cs="Arial"/>
          <w:szCs w:val="23"/>
          <w:lang w:val="fr-CA"/>
        </w:rPr>
        <w:t>s</w:t>
      </w:r>
      <w:r w:rsidR="00725565" w:rsidRPr="00F52884">
        <w:rPr>
          <w:rFonts w:ascii="Arial" w:eastAsia="Arial" w:hAnsi="Arial" w:cs="Arial"/>
          <w:szCs w:val="23"/>
          <w:lang w:val="fr-CA"/>
        </w:rPr>
        <w:t xml:space="preserve"> </w:t>
      </w:r>
      <w:r w:rsidR="00AF5F98" w:rsidRPr="00F52884">
        <w:rPr>
          <w:rFonts w:ascii="Arial" w:eastAsia="Arial" w:hAnsi="Arial" w:cs="Arial"/>
          <w:szCs w:val="23"/>
          <w:lang w:val="fr-CA"/>
        </w:rPr>
        <w:t xml:space="preserve">produits </w:t>
      </w:r>
      <w:r w:rsidR="00B23531" w:rsidRPr="00F52884">
        <w:rPr>
          <w:rFonts w:ascii="Arial" w:eastAsia="Arial" w:hAnsi="Arial" w:cs="Arial"/>
          <w:szCs w:val="23"/>
          <w:lang w:val="fr-CA"/>
        </w:rPr>
        <w:t>passés à des</w:t>
      </w:r>
      <w:r w:rsidR="00725565" w:rsidRPr="00F52884">
        <w:rPr>
          <w:rFonts w:ascii="Arial" w:eastAsia="Arial" w:hAnsi="Arial" w:cs="Arial"/>
          <w:szCs w:val="23"/>
          <w:lang w:val="fr-CA"/>
        </w:rPr>
        <w:t xml:space="preserve"> </w:t>
      </w:r>
      <w:r w:rsidR="00AF5F98" w:rsidRPr="00F52884">
        <w:rPr>
          <w:rFonts w:ascii="Arial" w:eastAsia="Arial" w:hAnsi="Arial" w:cs="Arial"/>
          <w:szCs w:val="23"/>
          <w:lang w:val="fr-CA"/>
        </w:rPr>
        <w:t xml:space="preserve">fins de représentation ou de promotion, et </w:t>
      </w:r>
      <w:r w:rsidR="00082C4E" w:rsidRPr="00F52884">
        <w:rPr>
          <w:rFonts w:ascii="Arial" w:eastAsia="Arial" w:hAnsi="Arial" w:cs="Arial"/>
          <w:szCs w:val="23"/>
          <w:lang w:val="fr-CA"/>
        </w:rPr>
        <w:t xml:space="preserve">ceux portant sur des </w:t>
      </w:r>
      <w:r w:rsidR="00AF5F98" w:rsidRPr="00F52884">
        <w:rPr>
          <w:rFonts w:ascii="Arial" w:eastAsia="Arial" w:hAnsi="Arial" w:cs="Arial"/>
          <w:szCs w:val="23"/>
          <w:lang w:val="fr-CA"/>
        </w:rPr>
        <w:t xml:space="preserve">services ou </w:t>
      </w:r>
      <w:r w:rsidR="00082C4E" w:rsidRPr="00F52884">
        <w:rPr>
          <w:rFonts w:ascii="Arial" w:eastAsia="Arial" w:hAnsi="Arial" w:cs="Arial"/>
          <w:szCs w:val="23"/>
          <w:lang w:val="fr-CA"/>
        </w:rPr>
        <w:t>des</w:t>
      </w:r>
      <w:r w:rsidR="00AF5F98" w:rsidRPr="00F52884">
        <w:rPr>
          <w:rFonts w:ascii="Arial" w:eastAsia="Arial" w:hAnsi="Arial" w:cs="Arial"/>
          <w:szCs w:val="23"/>
          <w:lang w:val="fr-CA"/>
        </w:rPr>
        <w:t xml:space="preserve"> services de construction</w:t>
      </w:r>
      <w:r w:rsidR="00082C4E" w:rsidRPr="00F52884">
        <w:rPr>
          <w:rFonts w:ascii="Arial" w:eastAsia="Arial" w:hAnsi="Arial" w:cs="Arial"/>
          <w:szCs w:val="23"/>
          <w:lang w:val="fr-CA"/>
        </w:rPr>
        <w:t>s</w:t>
      </w:r>
      <w:r w:rsidR="00AF5F98" w:rsidRPr="00F52884">
        <w:rPr>
          <w:rFonts w:ascii="Arial" w:eastAsia="Arial" w:hAnsi="Arial" w:cs="Arial"/>
          <w:szCs w:val="23"/>
          <w:lang w:val="fr-CA"/>
        </w:rPr>
        <w:t xml:space="preserve"> </w:t>
      </w:r>
      <w:r w:rsidR="00082C4E" w:rsidRPr="00F52884">
        <w:rPr>
          <w:rFonts w:ascii="Arial" w:eastAsia="Arial" w:hAnsi="Arial" w:cs="Arial"/>
          <w:szCs w:val="23"/>
          <w:lang w:val="fr-CA"/>
        </w:rPr>
        <w:t>passés</w:t>
      </w:r>
      <w:r w:rsidR="00AF5F98" w:rsidRPr="00F52884">
        <w:rPr>
          <w:rFonts w:ascii="Arial" w:eastAsia="Arial" w:hAnsi="Arial" w:cs="Arial"/>
          <w:szCs w:val="23"/>
          <w:lang w:val="fr-CA"/>
        </w:rPr>
        <w:t xml:space="preserve"> à des fins de représentation ou de promotion à l’extérieur du territoire d’une Partie.</w:t>
      </w:r>
    </w:p>
    <w:p w14:paraId="2D01155C" w14:textId="77777777" w:rsidR="00AF5F98" w:rsidRPr="00F52884" w:rsidRDefault="00AF5F98" w:rsidP="00AF5F98">
      <w:pPr>
        <w:rPr>
          <w:rFonts w:ascii="Arial" w:eastAsia="Arial" w:hAnsi="Arial" w:cs="Arial"/>
          <w:b/>
          <w:szCs w:val="23"/>
          <w:lang w:val="fr-FR"/>
        </w:rPr>
      </w:pPr>
    </w:p>
    <w:p w14:paraId="1D9D3893"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33903293" w14:textId="77777777" w:rsidR="00AF5F98" w:rsidRPr="00F52884" w:rsidRDefault="00AF5F98" w:rsidP="00F52884">
      <w:pPr>
        <w:pStyle w:val="Heading3"/>
        <w:jc w:val="center"/>
        <w:rPr>
          <w:sz w:val="24"/>
          <w:szCs w:val="24"/>
          <w:lang w:val="fr-FR"/>
        </w:rPr>
      </w:pPr>
      <w:bookmarkStart w:id="50" w:name="_Toc476566316"/>
      <w:bookmarkStart w:id="51" w:name="_Toc156311769"/>
      <w:r w:rsidRPr="00F52884">
        <w:rPr>
          <w:sz w:val="24"/>
          <w:szCs w:val="24"/>
          <w:lang w:val="fr-CA"/>
        </w:rPr>
        <w:lastRenderedPageBreak/>
        <w:t>Liste de l’Alberta</w:t>
      </w:r>
      <w:bookmarkEnd w:id="50"/>
      <w:bookmarkEnd w:id="51"/>
    </w:p>
    <w:p w14:paraId="3DF0FCB5" w14:textId="77777777" w:rsidR="00AF5F98" w:rsidRPr="00F52884" w:rsidRDefault="00AF5F98" w:rsidP="00AF5F98">
      <w:pPr>
        <w:rPr>
          <w:rFonts w:ascii="Arial" w:eastAsia="Arial" w:hAnsi="Arial" w:cs="Arial"/>
          <w:b/>
          <w:bCs/>
          <w:caps/>
          <w:szCs w:val="23"/>
          <w:lang w:val="fr-FR"/>
        </w:rPr>
      </w:pPr>
    </w:p>
    <w:p w14:paraId="7548E7C3" w14:textId="0123F3E3" w:rsidR="00AF5F98" w:rsidRPr="00F52884" w:rsidRDefault="00AF5F98" w:rsidP="00AF5F98">
      <w:pPr>
        <w:jc w:val="center"/>
        <w:rPr>
          <w:rFonts w:ascii="Arial" w:eastAsia="Arial" w:hAnsi="Arial" w:cs="Arial"/>
          <w:b/>
          <w:szCs w:val="23"/>
          <w:lang w:val="fr-FR"/>
        </w:rPr>
      </w:pPr>
      <w:r w:rsidRPr="00F52884">
        <w:rPr>
          <w:rFonts w:ascii="Arial" w:eastAsia="Arial" w:hAnsi="Arial" w:cs="Arial"/>
          <w:b/>
          <w:bCs/>
          <w:szCs w:val="23"/>
          <w:shd w:val="clear" w:color="auto" w:fill="FFFFFF"/>
          <w:lang w:val="fr-CA"/>
        </w:rPr>
        <w:t>Marchés publics - Exceptions</w:t>
      </w:r>
    </w:p>
    <w:p w14:paraId="08F01C7A" w14:textId="77777777" w:rsidR="00AF5F98" w:rsidRPr="00F52884" w:rsidRDefault="00AF5F98" w:rsidP="00AF5F98">
      <w:pPr>
        <w:rPr>
          <w:rFonts w:ascii="Arial" w:eastAsia="Arial" w:hAnsi="Arial" w:cs="Arial"/>
          <w:szCs w:val="23"/>
          <w:lang w:val="fr-CA"/>
        </w:rPr>
      </w:pPr>
    </w:p>
    <w:p w14:paraId="7E8138E0" w14:textId="6AC01272"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En ce qui concerne l’Alberta, le présent chapitre ne couvre pas ce qui suit :</w:t>
      </w:r>
    </w:p>
    <w:p w14:paraId="3E6FF14C" w14:textId="77777777" w:rsidR="00AF5F98" w:rsidRPr="00F52884" w:rsidRDefault="00AF5F98" w:rsidP="00AF5F98">
      <w:pPr>
        <w:rPr>
          <w:rFonts w:ascii="Arial" w:eastAsia="Arial" w:hAnsi="Arial" w:cs="Arial"/>
          <w:szCs w:val="23"/>
          <w:lang w:val="fr-FR"/>
        </w:rPr>
      </w:pPr>
    </w:p>
    <w:p w14:paraId="6788B744" w14:textId="77777777" w:rsidR="00AF5F98" w:rsidRPr="00F52884" w:rsidRDefault="00AF5F98" w:rsidP="00AF5F98">
      <w:pPr>
        <w:numPr>
          <w:ilvl w:val="0"/>
          <w:numId w:val="218"/>
        </w:numPr>
        <w:ind w:hanging="720"/>
        <w:contextualSpacing/>
        <w:rPr>
          <w:rFonts w:ascii="Arial" w:eastAsia="Arial" w:hAnsi="Arial" w:cs="Arial"/>
          <w:b/>
          <w:szCs w:val="23"/>
        </w:rPr>
      </w:pPr>
      <w:r w:rsidRPr="00F52884">
        <w:rPr>
          <w:rFonts w:ascii="Arial" w:eastAsia="Arial" w:hAnsi="Arial" w:cs="Arial"/>
          <w:b/>
          <w:bCs/>
          <w:szCs w:val="23"/>
          <w:lang w:val="fr-CA"/>
        </w:rPr>
        <w:t>Entités exclues</w:t>
      </w:r>
    </w:p>
    <w:p w14:paraId="02EB9090" w14:textId="77777777" w:rsidR="00AF5F98" w:rsidRPr="00F52884" w:rsidRDefault="00AF5F98" w:rsidP="00AF5F98">
      <w:pPr>
        <w:rPr>
          <w:rFonts w:ascii="Arial" w:eastAsia="Arial" w:hAnsi="Arial" w:cs="Arial"/>
          <w:szCs w:val="23"/>
        </w:rPr>
      </w:pPr>
    </w:p>
    <w:p w14:paraId="755DC716" w14:textId="2B5112FF" w:rsidR="00AF5F98" w:rsidRPr="00647B09" w:rsidRDefault="00647B09" w:rsidP="00647B09">
      <w:pPr>
        <w:rPr>
          <w:rFonts w:ascii="Arial" w:eastAsia="Arial" w:hAnsi="Arial" w:cs="Arial"/>
          <w:szCs w:val="23"/>
        </w:rPr>
      </w:pPr>
      <w:proofErr w:type="spellStart"/>
      <w:r w:rsidRPr="00647B09">
        <w:rPr>
          <w:rFonts w:ascii="Arial" w:eastAsia="Arial" w:hAnsi="Arial" w:cs="Arial"/>
          <w:szCs w:val="23"/>
        </w:rPr>
        <w:t>Aucune</w:t>
      </w:r>
      <w:proofErr w:type="spellEnd"/>
    </w:p>
    <w:p w14:paraId="29AB7E3F" w14:textId="77777777" w:rsidR="00AF5F98" w:rsidRPr="00F52884" w:rsidRDefault="00AF5F98" w:rsidP="00AF5F98">
      <w:pPr>
        <w:rPr>
          <w:rFonts w:ascii="Arial" w:eastAsia="Arial" w:hAnsi="Arial" w:cs="Arial"/>
          <w:szCs w:val="23"/>
        </w:rPr>
      </w:pPr>
    </w:p>
    <w:p w14:paraId="3316F60D" w14:textId="77777777" w:rsidR="00AF5F98" w:rsidRPr="00F52884" w:rsidRDefault="00AF5F98" w:rsidP="00AF5F98">
      <w:pPr>
        <w:numPr>
          <w:ilvl w:val="0"/>
          <w:numId w:val="218"/>
        </w:numPr>
        <w:ind w:hanging="720"/>
        <w:contextualSpacing/>
        <w:rPr>
          <w:rFonts w:ascii="Arial" w:eastAsia="Arial" w:hAnsi="Arial" w:cs="Arial"/>
          <w:b/>
          <w:szCs w:val="23"/>
        </w:rPr>
      </w:pPr>
      <w:r w:rsidRPr="00F52884">
        <w:rPr>
          <w:rFonts w:ascii="Arial" w:eastAsia="Arial" w:hAnsi="Arial" w:cs="Arial"/>
          <w:b/>
          <w:bCs/>
          <w:szCs w:val="23"/>
          <w:lang w:val="fr-CA"/>
        </w:rPr>
        <w:t>Exceptions et remarques</w:t>
      </w:r>
    </w:p>
    <w:p w14:paraId="459FFBFC" w14:textId="77777777" w:rsidR="00CE09B0" w:rsidRDefault="00CE09B0" w:rsidP="00CE09B0">
      <w:pPr>
        <w:rPr>
          <w:rFonts w:ascii="Arial" w:eastAsia="Arial" w:hAnsi="Arial" w:cs="Arial"/>
          <w:szCs w:val="23"/>
        </w:rPr>
      </w:pPr>
      <w:bookmarkStart w:id="52" w:name="_Toc83366107"/>
      <w:bookmarkStart w:id="53" w:name="_Toc83366311"/>
    </w:p>
    <w:p w14:paraId="1A2C44F7" w14:textId="5B6826A9" w:rsidR="00AF5F98" w:rsidRPr="00CE09B0" w:rsidRDefault="00647B09" w:rsidP="00CE09B0">
      <w:pPr>
        <w:rPr>
          <w:rFonts w:ascii="Arial" w:eastAsia="Arial" w:hAnsi="Arial" w:cs="Arial"/>
          <w:szCs w:val="23"/>
        </w:rPr>
      </w:pPr>
      <w:proofErr w:type="spellStart"/>
      <w:r>
        <w:rPr>
          <w:rFonts w:ascii="Arial" w:eastAsia="Arial" w:hAnsi="Arial" w:cs="Arial"/>
          <w:szCs w:val="23"/>
        </w:rPr>
        <w:t>Aucune</w:t>
      </w:r>
      <w:bookmarkEnd w:id="52"/>
      <w:bookmarkEnd w:id="53"/>
      <w:proofErr w:type="spellEnd"/>
    </w:p>
    <w:p w14:paraId="2F5E81E9"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57AA9ABD" w14:textId="77777777" w:rsidR="00AF5F98" w:rsidRPr="00F52884" w:rsidRDefault="00AF5F98" w:rsidP="00F52884">
      <w:pPr>
        <w:pStyle w:val="Heading3"/>
        <w:jc w:val="center"/>
        <w:rPr>
          <w:sz w:val="24"/>
          <w:szCs w:val="24"/>
          <w:lang w:val="fr-FR"/>
        </w:rPr>
      </w:pPr>
      <w:bookmarkStart w:id="54" w:name="_Toc476566317"/>
      <w:bookmarkStart w:id="55" w:name="_Toc156311770"/>
      <w:r w:rsidRPr="00F52884">
        <w:rPr>
          <w:sz w:val="24"/>
          <w:szCs w:val="24"/>
          <w:lang w:val="fr-CA"/>
        </w:rPr>
        <w:lastRenderedPageBreak/>
        <w:t>Liste de Terre-Neuve-et-Labrador</w:t>
      </w:r>
      <w:bookmarkEnd w:id="54"/>
      <w:bookmarkEnd w:id="55"/>
    </w:p>
    <w:p w14:paraId="46FF2F5C" w14:textId="77777777" w:rsidR="00AF5F98" w:rsidRPr="00F52884" w:rsidRDefault="00AF5F98" w:rsidP="00AF5F98">
      <w:pPr>
        <w:rPr>
          <w:rFonts w:ascii="Arial" w:eastAsia="Arial" w:hAnsi="Arial" w:cs="Arial"/>
          <w:szCs w:val="23"/>
          <w:lang w:val="fr-FR"/>
        </w:rPr>
      </w:pPr>
    </w:p>
    <w:p w14:paraId="1B0B10C7" w14:textId="2FCAC208" w:rsidR="00AF5F98" w:rsidRPr="00F52884" w:rsidRDefault="00AF5F98" w:rsidP="00AF5F98">
      <w:pPr>
        <w:spacing w:line="259" w:lineRule="auto"/>
        <w:jc w:val="center"/>
        <w:rPr>
          <w:rFonts w:ascii="Arial" w:eastAsia="Calibri" w:hAnsi="Arial" w:cs="Arial"/>
          <w:b/>
          <w:szCs w:val="23"/>
          <w:lang w:val="fr-FR"/>
        </w:rPr>
      </w:pPr>
      <w:r w:rsidRPr="00F52884">
        <w:rPr>
          <w:rFonts w:ascii="Arial" w:eastAsia="Arial" w:hAnsi="Arial" w:cs="Arial"/>
          <w:b/>
          <w:bCs/>
          <w:szCs w:val="23"/>
          <w:lang w:val="fr-CA"/>
        </w:rPr>
        <w:t>Marchés publics - Exceptions</w:t>
      </w:r>
    </w:p>
    <w:p w14:paraId="128F51BA" w14:textId="77777777" w:rsidR="00AF5F98" w:rsidRPr="00F52884" w:rsidRDefault="00AF5F98" w:rsidP="00AF5F98">
      <w:pPr>
        <w:spacing w:line="259" w:lineRule="auto"/>
        <w:rPr>
          <w:rFonts w:ascii="Arial" w:eastAsia="Calibri" w:hAnsi="Arial" w:cs="Arial"/>
          <w:szCs w:val="23"/>
          <w:lang w:val="fr-CA"/>
        </w:rPr>
      </w:pPr>
    </w:p>
    <w:p w14:paraId="1F3EFF39" w14:textId="472EE4DC" w:rsidR="00AF5F98" w:rsidRPr="00F52884" w:rsidRDefault="00AF5F98" w:rsidP="00AF5F98">
      <w:pPr>
        <w:spacing w:line="259" w:lineRule="auto"/>
        <w:rPr>
          <w:rFonts w:ascii="Arial" w:eastAsia="Calibri" w:hAnsi="Arial" w:cs="Arial"/>
          <w:szCs w:val="23"/>
          <w:lang w:val="fr-FR"/>
        </w:rPr>
      </w:pPr>
      <w:r w:rsidRPr="00F52884">
        <w:rPr>
          <w:rFonts w:ascii="Arial" w:eastAsia="Calibri" w:hAnsi="Arial" w:cs="Arial"/>
          <w:szCs w:val="23"/>
          <w:lang w:val="fr-CA"/>
        </w:rPr>
        <w:t>En ce qui concerne Terre-Neuve-et-Labrador, le présent chapitre</w:t>
      </w:r>
      <w:r w:rsidRPr="00F52884">
        <w:rPr>
          <w:rFonts w:ascii="Arial" w:eastAsia="Arial" w:hAnsi="Arial" w:cs="Arial"/>
          <w:szCs w:val="23"/>
          <w:lang w:val="fr-CA"/>
        </w:rPr>
        <w:t xml:space="preserve"> ne couvre pas ce qui suit</w:t>
      </w:r>
      <w:r w:rsidRPr="00F52884">
        <w:rPr>
          <w:rFonts w:ascii="Arial" w:eastAsia="Calibri" w:hAnsi="Arial" w:cs="Arial"/>
          <w:szCs w:val="23"/>
          <w:lang w:val="fr-CA"/>
        </w:rPr>
        <w:t> :</w:t>
      </w:r>
    </w:p>
    <w:p w14:paraId="4ED1FF74" w14:textId="77777777" w:rsidR="00AF5F98" w:rsidRPr="00F52884" w:rsidRDefault="00AF5F98" w:rsidP="00AF5F98">
      <w:pPr>
        <w:spacing w:line="259" w:lineRule="auto"/>
        <w:rPr>
          <w:rFonts w:ascii="Arial" w:eastAsia="Calibri" w:hAnsi="Arial" w:cs="Arial"/>
          <w:szCs w:val="23"/>
          <w:lang w:val="fr-FR"/>
        </w:rPr>
      </w:pPr>
    </w:p>
    <w:p w14:paraId="6941E57F" w14:textId="77777777" w:rsidR="00AF5F98" w:rsidRPr="00F52884" w:rsidRDefault="00AF5F98" w:rsidP="00AF5F98">
      <w:pPr>
        <w:rPr>
          <w:rFonts w:ascii="Arial" w:eastAsia="Arial" w:hAnsi="Arial" w:cs="Arial"/>
          <w:b/>
          <w:szCs w:val="23"/>
          <w:lang w:val="fr-FR"/>
        </w:rPr>
      </w:pPr>
      <w:r w:rsidRPr="00F52884">
        <w:rPr>
          <w:rFonts w:ascii="Arial" w:eastAsia="Arial" w:hAnsi="Arial" w:cs="Arial"/>
          <w:b/>
          <w:bCs/>
          <w:szCs w:val="23"/>
          <w:lang w:val="fr-CA"/>
        </w:rPr>
        <w:t>A.</w:t>
      </w:r>
      <w:r w:rsidRPr="00F52884">
        <w:rPr>
          <w:rFonts w:ascii="Arial" w:eastAsia="Arial" w:hAnsi="Arial" w:cs="Arial"/>
          <w:szCs w:val="23"/>
          <w:lang w:val="fr-CA"/>
        </w:rPr>
        <w:tab/>
      </w:r>
      <w:r w:rsidRPr="00F52884">
        <w:rPr>
          <w:rFonts w:ascii="Arial" w:eastAsia="Arial" w:hAnsi="Arial" w:cs="Arial"/>
          <w:b/>
          <w:bCs/>
          <w:szCs w:val="23"/>
          <w:lang w:val="fr-CA"/>
        </w:rPr>
        <w:t>Entités exclues</w:t>
      </w:r>
    </w:p>
    <w:p w14:paraId="200E299B" w14:textId="77777777" w:rsidR="00AF5F98" w:rsidRPr="00F52884" w:rsidRDefault="00AF5F98" w:rsidP="00AF5F98">
      <w:pPr>
        <w:rPr>
          <w:rFonts w:ascii="Arial" w:eastAsia="Arial" w:hAnsi="Arial" w:cs="Arial"/>
          <w:b/>
          <w:szCs w:val="23"/>
          <w:lang w:val="fr-FR"/>
        </w:rPr>
      </w:pPr>
    </w:p>
    <w:p w14:paraId="5A5EEB6F" w14:textId="6D0EAD67"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Les entités suivantes ne sont pas couvertes par le présent chapitre :</w:t>
      </w:r>
    </w:p>
    <w:p w14:paraId="067AF026" w14:textId="77777777" w:rsidR="00AF5F98" w:rsidRPr="00F52884" w:rsidRDefault="00AF5F98" w:rsidP="00AF5F98">
      <w:pPr>
        <w:rPr>
          <w:rFonts w:ascii="Arial" w:eastAsia="Arial" w:hAnsi="Arial" w:cs="Arial"/>
          <w:szCs w:val="23"/>
          <w:lang w:val="fr-FR"/>
        </w:rPr>
      </w:pPr>
    </w:p>
    <w:p w14:paraId="355B87B8" w14:textId="77777777" w:rsidR="00AF5F98" w:rsidRPr="00F52884" w:rsidRDefault="00AF5F98" w:rsidP="00AF5F98">
      <w:pPr>
        <w:ind w:left="720" w:hanging="720"/>
        <w:rPr>
          <w:rFonts w:ascii="Arial" w:eastAsia="Arial" w:hAnsi="Arial" w:cs="Arial"/>
          <w:szCs w:val="23"/>
          <w:lang w:val="fr-FR"/>
        </w:rPr>
      </w:pPr>
      <w:r w:rsidRPr="00F52884">
        <w:rPr>
          <w:rFonts w:ascii="Arial" w:eastAsia="Arial" w:hAnsi="Arial" w:cs="Arial"/>
          <w:szCs w:val="23"/>
          <w:lang w:val="fr-CA"/>
        </w:rPr>
        <w:t>1.</w:t>
      </w:r>
      <w:r w:rsidRPr="00F52884">
        <w:rPr>
          <w:rFonts w:ascii="Arial" w:eastAsia="Arial" w:hAnsi="Arial" w:cs="Arial"/>
          <w:szCs w:val="23"/>
          <w:lang w:val="fr-CA"/>
        </w:rPr>
        <w:tab/>
      </w:r>
      <w:proofErr w:type="spellStart"/>
      <w:r w:rsidRPr="00F52884">
        <w:rPr>
          <w:rFonts w:ascii="Arial" w:eastAsia="Arial" w:hAnsi="Arial" w:cs="Arial"/>
          <w:szCs w:val="23"/>
          <w:lang w:val="fr-CA"/>
        </w:rPr>
        <w:t>Research</w:t>
      </w:r>
      <w:proofErr w:type="spellEnd"/>
      <w:r w:rsidRPr="00F52884">
        <w:rPr>
          <w:rFonts w:ascii="Arial" w:eastAsia="Arial" w:hAnsi="Arial" w:cs="Arial"/>
          <w:szCs w:val="23"/>
          <w:lang w:val="fr-CA"/>
        </w:rPr>
        <w:t xml:space="preserve"> &amp; Development Corporation of Newfoundland and Labrador et toute filiale de celle-ci.</w:t>
      </w:r>
    </w:p>
    <w:p w14:paraId="1372743D" w14:textId="77777777" w:rsidR="00AF5F98" w:rsidRPr="00F52884" w:rsidRDefault="00AF5F98" w:rsidP="00AF5F98">
      <w:pPr>
        <w:rPr>
          <w:rFonts w:ascii="Arial" w:eastAsia="Arial" w:hAnsi="Arial" w:cs="Arial"/>
          <w:szCs w:val="23"/>
          <w:lang w:val="fr-FR"/>
        </w:rPr>
      </w:pPr>
    </w:p>
    <w:p w14:paraId="28E20C32" w14:textId="77777777" w:rsidR="00AF5F98" w:rsidRPr="00F52884" w:rsidRDefault="00AF5F98" w:rsidP="00AF5F98">
      <w:pPr>
        <w:rPr>
          <w:rFonts w:ascii="Arial" w:eastAsia="Arial" w:hAnsi="Arial" w:cs="Arial"/>
          <w:b/>
          <w:szCs w:val="23"/>
          <w:lang w:val="fr-FR"/>
        </w:rPr>
      </w:pPr>
      <w:r w:rsidRPr="00F52884">
        <w:rPr>
          <w:rFonts w:ascii="Arial" w:eastAsia="Arial" w:hAnsi="Arial" w:cs="Arial"/>
          <w:b/>
          <w:bCs/>
          <w:szCs w:val="23"/>
          <w:lang w:val="fr-CA"/>
        </w:rPr>
        <w:t>B.</w:t>
      </w:r>
      <w:r w:rsidRPr="00F52884">
        <w:rPr>
          <w:rFonts w:ascii="Arial" w:eastAsia="Arial" w:hAnsi="Arial" w:cs="Arial"/>
          <w:szCs w:val="23"/>
          <w:lang w:val="fr-CA"/>
        </w:rPr>
        <w:tab/>
      </w:r>
      <w:r w:rsidRPr="00F52884">
        <w:rPr>
          <w:rFonts w:ascii="Arial" w:eastAsia="Arial" w:hAnsi="Arial" w:cs="Arial"/>
          <w:b/>
          <w:bCs/>
          <w:szCs w:val="23"/>
          <w:lang w:val="fr-CA"/>
        </w:rPr>
        <w:t>Exceptions et remarques</w:t>
      </w:r>
    </w:p>
    <w:p w14:paraId="1368BA9A" w14:textId="77777777" w:rsidR="00AF5F98" w:rsidRPr="00F52884" w:rsidRDefault="00AF5F98" w:rsidP="00AF5F98">
      <w:pPr>
        <w:rPr>
          <w:rFonts w:ascii="Arial" w:eastAsia="Arial" w:hAnsi="Arial" w:cs="Arial"/>
          <w:szCs w:val="23"/>
          <w:lang w:val="fr-FR"/>
        </w:rPr>
      </w:pPr>
    </w:p>
    <w:p w14:paraId="33CB5753" w14:textId="177F9447" w:rsidR="00AF5F98" w:rsidRPr="00F52884" w:rsidRDefault="00AF71F2" w:rsidP="00AF5F98">
      <w:pPr>
        <w:ind w:left="720" w:hanging="720"/>
        <w:rPr>
          <w:rFonts w:ascii="Arial" w:eastAsia="Arial" w:hAnsi="Arial" w:cs="Arial"/>
          <w:szCs w:val="23"/>
          <w:lang w:val="fr-FR"/>
        </w:rPr>
      </w:pPr>
      <w:r>
        <w:rPr>
          <w:rFonts w:ascii="Arial" w:eastAsia="Arial" w:hAnsi="Arial" w:cs="Arial"/>
          <w:szCs w:val="23"/>
          <w:lang w:val="fr-CA"/>
        </w:rPr>
        <w:t>1</w:t>
      </w:r>
      <w:r w:rsidR="00AF5F98" w:rsidRPr="00F52884">
        <w:rPr>
          <w:rFonts w:ascii="Arial" w:eastAsia="Arial" w:hAnsi="Arial" w:cs="Arial"/>
          <w:szCs w:val="23"/>
          <w:lang w:val="fr-CA"/>
        </w:rPr>
        <w:t xml:space="preserve">. </w:t>
      </w:r>
      <w:r w:rsidR="00AF5F98" w:rsidRPr="00F52884">
        <w:rPr>
          <w:rFonts w:ascii="Arial" w:eastAsia="Arial" w:hAnsi="Arial" w:cs="Arial"/>
          <w:szCs w:val="23"/>
          <w:lang w:val="fr-CA"/>
        </w:rPr>
        <w:tab/>
        <w:t xml:space="preserve">Sous réserve d’exceptions applicables, le présent chapitre couvre les marchés passés par </w:t>
      </w:r>
      <w:proofErr w:type="spellStart"/>
      <w:r w:rsidR="00AF5F98" w:rsidRPr="00F52884">
        <w:rPr>
          <w:rFonts w:ascii="Arial" w:eastAsia="Arial" w:hAnsi="Arial" w:cs="Arial"/>
          <w:szCs w:val="23"/>
          <w:lang w:val="fr-CA"/>
        </w:rPr>
        <w:t>Nalcor</w:t>
      </w:r>
      <w:proofErr w:type="spellEnd"/>
      <w:r w:rsidR="00AF5F98" w:rsidRPr="00F52884">
        <w:rPr>
          <w:rFonts w:ascii="Arial" w:eastAsia="Arial" w:hAnsi="Arial" w:cs="Arial"/>
          <w:szCs w:val="23"/>
          <w:lang w:val="fr-CA"/>
        </w:rPr>
        <w:t xml:space="preserve"> Energy et ses filiales et sociétés affiliées existantes ou futures (collectivement « </w:t>
      </w:r>
      <w:proofErr w:type="spellStart"/>
      <w:r w:rsidR="00AF5F98" w:rsidRPr="00F52884">
        <w:rPr>
          <w:rFonts w:ascii="Arial" w:eastAsia="Arial" w:hAnsi="Arial" w:cs="Arial"/>
          <w:b/>
          <w:bCs/>
          <w:szCs w:val="23"/>
          <w:lang w:val="fr-CA"/>
        </w:rPr>
        <w:t>Nalcor</w:t>
      </w:r>
      <w:proofErr w:type="spellEnd"/>
      <w:r w:rsidR="00AF5F98" w:rsidRPr="00F52884">
        <w:rPr>
          <w:rFonts w:ascii="Arial" w:eastAsia="Arial" w:hAnsi="Arial" w:cs="Arial"/>
          <w:szCs w:val="23"/>
          <w:lang w:val="fr-CA"/>
        </w:rPr>
        <w:t> »), comme suit :</w:t>
      </w:r>
    </w:p>
    <w:p w14:paraId="1AE1D988" w14:textId="77777777" w:rsidR="00AF5F98" w:rsidRPr="00F52884" w:rsidRDefault="00AF5F98" w:rsidP="00AF5F98">
      <w:pPr>
        <w:rPr>
          <w:rFonts w:ascii="Arial" w:eastAsia="Arial" w:hAnsi="Arial" w:cs="Arial"/>
          <w:szCs w:val="23"/>
          <w:lang w:val="fr-FR"/>
        </w:rPr>
      </w:pPr>
    </w:p>
    <w:p w14:paraId="6562E9BB" w14:textId="234A105E" w:rsidR="00AF5F98" w:rsidRPr="00F52884" w:rsidRDefault="00AF5F98" w:rsidP="00F52884">
      <w:pPr>
        <w:pStyle w:val="ListParagraph"/>
        <w:numPr>
          <w:ilvl w:val="0"/>
          <w:numId w:val="399"/>
        </w:numPr>
        <w:ind w:left="1440" w:hanging="720"/>
        <w:rPr>
          <w:rFonts w:ascii="Arial" w:eastAsia="Arial" w:hAnsi="Arial" w:cs="Arial"/>
          <w:szCs w:val="23"/>
          <w:lang w:val="fr-FR"/>
        </w:rPr>
      </w:pPr>
      <w:r w:rsidRPr="00F52884">
        <w:rPr>
          <w:rFonts w:ascii="Arial" w:eastAsia="Arial" w:hAnsi="Arial" w:cs="Arial"/>
          <w:szCs w:val="23"/>
          <w:lang w:val="fr-CA"/>
        </w:rPr>
        <w:t>Tous les marchés passés par Newfoundland &amp; Labrador Hydro dont la valeur dépasse la valeur de seuil applicable;</w:t>
      </w:r>
    </w:p>
    <w:p w14:paraId="1EAD9509" w14:textId="77777777" w:rsidR="00AF5F98" w:rsidRPr="00F52884" w:rsidRDefault="00AF5F98" w:rsidP="0028052A">
      <w:pPr>
        <w:ind w:left="1440" w:hanging="720"/>
        <w:rPr>
          <w:rFonts w:ascii="Arial" w:eastAsia="Arial" w:hAnsi="Arial" w:cs="Arial"/>
          <w:szCs w:val="23"/>
          <w:lang w:val="fr-FR"/>
        </w:rPr>
      </w:pPr>
    </w:p>
    <w:p w14:paraId="043B358B" w14:textId="3B164CA3" w:rsidR="00AF5F98" w:rsidRPr="00F52884" w:rsidRDefault="00AF5F98" w:rsidP="00F52884">
      <w:pPr>
        <w:pStyle w:val="ListParagraph"/>
        <w:numPr>
          <w:ilvl w:val="0"/>
          <w:numId w:val="399"/>
        </w:numPr>
        <w:ind w:left="1440" w:hanging="720"/>
        <w:rPr>
          <w:rFonts w:ascii="Arial" w:eastAsia="Arial" w:hAnsi="Arial" w:cs="Arial"/>
          <w:szCs w:val="23"/>
          <w:lang w:val="fr-FR"/>
        </w:rPr>
      </w:pPr>
      <w:r w:rsidRPr="00F52884">
        <w:rPr>
          <w:rFonts w:ascii="Arial" w:eastAsia="Arial" w:hAnsi="Arial" w:cs="Arial"/>
          <w:szCs w:val="23"/>
          <w:lang w:val="fr-CA"/>
        </w:rPr>
        <w:t xml:space="preserve">Tous les marchés passés par une autre entité </w:t>
      </w:r>
      <w:proofErr w:type="spellStart"/>
      <w:r w:rsidRPr="00F52884">
        <w:rPr>
          <w:rFonts w:ascii="Arial" w:eastAsia="Arial" w:hAnsi="Arial" w:cs="Arial"/>
          <w:szCs w:val="23"/>
          <w:lang w:val="fr-CA"/>
        </w:rPr>
        <w:t>Nalcor</w:t>
      </w:r>
      <w:proofErr w:type="spellEnd"/>
      <w:r w:rsidRPr="00F52884">
        <w:rPr>
          <w:rFonts w:ascii="Arial" w:eastAsia="Arial" w:hAnsi="Arial" w:cs="Arial"/>
          <w:szCs w:val="23"/>
          <w:lang w:val="fr-CA"/>
        </w:rPr>
        <w:t xml:space="preserve"> dont la valeur dépasse la valeur de seuil applicable, à l’exception des marchés suivants :</w:t>
      </w:r>
    </w:p>
    <w:p w14:paraId="6E81BC9B" w14:textId="77777777" w:rsidR="00AF5F98" w:rsidRPr="00F52884" w:rsidRDefault="00AF5F98" w:rsidP="00AF5F98">
      <w:pPr>
        <w:rPr>
          <w:rFonts w:ascii="Arial" w:eastAsia="Arial" w:hAnsi="Arial" w:cs="Arial"/>
          <w:szCs w:val="23"/>
          <w:lang w:val="fr-FR"/>
        </w:rPr>
      </w:pPr>
    </w:p>
    <w:p w14:paraId="022D7F79" w14:textId="7AAF68E0" w:rsidR="00AF5F98" w:rsidRPr="00F52884" w:rsidRDefault="00AF5F98" w:rsidP="00CA3048">
      <w:pPr>
        <w:numPr>
          <w:ilvl w:val="0"/>
          <w:numId w:val="199"/>
        </w:numPr>
        <w:spacing w:line="259" w:lineRule="auto"/>
        <w:ind w:left="2160" w:hanging="450"/>
        <w:rPr>
          <w:rFonts w:ascii="Arial" w:eastAsia="Calibri" w:hAnsi="Arial" w:cs="Arial"/>
          <w:szCs w:val="23"/>
          <w:lang w:val="fr-FR"/>
        </w:rPr>
      </w:pPr>
      <w:proofErr w:type="gramStart"/>
      <w:r w:rsidRPr="00F52884">
        <w:rPr>
          <w:rFonts w:ascii="Arial" w:eastAsia="Calibri" w:hAnsi="Arial" w:cs="Arial"/>
          <w:szCs w:val="23"/>
          <w:lang w:val="fr-CA"/>
        </w:rPr>
        <w:t>les</w:t>
      </w:r>
      <w:proofErr w:type="gramEnd"/>
      <w:r w:rsidRPr="00F52884">
        <w:rPr>
          <w:rFonts w:ascii="Arial" w:eastAsia="Calibri" w:hAnsi="Arial" w:cs="Arial"/>
          <w:szCs w:val="23"/>
          <w:lang w:val="fr-CA"/>
        </w:rPr>
        <w:t xml:space="preserve"> marchés relatifs au secteur pétrolier et gazier;</w:t>
      </w:r>
    </w:p>
    <w:p w14:paraId="267FED7F" w14:textId="77777777" w:rsidR="00AF5F98" w:rsidRPr="00F52884" w:rsidRDefault="00AF5F98" w:rsidP="00CA3048">
      <w:pPr>
        <w:spacing w:line="259" w:lineRule="auto"/>
        <w:ind w:left="2160" w:hanging="450"/>
        <w:rPr>
          <w:rFonts w:ascii="Arial" w:eastAsia="Calibri" w:hAnsi="Arial" w:cs="Arial"/>
          <w:szCs w:val="23"/>
          <w:lang w:val="fr-FR"/>
        </w:rPr>
      </w:pPr>
    </w:p>
    <w:p w14:paraId="14C6DEE2" w14:textId="510009E8" w:rsidR="00AF5F98" w:rsidRPr="00F52884" w:rsidRDefault="00AF5F98" w:rsidP="00CA3048">
      <w:pPr>
        <w:numPr>
          <w:ilvl w:val="0"/>
          <w:numId w:val="199"/>
        </w:numPr>
        <w:spacing w:line="259" w:lineRule="auto"/>
        <w:ind w:left="2160" w:hanging="450"/>
        <w:rPr>
          <w:rFonts w:ascii="Arial" w:eastAsia="Calibri" w:hAnsi="Arial" w:cs="Arial"/>
          <w:szCs w:val="23"/>
          <w:lang w:val="fr-FR"/>
        </w:rPr>
      </w:pPr>
      <w:proofErr w:type="gramStart"/>
      <w:r w:rsidRPr="00F52884">
        <w:rPr>
          <w:rFonts w:ascii="Arial" w:eastAsia="Calibri" w:hAnsi="Arial" w:cs="Arial"/>
          <w:szCs w:val="23"/>
          <w:lang w:val="fr-CA"/>
        </w:rPr>
        <w:t>les</w:t>
      </w:r>
      <w:proofErr w:type="gramEnd"/>
      <w:r w:rsidRPr="00F52884">
        <w:rPr>
          <w:rFonts w:ascii="Arial" w:eastAsia="Calibri" w:hAnsi="Arial" w:cs="Arial"/>
          <w:szCs w:val="23"/>
          <w:lang w:val="fr-CA"/>
        </w:rPr>
        <w:t xml:space="preserve"> marchés relatifs aux travaux de construction, lorsque les travaux entrepris dans le cadre du projet de construction concerné ont commencé avant la date d’entrée en vigueur;</w:t>
      </w:r>
    </w:p>
    <w:p w14:paraId="2C6141FE" w14:textId="77777777" w:rsidR="00AF5F98" w:rsidRPr="00F52884" w:rsidRDefault="00AF5F98" w:rsidP="00CA3048">
      <w:pPr>
        <w:ind w:left="720" w:hanging="450"/>
        <w:contextualSpacing/>
        <w:rPr>
          <w:rFonts w:ascii="Arial" w:eastAsia="Arial" w:hAnsi="Arial" w:cs="Arial"/>
          <w:szCs w:val="23"/>
          <w:lang w:val="fr-FR"/>
        </w:rPr>
      </w:pPr>
    </w:p>
    <w:p w14:paraId="2A2D8876" w14:textId="7B289B93" w:rsidR="00AF5F98" w:rsidRPr="00F52884" w:rsidRDefault="00AF5F98" w:rsidP="00CA3048">
      <w:pPr>
        <w:numPr>
          <w:ilvl w:val="0"/>
          <w:numId w:val="199"/>
        </w:numPr>
        <w:spacing w:line="259" w:lineRule="auto"/>
        <w:ind w:left="2160" w:hanging="450"/>
        <w:rPr>
          <w:rFonts w:ascii="Arial" w:eastAsia="Calibri" w:hAnsi="Arial" w:cs="Arial"/>
          <w:szCs w:val="23"/>
          <w:lang w:val="fr-FR"/>
        </w:rPr>
      </w:pPr>
      <w:proofErr w:type="gramStart"/>
      <w:r w:rsidRPr="00F52884">
        <w:rPr>
          <w:rFonts w:ascii="Arial" w:eastAsia="Arial" w:hAnsi="Arial" w:cs="Arial"/>
          <w:szCs w:val="23"/>
          <w:lang w:val="fr-CA"/>
        </w:rPr>
        <w:t>dans</w:t>
      </w:r>
      <w:proofErr w:type="gramEnd"/>
      <w:r w:rsidRPr="00F52884">
        <w:rPr>
          <w:rFonts w:ascii="Arial" w:eastAsia="Arial" w:hAnsi="Arial" w:cs="Arial"/>
          <w:szCs w:val="23"/>
          <w:lang w:val="fr-CA"/>
        </w:rPr>
        <w:t xml:space="preserve"> le cas des projets de construction dont les travaux commencent après la date d’entrée en vigueur, </w:t>
      </w:r>
      <w:proofErr w:type="spellStart"/>
      <w:r w:rsidRPr="00F52884">
        <w:rPr>
          <w:rFonts w:ascii="Arial" w:eastAsia="Arial" w:hAnsi="Arial" w:cs="Arial"/>
          <w:szCs w:val="23"/>
          <w:lang w:val="fr-CA"/>
        </w:rPr>
        <w:t>Nalcor</w:t>
      </w:r>
      <w:proofErr w:type="spellEnd"/>
      <w:r w:rsidRPr="00F52884">
        <w:rPr>
          <w:rFonts w:ascii="Arial" w:eastAsia="Arial" w:hAnsi="Arial" w:cs="Arial"/>
          <w:szCs w:val="23"/>
          <w:lang w:val="fr-CA"/>
        </w:rPr>
        <w:t xml:space="preserve"> se réserve le droit de déroger au présent chapitre pour des marchés relatifs aux travaux de construction représentant au plus 30 pour cent la valeur totale de l’ensemble des marchés relatifs aux travaux de construction passés dans le cadre du projet.</w:t>
      </w:r>
    </w:p>
    <w:p w14:paraId="2FD8F2E1" w14:textId="77777777" w:rsidR="00AF5F98" w:rsidRPr="00F52884" w:rsidRDefault="00AF5F98" w:rsidP="00AF5F98">
      <w:pPr>
        <w:rPr>
          <w:rFonts w:ascii="Arial" w:eastAsia="Arial" w:hAnsi="Arial" w:cs="Arial"/>
          <w:szCs w:val="23"/>
          <w:lang w:val="fr-FR"/>
        </w:rPr>
      </w:pPr>
    </w:p>
    <w:p w14:paraId="30EA7DAD" w14:textId="4831A09E" w:rsidR="00AF5F98" w:rsidRPr="00F52884" w:rsidRDefault="00AF71F2" w:rsidP="00AF5F98">
      <w:pPr>
        <w:ind w:left="720" w:hanging="720"/>
        <w:rPr>
          <w:rFonts w:ascii="Arial" w:eastAsia="Arial" w:hAnsi="Arial" w:cs="Arial"/>
          <w:szCs w:val="23"/>
          <w:lang w:val="fr-FR"/>
        </w:rPr>
      </w:pPr>
      <w:r>
        <w:rPr>
          <w:rFonts w:ascii="Arial" w:eastAsia="Arial" w:hAnsi="Arial" w:cs="Arial"/>
          <w:szCs w:val="23"/>
          <w:lang w:val="fr-CA"/>
        </w:rPr>
        <w:t>2</w:t>
      </w:r>
      <w:r w:rsidR="00AF5F98" w:rsidRPr="00F52884">
        <w:rPr>
          <w:rFonts w:ascii="Arial" w:eastAsia="Arial" w:hAnsi="Arial" w:cs="Arial"/>
          <w:szCs w:val="23"/>
          <w:lang w:val="fr-CA"/>
        </w:rPr>
        <w:t>.</w:t>
      </w:r>
      <w:r w:rsidR="00AF5F98" w:rsidRPr="00F52884">
        <w:rPr>
          <w:rFonts w:ascii="Arial" w:eastAsia="Arial" w:hAnsi="Arial" w:cs="Arial"/>
          <w:szCs w:val="23"/>
          <w:lang w:val="fr-CA"/>
        </w:rPr>
        <w:tab/>
        <w:t xml:space="preserve">Les entités couvertes de Terre-Neuve-et-Labrador peuvent déroger au présent chapitre dans le but de promouvoir le développement </w:t>
      </w:r>
      <w:proofErr w:type="gramStart"/>
      <w:r w:rsidR="00AF5F98" w:rsidRPr="00F52884">
        <w:rPr>
          <w:rFonts w:ascii="Arial" w:eastAsia="Arial" w:hAnsi="Arial" w:cs="Arial"/>
          <w:szCs w:val="23"/>
          <w:lang w:val="fr-CA"/>
        </w:rPr>
        <w:t>économique  régional</w:t>
      </w:r>
      <w:proofErr w:type="gramEnd"/>
      <w:r w:rsidR="00AF5F98" w:rsidRPr="00F52884">
        <w:rPr>
          <w:rFonts w:ascii="Arial" w:eastAsia="Arial" w:hAnsi="Arial" w:cs="Arial"/>
          <w:szCs w:val="23"/>
          <w:lang w:val="fr-CA"/>
        </w:rPr>
        <w:t>, sous réserve des conditions suivantes :</w:t>
      </w:r>
    </w:p>
    <w:p w14:paraId="2EE42AD1" w14:textId="77777777" w:rsidR="00AF5F98" w:rsidRPr="00F52884" w:rsidRDefault="00AF5F98" w:rsidP="00AF5F98">
      <w:pPr>
        <w:rPr>
          <w:rFonts w:ascii="Arial" w:eastAsia="Arial" w:hAnsi="Arial" w:cs="Arial"/>
          <w:szCs w:val="23"/>
          <w:lang w:val="fr-FR"/>
        </w:rPr>
      </w:pPr>
    </w:p>
    <w:p w14:paraId="024B6D05" w14:textId="33995A88" w:rsidR="00AF5F98" w:rsidRPr="00F52884" w:rsidRDefault="00AF5F98" w:rsidP="00AF5F98">
      <w:pPr>
        <w:numPr>
          <w:ilvl w:val="4"/>
          <w:numId w:val="225"/>
        </w:numPr>
        <w:ind w:left="1440" w:hanging="720"/>
        <w:contextualSpacing/>
        <w:rPr>
          <w:rFonts w:ascii="Arial" w:eastAsia="Arial" w:hAnsi="Arial" w:cs="Arial"/>
          <w:szCs w:val="23"/>
          <w:lang w:val="fr-FR"/>
        </w:rPr>
      </w:pPr>
      <w:r w:rsidRPr="00F52884">
        <w:rPr>
          <w:rFonts w:ascii="Arial" w:eastAsia="Arial" w:hAnsi="Arial" w:cs="Arial"/>
          <w:szCs w:val="23"/>
          <w:lang w:val="fr-CA"/>
        </w:rPr>
        <w:t>Un marché pouvant bénéficier d’une dérogation au titre du présent paragraphe doit remplir les conditions suivantes:</w:t>
      </w:r>
    </w:p>
    <w:p w14:paraId="22A20B2C" w14:textId="77777777" w:rsidR="00AF5F98" w:rsidRPr="00F52884" w:rsidRDefault="00AF5F98" w:rsidP="00AF5F98">
      <w:pPr>
        <w:rPr>
          <w:rFonts w:ascii="Arial" w:eastAsia="Arial" w:hAnsi="Arial" w:cs="Arial"/>
          <w:szCs w:val="23"/>
          <w:lang w:val="fr-FR"/>
        </w:rPr>
      </w:pPr>
    </w:p>
    <w:p w14:paraId="75041D75" w14:textId="45CA1B4D" w:rsidR="00CA3048" w:rsidRPr="00F52884" w:rsidRDefault="00AF5F98" w:rsidP="00CA3048">
      <w:pPr>
        <w:pStyle w:val="ListParagraph"/>
        <w:numPr>
          <w:ilvl w:val="0"/>
          <w:numId w:val="423"/>
        </w:numPr>
        <w:ind w:hanging="540"/>
        <w:rPr>
          <w:rFonts w:ascii="Arial" w:eastAsia="Arial" w:hAnsi="Arial" w:cs="Arial"/>
          <w:szCs w:val="23"/>
          <w:lang w:val="fr-FR"/>
        </w:rPr>
      </w:pPr>
      <w:proofErr w:type="gramStart"/>
      <w:r w:rsidRPr="00F52884">
        <w:rPr>
          <w:rFonts w:ascii="Arial" w:eastAsia="Arial" w:hAnsi="Arial" w:cs="Arial"/>
          <w:szCs w:val="23"/>
          <w:lang w:val="fr-CA"/>
        </w:rPr>
        <w:t>avoir</w:t>
      </w:r>
      <w:proofErr w:type="gramEnd"/>
      <w:r w:rsidRPr="00F52884">
        <w:rPr>
          <w:rFonts w:ascii="Arial" w:eastAsia="Arial" w:hAnsi="Arial" w:cs="Arial"/>
          <w:szCs w:val="23"/>
          <w:lang w:val="fr-CA"/>
        </w:rPr>
        <w:t xml:space="preserve"> une valeur totale estimative totale ne dépassant pas un million de dollars;</w:t>
      </w:r>
    </w:p>
    <w:p w14:paraId="471DF6E9" w14:textId="77777777" w:rsidR="00CA3048" w:rsidRPr="00F52884" w:rsidRDefault="00CA3048" w:rsidP="00CA3048">
      <w:pPr>
        <w:pStyle w:val="ListParagraph"/>
        <w:ind w:left="2160" w:hanging="540"/>
        <w:rPr>
          <w:rFonts w:ascii="Arial" w:eastAsia="Arial" w:hAnsi="Arial" w:cs="Arial"/>
          <w:szCs w:val="23"/>
          <w:lang w:val="fr-FR"/>
        </w:rPr>
      </w:pPr>
    </w:p>
    <w:p w14:paraId="14BCD653" w14:textId="370AB63D" w:rsidR="00AF5F98" w:rsidRPr="00F52884" w:rsidRDefault="00AF5F98" w:rsidP="00CA3048">
      <w:pPr>
        <w:pStyle w:val="ListParagraph"/>
        <w:numPr>
          <w:ilvl w:val="0"/>
          <w:numId w:val="423"/>
        </w:numPr>
        <w:ind w:hanging="540"/>
        <w:rPr>
          <w:rFonts w:ascii="Arial" w:eastAsia="Arial" w:hAnsi="Arial" w:cs="Arial"/>
          <w:szCs w:val="23"/>
          <w:lang w:val="fr-FR"/>
        </w:rPr>
      </w:pPr>
      <w:proofErr w:type="gramStart"/>
      <w:r w:rsidRPr="00F52884">
        <w:rPr>
          <w:rFonts w:ascii="Arial" w:eastAsia="Arial" w:hAnsi="Arial" w:cs="Arial"/>
          <w:szCs w:val="23"/>
          <w:lang w:val="fr-CA"/>
        </w:rPr>
        <w:t>soutenir</w:t>
      </w:r>
      <w:proofErr w:type="gramEnd"/>
      <w:r w:rsidRPr="00F52884">
        <w:rPr>
          <w:rFonts w:ascii="Arial" w:eastAsia="Arial" w:hAnsi="Arial" w:cs="Arial"/>
          <w:szCs w:val="23"/>
          <w:lang w:val="fr-CA"/>
        </w:rPr>
        <w:t xml:space="preserve"> les petites entreprises ou les possibilités d’emploi dans les régions rurales.</w:t>
      </w:r>
    </w:p>
    <w:p w14:paraId="2B76E2D4" w14:textId="77777777" w:rsidR="00AF5F98" w:rsidRPr="00F52884" w:rsidRDefault="00AF5F98" w:rsidP="00AF5F98">
      <w:pPr>
        <w:ind w:left="1440"/>
        <w:rPr>
          <w:rFonts w:ascii="Arial" w:eastAsia="Arial" w:hAnsi="Arial" w:cs="Arial"/>
          <w:szCs w:val="23"/>
          <w:lang w:val="fr-FR"/>
        </w:rPr>
      </w:pPr>
    </w:p>
    <w:p w14:paraId="0AE8AD18" w14:textId="2F00B77D" w:rsidR="00AF5F98" w:rsidRPr="00F52884" w:rsidRDefault="00AF5F98" w:rsidP="00AF5F98">
      <w:pPr>
        <w:numPr>
          <w:ilvl w:val="4"/>
          <w:numId w:val="225"/>
        </w:numPr>
        <w:ind w:left="1440" w:hanging="720"/>
        <w:contextualSpacing/>
        <w:rPr>
          <w:rFonts w:ascii="Arial" w:eastAsia="Arial" w:hAnsi="Arial" w:cs="Arial"/>
          <w:szCs w:val="23"/>
          <w:lang w:val="fr-FR"/>
        </w:rPr>
      </w:pPr>
      <w:r w:rsidRPr="00F52884">
        <w:rPr>
          <w:rFonts w:ascii="Arial" w:eastAsia="Arial" w:hAnsi="Arial" w:cs="Arial"/>
          <w:szCs w:val="23"/>
          <w:lang w:val="fr-CA"/>
        </w:rPr>
        <w:t>Si le marché remplit l’exigence du sous-alinéa </w:t>
      </w:r>
      <w:proofErr w:type="gramStart"/>
      <w:r w:rsidRPr="00F52884">
        <w:rPr>
          <w:rFonts w:ascii="Arial" w:eastAsia="Arial" w:hAnsi="Arial" w:cs="Arial"/>
          <w:szCs w:val="23"/>
          <w:lang w:val="fr-CA"/>
        </w:rPr>
        <w:t>a)(</w:t>
      </w:r>
      <w:proofErr w:type="gramEnd"/>
      <w:r w:rsidRPr="00F52884">
        <w:rPr>
          <w:rFonts w:ascii="Arial" w:eastAsia="Arial" w:hAnsi="Arial" w:cs="Arial"/>
          <w:szCs w:val="23"/>
          <w:lang w:val="fr-CA"/>
        </w:rPr>
        <w:t>ii) mais que sa valeur totale est supérieure à un million de dollars, la valeur de la portion du marché qui serait touchée par la dérogation ne dépassera pas un million de dollars.</w:t>
      </w:r>
    </w:p>
    <w:p w14:paraId="1B452F8A" w14:textId="77777777" w:rsidR="00AF5F98" w:rsidRPr="00F52884" w:rsidRDefault="00AF5F98" w:rsidP="00AF5F98">
      <w:pPr>
        <w:ind w:left="1440"/>
        <w:contextualSpacing/>
        <w:rPr>
          <w:rFonts w:ascii="Arial" w:eastAsia="Arial" w:hAnsi="Arial" w:cs="Arial"/>
          <w:szCs w:val="23"/>
          <w:lang w:val="fr-FR"/>
        </w:rPr>
      </w:pPr>
    </w:p>
    <w:p w14:paraId="483D6EFD" w14:textId="69476D1D" w:rsidR="00AF5F98" w:rsidRPr="00F52884" w:rsidRDefault="00AF5F98" w:rsidP="00AF5F98">
      <w:pPr>
        <w:numPr>
          <w:ilvl w:val="4"/>
          <w:numId w:val="225"/>
        </w:numPr>
        <w:ind w:left="1440" w:hanging="720"/>
        <w:contextualSpacing/>
        <w:rPr>
          <w:rFonts w:ascii="Arial" w:eastAsia="Arial" w:hAnsi="Arial" w:cs="Arial"/>
          <w:szCs w:val="23"/>
          <w:lang w:val="fr-FR"/>
        </w:rPr>
      </w:pPr>
      <w:r w:rsidRPr="00F52884">
        <w:rPr>
          <w:rFonts w:ascii="Arial" w:eastAsia="Arial" w:hAnsi="Arial" w:cs="Arial"/>
          <w:szCs w:val="23"/>
          <w:lang w:val="fr-CA"/>
        </w:rPr>
        <w:t>Les entités couvertes de Terre-Neuve-et-Labrador ne peuvent se prévaloir de la dérogation au titre du présent paragraphe plus de dix fois par année civile au total.</w:t>
      </w:r>
    </w:p>
    <w:p w14:paraId="77D7C00A" w14:textId="77777777" w:rsidR="00AF5F98" w:rsidRPr="00F52884" w:rsidRDefault="00AF5F98" w:rsidP="00AF5F98">
      <w:pPr>
        <w:ind w:left="720"/>
        <w:contextualSpacing/>
        <w:rPr>
          <w:rFonts w:ascii="Arial" w:eastAsia="Arial" w:hAnsi="Arial" w:cs="Arial"/>
          <w:szCs w:val="23"/>
          <w:lang w:val="fr-FR"/>
        </w:rPr>
      </w:pPr>
    </w:p>
    <w:p w14:paraId="2AEF418F" w14:textId="4D1A5F80" w:rsidR="00AF5F98" w:rsidRPr="00F52884" w:rsidRDefault="00AF5F98" w:rsidP="00AF5F98">
      <w:pPr>
        <w:numPr>
          <w:ilvl w:val="4"/>
          <w:numId w:val="225"/>
        </w:numPr>
        <w:ind w:left="1440" w:hanging="720"/>
        <w:contextualSpacing/>
        <w:rPr>
          <w:rFonts w:ascii="Arial" w:eastAsia="Arial" w:hAnsi="Arial" w:cs="Arial"/>
          <w:szCs w:val="23"/>
          <w:lang w:val="fr-FR"/>
        </w:rPr>
      </w:pPr>
      <w:r w:rsidRPr="00F52884">
        <w:rPr>
          <w:rFonts w:ascii="Arial" w:eastAsia="Arial" w:hAnsi="Arial" w:cs="Arial"/>
          <w:szCs w:val="23"/>
          <w:lang w:val="fr-CA"/>
        </w:rPr>
        <w:t>Un marché financé par le gouvernement du Canada ne peut bénéficier d’une dérogation au titre du présent paragraphe.</w:t>
      </w:r>
    </w:p>
    <w:p w14:paraId="37B2E397" w14:textId="77777777" w:rsidR="00AF5F98" w:rsidRPr="00F52884" w:rsidRDefault="00AF5F98" w:rsidP="00AF5F98">
      <w:pPr>
        <w:ind w:left="720"/>
        <w:contextualSpacing/>
        <w:rPr>
          <w:rFonts w:ascii="Arial" w:eastAsia="Arial" w:hAnsi="Arial" w:cs="Arial"/>
          <w:szCs w:val="23"/>
          <w:lang w:val="fr-FR"/>
        </w:rPr>
      </w:pPr>
    </w:p>
    <w:p w14:paraId="64D1ED1F" w14:textId="21ADE19D" w:rsidR="00AF5F98" w:rsidRPr="00F52884" w:rsidRDefault="00AF5F98" w:rsidP="00AF5F98">
      <w:pPr>
        <w:numPr>
          <w:ilvl w:val="4"/>
          <w:numId w:val="225"/>
        </w:numPr>
        <w:ind w:left="1440" w:hanging="720"/>
        <w:contextualSpacing/>
        <w:rPr>
          <w:rFonts w:ascii="Arial" w:eastAsia="Arial" w:hAnsi="Arial" w:cs="Arial"/>
          <w:szCs w:val="23"/>
          <w:lang w:val="fr-CA"/>
        </w:rPr>
      </w:pPr>
      <w:r w:rsidRPr="00F52884">
        <w:rPr>
          <w:rFonts w:ascii="Arial" w:eastAsia="Arial" w:hAnsi="Arial" w:cs="Arial"/>
          <w:szCs w:val="23"/>
          <w:lang w:val="fr-CA"/>
        </w:rPr>
        <w:t xml:space="preserve">Terre-Neuve-et-Labrador notifiera </w:t>
      </w:r>
      <w:proofErr w:type="gramStart"/>
      <w:r w:rsidRPr="00F52884">
        <w:rPr>
          <w:rFonts w:ascii="Arial" w:eastAsia="Arial" w:hAnsi="Arial" w:cs="Arial"/>
          <w:szCs w:val="23"/>
          <w:lang w:val="fr-CA"/>
        </w:rPr>
        <w:t>aux  autres</w:t>
      </w:r>
      <w:proofErr w:type="gramEnd"/>
      <w:r w:rsidRPr="00F52884">
        <w:rPr>
          <w:rFonts w:ascii="Arial" w:eastAsia="Arial" w:hAnsi="Arial" w:cs="Arial"/>
          <w:szCs w:val="23"/>
          <w:lang w:val="fr-CA"/>
        </w:rPr>
        <w:t xml:space="preserve"> Parties tout marché pouvant bénéficier d’une dérogation au titre du présent paragraphe au moins 30 jours avant la signature. Cette notification sera accompagnée des renseignements suivants :</w:t>
      </w:r>
    </w:p>
    <w:p w14:paraId="6482B339" w14:textId="77777777" w:rsidR="00AF5F98" w:rsidRPr="00F52884" w:rsidRDefault="00AF5F98" w:rsidP="00AF5F98">
      <w:pPr>
        <w:rPr>
          <w:rFonts w:ascii="Arial" w:eastAsia="Arial" w:hAnsi="Arial" w:cs="Arial"/>
          <w:szCs w:val="23"/>
          <w:lang w:val="fr-CA"/>
        </w:rPr>
      </w:pPr>
    </w:p>
    <w:p w14:paraId="0522804E" w14:textId="092BDB62" w:rsidR="00AF5F98" w:rsidRPr="00F52884" w:rsidRDefault="00AF5F98" w:rsidP="00CA3048">
      <w:pPr>
        <w:numPr>
          <w:ilvl w:val="3"/>
          <w:numId w:val="152"/>
        </w:numPr>
        <w:spacing w:line="259" w:lineRule="auto"/>
        <w:ind w:left="2160" w:hanging="450"/>
        <w:rPr>
          <w:rFonts w:ascii="Arial" w:eastAsia="Calibri" w:hAnsi="Arial" w:cs="Arial"/>
          <w:szCs w:val="23"/>
          <w:lang w:val="fr-FR"/>
        </w:rPr>
      </w:pPr>
      <w:proofErr w:type="gramStart"/>
      <w:r w:rsidRPr="00F52884">
        <w:rPr>
          <w:rFonts w:ascii="Arial" w:eastAsia="Calibri" w:hAnsi="Arial" w:cs="Arial"/>
          <w:szCs w:val="23"/>
          <w:lang w:val="fr-CA"/>
        </w:rPr>
        <w:t>des</w:t>
      </w:r>
      <w:proofErr w:type="gramEnd"/>
      <w:r w:rsidRPr="00F52884">
        <w:rPr>
          <w:rFonts w:ascii="Arial" w:eastAsia="Calibri" w:hAnsi="Arial" w:cs="Arial"/>
          <w:szCs w:val="23"/>
          <w:lang w:val="fr-CA"/>
        </w:rPr>
        <w:t xml:space="preserve"> précisions sur les circonstances justifiant la dérogation au titre du présent paragraphe;</w:t>
      </w:r>
    </w:p>
    <w:p w14:paraId="17A0E7B6" w14:textId="77777777" w:rsidR="00AF5F98" w:rsidRPr="00F52884" w:rsidRDefault="00AF5F98" w:rsidP="00CA3048">
      <w:pPr>
        <w:spacing w:line="259" w:lineRule="auto"/>
        <w:ind w:hanging="450"/>
        <w:rPr>
          <w:rFonts w:ascii="Arial" w:eastAsia="Calibri" w:hAnsi="Arial" w:cs="Arial"/>
          <w:szCs w:val="23"/>
          <w:lang w:val="fr-FR"/>
        </w:rPr>
      </w:pPr>
    </w:p>
    <w:p w14:paraId="12E5ED83" w14:textId="4B42E9AB" w:rsidR="00AF5F98" w:rsidRPr="00F52884" w:rsidRDefault="00AF5F98" w:rsidP="00CA3048">
      <w:pPr>
        <w:numPr>
          <w:ilvl w:val="3"/>
          <w:numId w:val="152"/>
        </w:numPr>
        <w:spacing w:line="259" w:lineRule="auto"/>
        <w:ind w:left="2160" w:hanging="450"/>
        <w:rPr>
          <w:rFonts w:ascii="Arial" w:eastAsia="Calibri" w:hAnsi="Arial" w:cs="Arial"/>
          <w:szCs w:val="23"/>
          <w:lang w:val="fr-FR"/>
        </w:rPr>
      </w:pPr>
      <w:proofErr w:type="gramStart"/>
      <w:r w:rsidRPr="00F52884">
        <w:rPr>
          <w:rFonts w:ascii="Arial" w:eastAsia="Calibri" w:hAnsi="Arial" w:cs="Arial"/>
          <w:szCs w:val="23"/>
          <w:lang w:val="fr-CA"/>
        </w:rPr>
        <w:t>les</w:t>
      </w:r>
      <w:proofErr w:type="gramEnd"/>
      <w:r w:rsidRPr="00F52884">
        <w:rPr>
          <w:rFonts w:ascii="Arial" w:eastAsia="Calibri" w:hAnsi="Arial" w:cs="Arial"/>
          <w:szCs w:val="23"/>
          <w:lang w:val="fr-CA"/>
        </w:rPr>
        <w:t xml:space="preserve"> dénominations sociales des entreprises concernées et/ou les régions où le marché est censé donner lieu à des avantages économiques régionaux;</w:t>
      </w:r>
    </w:p>
    <w:p w14:paraId="19D57D81" w14:textId="77777777" w:rsidR="00AF5F98" w:rsidRPr="00F52884" w:rsidRDefault="00AF5F98" w:rsidP="00CA3048">
      <w:pPr>
        <w:spacing w:line="259" w:lineRule="auto"/>
        <w:ind w:hanging="450"/>
        <w:rPr>
          <w:rFonts w:ascii="Arial" w:eastAsia="Calibri" w:hAnsi="Arial" w:cs="Arial"/>
          <w:szCs w:val="23"/>
          <w:lang w:val="fr-FR"/>
        </w:rPr>
      </w:pPr>
    </w:p>
    <w:p w14:paraId="2E3C7935" w14:textId="0219F23D" w:rsidR="00AF5F98" w:rsidRPr="00F52884" w:rsidRDefault="00AF5F98" w:rsidP="00CA3048">
      <w:pPr>
        <w:numPr>
          <w:ilvl w:val="3"/>
          <w:numId w:val="152"/>
        </w:numPr>
        <w:spacing w:after="120" w:line="259" w:lineRule="auto"/>
        <w:ind w:left="2160" w:hanging="450"/>
        <w:rPr>
          <w:rFonts w:ascii="Arial" w:eastAsia="Calibri" w:hAnsi="Arial" w:cs="Arial"/>
          <w:szCs w:val="23"/>
          <w:lang w:val="fr-FR"/>
        </w:rPr>
      </w:pPr>
      <w:proofErr w:type="gramStart"/>
      <w:r w:rsidRPr="00F52884">
        <w:rPr>
          <w:rFonts w:ascii="Arial" w:eastAsia="Calibri" w:hAnsi="Arial" w:cs="Arial"/>
          <w:szCs w:val="23"/>
          <w:lang w:val="fr-CA"/>
        </w:rPr>
        <w:t>une</w:t>
      </w:r>
      <w:proofErr w:type="gramEnd"/>
      <w:r w:rsidRPr="00F52884">
        <w:rPr>
          <w:rFonts w:ascii="Arial" w:eastAsia="Calibri" w:hAnsi="Arial" w:cs="Arial"/>
          <w:szCs w:val="23"/>
          <w:lang w:val="fr-CA"/>
        </w:rPr>
        <w:t xml:space="preserve"> justification de la conformité du marché aux exigences du présent paragraphe.</w:t>
      </w:r>
    </w:p>
    <w:p w14:paraId="6102BAB2" w14:textId="77777777" w:rsidR="00AF5F98" w:rsidRPr="00F52884" w:rsidRDefault="00AF5F98" w:rsidP="00AF5F98">
      <w:pPr>
        <w:contextualSpacing/>
        <w:jc w:val="center"/>
        <w:rPr>
          <w:rFonts w:ascii="Arial" w:eastAsia="Times New Roman" w:hAnsi="Arial" w:cs="Arial"/>
          <w:szCs w:val="23"/>
          <w:lang w:val="fr-FR"/>
        </w:rPr>
      </w:pPr>
    </w:p>
    <w:p w14:paraId="40C133B4" w14:textId="77777777" w:rsidR="00AF5F98" w:rsidRPr="00F52884" w:rsidRDefault="00AF5F98" w:rsidP="00AF5F98">
      <w:pPr>
        <w:spacing w:before="200" w:line="271" w:lineRule="auto"/>
        <w:outlineLvl w:val="2"/>
        <w:rPr>
          <w:rFonts w:ascii="Arial" w:eastAsia="SimHei" w:hAnsi="Arial" w:cs="Arial"/>
          <w:b/>
          <w:bCs/>
          <w:szCs w:val="23"/>
          <w:lang w:val="fr-FR"/>
        </w:rPr>
      </w:pPr>
      <w:r w:rsidRPr="00F52884">
        <w:rPr>
          <w:rFonts w:ascii="Arial" w:eastAsia="SimHei" w:hAnsi="Arial" w:cs="Arial"/>
          <w:b/>
          <w:bCs/>
          <w:szCs w:val="23"/>
          <w:lang w:val="fr-CA"/>
        </w:rPr>
        <w:br w:type="page"/>
      </w:r>
    </w:p>
    <w:p w14:paraId="4EE94F97" w14:textId="77777777" w:rsidR="00AF5F98" w:rsidRPr="00F52884" w:rsidRDefault="00AF5F98" w:rsidP="00F52884">
      <w:pPr>
        <w:pStyle w:val="Heading3"/>
        <w:jc w:val="center"/>
        <w:rPr>
          <w:sz w:val="24"/>
          <w:szCs w:val="24"/>
          <w:lang w:val="fr-FR"/>
        </w:rPr>
      </w:pPr>
      <w:bookmarkStart w:id="56" w:name="_Toc476566318"/>
      <w:bookmarkStart w:id="57" w:name="_Toc156311771"/>
      <w:r w:rsidRPr="00F52884">
        <w:rPr>
          <w:sz w:val="24"/>
          <w:szCs w:val="24"/>
          <w:lang w:val="fr-CA"/>
        </w:rPr>
        <w:lastRenderedPageBreak/>
        <w:t>Liste du Yukon</w:t>
      </w:r>
      <w:bookmarkEnd w:id="56"/>
      <w:bookmarkEnd w:id="57"/>
    </w:p>
    <w:p w14:paraId="679F2D78" w14:textId="77777777" w:rsidR="00AF5F98" w:rsidRPr="00F52884" w:rsidRDefault="00AF5F98" w:rsidP="00AF5F98">
      <w:pPr>
        <w:rPr>
          <w:rFonts w:ascii="Arial" w:eastAsia="Arial" w:hAnsi="Arial" w:cs="Arial"/>
          <w:b/>
          <w:szCs w:val="23"/>
          <w:lang w:val="fr-FR"/>
        </w:rPr>
      </w:pPr>
    </w:p>
    <w:p w14:paraId="60A037B9" w14:textId="386EAEAE" w:rsidR="00AF5F98" w:rsidRPr="00F52884" w:rsidRDefault="00AF5F98" w:rsidP="00AF5F98">
      <w:pPr>
        <w:jc w:val="center"/>
        <w:rPr>
          <w:rFonts w:ascii="Arial" w:eastAsia="Arial" w:hAnsi="Arial" w:cs="Arial"/>
          <w:b/>
          <w:szCs w:val="23"/>
          <w:lang w:val="fr-FR"/>
        </w:rPr>
      </w:pPr>
      <w:r w:rsidRPr="00F52884">
        <w:rPr>
          <w:rFonts w:ascii="Arial" w:eastAsia="Arial" w:hAnsi="Arial" w:cs="Arial"/>
          <w:b/>
          <w:bCs/>
          <w:szCs w:val="23"/>
          <w:lang w:val="fr-CA"/>
        </w:rPr>
        <w:t>Marchés publics – Exceptions</w:t>
      </w:r>
    </w:p>
    <w:p w14:paraId="7D8699F5" w14:textId="77777777" w:rsidR="00AF5F98" w:rsidRPr="00F52884" w:rsidRDefault="00AF5F98" w:rsidP="00AF5F98">
      <w:pPr>
        <w:jc w:val="center"/>
        <w:rPr>
          <w:rFonts w:ascii="Arial" w:eastAsia="Arial" w:hAnsi="Arial" w:cs="Arial"/>
          <w:b/>
          <w:szCs w:val="23"/>
          <w:lang w:val="fr-FR"/>
        </w:rPr>
      </w:pPr>
    </w:p>
    <w:p w14:paraId="2FCD3F78" w14:textId="5956FBE7" w:rsidR="00AF5F98" w:rsidRPr="00F52884" w:rsidRDefault="00AF5F98" w:rsidP="00AF5F98">
      <w:pPr>
        <w:rPr>
          <w:rFonts w:ascii="Arial" w:eastAsia="Arial" w:hAnsi="Arial" w:cs="Arial"/>
          <w:caps/>
          <w:szCs w:val="23"/>
          <w:lang w:val="fr-FR"/>
        </w:rPr>
      </w:pPr>
      <w:r w:rsidRPr="00F52884">
        <w:rPr>
          <w:rFonts w:ascii="Arial" w:eastAsia="Arial" w:hAnsi="Arial" w:cs="Arial"/>
          <w:szCs w:val="23"/>
          <w:lang w:val="fr-CA"/>
        </w:rPr>
        <w:t>En ce qui concerne le Yukon, le présent chapitre ne couvre pas ce qui suit :</w:t>
      </w:r>
    </w:p>
    <w:p w14:paraId="7008B4FC" w14:textId="77777777" w:rsidR="00AF5F98" w:rsidRPr="00F52884" w:rsidRDefault="00AF5F98" w:rsidP="00AF5F98">
      <w:pPr>
        <w:rPr>
          <w:rFonts w:ascii="Arial" w:eastAsia="Arial" w:hAnsi="Arial" w:cs="Arial"/>
          <w:szCs w:val="23"/>
          <w:lang w:val="fr-FR"/>
        </w:rPr>
      </w:pPr>
    </w:p>
    <w:p w14:paraId="191411F3" w14:textId="77777777" w:rsidR="00AF5F98" w:rsidRPr="00F52884" w:rsidRDefault="00AF5F98" w:rsidP="00AF5F98">
      <w:pPr>
        <w:ind w:left="720" w:hanging="720"/>
        <w:rPr>
          <w:rFonts w:ascii="Arial" w:eastAsia="Arial" w:hAnsi="Arial" w:cs="Arial"/>
          <w:b/>
          <w:caps/>
          <w:szCs w:val="23"/>
          <w:lang w:val="fr-FR"/>
        </w:rPr>
      </w:pPr>
      <w:r w:rsidRPr="00F52884">
        <w:rPr>
          <w:rFonts w:ascii="Arial" w:eastAsia="Arial" w:hAnsi="Arial" w:cs="Arial"/>
          <w:b/>
          <w:bCs/>
          <w:szCs w:val="23"/>
          <w:lang w:val="fr-CA"/>
        </w:rPr>
        <w:t xml:space="preserve">A. </w:t>
      </w:r>
      <w:r w:rsidRPr="00F52884">
        <w:rPr>
          <w:rFonts w:ascii="Arial" w:eastAsia="Arial" w:hAnsi="Arial" w:cs="Arial"/>
          <w:szCs w:val="23"/>
          <w:lang w:val="fr-CA"/>
        </w:rPr>
        <w:tab/>
      </w:r>
      <w:r w:rsidRPr="00F52884">
        <w:rPr>
          <w:rFonts w:ascii="Arial" w:eastAsia="Arial" w:hAnsi="Arial" w:cs="Arial"/>
          <w:b/>
          <w:bCs/>
          <w:szCs w:val="23"/>
          <w:lang w:val="fr-CA"/>
        </w:rPr>
        <w:t>Entités exclues</w:t>
      </w:r>
    </w:p>
    <w:p w14:paraId="3201480F" w14:textId="77777777" w:rsidR="00AF5F98" w:rsidRPr="00F52884" w:rsidRDefault="00AF5F98" w:rsidP="00AF5F98">
      <w:pPr>
        <w:rPr>
          <w:rFonts w:ascii="Arial" w:eastAsia="Arial" w:hAnsi="Arial" w:cs="Arial"/>
          <w:szCs w:val="23"/>
          <w:lang w:val="fr-FR"/>
        </w:rPr>
      </w:pPr>
    </w:p>
    <w:p w14:paraId="76362470" w14:textId="790AA03C" w:rsidR="00AF5F98" w:rsidRPr="00F52884" w:rsidRDefault="00AF5F98" w:rsidP="00AF5F98">
      <w:pPr>
        <w:spacing w:before="60" w:after="60"/>
        <w:rPr>
          <w:rFonts w:ascii="Arial" w:eastAsia="Arial" w:hAnsi="Arial" w:cs="Arial"/>
          <w:szCs w:val="23"/>
          <w:lang w:val="fr-FR"/>
        </w:rPr>
      </w:pPr>
      <w:r w:rsidRPr="00F52884">
        <w:rPr>
          <w:rFonts w:ascii="Arial" w:eastAsia="Arial" w:hAnsi="Arial" w:cs="Arial"/>
          <w:szCs w:val="23"/>
          <w:lang w:val="fr-CA"/>
        </w:rPr>
        <w:t>Les entités suivantes ne sont pas couvertes par le présent chapitre :</w:t>
      </w:r>
    </w:p>
    <w:p w14:paraId="1620D759" w14:textId="77777777" w:rsidR="00AF5F98" w:rsidRPr="00F52884" w:rsidRDefault="00AF5F98" w:rsidP="00AF5F98">
      <w:pPr>
        <w:spacing w:before="60" w:after="60"/>
        <w:ind w:left="360"/>
        <w:rPr>
          <w:rFonts w:ascii="Arial" w:eastAsia="Arial" w:hAnsi="Arial" w:cs="Arial"/>
          <w:szCs w:val="23"/>
          <w:lang w:val="fr-FR"/>
        </w:rPr>
      </w:pPr>
    </w:p>
    <w:p w14:paraId="04F23226"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lang w:val="fr-FR"/>
        </w:rPr>
      </w:pPr>
      <w:proofErr w:type="gramStart"/>
      <w:r w:rsidRPr="00F52884">
        <w:rPr>
          <w:rFonts w:ascii="Arial" w:eastAsia="Times New Roman" w:hAnsi="Arial" w:cs="Arial"/>
          <w:szCs w:val="23"/>
          <w:lang w:val="fr-CA"/>
        </w:rPr>
        <w:t>les</w:t>
      </w:r>
      <w:proofErr w:type="gramEnd"/>
      <w:r w:rsidRPr="00F52884">
        <w:rPr>
          <w:rFonts w:ascii="Arial" w:eastAsia="Times New Roman" w:hAnsi="Arial" w:cs="Arial"/>
          <w:szCs w:val="23"/>
          <w:lang w:val="fr-CA"/>
        </w:rPr>
        <w:t xml:space="preserve"> administrations régionales, locales, de district ou autres formes d’administration municipale;</w:t>
      </w:r>
    </w:p>
    <w:p w14:paraId="5A7A93DA" w14:textId="77777777" w:rsidR="00AF5F98" w:rsidRPr="00F52884" w:rsidRDefault="00AF5F98" w:rsidP="00F52884">
      <w:pPr>
        <w:spacing w:before="60" w:after="60"/>
        <w:ind w:left="709" w:hanging="720"/>
        <w:contextualSpacing/>
        <w:rPr>
          <w:rFonts w:ascii="Arial" w:eastAsia="Times New Roman" w:hAnsi="Arial" w:cs="Arial"/>
          <w:szCs w:val="23"/>
          <w:lang w:val="fr-FR"/>
        </w:rPr>
      </w:pPr>
    </w:p>
    <w:p w14:paraId="2B86E6F1"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lang w:val="fr-FR"/>
        </w:rPr>
      </w:pPr>
      <w:proofErr w:type="gramStart"/>
      <w:r w:rsidRPr="00F52884">
        <w:rPr>
          <w:rFonts w:ascii="Arial" w:eastAsia="Times New Roman" w:hAnsi="Arial" w:cs="Arial"/>
          <w:szCs w:val="23"/>
          <w:lang w:val="fr-CA"/>
        </w:rPr>
        <w:t>la</w:t>
      </w:r>
      <w:proofErr w:type="gramEnd"/>
      <w:r w:rsidRPr="00F52884">
        <w:rPr>
          <w:rFonts w:ascii="Arial" w:eastAsia="Times New Roman" w:hAnsi="Arial" w:cs="Arial"/>
          <w:szCs w:val="23"/>
          <w:lang w:val="fr-CA"/>
        </w:rPr>
        <w:t xml:space="preserve"> commission scolaire francophone et les entités d’enseignement supérieur, de services de santé ou de services sociaux financées par l’État;</w:t>
      </w:r>
    </w:p>
    <w:p w14:paraId="71566FBC" w14:textId="77777777" w:rsidR="00AF5F98" w:rsidRPr="00F52884" w:rsidRDefault="00AF5F98" w:rsidP="00F52884">
      <w:pPr>
        <w:spacing w:before="60" w:after="60"/>
        <w:ind w:left="709" w:hanging="720"/>
        <w:rPr>
          <w:rFonts w:ascii="Arial" w:eastAsia="Times New Roman" w:hAnsi="Arial" w:cs="Arial"/>
          <w:szCs w:val="23"/>
          <w:lang w:val="fr-FR"/>
        </w:rPr>
      </w:pPr>
    </w:p>
    <w:p w14:paraId="1C096461"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rPr>
      </w:pPr>
      <w:r w:rsidRPr="00F52884">
        <w:rPr>
          <w:rFonts w:ascii="Arial" w:eastAsia="Times New Roman" w:hAnsi="Arial" w:cs="Arial"/>
          <w:szCs w:val="23"/>
          <w:lang w:val="fr-CA"/>
        </w:rPr>
        <w:t>Assemblée législative;</w:t>
      </w:r>
    </w:p>
    <w:p w14:paraId="2F5C9210" w14:textId="77777777" w:rsidR="00AF5F98" w:rsidRPr="00F52884" w:rsidRDefault="00AF5F98" w:rsidP="00F52884">
      <w:pPr>
        <w:spacing w:before="60" w:after="60"/>
        <w:ind w:left="709" w:hanging="720"/>
        <w:rPr>
          <w:rFonts w:ascii="Arial" w:eastAsia="Times New Roman" w:hAnsi="Arial" w:cs="Arial"/>
          <w:szCs w:val="23"/>
        </w:rPr>
      </w:pPr>
    </w:p>
    <w:p w14:paraId="0D5C4BD4"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rPr>
      </w:pPr>
      <w:r w:rsidRPr="00F52884">
        <w:rPr>
          <w:rFonts w:ascii="Arial" w:eastAsia="Times New Roman" w:hAnsi="Arial" w:cs="Arial"/>
          <w:szCs w:val="23"/>
          <w:lang w:val="fr-CA"/>
        </w:rPr>
        <w:t>Élections Yukon;</w:t>
      </w:r>
    </w:p>
    <w:p w14:paraId="28D5B997" w14:textId="77777777" w:rsidR="00AF5F98" w:rsidRPr="00F52884" w:rsidRDefault="00AF5F98" w:rsidP="00F52884">
      <w:pPr>
        <w:spacing w:before="60" w:after="60"/>
        <w:ind w:left="709" w:hanging="720"/>
        <w:rPr>
          <w:rFonts w:ascii="Arial" w:eastAsia="Times New Roman" w:hAnsi="Arial" w:cs="Arial"/>
          <w:szCs w:val="23"/>
        </w:rPr>
      </w:pPr>
    </w:p>
    <w:p w14:paraId="2A3DAAD3"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lang w:val="fr-FR"/>
        </w:rPr>
      </w:pPr>
      <w:r w:rsidRPr="00F52884">
        <w:rPr>
          <w:rFonts w:ascii="Arial" w:eastAsia="Times New Roman" w:hAnsi="Arial" w:cs="Arial"/>
          <w:szCs w:val="23"/>
          <w:lang w:val="fr-CA"/>
        </w:rPr>
        <w:t>Commissaire à l’information et à la protection de la vie privée du Yukon;</w:t>
      </w:r>
    </w:p>
    <w:p w14:paraId="1ACF39BF" w14:textId="77777777" w:rsidR="00AF5F98" w:rsidRPr="00F52884" w:rsidRDefault="00AF5F98" w:rsidP="00F52884">
      <w:pPr>
        <w:spacing w:before="60" w:after="60"/>
        <w:ind w:left="709" w:hanging="720"/>
        <w:rPr>
          <w:rFonts w:ascii="Arial" w:eastAsia="Times New Roman" w:hAnsi="Arial" w:cs="Arial"/>
          <w:szCs w:val="23"/>
          <w:lang w:val="fr-FR"/>
        </w:rPr>
      </w:pPr>
    </w:p>
    <w:p w14:paraId="1AE706BE"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lang w:val="fr-FR"/>
        </w:rPr>
      </w:pPr>
      <w:r w:rsidRPr="00F52884">
        <w:rPr>
          <w:rFonts w:ascii="Arial" w:eastAsia="Times New Roman" w:hAnsi="Arial" w:cs="Arial"/>
          <w:szCs w:val="23"/>
          <w:lang w:val="fr-CA"/>
        </w:rPr>
        <w:t>Commissaire aux conflits d’intérêts du Yukon;</w:t>
      </w:r>
    </w:p>
    <w:p w14:paraId="2BFA5CE6" w14:textId="77777777" w:rsidR="00AF5F98" w:rsidRPr="00F52884" w:rsidRDefault="00AF5F98" w:rsidP="00F52884">
      <w:pPr>
        <w:spacing w:before="60" w:after="60"/>
        <w:ind w:left="709" w:hanging="720"/>
        <w:rPr>
          <w:rFonts w:ascii="Arial" w:eastAsia="Times New Roman" w:hAnsi="Arial" w:cs="Arial"/>
          <w:szCs w:val="23"/>
          <w:lang w:val="fr-FR"/>
        </w:rPr>
      </w:pPr>
    </w:p>
    <w:p w14:paraId="3ECAAE09"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rPr>
      </w:pPr>
      <w:r w:rsidRPr="00F52884">
        <w:rPr>
          <w:rFonts w:ascii="Arial" w:eastAsia="Times New Roman" w:hAnsi="Arial" w:cs="Arial"/>
          <w:szCs w:val="23"/>
          <w:lang w:val="fr-CA"/>
        </w:rPr>
        <w:t>Ombudsman du Yukon;</w:t>
      </w:r>
    </w:p>
    <w:p w14:paraId="008357E1" w14:textId="77777777" w:rsidR="00AF5F98" w:rsidRPr="00F52884" w:rsidRDefault="00AF5F98" w:rsidP="00F52884">
      <w:pPr>
        <w:spacing w:before="60" w:after="60"/>
        <w:ind w:left="709" w:hanging="720"/>
        <w:rPr>
          <w:rFonts w:ascii="Arial" w:eastAsia="Times New Roman" w:hAnsi="Arial" w:cs="Arial"/>
          <w:szCs w:val="23"/>
        </w:rPr>
      </w:pPr>
    </w:p>
    <w:p w14:paraId="49CF0697" w14:textId="77777777" w:rsidR="00AF5F98" w:rsidRPr="00F52884" w:rsidRDefault="00AF5F98" w:rsidP="00F52884">
      <w:pPr>
        <w:numPr>
          <w:ilvl w:val="0"/>
          <w:numId w:val="158"/>
        </w:numPr>
        <w:spacing w:before="60" w:after="60"/>
        <w:ind w:left="709" w:hanging="709"/>
        <w:contextualSpacing/>
        <w:rPr>
          <w:rFonts w:ascii="Arial" w:eastAsia="Times New Roman" w:hAnsi="Arial" w:cs="Arial"/>
          <w:szCs w:val="23"/>
          <w:lang w:val="fr-FR"/>
        </w:rPr>
      </w:pPr>
      <w:r w:rsidRPr="00F52884">
        <w:rPr>
          <w:rFonts w:ascii="Arial" w:eastAsia="Times New Roman" w:hAnsi="Arial" w:cs="Arial"/>
          <w:szCs w:val="23"/>
          <w:lang w:val="fr-CA"/>
        </w:rPr>
        <w:t>Défenseur de l’enfance et de la jeunesse du Yukon.</w:t>
      </w:r>
    </w:p>
    <w:p w14:paraId="263C9D02" w14:textId="77777777" w:rsidR="00AF5F98" w:rsidRPr="00F52884" w:rsidRDefault="00AF5F98" w:rsidP="00F52884">
      <w:pPr>
        <w:spacing w:before="60" w:after="60"/>
        <w:ind w:left="709"/>
        <w:rPr>
          <w:rFonts w:ascii="Arial" w:eastAsia="Times New Roman" w:hAnsi="Arial" w:cs="Arial"/>
          <w:szCs w:val="23"/>
          <w:lang w:val="fr-FR"/>
        </w:rPr>
      </w:pPr>
    </w:p>
    <w:p w14:paraId="7E6025F9" w14:textId="77777777" w:rsidR="00AF5F98" w:rsidRPr="00F52884" w:rsidRDefault="00AF5F98" w:rsidP="00AF5F98">
      <w:pPr>
        <w:ind w:left="720" w:hanging="720"/>
        <w:rPr>
          <w:rFonts w:ascii="Arial" w:eastAsia="Arial" w:hAnsi="Arial" w:cs="Arial"/>
          <w:b/>
          <w:szCs w:val="23"/>
        </w:rPr>
      </w:pPr>
      <w:r w:rsidRPr="00F52884">
        <w:rPr>
          <w:rFonts w:ascii="Arial" w:eastAsia="Arial" w:hAnsi="Arial" w:cs="Arial"/>
          <w:b/>
          <w:bCs/>
          <w:szCs w:val="23"/>
          <w:lang w:val="fr-CA"/>
        </w:rPr>
        <w:t xml:space="preserve">B. </w:t>
      </w:r>
      <w:r w:rsidRPr="00F52884">
        <w:rPr>
          <w:rFonts w:ascii="Arial" w:eastAsia="Arial" w:hAnsi="Arial" w:cs="Arial"/>
          <w:szCs w:val="23"/>
          <w:lang w:val="fr-CA"/>
        </w:rPr>
        <w:tab/>
      </w:r>
      <w:r w:rsidRPr="00F52884">
        <w:rPr>
          <w:rFonts w:ascii="Arial" w:eastAsia="Arial" w:hAnsi="Arial" w:cs="Arial"/>
          <w:b/>
          <w:bCs/>
          <w:szCs w:val="23"/>
          <w:lang w:val="fr-CA"/>
        </w:rPr>
        <w:t>Exceptions et remarques</w:t>
      </w:r>
    </w:p>
    <w:p w14:paraId="499DAFE7" w14:textId="77777777" w:rsidR="00AF5F98" w:rsidRPr="00F52884" w:rsidRDefault="00AF5F98" w:rsidP="00AF5F98">
      <w:pPr>
        <w:rPr>
          <w:rFonts w:ascii="Arial" w:eastAsia="Arial" w:hAnsi="Arial" w:cs="Arial"/>
          <w:szCs w:val="23"/>
        </w:rPr>
      </w:pPr>
    </w:p>
    <w:p w14:paraId="417200DE" w14:textId="27B21D67" w:rsidR="00AF5F98" w:rsidRPr="00F52884" w:rsidRDefault="00AF5F98" w:rsidP="00AF5F98">
      <w:pPr>
        <w:numPr>
          <w:ilvl w:val="0"/>
          <w:numId w:val="217"/>
        </w:numPr>
        <w:spacing w:before="60" w:after="60"/>
        <w:ind w:hanging="720"/>
        <w:contextualSpacing/>
        <w:rPr>
          <w:rFonts w:ascii="Arial" w:eastAsia="Calibri" w:hAnsi="Arial" w:cs="Arial"/>
          <w:szCs w:val="23"/>
          <w:lang w:val="fr-FR"/>
        </w:rPr>
      </w:pPr>
      <w:r w:rsidRPr="00F52884">
        <w:rPr>
          <w:rFonts w:ascii="Arial" w:eastAsia="Calibri" w:hAnsi="Arial" w:cs="Arial"/>
          <w:szCs w:val="23"/>
          <w:lang w:val="fr-CA"/>
        </w:rPr>
        <w:t xml:space="preserve">Le présent chapitre ne comprend pas les marchés assujettis à la Yukon Business </w:t>
      </w:r>
      <w:proofErr w:type="spellStart"/>
      <w:r w:rsidRPr="00F52884">
        <w:rPr>
          <w:rFonts w:ascii="Arial" w:eastAsia="Calibri" w:hAnsi="Arial" w:cs="Arial"/>
          <w:szCs w:val="23"/>
          <w:lang w:val="fr-CA"/>
        </w:rPr>
        <w:t>Incentive</w:t>
      </w:r>
      <w:proofErr w:type="spellEnd"/>
      <w:r w:rsidRPr="00F52884">
        <w:rPr>
          <w:rFonts w:ascii="Arial" w:eastAsia="Calibri" w:hAnsi="Arial" w:cs="Arial"/>
          <w:szCs w:val="23"/>
          <w:lang w:val="fr-CA"/>
        </w:rPr>
        <w:t xml:space="preserve"> Policy ou à toute politique ultérieure ayant des objectifs semblables. Concernant les produits et les services, les objectifs de la présente politique sont les suivants : maximiser les possibilités d’emploi pour les résidents du Yukon découlant de l’achat de produits et de services par le gouvernement; encourager l’utilisation de matériaux du Yukon et de produits fabriqués au Yukon dans les produits et les services fournis au gouvernement; et encourager la croissance du secteur manufacturier, entraînant une plus grande offre de produits et de services du Yukon à la population. Concernant les travaux de construction, les objectifs de la présente politique sont les suivants : maximiser les possibilités d’emploi pour les résidents du Yukon dans le cadre des travaux de construction du gouvernement; maximiser l’utilisation de matériaux du Yukon et de produits fabriqués au Yukon dans les travaux de construction du gouvernement; encourager l’utilisation d’apprentis du Yukon dans les travaux de construction du gouvernement; et en encourager l’emploi de jeunes du Yukon dans les travaux de construction du gouvernement.</w:t>
      </w:r>
    </w:p>
    <w:p w14:paraId="4D981738" w14:textId="77777777" w:rsidR="00AF5F98" w:rsidRPr="00F52884" w:rsidRDefault="00AF5F98" w:rsidP="00AF5F98">
      <w:pPr>
        <w:spacing w:before="60" w:after="60"/>
        <w:ind w:left="360"/>
        <w:rPr>
          <w:rFonts w:ascii="Arial" w:eastAsia="Arial" w:hAnsi="Arial" w:cs="Arial"/>
          <w:szCs w:val="23"/>
          <w:lang w:val="fr-FR"/>
        </w:rPr>
      </w:pPr>
    </w:p>
    <w:p w14:paraId="5EBF9FA0" w14:textId="36C2B71C" w:rsidR="00AF5F98" w:rsidRPr="00F52884" w:rsidRDefault="00AF5F98" w:rsidP="00AF5F98">
      <w:pPr>
        <w:numPr>
          <w:ilvl w:val="0"/>
          <w:numId w:val="217"/>
        </w:numPr>
        <w:spacing w:before="60" w:after="60"/>
        <w:ind w:hanging="720"/>
        <w:contextualSpacing/>
        <w:rPr>
          <w:rFonts w:ascii="Arial" w:eastAsia="Calibri" w:hAnsi="Arial" w:cs="Arial"/>
          <w:szCs w:val="23"/>
          <w:lang w:val="fr-FR"/>
        </w:rPr>
      </w:pPr>
      <w:r w:rsidRPr="00F52884">
        <w:rPr>
          <w:rFonts w:ascii="Arial" w:eastAsia="Arial" w:hAnsi="Arial" w:cs="Arial"/>
          <w:szCs w:val="23"/>
          <w:lang w:val="fr-CA"/>
        </w:rPr>
        <w:lastRenderedPageBreak/>
        <w:t xml:space="preserve">L’article 518.9 ne s’applique pas aux marchés du Yukon qui sont en-deçà des valeurs de seuil spécifiées dans l’AECG concernant les marchés en deçà des valeurs de seuil de l’AECG. Il est entendu que l’alinéa 9b) ne s’applique pas au Yukon seulement en ce qui concerne l’exception du Yukon en vertu de l’alinéa 9a). </w:t>
      </w:r>
    </w:p>
    <w:p w14:paraId="785BA69F" w14:textId="77777777" w:rsidR="00AF5F98" w:rsidRPr="00F52884" w:rsidRDefault="00AF5F98" w:rsidP="00AF5F98">
      <w:pPr>
        <w:spacing w:before="60" w:after="60"/>
        <w:rPr>
          <w:rFonts w:ascii="Arial" w:eastAsia="Calibri" w:hAnsi="Arial" w:cs="Arial"/>
          <w:szCs w:val="23"/>
          <w:lang w:val="fr-FR"/>
        </w:rPr>
      </w:pPr>
    </w:p>
    <w:p w14:paraId="6F14185F" w14:textId="66F772DA" w:rsidR="00AF5F98" w:rsidRPr="00F52884" w:rsidRDefault="00AF5F98" w:rsidP="00AF5F98">
      <w:pPr>
        <w:numPr>
          <w:ilvl w:val="0"/>
          <w:numId w:val="217"/>
        </w:numPr>
        <w:spacing w:before="60" w:after="60"/>
        <w:ind w:hanging="720"/>
        <w:contextualSpacing/>
        <w:rPr>
          <w:rFonts w:ascii="Arial" w:eastAsia="Calibri" w:hAnsi="Arial" w:cs="Arial"/>
          <w:szCs w:val="23"/>
          <w:lang w:val="fr-FR"/>
        </w:rPr>
      </w:pPr>
      <w:r w:rsidRPr="00F52884">
        <w:rPr>
          <w:rFonts w:ascii="Arial" w:eastAsia="Calibri" w:hAnsi="Arial" w:cs="Arial"/>
          <w:szCs w:val="23"/>
          <w:lang w:val="fr-CA"/>
        </w:rPr>
        <w:t xml:space="preserve">Le Yukon peut déroger au présent chapitre afin de promouvoir le développement économique régional, sans fournir de soutien indu aux activités de monopole. </w:t>
      </w:r>
    </w:p>
    <w:p w14:paraId="70F7E307" w14:textId="77777777" w:rsidR="00AF5F98" w:rsidRPr="00F52884" w:rsidRDefault="00AF5F98" w:rsidP="00AF5F98">
      <w:pPr>
        <w:autoSpaceDE w:val="0"/>
        <w:autoSpaceDN w:val="0"/>
        <w:adjustRightInd w:val="0"/>
        <w:ind w:left="720"/>
        <w:rPr>
          <w:rFonts w:ascii="Arial" w:eastAsia="Arial" w:hAnsi="Arial" w:cs="Arial"/>
          <w:szCs w:val="23"/>
          <w:lang w:val="fr-FR"/>
        </w:rPr>
      </w:pPr>
    </w:p>
    <w:p w14:paraId="70CD80BF" w14:textId="571A80A4" w:rsidR="00AF5F98" w:rsidRPr="00F52884" w:rsidRDefault="00AF5F98" w:rsidP="00AF5F98">
      <w:pPr>
        <w:numPr>
          <w:ilvl w:val="3"/>
          <w:numId w:val="226"/>
        </w:numPr>
        <w:autoSpaceDE w:val="0"/>
        <w:autoSpaceDN w:val="0"/>
        <w:adjustRightInd w:val="0"/>
        <w:ind w:left="1440" w:hanging="720"/>
        <w:rPr>
          <w:rFonts w:ascii="Arial" w:eastAsia="Arial" w:hAnsi="Arial" w:cs="Arial"/>
          <w:szCs w:val="23"/>
          <w:lang w:val="fr-FR"/>
        </w:rPr>
      </w:pPr>
      <w:r w:rsidRPr="00F52884">
        <w:rPr>
          <w:rFonts w:ascii="Arial" w:eastAsia="Arial" w:hAnsi="Arial" w:cs="Arial"/>
          <w:szCs w:val="23"/>
          <w:lang w:val="fr-CA"/>
        </w:rPr>
        <w:t xml:space="preserve">Un marché pouvant bénéficier d’une dérogation au titre du présent paragraphe doit remplir les conditions suivantes : </w:t>
      </w:r>
    </w:p>
    <w:p w14:paraId="16D10D4F" w14:textId="77777777" w:rsidR="00AF5F98" w:rsidRPr="00F52884" w:rsidRDefault="00AF5F98" w:rsidP="00AF5F98">
      <w:pPr>
        <w:autoSpaceDE w:val="0"/>
        <w:autoSpaceDN w:val="0"/>
        <w:adjustRightInd w:val="0"/>
        <w:ind w:left="1440"/>
        <w:rPr>
          <w:rFonts w:ascii="Arial" w:eastAsia="Arial" w:hAnsi="Arial" w:cs="Arial"/>
          <w:szCs w:val="23"/>
          <w:lang w:val="fr-FR"/>
        </w:rPr>
      </w:pPr>
    </w:p>
    <w:p w14:paraId="1520CCAE" w14:textId="7A996EE2" w:rsidR="00CA3048" w:rsidRPr="00F52884" w:rsidRDefault="00AF5F98" w:rsidP="00CA3048">
      <w:pPr>
        <w:pStyle w:val="ListParagraph"/>
        <w:numPr>
          <w:ilvl w:val="0"/>
          <w:numId w:val="424"/>
        </w:numPr>
        <w:autoSpaceDE w:val="0"/>
        <w:autoSpaceDN w:val="0"/>
        <w:adjustRightInd w:val="0"/>
        <w:ind w:hanging="540"/>
        <w:rPr>
          <w:rFonts w:ascii="Arial" w:eastAsia="Arial" w:hAnsi="Arial" w:cs="Arial"/>
          <w:szCs w:val="23"/>
          <w:lang w:val="fr-FR"/>
        </w:rPr>
      </w:pPr>
      <w:proofErr w:type="gramStart"/>
      <w:r w:rsidRPr="00F52884">
        <w:rPr>
          <w:rFonts w:ascii="Arial" w:eastAsia="Arial" w:hAnsi="Arial" w:cs="Arial"/>
          <w:szCs w:val="23"/>
          <w:lang w:val="fr-CA"/>
        </w:rPr>
        <w:t>avoir</w:t>
      </w:r>
      <w:proofErr w:type="gramEnd"/>
      <w:r w:rsidRPr="00F52884">
        <w:rPr>
          <w:rFonts w:ascii="Arial" w:eastAsia="Arial" w:hAnsi="Arial" w:cs="Arial"/>
          <w:szCs w:val="23"/>
          <w:lang w:val="fr-CA"/>
        </w:rPr>
        <w:t xml:space="preserve"> une valeur estimative totale ne dépassant pas un million de dollars; </w:t>
      </w:r>
    </w:p>
    <w:p w14:paraId="369F1B5C" w14:textId="77777777" w:rsidR="00CA3048" w:rsidRPr="00F52884" w:rsidRDefault="00CA3048" w:rsidP="00CA3048">
      <w:pPr>
        <w:pStyle w:val="ListParagraph"/>
        <w:autoSpaceDE w:val="0"/>
        <w:autoSpaceDN w:val="0"/>
        <w:adjustRightInd w:val="0"/>
        <w:ind w:left="2160" w:hanging="540"/>
        <w:rPr>
          <w:rFonts w:ascii="Arial" w:eastAsia="Arial" w:hAnsi="Arial" w:cs="Arial"/>
          <w:szCs w:val="23"/>
          <w:lang w:val="fr-FR"/>
        </w:rPr>
      </w:pPr>
    </w:p>
    <w:p w14:paraId="0FEFCA1E" w14:textId="22543FD0" w:rsidR="00AF5F98" w:rsidRPr="00F52884" w:rsidRDefault="00AF5F98" w:rsidP="00CA3048">
      <w:pPr>
        <w:pStyle w:val="ListParagraph"/>
        <w:numPr>
          <w:ilvl w:val="0"/>
          <w:numId w:val="424"/>
        </w:numPr>
        <w:autoSpaceDE w:val="0"/>
        <w:autoSpaceDN w:val="0"/>
        <w:adjustRightInd w:val="0"/>
        <w:ind w:hanging="540"/>
        <w:rPr>
          <w:rFonts w:ascii="Arial" w:eastAsia="Arial" w:hAnsi="Arial" w:cs="Arial"/>
          <w:szCs w:val="23"/>
          <w:lang w:val="fr-FR"/>
        </w:rPr>
      </w:pPr>
      <w:proofErr w:type="gramStart"/>
      <w:r w:rsidRPr="00F52884">
        <w:rPr>
          <w:rFonts w:ascii="Arial" w:eastAsia="Arial" w:hAnsi="Arial" w:cs="Arial"/>
          <w:szCs w:val="23"/>
          <w:lang w:val="fr-CA"/>
        </w:rPr>
        <w:t>soutenir</w:t>
      </w:r>
      <w:proofErr w:type="gramEnd"/>
      <w:r w:rsidRPr="00F52884">
        <w:rPr>
          <w:rFonts w:ascii="Arial" w:eastAsia="Arial" w:hAnsi="Arial" w:cs="Arial"/>
          <w:szCs w:val="23"/>
          <w:lang w:val="fr-CA"/>
        </w:rPr>
        <w:t xml:space="preserve"> les petites entreprises ou les possibilités d’emploi.</w:t>
      </w:r>
    </w:p>
    <w:p w14:paraId="7D29A3E2" w14:textId="77777777" w:rsidR="00AF5F98" w:rsidRPr="00F52884" w:rsidRDefault="00AF5F98" w:rsidP="00AF5F98">
      <w:pPr>
        <w:autoSpaceDE w:val="0"/>
        <w:autoSpaceDN w:val="0"/>
        <w:adjustRightInd w:val="0"/>
        <w:ind w:left="720"/>
        <w:rPr>
          <w:rFonts w:ascii="Arial" w:eastAsia="Arial" w:hAnsi="Arial" w:cs="Arial"/>
          <w:szCs w:val="23"/>
          <w:lang w:val="fr-FR"/>
        </w:rPr>
      </w:pPr>
    </w:p>
    <w:p w14:paraId="4180FDC7" w14:textId="351224FD" w:rsidR="00AF5F98" w:rsidRPr="00F52884" w:rsidRDefault="00AF5F98" w:rsidP="00AF5F98">
      <w:pPr>
        <w:pStyle w:val="ListParagraph"/>
        <w:numPr>
          <w:ilvl w:val="3"/>
          <w:numId w:val="226"/>
        </w:numPr>
        <w:autoSpaceDE w:val="0"/>
        <w:autoSpaceDN w:val="0"/>
        <w:adjustRightInd w:val="0"/>
        <w:ind w:left="1418" w:hanging="709"/>
        <w:rPr>
          <w:rFonts w:ascii="Arial" w:eastAsia="Arial" w:hAnsi="Arial" w:cs="Arial"/>
          <w:szCs w:val="23"/>
          <w:lang w:val="fr-FR"/>
        </w:rPr>
      </w:pPr>
      <w:r w:rsidRPr="00F52884">
        <w:rPr>
          <w:rFonts w:ascii="Arial" w:eastAsia="Arial" w:hAnsi="Arial" w:cs="Arial"/>
          <w:szCs w:val="23"/>
          <w:lang w:val="fr-CA"/>
        </w:rPr>
        <w:t>Si le marché remplit l’exigence du sous-alinéa </w:t>
      </w:r>
      <w:proofErr w:type="gramStart"/>
      <w:r w:rsidRPr="00F52884">
        <w:rPr>
          <w:rFonts w:ascii="Arial" w:eastAsia="Arial" w:hAnsi="Arial" w:cs="Arial"/>
          <w:szCs w:val="23"/>
          <w:lang w:val="fr-CA"/>
        </w:rPr>
        <w:t>a)(</w:t>
      </w:r>
      <w:proofErr w:type="gramEnd"/>
      <w:r w:rsidRPr="00F52884">
        <w:rPr>
          <w:rFonts w:ascii="Arial" w:eastAsia="Arial" w:hAnsi="Arial" w:cs="Arial"/>
          <w:szCs w:val="23"/>
          <w:lang w:val="fr-CA"/>
        </w:rPr>
        <w:t xml:space="preserve">ii) mais que sa valeur totale est supérieure à un million de dollars, la valeur de la portion du marché qui serait touchée par la dérogation ne doit pas dépasser un million de dollars. </w:t>
      </w:r>
    </w:p>
    <w:p w14:paraId="0C948BB2" w14:textId="77777777" w:rsidR="00AF5F98" w:rsidRPr="00F52884" w:rsidRDefault="00AF5F98" w:rsidP="00F52884">
      <w:pPr>
        <w:autoSpaceDE w:val="0"/>
        <w:autoSpaceDN w:val="0"/>
        <w:adjustRightInd w:val="0"/>
        <w:ind w:left="1418" w:hanging="720"/>
        <w:rPr>
          <w:rFonts w:ascii="Arial" w:eastAsia="Arial" w:hAnsi="Arial" w:cs="Arial"/>
          <w:szCs w:val="23"/>
          <w:lang w:val="fr-FR"/>
        </w:rPr>
      </w:pPr>
    </w:p>
    <w:p w14:paraId="39BFDB52" w14:textId="06A001CF" w:rsidR="00AF5F98" w:rsidRPr="00F52884" w:rsidRDefault="00AF5F98" w:rsidP="00F52884">
      <w:pPr>
        <w:numPr>
          <w:ilvl w:val="3"/>
          <w:numId w:val="226"/>
        </w:numPr>
        <w:autoSpaceDE w:val="0"/>
        <w:autoSpaceDN w:val="0"/>
        <w:adjustRightInd w:val="0"/>
        <w:ind w:left="1418" w:hanging="709"/>
        <w:rPr>
          <w:rFonts w:ascii="Arial" w:eastAsia="Arial" w:hAnsi="Arial" w:cs="Arial"/>
          <w:szCs w:val="23"/>
          <w:lang w:val="fr-FR"/>
        </w:rPr>
      </w:pPr>
      <w:r w:rsidRPr="00F52884">
        <w:rPr>
          <w:rFonts w:ascii="Arial" w:eastAsia="Arial" w:hAnsi="Arial" w:cs="Arial"/>
          <w:szCs w:val="23"/>
          <w:lang w:val="fr-CA"/>
        </w:rPr>
        <w:t xml:space="preserve">Le Yukon ne peut déroger aux dispositions relatives aux </w:t>
      </w:r>
      <w:proofErr w:type="gramStart"/>
      <w:r w:rsidRPr="00F52884">
        <w:rPr>
          <w:rFonts w:ascii="Arial" w:eastAsia="Arial" w:hAnsi="Arial" w:cs="Arial"/>
          <w:szCs w:val="23"/>
          <w:lang w:val="fr-CA"/>
        </w:rPr>
        <w:t>marchés  du</w:t>
      </w:r>
      <w:proofErr w:type="gramEnd"/>
      <w:r w:rsidRPr="00F52884">
        <w:rPr>
          <w:rFonts w:ascii="Arial" w:eastAsia="Arial" w:hAnsi="Arial" w:cs="Arial"/>
          <w:szCs w:val="23"/>
          <w:lang w:val="fr-CA"/>
        </w:rPr>
        <w:t xml:space="preserve"> présent chapitre plus de 10 fois par année. </w:t>
      </w:r>
    </w:p>
    <w:p w14:paraId="104DA059" w14:textId="77777777" w:rsidR="00AF5F98" w:rsidRPr="00F52884" w:rsidRDefault="00AF5F98" w:rsidP="00AF5F98">
      <w:pPr>
        <w:autoSpaceDE w:val="0"/>
        <w:autoSpaceDN w:val="0"/>
        <w:adjustRightInd w:val="0"/>
        <w:ind w:left="1418"/>
        <w:rPr>
          <w:rFonts w:ascii="Arial" w:eastAsia="Arial" w:hAnsi="Arial" w:cs="Arial"/>
          <w:szCs w:val="23"/>
          <w:lang w:val="fr-FR"/>
        </w:rPr>
      </w:pPr>
    </w:p>
    <w:p w14:paraId="0D0D3BB8" w14:textId="6FF0C3D3" w:rsidR="00AF5F98" w:rsidRPr="00F52884" w:rsidRDefault="00AF5F98" w:rsidP="00AF5F98">
      <w:pPr>
        <w:numPr>
          <w:ilvl w:val="3"/>
          <w:numId w:val="226"/>
        </w:numPr>
        <w:autoSpaceDE w:val="0"/>
        <w:autoSpaceDN w:val="0"/>
        <w:adjustRightInd w:val="0"/>
        <w:ind w:left="1418" w:hanging="709"/>
        <w:rPr>
          <w:rFonts w:ascii="Arial" w:eastAsia="Arial" w:hAnsi="Arial" w:cs="Arial"/>
          <w:szCs w:val="23"/>
          <w:lang w:val="fr-FR"/>
        </w:rPr>
      </w:pPr>
      <w:r w:rsidRPr="00F52884">
        <w:rPr>
          <w:rFonts w:ascii="Arial" w:eastAsia="Arial" w:hAnsi="Arial" w:cs="Arial"/>
          <w:szCs w:val="23"/>
          <w:lang w:val="fr-CA"/>
        </w:rPr>
        <w:t xml:space="preserve">Un marché pouvant bénéficier d’une dérogation doit être notifié au moins 30 jours avant la signature d’un marché et doit être accompagné de ce qui suit : </w:t>
      </w:r>
    </w:p>
    <w:p w14:paraId="4FB8BCF6" w14:textId="77777777" w:rsidR="00AF5F98" w:rsidRPr="00F52884" w:rsidRDefault="00AF5F98" w:rsidP="00AF5F98">
      <w:pPr>
        <w:autoSpaceDE w:val="0"/>
        <w:autoSpaceDN w:val="0"/>
        <w:adjustRightInd w:val="0"/>
        <w:spacing w:after="21"/>
        <w:ind w:left="1440"/>
        <w:rPr>
          <w:rFonts w:ascii="Arial" w:eastAsia="Arial" w:hAnsi="Arial" w:cs="Arial"/>
          <w:szCs w:val="23"/>
          <w:lang w:val="fr-FR"/>
        </w:rPr>
      </w:pPr>
    </w:p>
    <w:p w14:paraId="50CD3759" w14:textId="390E18CB" w:rsidR="00CA3048" w:rsidRPr="00F52884" w:rsidRDefault="00AF5F98" w:rsidP="00CA3048">
      <w:pPr>
        <w:pStyle w:val="ListParagraph"/>
        <w:numPr>
          <w:ilvl w:val="0"/>
          <w:numId w:val="425"/>
        </w:numPr>
        <w:autoSpaceDE w:val="0"/>
        <w:autoSpaceDN w:val="0"/>
        <w:adjustRightInd w:val="0"/>
        <w:spacing w:after="21"/>
        <w:ind w:hanging="450"/>
        <w:rPr>
          <w:rFonts w:ascii="Arial" w:eastAsia="Arial" w:hAnsi="Arial" w:cs="Arial"/>
          <w:szCs w:val="23"/>
          <w:lang w:val="fr-FR"/>
        </w:rPr>
      </w:pPr>
      <w:proofErr w:type="gramStart"/>
      <w:r w:rsidRPr="00F52884">
        <w:rPr>
          <w:rFonts w:ascii="Arial" w:eastAsia="Arial" w:hAnsi="Arial" w:cs="Arial"/>
          <w:szCs w:val="23"/>
          <w:lang w:val="fr-CA"/>
        </w:rPr>
        <w:t>des</w:t>
      </w:r>
      <w:proofErr w:type="gramEnd"/>
      <w:r w:rsidRPr="00F52884">
        <w:rPr>
          <w:rFonts w:ascii="Arial" w:eastAsia="Arial" w:hAnsi="Arial" w:cs="Arial"/>
          <w:szCs w:val="23"/>
          <w:lang w:val="fr-CA"/>
        </w:rPr>
        <w:t xml:space="preserve"> précisions sur les circonstances justifiant la dérogation au titre de la présente remarque; </w:t>
      </w:r>
    </w:p>
    <w:p w14:paraId="327DA3DC" w14:textId="77777777" w:rsidR="00CA3048" w:rsidRPr="00F52884" w:rsidRDefault="00CA3048" w:rsidP="00CA3048">
      <w:pPr>
        <w:pStyle w:val="ListParagraph"/>
        <w:autoSpaceDE w:val="0"/>
        <w:autoSpaceDN w:val="0"/>
        <w:adjustRightInd w:val="0"/>
        <w:spacing w:after="21"/>
        <w:ind w:left="2160" w:hanging="450"/>
        <w:rPr>
          <w:rFonts w:ascii="Arial" w:eastAsia="Arial" w:hAnsi="Arial" w:cs="Arial"/>
          <w:szCs w:val="23"/>
          <w:lang w:val="fr-FR"/>
        </w:rPr>
      </w:pPr>
    </w:p>
    <w:p w14:paraId="7DB021C3" w14:textId="010E5311" w:rsidR="00CA3048" w:rsidRPr="00F52884" w:rsidRDefault="00AF5F98" w:rsidP="00CA3048">
      <w:pPr>
        <w:pStyle w:val="ListParagraph"/>
        <w:numPr>
          <w:ilvl w:val="0"/>
          <w:numId w:val="425"/>
        </w:numPr>
        <w:autoSpaceDE w:val="0"/>
        <w:autoSpaceDN w:val="0"/>
        <w:adjustRightInd w:val="0"/>
        <w:spacing w:after="21"/>
        <w:ind w:hanging="450"/>
        <w:rPr>
          <w:rFonts w:ascii="Arial" w:eastAsia="Arial" w:hAnsi="Arial" w:cs="Arial"/>
          <w:szCs w:val="23"/>
          <w:lang w:val="fr-FR"/>
        </w:rPr>
      </w:pPr>
      <w:proofErr w:type="gramStart"/>
      <w:r w:rsidRPr="00F52884">
        <w:rPr>
          <w:rFonts w:ascii="Arial" w:eastAsia="Arial" w:hAnsi="Arial" w:cs="Arial"/>
          <w:szCs w:val="23"/>
          <w:lang w:val="fr-CA"/>
        </w:rPr>
        <w:t>les</w:t>
      </w:r>
      <w:proofErr w:type="gramEnd"/>
      <w:r w:rsidRPr="00F52884">
        <w:rPr>
          <w:rFonts w:ascii="Arial" w:eastAsia="Arial" w:hAnsi="Arial" w:cs="Arial"/>
          <w:szCs w:val="23"/>
          <w:lang w:val="fr-CA"/>
        </w:rPr>
        <w:t xml:space="preserve"> dénominations sociales des entreprises concernées et/ou les régions où le marché est censé donner lieu à des avantages économiques régionaux; </w:t>
      </w:r>
    </w:p>
    <w:p w14:paraId="2BAD58CF" w14:textId="77777777" w:rsidR="00CA3048" w:rsidRPr="00F52884" w:rsidRDefault="00CA3048" w:rsidP="00CA3048">
      <w:pPr>
        <w:pStyle w:val="ListParagraph"/>
        <w:ind w:hanging="450"/>
        <w:rPr>
          <w:rFonts w:ascii="Arial" w:eastAsia="Arial" w:hAnsi="Arial" w:cs="Arial"/>
          <w:szCs w:val="23"/>
          <w:lang w:val="fr-CA"/>
        </w:rPr>
      </w:pPr>
    </w:p>
    <w:p w14:paraId="27451C45" w14:textId="34A4130A" w:rsidR="00AF5F98" w:rsidRPr="00F52884" w:rsidRDefault="00AF5F98" w:rsidP="00CA3048">
      <w:pPr>
        <w:pStyle w:val="ListParagraph"/>
        <w:numPr>
          <w:ilvl w:val="0"/>
          <w:numId w:val="425"/>
        </w:numPr>
        <w:autoSpaceDE w:val="0"/>
        <w:autoSpaceDN w:val="0"/>
        <w:adjustRightInd w:val="0"/>
        <w:spacing w:after="21"/>
        <w:ind w:hanging="450"/>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justification de la conformité du marché aux exigences de la présente exception. </w:t>
      </w:r>
    </w:p>
    <w:p w14:paraId="215A3D37" w14:textId="77777777" w:rsidR="00AF5F98" w:rsidRPr="00F52884" w:rsidRDefault="00AF5F98" w:rsidP="00AF5F98">
      <w:pPr>
        <w:autoSpaceDE w:val="0"/>
        <w:autoSpaceDN w:val="0"/>
        <w:adjustRightInd w:val="0"/>
        <w:ind w:left="1440"/>
        <w:rPr>
          <w:rFonts w:ascii="Arial" w:eastAsia="Arial" w:hAnsi="Arial" w:cs="Arial"/>
          <w:szCs w:val="23"/>
          <w:lang w:val="fr-FR"/>
        </w:rPr>
      </w:pPr>
    </w:p>
    <w:p w14:paraId="0E1EA9F8" w14:textId="77777777" w:rsidR="00AF5F98" w:rsidRPr="00F52884" w:rsidRDefault="00AF5F98" w:rsidP="00AF5F98">
      <w:pPr>
        <w:rPr>
          <w:rFonts w:ascii="Arial" w:eastAsia="Times New Roman" w:hAnsi="Arial" w:cs="Arial"/>
          <w:b/>
          <w:bCs/>
          <w:szCs w:val="23"/>
          <w:lang w:val="fr-FR"/>
        </w:rPr>
      </w:pPr>
      <w:r w:rsidRPr="00F52884">
        <w:rPr>
          <w:rFonts w:ascii="Arial" w:eastAsia="Arial" w:hAnsi="Arial" w:cs="Arial"/>
          <w:szCs w:val="23"/>
          <w:lang w:val="fr-CA"/>
        </w:rPr>
        <w:br w:type="page"/>
      </w:r>
    </w:p>
    <w:p w14:paraId="496B3DD9" w14:textId="77777777" w:rsidR="00AF5F98" w:rsidRPr="00F52884" w:rsidRDefault="00AF5F98" w:rsidP="00F52884">
      <w:pPr>
        <w:pStyle w:val="Heading3"/>
        <w:jc w:val="center"/>
        <w:rPr>
          <w:sz w:val="24"/>
          <w:szCs w:val="24"/>
          <w:lang w:val="fr-FR"/>
        </w:rPr>
      </w:pPr>
      <w:bookmarkStart w:id="58" w:name="_Toc476566319"/>
      <w:bookmarkStart w:id="59" w:name="_Toc156311772"/>
      <w:r w:rsidRPr="00F52884">
        <w:rPr>
          <w:sz w:val="24"/>
          <w:szCs w:val="24"/>
          <w:lang w:val="fr-CA"/>
        </w:rPr>
        <w:lastRenderedPageBreak/>
        <w:t>Liste des Territoires du Nord-Ouest</w:t>
      </w:r>
      <w:bookmarkEnd w:id="58"/>
      <w:bookmarkEnd w:id="59"/>
    </w:p>
    <w:p w14:paraId="323094DC" w14:textId="77777777" w:rsidR="00AF5F98" w:rsidRPr="00F52884" w:rsidRDefault="00AF5F98" w:rsidP="00AF5F98">
      <w:pPr>
        <w:jc w:val="center"/>
        <w:rPr>
          <w:rFonts w:ascii="Arial" w:eastAsia="Times New Roman" w:hAnsi="Arial" w:cs="Arial"/>
          <w:b/>
          <w:szCs w:val="23"/>
          <w:lang w:val="fr-FR"/>
        </w:rPr>
      </w:pPr>
    </w:p>
    <w:p w14:paraId="0CCB8C66" w14:textId="12EDC8B6" w:rsidR="00AF5F98" w:rsidRPr="00F52884" w:rsidRDefault="00AF5F98" w:rsidP="00AF5F98">
      <w:pPr>
        <w:jc w:val="center"/>
        <w:rPr>
          <w:rFonts w:ascii="Arial" w:eastAsia="Times New Roman" w:hAnsi="Arial" w:cs="Arial"/>
          <w:b/>
          <w:szCs w:val="23"/>
          <w:lang w:val="fr-FR"/>
        </w:rPr>
      </w:pPr>
      <w:r w:rsidRPr="00F52884">
        <w:rPr>
          <w:rFonts w:ascii="Arial" w:eastAsia="Times New Roman" w:hAnsi="Arial" w:cs="Arial"/>
          <w:b/>
          <w:bCs/>
          <w:szCs w:val="23"/>
          <w:lang w:val="fr-CA"/>
        </w:rPr>
        <w:t>Marchés publics – Exceptions</w:t>
      </w:r>
    </w:p>
    <w:p w14:paraId="77D5DBAD" w14:textId="77777777" w:rsidR="00AF5F98" w:rsidRPr="00F52884" w:rsidRDefault="00AF5F98" w:rsidP="00AF5F98">
      <w:pPr>
        <w:rPr>
          <w:rFonts w:ascii="Arial" w:eastAsia="Times New Roman" w:hAnsi="Arial" w:cs="Arial"/>
          <w:szCs w:val="23"/>
          <w:u w:val="single"/>
          <w:lang w:val="fr-FR"/>
        </w:rPr>
      </w:pPr>
    </w:p>
    <w:p w14:paraId="625965A5" w14:textId="7FB65AA5"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En ce qui concerne les Territoires du Nord-Ouest, le présent chapitre ne couvre pas ce qui suit :</w:t>
      </w:r>
    </w:p>
    <w:p w14:paraId="1A9D5711" w14:textId="77777777" w:rsidR="00AF5F98" w:rsidRPr="00F52884" w:rsidRDefault="00AF5F98" w:rsidP="00AF5F98">
      <w:pPr>
        <w:rPr>
          <w:rFonts w:ascii="Arial" w:eastAsia="Times New Roman" w:hAnsi="Arial" w:cs="Arial"/>
          <w:szCs w:val="23"/>
          <w:u w:val="single"/>
          <w:lang w:val="fr-FR"/>
        </w:rPr>
      </w:pPr>
    </w:p>
    <w:p w14:paraId="2121DEC6" w14:textId="77777777" w:rsidR="00AF5F98" w:rsidRPr="00F52884" w:rsidRDefault="00AF5F98" w:rsidP="00AF5F98">
      <w:pPr>
        <w:numPr>
          <w:ilvl w:val="0"/>
          <w:numId w:val="215"/>
        </w:numPr>
        <w:ind w:hanging="720"/>
        <w:contextualSpacing/>
        <w:rPr>
          <w:rFonts w:ascii="Arial" w:eastAsia="Times New Roman" w:hAnsi="Arial" w:cs="Arial"/>
          <w:b/>
          <w:szCs w:val="23"/>
        </w:rPr>
      </w:pPr>
      <w:r w:rsidRPr="00F52884">
        <w:rPr>
          <w:rFonts w:ascii="Arial" w:eastAsia="Times New Roman" w:hAnsi="Arial" w:cs="Arial"/>
          <w:b/>
          <w:bCs/>
          <w:szCs w:val="23"/>
          <w:lang w:val="fr-CA"/>
        </w:rPr>
        <w:t>Entités exclues</w:t>
      </w:r>
    </w:p>
    <w:p w14:paraId="2B6C233A" w14:textId="77777777" w:rsidR="00AF5F98" w:rsidRPr="00F52884" w:rsidRDefault="00AF5F98" w:rsidP="00AF5F98">
      <w:pPr>
        <w:rPr>
          <w:rFonts w:ascii="Arial" w:eastAsia="Arial" w:hAnsi="Arial" w:cs="Arial"/>
          <w:szCs w:val="23"/>
        </w:rPr>
      </w:pPr>
    </w:p>
    <w:p w14:paraId="6E9044FB" w14:textId="11C05F8F" w:rsidR="00AF5F98" w:rsidRPr="00F52884" w:rsidRDefault="00AF5F98" w:rsidP="00AF5F98">
      <w:pPr>
        <w:rPr>
          <w:rFonts w:ascii="Arial" w:eastAsia="Times New Roman" w:hAnsi="Arial" w:cs="Arial"/>
          <w:szCs w:val="23"/>
          <w:lang w:val="fr-FR"/>
        </w:rPr>
      </w:pPr>
      <w:r w:rsidRPr="00F52884">
        <w:rPr>
          <w:rFonts w:ascii="Arial" w:eastAsia="Arial" w:hAnsi="Arial" w:cs="Arial"/>
          <w:szCs w:val="23"/>
          <w:lang w:val="fr-CA"/>
        </w:rPr>
        <w:t>Les entités suivantes ne sont pas couvertes par le présent chapitre :</w:t>
      </w:r>
    </w:p>
    <w:p w14:paraId="2FB33404" w14:textId="77777777" w:rsidR="00AF5F98" w:rsidRPr="00F52884" w:rsidRDefault="00AF5F98" w:rsidP="00AF5F98">
      <w:pPr>
        <w:rPr>
          <w:rFonts w:ascii="Arial" w:eastAsia="Calibri" w:hAnsi="Arial" w:cs="Arial"/>
          <w:szCs w:val="23"/>
          <w:lang w:val="fr-FR"/>
        </w:rPr>
      </w:pPr>
    </w:p>
    <w:p w14:paraId="08DF4769" w14:textId="77777777" w:rsidR="00AF5F98" w:rsidRPr="00F52884" w:rsidRDefault="00AF5F98" w:rsidP="00AF5F98">
      <w:pPr>
        <w:numPr>
          <w:ilvl w:val="0"/>
          <w:numId w:val="216"/>
        </w:numPr>
        <w:ind w:hanging="720"/>
        <w:contextualSpacing/>
        <w:rPr>
          <w:rFonts w:ascii="Arial" w:eastAsia="Calibri" w:hAnsi="Arial" w:cs="Arial"/>
          <w:szCs w:val="23"/>
        </w:rPr>
      </w:pPr>
      <w:r w:rsidRPr="00F52884">
        <w:rPr>
          <w:rFonts w:ascii="Arial" w:eastAsia="Arial" w:hAnsi="Arial" w:cs="Arial"/>
          <w:szCs w:val="23"/>
          <w:lang w:val="fr-CA"/>
        </w:rPr>
        <w:t xml:space="preserve">L’Assemblée législative. </w:t>
      </w:r>
    </w:p>
    <w:p w14:paraId="78C34555" w14:textId="77777777" w:rsidR="00AF5F98" w:rsidRPr="00F52884" w:rsidRDefault="00AF5F98" w:rsidP="00AF5F98">
      <w:pPr>
        <w:ind w:left="720"/>
        <w:contextualSpacing/>
        <w:rPr>
          <w:rFonts w:ascii="Arial" w:eastAsia="Calibri" w:hAnsi="Arial" w:cs="Arial"/>
          <w:szCs w:val="23"/>
        </w:rPr>
      </w:pPr>
    </w:p>
    <w:p w14:paraId="7647C4F0" w14:textId="6D7CD0D0" w:rsidR="00AF5F98" w:rsidRPr="00F52884" w:rsidRDefault="00AF5F98" w:rsidP="00AF5F98">
      <w:pPr>
        <w:numPr>
          <w:ilvl w:val="0"/>
          <w:numId w:val="216"/>
        </w:numPr>
        <w:ind w:hanging="720"/>
        <w:contextualSpacing/>
        <w:rPr>
          <w:rFonts w:ascii="Arial" w:eastAsia="Calibri" w:hAnsi="Arial" w:cs="Arial"/>
          <w:szCs w:val="23"/>
          <w:lang w:val="fr-FR"/>
        </w:rPr>
      </w:pPr>
      <w:r w:rsidRPr="00F52884">
        <w:rPr>
          <w:rFonts w:ascii="Arial" w:eastAsia="Calibri" w:hAnsi="Arial" w:cs="Arial"/>
          <w:szCs w:val="23"/>
          <w:lang w:val="fr-CA"/>
        </w:rPr>
        <w:t>Toutes les autres entités contractantes décrites à l’article 504.3 sont couvertes, selon les valeurs de seuil révisées suivants (et sous réserve de l’article 504.4) :</w:t>
      </w:r>
    </w:p>
    <w:p w14:paraId="3A5B1D27" w14:textId="77777777" w:rsidR="00AF5F98" w:rsidRPr="00F52884" w:rsidRDefault="00AF5F98" w:rsidP="00AF5F98">
      <w:pPr>
        <w:rPr>
          <w:rFonts w:ascii="Arial" w:eastAsia="Calibri" w:hAnsi="Arial" w:cs="Arial"/>
          <w:szCs w:val="23"/>
          <w:lang w:val="fr-FR"/>
        </w:rPr>
      </w:pPr>
    </w:p>
    <w:p w14:paraId="547A45A5" w14:textId="26F0C86A" w:rsidR="00AF5F98" w:rsidRPr="00F52884" w:rsidRDefault="00AF5F98" w:rsidP="00AF5F98">
      <w:pPr>
        <w:numPr>
          <w:ilvl w:val="0"/>
          <w:numId w:val="157"/>
        </w:numPr>
        <w:ind w:left="1440" w:hanging="720"/>
        <w:contextualSpacing/>
        <w:rPr>
          <w:rFonts w:ascii="Arial" w:eastAsia="Calibri" w:hAnsi="Arial" w:cs="Arial"/>
          <w:szCs w:val="23"/>
          <w:lang w:val="fr-FR"/>
        </w:rPr>
      </w:pPr>
      <w:r w:rsidRPr="00F52884">
        <w:rPr>
          <w:rFonts w:ascii="Arial" w:eastAsia="Calibri" w:hAnsi="Arial" w:cs="Arial"/>
          <w:szCs w:val="23"/>
          <w:lang w:val="fr-CA"/>
        </w:rPr>
        <w:t>Pour les entités contractantes décrites à l’alinéa 504.3a), les valeurs de seuil à l’alinéa 504.3a) sont modifié</w:t>
      </w:r>
      <w:r w:rsidR="00082C4E" w:rsidRPr="00F52884">
        <w:rPr>
          <w:rFonts w:ascii="Arial" w:eastAsia="Calibri" w:hAnsi="Arial" w:cs="Arial"/>
          <w:szCs w:val="23"/>
          <w:lang w:val="fr-CA"/>
        </w:rPr>
        <w:t>e</w:t>
      </w:r>
      <w:r w:rsidRPr="00F52884">
        <w:rPr>
          <w:rFonts w:ascii="Arial" w:eastAsia="Calibri" w:hAnsi="Arial" w:cs="Arial"/>
          <w:szCs w:val="23"/>
          <w:lang w:val="fr-CA"/>
        </w:rPr>
        <w:t xml:space="preserve">s à (i) 150 000 $ </w:t>
      </w:r>
      <w:r w:rsidR="00834460"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les produits ou les services, si le </w:t>
      </w:r>
      <w:proofErr w:type="gramStart"/>
      <w:r w:rsidRPr="00F52884">
        <w:rPr>
          <w:rFonts w:ascii="Arial" w:eastAsia="Calibri" w:hAnsi="Arial" w:cs="Arial"/>
          <w:szCs w:val="23"/>
          <w:lang w:val="fr-CA"/>
        </w:rPr>
        <w:t>marché  porte</w:t>
      </w:r>
      <w:proofErr w:type="gramEnd"/>
      <w:r w:rsidRPr="00F52884">
        <w:rPr>
          <w:rFonts w:ascii="Arial" w:eastAsia="Calibri" w:hAnsi="Arial" w:cs="Arial"/>
          <w:szCs w:val="23"/>
          <w:lang w:val="fr-CA"/>
        </w:rPr>
        <w:t xml:space="preserve"> principalement sur </w:t>
      </w:r>
      <w:r w:rsidR="00834460" w:rsidRPr="00F52884">
        <w:rPr>
          <w:rFonts w:ascii="Arial" w:eastAsia="Calibri" w:hAnsi="Arial" w:cs="Arial"/>
          <w:szCs w:val="23"/>
          <w:lang w:val="fr-CA"/>
        </w:rPr>
        <w:t xml:space="preserve">des </w:t>
      </w:r>
      <w:r w:rsidRPr="00F52884">
        <w:rPr>
          <w:rFonts w:ascii="Arial" w:eastAsia="Calibri" w:hAnsi="Arial" w:cs="Arial"/>
          <w:szCs w:val="23"/>
          <w:lang w:val="fr-CA"/>
        </w:rPr>
        <w:t xml:space="preserve">produits ou </w:t>
      </w:r>
      <w:r w:rsidR="00834460" w:rsidRPr="00F52884">
        <w:rPr>
          <w:rFonts w:ascii="Arial" w:eastAsia="Calibri" w:hAnsi="Arial" w:cs="Arial"/>
          <w:szCs w:val="23"/>
          <w:lang w:val="fr-CA"/>
        </w:rPr>
        <w:t xml:space="preserve">des </w:t>
      </w:r>
      <w:r w:rsidRPr="00F52884">
        <w:rPr>
          <w:rFonts w:ascii="Arial" w:eastAsia="Calibri" w:hAnsi="Arial" w:cs="Arial"/>
          <w:szCs w:val="23"/>
          <w:lang w:val="fr-CA"/>
        </w:rPr>
        <w:t xml:space="preserve">services; ou (ii) 500 000 $ </w:t>
      </w:r>
      <w:r w:rsidR="00834460" w:rsidRPr="00F52884">
        <w:rPr>
          <w:rFonts w:ascii="Arial" w:eastAsia="Calibri" w:hAnsi="Arial" w:cs="Arial"/>
          <w:szCs w:val="23"/>
          <w:lang w:val="fr-CA"/>
        </w:rPr>
        <w:t xml:space="preserve">ou plus </w:t>
      </w:r>
      <w:r w:rsidRPr="00F52884">
        <w:rPr>
          <w:rFonts w:ascii="Arial" w:eastAsia="Calibri" w:hAnsi="Arial" w:cs="Arial"/>
          <w:szCs w:val="23"/>
          <w:lang w:val="fr-CA"/>
        </w:rPr>
        <w:t>pour les services de construction.</w:t>
      </w:r>
    </w:p>
    <w:p w14:paraId="71CEBB08" w14:textId="77777777" w:rsidR="00AF5F98" w:rsidRPr="00F52884" w:rsidRDefault="00AF5F98" w:rsidP="00AF5F98">
      <w:pPr>
        <w:ind w:left="1440" w:hanging="720"/>
        <w:contextualSpacing/>
        <w:rPr>
          <w:rFonts w:ascii="Arial" w:eastAsia="Calibri" w:hAnsi="Arial" w:cs="Arial"/>
          <w:szCs w:val="23"/>
          <w:lang w:val="fr-FR"/>
        </w:rPr>
      </w:pPr>
    </w:p>
    <w:p w14:paraId="22EA17EC" w14:textId="03EDF794" w:rsidR="00AF5F98" w:rsidRPr="00F52884" w:rsidRDefault="00AF5F98" w:rsidP="00AF5F98">
      <w:pPr>
        <w:numPr>
          <w:ilvl w:val="0"/>
          <w:numId w:val="157"/>
        </w:numPr>
        <w:ind w:left="1440" w:hanging="720"/>
        <w:contextualSpacing/>
        <w:rPr>
          <w:rFonts w:ascii="Arial" w:eastAsia="Calibri" w:hAnsi="Arial" w:cs="Arial"/>
          <w:szCs w:val="23"/>
          <w:lang w:val="fr-FR"/>
        </w:rPr>
      </w:pPr>
      <w:r w:rsidRPr="00F52884">
        <w:rPr>
          <w:rFonts w:ascii="Arial" w:eastAsia="Calibri" w:hAnsi="Arial" w:cs="Arial"/>
          <w:szCs w:val="23"/>
          <w:lang w:val="fr-CA"/>
        </w:rPr>
        <w:t>Pour les entités contractantes décrites à l’alinéa 504.3b), les valeurs de seuil à l’alinéa 504.3b) sont modifié</w:t>
      </w:r>
      <w:r w:rsidR="00082C4E" w:rsidRPr="00F52884">
        <w:rPr>
          <w:rFonts w:ascii="Arial" w:eastAsia="Calibri" w:hAnsi="Arial" w:cs="Arial"/>
          <w:szCs w:val="23"/>
          <w:lang w:val="fr-CA"/>
        </w:rPr>
        <w:t>e</w:t>
      </w:r>
      <w:r w:rsidRPr="00F52884">
        <w:rPr>
          <w:rFonts w:ascii="Arial" w:eastAsia="Calibri" w:hAnsi="Arial" w:cs="Arial"/>
          <w:szCs w:val="23"/>
          <w:lang w:val="fr-CA"/>
        </w:rPr>
        <w:t xml:space="preserve">s à (i) 300 000 $ </w:t>
      </w:r>
      <w:r w:rsidR="009137C6"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les produits ou les services, à l’exception des services de construction; ou (ii) 7 500 000 $ </w:t>
      </w:r>
      <w:r w:rsidR="009137C6"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les services de construction.  </w:t>
      </w:r>
    </w:p>
    <w:p w14:paraId="09A46F83" w14:textId="77777777" w:rsidR="00AF5F98" w:rsidRPr="00F52884" w:rsidRDefault="00AF5F98" w:rsidP="00AF5F98">
      <w:pPr>
        <w:ind w:left="1440" w:hanging="720"/>
        <w:contextualSpacing/>
        <w:rPr>
          <w:rFonts w:ascii="Arial" w:eastAsia="Calibri" w:hAnsi="Arial" w:cs="Arial"/>
          <w:szCs w:val="23"/>
          <w:lang w:val="fr-FR"/>
        </w:rPr>
      </w:pPr>
    </w:p>
    <w:p w14:paraId="04569F9A" w14:textId="0D71487B" w:rsidR="00AF5F98" w:rsidRPr="00F52884" w:rsidRDefault="00AF5F98" w:rsidP="00AF5F98">
      <w:pPr>
        <w:numPr>
          <w:ilvl w:val="0"/>
          <w:numId w:val="157"/>
        </w:numPr>
        <w:ind w:left="1440" w:hanging="720"/>
        <w:contextualSpacing/>
        <w:rPr>
          <w:rFonts w:ascii="Arial" w:eastAsia="Calibri" w:hAnsi="Arial" w:cs="Arial"/>
          <w:szCs w:val="23"/>
          <w:lang w:val="fr-FR"/>
        </w:rPr>
      </w:pPr>
      <w:r w:rsidRPr="00F52884">
        <w:rPr>
          <w:rFonts w:ascii="Arial" w:eastAsia="Calibri" w:hAnsi="Arial" w:cs="Arial"/>
          <w:szCs w:val="23"/>
          <w:lang w:val="fr-CA"/>
        </w:rPr>
        <w:t>Pour les entités contractantes décrites à l’alinéa 504.3c), les valeurs de seuil à l’alinéa 504.3c) sont modifié</w:t>
      </w:r>
      <w:r w:rsidR="00082C4E" w:rsidRPr="00F52884">
        <w:rPr>
          <w:rFonts w:ascii="Arial" w:eastAsia="Calibri" w:hAnsi="Arial" w:cs="Arial"/>
          <w:szCs w:val="23"/>
          <w:lang w:val="fr-CA"/>
        </w:rPr>
        <w:t>e</w:t>
      </w:r>
      <w:r w:rsidRPr="00F52884">
        <w:rPr>
          <w:rFonts w:ascii="Arial" w:eastAsia="Calibri" w:hAnsi="Arial" w:cs="Arial"/>
          <w:szCs w:val="23"/>
          <w:lang w:val="fr-CA"/>
        </w:rPr>
        <w:t xml:space="preserve">s à (i) 500 000 $ </w:t>
      </w:r>
      <w:r w:rsidR="009137C6"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les produits ou les services, à l’exception des services de construction; ou (ii) 7 500 000 $ </w:t>
      </w:r>
      <w:r w:rsidR="009137C6" w:rsidRPr="00F52884">
        <w:rPr>
          <w:rFonts w:ascii="Arial" w:eastAsia="Calibri" w:hAnsi="Arial" w:cs="Arial"/>
          <w:szCs w:val="23"/>
          <w:lang w:val="fr-CA"/>
        </w:rPr>
        <w:t xml:space="preserve">ou plus </w:t>
      </w:r>
      <w:r w:rsidRPr="00F52884">
        <w:rPr>
          <w:rFonts w:ascii="Arial" w:eastAsia="Calibri" w:hAnsi="Arial" w:cs="Arial"/>
          <w:szCs w:val="23"/>
          <w:lang w:val="fr-CA"/>
        </w:rPr>
        <w:t>pour les services de construction.</w:t>
      </w:r>
    </w:p>
    <w:p w14:paraId="0A359477" w14:textId="77777777" w:rsidR="00AF5F98" w:rsidRPr="00F52884" w:rsidRDefault="00AF5F98" w:rsidP="00AF5F98">
      <w:pPr>
        <w:contextualSpacing/>
        <w:rPr>
          <w:rFonts w:ascii="Arial" w:eastAsia="Calibri" w:hAnsi="Arial" w:cs="Arial"/>
          <w:szCs w:val="23"/>
          <w:lang w:val="fr-FR"/>
        </w:rPr>
      </w:pPr>
    </w:p>
    <w:p w14:paraId="448D5194" w14:textId="56A399C6" w:rsidR="00AF5F98" w:rsidRPr="00F52884" w:rsidRDefault="00AF5F98" w:rsidP="00AF5F98">
      <w:pPr>
        <w:ind w:left="720"/>
        <w:contextualSpacing/>
        <w:rPr>
          <w:rFonts w:ascii="Arial" w:eastAsia="Calibri" w:hAnsi="Arial" w:cs="Arial"/>
          <w:szCs w:val="23"/>
          <w:lang w:val="fr-FR"/>
        </w:rPr>
      </w:pPr>
      <w:r w:rsidRPr="00F52884">
        <w:rPr>
          <w:rFonts w:ascii="Arial" w:eastAsia="Calibri" w:hAnsi="Arial" w:cs="Arial"/>
          <w:szCs w:val="23"/>
          <w:lang w:val="fr-CA"/>
        </w:rPr>
        <w:t>Il est entendu que si une entité contractante correspond à la description à l’alinéa 504.3a) et à l’alinéa 504.3b), les valeurs de seuil applicables sont celles énoncés à l’alinéa b) ci-dessus. Si une entité contractante correspond à la description à l’alinéa 504.4a) et à l’alinéa 504.3c), les valeurs de seuil applicables sont celles énoncées à l’alinéa c) ci-dessus.</w:t>
      </w:r>
    </w:p>
    <w:p w14:paraId="7C7F6504" w14:textId="77777777" w:rsidR="00AF5F98" w:rsidRPr="00F52884" w:rsidRDefault="00AF5F98" w:rsidP="00AF5F98">
      <w:pPr>
        <w:ind w:left="360"/>
        <w:contextualSpacing/>
        <w:rPr>
          <w:rFonts w:ascii="Arial" w:eastAsia="Calibri" w:hAnsi="Arial" w:cs="Arial"/>
          <w:szCs w:val="23"/>
          <w:lang w:val="fr-FR"/>
        </w:rPr>
      </w:pPr>
    </w:p>
    <w:p w14:paraId="3E534AE1" w14:textId="77777777" w:rsidR="00AF5F98" w:rsidRPr="00F52884" w:rsidRDefault="00AF5F98" w:rsidP="00AF5F98">
      <w:pPr>
        <w:numPr>
          <w:ilvl w:val="0"/>
          <w:numId w:val="215"/>
        </w:numPr>
        <w:ind w:hanging="720"/>
        <w:contextualSpacing/>
        <w:rPr>
          <w:rFonts w:ascii="Arial" w:eastAsia="Times New Roman" w:hAnsi="Arial" w:cs="Arial"/>
          <w:b/>
          <w:szCs w:val="23"/>
        </w:rPr>
      </w:pPr>
      <w:r w:rsidRPr="00F52884">
        <w:rPr>
          <w:rFonts w:ascii="Arial" w:eastAsia="Times New Roman" w:hAnsi="Arial" w:cs="Arial"/>
          <w:b/>
          <w:bCs/>
          <w:szCs w:val="23"/>
          <w:lang w:val="fr-CA"/>
        </w:rPr>
        <w:t>Exceptions et remarques</w:t>
      </w:r>
    </w:p>
    <w:p w14:paraId="1C6C8078" w14:textId="77777777" w:rsidR="00AF5F98" w:rsidRPr="00F52884" w:rsidRDefault="00AF5F98" w:rsidP="00AF5F98">
      <w:pPr>
        <w:ind w:left="720"/>
        <w:contextualSpacing/>
        <w:rPr>
          <w:rFonts w:ascii="Arial" w:eastAsia="Times New Roman" w:hAnsi="Arial" w:cs="Arial"/>
          <w:b/>
          <w:szCs w:val="23"/>
        </w:rPr>
      </w:pPr>
    </w:p>
    <w:p w14:paraId="09893032" w14:textId="5278EF97" w:rsidR="00AF5F98" w:rsidRPr="00F52884" w:rsidRDefault="00AF5F98" w:rsidP="00AF5F98">
      <w:pPr>
        <w:numPr>
          <w:ilvl w:val="0"/>
          <w:numId w:val="214"/>
        </w:numPr>
        <w:ind w:left="720" w:hanging="720"/>
        <w:contextualSpacing/>
        <w:rPr>
          <w:rFonts w:ascii="Arial" w:eastAsia="Times New Roman" w:hAnsi="Arial" w:cs="Arial"/>
          <w:szCs w:val="23"/>
          <w:lang w:val="fr-FR"/>
        </w:rPr>
      </w:pPr>
      <w:r w:rsidRPr="00F52884">
        <w:rPr>
          <w:rFonts w:ascii="Arial" w:eastAsia="Times New Roman" w:hAnsi="Arial" w:cs="Arial"/>
          <w:szCs w:val="23"/>
          <w:lang w:val="fr-CA"/>
        </w:rPr>
        <w:t xml:space="preserve">Le présent accord ne couvre pas les marchés assujettis à la </w:t>
      </w:r>
      <w:r w:rsidR="00C33806" w:rsidRPr="00F52884">
        <w:rPr>
          <w:rFonts w:ascii="Arial" w:eastAsia="Times New Roman" w:hAnsi="Arial" w:cs="Arial"/>
          <w:szCs w:val="23"/>
          <w:lang w:val="fr-CA"/>
        </w:rPr>
        <w:t>Politique d’encouragement aux ent</w:t>
      </w:r>
      <w:r w:rsidR="000954E6" w:rsidRPr="00F52884">
        <w:rPr>
          <w:rFonts w:ascii="Arial" w:eastAsia="Times New Roman" w:hAnsi="Arial" w:cs="Arial"/>
          <w:szCs w:val="23"/>
          <w:lang w:val="fr-CA"/>
        </w:rPr>
        <w:t>re</w:t>
      </w:r>
      <w:r w:rsidR="00C33806" w:rsidRPr="00F52884">
        <w:rPr>
          <w:rFonts w:ascii="Arial" w:eastAsia="Times New Roman" w:hAnsi="Arial" w:cs="Arial"/>
          <w:szCs w:val="23"/>
          <w:lang w:val="fr-CA"/>
        </w:rPr>
        <w:t>prises des Territoires du Nord</w:t>
      </w:r>
      <w:r w:rsidR="00E022AB" w:rsidRPr="00F52884">
        <w:rPr>
          <w:rFonts w:ascii="Arial" w:eastAsia="Times New Roman" w:hAnsi="Arial" w:cs="Arial"/>
          <w:szCs w:val="23"/>
          <w:lang w:val="fr-CA"/>
        </w:rPr>
        <w:t>-Ouest</w:t>
      </w:r>
      <w:r w:rsidRPr="00F52884">
        <w:rPr>
          <w:rFonts w:ascii="Arial" w:eastAsia="Times New Roman" w:hAnsi="Arial" w:cs="Arial"/>
          <w:szCs w:val="23"/>
          <w:lang w:val="fr-CA"/>
        </w:rPr>
        <w:t xml:space="preserve"> (y</w:t>
      </w:r>
      <w:r w:rsidR="000954E6" w:rsidRPr="00F52884">
        <w:rPr>
          <w:rFonts w:ascii="Arial" w:eastAsia="Times New Roman" w:hAnsi="Arial" w:cs="Arial"/>
          <w:szCs w:val="23"/>
          <w:lang w:val="fr-CA"/>
        </w:rPr>
        <w:t xml:space="preserve"> </w:t>
      </w:r>
      <w:r w:rsidRPr="00F52884">
        <w:rPr>
          <w:rFonts w:ascii="Arial" w:eastAsia="Times New Roman" w:hAnsi="Arial" w:cs="Arial"/>
          <w:szCs w:val="23"/>
          <w:lang w:val="fr-CA"/>
        </w:rPr>
        <w:t xml:space="preserve">compris la </w:t>
      </w:r>
      <w:r w:rsidR="00E022AB" w:rsidRPr="00F52884">
        <w:rPr>
          <w:rFonts w:ascii="Arial" w:eastAsia="Times New Roman" w:hAnsi="Arial" w:cs="Arial"/>
          <w:szCs w:val="23"/>
          <w:lang w:val="fr-CA"/>
        </w:rPr>
        <w:t>Politique des Territoires du Nord-Ouest sur les produits manufactur</w:t>
      </w:r>
      <w:r w:rsidR="00E022AB" w:rsidRPr="00F52884">
        <w:rPr>
          <w:rFonts w:ascii="Arial" w:eastAsia="Arial" w:hAnsi="Arial" w:cs="Arial"/>
          <w:szCs w:val="23"/>
          <w:lang w:val="fr-CA"/>
        </w:rPr>
        <w:t>é</w:t>
      </w:r>
      <w:r w:rsidR="00E022AB" w:rsidRPr="00F52884">
        <w:rPr>
          <w:rFonts w:ascii="Arial" w:eastAsia="Times New Roman" w:hAnsi="Arial" w:cs="Arial"/>
          <w:szCs w:val="23"/>
          <w:lang w:val="fr-CA"/>
        </w:rPr>
        <w:t xml:space="preserve">s </w:t>
      </w:r>
      <w:r w:rsidRPr="00F52884">
        <w:rPr>
          <w:rFonts w:ascii="Arial" w:eastAsia="Times New Roman" w:hAnsi="Arial" w:cs="Arial"/>
          <w:szCs w:val="23"/>
          <w:lang w:val="fr-CA"/>
        </w:rPr>
        <w:t xml:space="preserve">et autres programmes </w:t>
      </w:r>
      <w:r w:rsidR="00E022AB" w:rsidRPr="00F52884">
        <w:rPr>
          <w:rFonts w:ascii="Arial" w:eastAsia="Times New Roman" w:hAnsi="Arial" w:cs="Arial"/>
          <w:szCs w:val="23"/>
          <w:lang w:val="fr-CA"/>
        </w:rPr>
        <w:t>connexes</w:t>
      </w:r>
      <w:r w:rsidRPr="00F52884">
        <w:rPr>
          <w:rFonts w:ascii="Arial" w:eastAsia="Times New Roman" w:hAnsi="Arial" w:cs="Arial"/>
          <w:szCs w:val="23"/>
          <w:lang w:val="fr-CA"/>
        </w:rPr>
        <w:t xml:space="preserve">) ou </w:t>
      </w:r>
      <w:r w:rsidR="00E022AB" w:rsidRPr="00F52884">
        <w:rPr>
          <w:rFonts w:ascii="Arial" w:eastAsia="Times New Roman" w:hAnsi="Arial" w:cs="Arial"/>
          <w:szCs w:val="23"/>
          <w:lang w:val="fr-CA"/>
        </w:rPr>
        <w:t xml:space="preserve">les </w:t>
      </w:r>
      <w:r w:rsidRPr="00F52884">
        <w:rPr>
          <w:rFonts w:ascii="Arial" w:eastAsia="Times New Roman" w:hAnsi="Arial" w:cs="Arial"/>
          <w:szCs w:val="23"/>
          <w:lang w:val="fr-CA"/>
        </w:rPr>
        <w:t xml:space="preserve">programmes </w:t>
      </w:r>
      <w:r w:rsidR="00E022AB" w:rsidRPr="00F52884">
        <w:rPr>
          <w:rFonts w:ascii="Arial" w:eastAsia="Times New Roman" w:hAnsi="Arial" w:cs="Arial"/>
          <w:szCs w:val="23"/>
          <w:lang w:val="fr-CA"/>
        </w:rPr>
        <w:t>ayant</w:t>
      </w:r>
      <w:r w:rsidRPr="00F52884">
        <w:rPr>
          <w:rFonts w:ascii="Arial" w:eastAsia="Times New Roman" w:hAnsi="Arial" w:cs="Arial"/>
          <w:szCs w:val="23"/>
          <w:lang w:val="fr-CA"/>
        </w:rPr>
        <w:t xml:space="preserve"> des objectifs </w:t>
      </w:r>
      <w:r w:rsidR="00E022AB" w:rsidRPr="00F52884">
        <w:rPr>
          <w:rFonts w:ascii="Arial" w:eastAsia="Times New Roman" w:hAnsi="Arial" w:cs="Arial"/>
          <w:szCs w:val="23"/>
          <w:lang w:val="fr-CA"/>
        </w:rPr>
        <w:t>similaires qui lui succèderont</w:t>
      </w:r>
      <w:r w:rsidRPr="00F52884">
        <w:rPr>
          <w:rFonts w:ascii="Arial" w:eastAsia="Times New Roman" w:hAnsi="Arial" w:cs="Arial"/>
          <w:szCs w:val="23"/>
          <w:lang w:val="fr-CA"/>
        </w:rPr>
        <w:t>.</w:t>
      </w:r>
    </w:p>
    <w:p w14:paraId="6F0AB545" w14:textId="77777777" w:rsidR="00AF5F98" w:rsidRPr="00F52884" w:rsidRDefault="00AF5F98" w:rsidP="00AF5F98">
      <w:pPr>
        <w:ind w:left="720" w:hanging="720"/>
        <w:contextualSpacing/>
        <w:rPr>
          <w:rFonts w:ascii="Arial" w:eastAsia="Times New Roman" w:hAnsi="Arial" w:cs="Arial"/>
          <w:szCs w:val="23"/>
          <w:lang w:val="fr-FR"/>
        </w:rPr>
      </w:pPr>
    </w:p>
    <w:p w14:paraId="08D9005F" w14:textId="6E862691" w:rsidR="00AF5F98" w:rsidRPr="00F52884" w:rsidRDefault="00AF5F98" w:rsidP="00AF5F98">
      <w:pPr>
        <w:numPr>
          <w:ilvl w:val="0"/>
          <w:numId w:val="214"/>
        </w:numPr>
        <w:ind w:left="720" w:hanging="720"/>
        <w:contextualSpacing/>
        <w:rPr>
          <w:rFonts w:ascii="Arial" w:eastAsia="Times New Roman" w:hAnsi="Arial" w:cs="Arial"/>
          <w:szCs w:val="23"/>
          <w:lang w:val="fr-FR"/>
        </w:rPr>
      </w:pPr>
      <w:r w:rsidRPr="00F52884">
        <w:rPr>
          <w:rFonts w:ascii="Arial" w:eastAsia="Arial" w:hAnsi="Arial" w:cs="Arial"/>
          <w:szCs w:val="23"/>
          <w:lang w:val="fr-CA"/>
        </w:rPr>
        <w:t xml:space="preserve">L’article 518.9 s’applique uniquement aux entités publiques décrites à l’alinéa 504.3a) si la valeur du marché est (i) 300 000 $ </w:t>
      </w:r>
      <w:r w:rsidR="00E022AB" w:rsidRPr="00F52884">
        <w:rPr>
          <w:rFonts w:ascii="Arial" w:eastAsia="Arial" w:hAnsi="Arial" w:cs="Arial"/>
          <w:szCs w:val="23"/>
          <w:lang w:val="fr-CA"/>
        </w:rPr>
        <w:t xml:space="preserve">ou plus </w:t>
      </w:r>
      <w:r w:rsidRPr="00F52884">
        <w:rPr>
          <w:rFonts w:ascii="Arial" w:eastAsia="Arial" w:hAnsi="Arial" w:cs="Arial"/>
          <w:szCs w:val="23"/>
          <w:lang w:val="fr-CA"/>
        </w:rPr>
        <w:t xml:space="preserve">pour les produits ou les services, si le </w:t>
      </w:r>
      <w:r w:rsidRPr="00F52884">
        <w:rPr>
          <w:rFonts w:ascii="Arial" w:eastAsia="Arial" w:hAnsi="Arial" w:cs="Arial"/>
          <w:szCs w:val="23"/>
          <w:lang w:val="fr-CA"/>
        </w:rPr>
        <w:lastRenderedPageBreak/>
        <w:t xml:space="preserve">marché porte principalement sur </w:t>
      </w:r>
      <w:r w:rsidR="00E022AB" w:rsidRPr="00F52884">
        <w:rPr>
          <w:rFonts w:ascii="Arial" w:eastAsia="Arial" w:hAnsi="Arial" w:cs="Arial"/>
          <w:szCs w:val="23"/>
          <w:lang w:val="fr-CA"/>
        </w:rPr>
        <w:t xml:space="preserve">des </w:t>
      </w:r>
      <w:r w:rsidRPr="00F52884">
        <w:rPr>
          <w:rFonts w:ascii="Arial" w:eastAsia="Arial" w:hAnsi="Arial" w:cs="Arial"/>
          <w:szCs w:val="23"/>
          <w:lang w:val="fr-CA"/>
        </w:rPr>
        <w:t xml:space="preserve">produits ou </w:t>
      </w:r>
      <w:r w:rsidR="00E022AB" w:rsidRPr="00F52884">
        <w:rPr>
          <w:rFonts w:ascii="Arial" w:eastAsia="Arial" w:hAnsi="Arial" w:cs="Arial"/>
          <w:szCs w:val="23"/>
          <w:lang w:val="fr-CA"/>
        </w:rPr>
        <w:t xml:space="preserve">des </w:t>
      </w:r>
      <w:r w:rsidRPr="00F52884">
        <w:rPr>
          <w:rFonts w:ascii="Arial" w:eastAsia="Arial" w:hAnsi="Arial" w:cs="Arial"/>
          <w:szCs w:val="23"/>
          <w:lang w:val="fr-CA"/>
        </w:rPr>
        <w:t xml:space="preserve">services; ou (ii) 7 500 000 $ </w:t>
      </w:r>
      <w:r w:rsidR="00E022AB" w:rsidRPr="00F52884">
        <w:rPr>
          <w:rFonts w:ascii="Arial" w:eastAsia="Arial" w:hAnsi="Arial" w:cs="Arial"/>
          <w:szCs w:val="23"/>
          <w:lang w:val="fr-CA"/>
        </w:rPr>
        <w:t xml:space="preserve">ou plus </w:t>
      </w:r>
      <w:r w:rsidRPr="00F52884">
        <w:rPr>
          <w:rFonts w:ascii="Arial" w:eastAsia="Arial" w:hAnsi="Arial" w:cs="Arial"/>
          <w:szCs w:val="23"/>
          <w:lang w:val="fr-CA"/>
        </w:rPr>
        <w:t>pour les services de construction.</w:t>
      </w:r>
    </w:p>
    <w:p w14:paraId="07EFE9FF" w14:textId="77777777" w:rsidR="00AF5F98" w:rsidRPr="00F52884" w:rsidRDefault="00AF5F98" w:rsidP="00AF5F98">
      <w:pPr>
        <w:ind w:left="720" w:hanging="720"/>
        <w:contextualSpacing/>
        <w:rPr>
          <w:rFonts w:ascii="Arial" w:eastAsia="Times New Roman" w:hAnsi="Arial" w:cs="Arial"/>
          <w:szCs w:val="23"/>
          <w:lang w:val="fr-FR"/>
        </w:rPr>
      </w:pPr>
    </w:p>
    <w:p w14:paraId="19F098EE" w14:textId="3BEA1BF1" w:rsidR="00AF5F98" w:rsidRPr="00F52884" w:rsidRDefault="00AF5F98" w:rsidP="00AF5F98">
      <w:pPr>
        <w:numPr>
          <w:ilvl w:val="0"/>
          <w:numId w:val="214"/>
        </w:numPr>
        <w:ind w:left="720" w:hanging="720"/>
        <w:contextualSpacing/>
        <w:rPr>
          <w:rFonts w:ascii="Arial" w:eastAsia="Times New Roman" w:hAnsi="Arial" w:cs="Arial"/>
          <w:szCs w:val="23"/>
          <w:lang w:val="fr-FR"/>
        </w:rPr>
      </w:pPr>
      <w:r w:rsidRPr="00F52884">
        <w:rPr>
          <w:rFonts w:ascii="Arial" w:eastAsia="Times New Roman" w:hAnsi="Arial" w:cs="Arial"/>
          <w:szCs w:val="23"/>
          <w:lang w:val="fr-CA"/>
        </w:rPr>
        <w:t xml:space="preserve">Les entités contractantes peuvent déroger au présent chapitre aux fins de promotion du développement économique régional en soutenant les petites entreprises ou les possibilités d’emploi, sans fournir de soutien indu aux activités de monopole. Un avis de tels marchés est rendu public et comprend les renseignements concernant le marché et le fournisseur retenu. </w:t>
      </w:r>
    </w:p>
    <w:p w14:paraId="3E27AC44" w14:textId="77777777" w:rsidR="00AF5F98" w:rsidRPr="00F52884" w:rsidRDefault="00AF5F98" w:rsidP="00AF5F98">
      <w:pPr>
        <w:ind w:left="720" w:hanging="720"/>
        <w:contextualSpacing/>
        <w:rPr>
          <w:rFonts w:ascii="Arial" w:eastAsia="Times New Roman" w:hAnsi="Arial" w:cs="Arial"/>
          <w:szCs w:val="23"/>
          <w:lang w:val="fr-FR"/>
        </w:rPr>
      </w:pPr>
    </w:p>
    <w:p w14:paraId="13088353" w14:textId="0304A0D0" w:rsidR="00AF5F98" w:rsidRPr="00F52884" w:rsidRDefault="00AF5F98" w:rsidP="00AF5F98">
      <w:pPr>
        <w:ind w:left="720"/>
        <w:contextualSpacing/>
        <w:rPr>
          <w:rFonts w:ascii="Arial" w:eastAsia="Times New Roman" w:hAnsi="Arial" w:cs="Arial"/>
          <w:szCs w:val="23"/>
          <w:lang w:val="fr-FR"/>
        </w:rPr>
      </w:pPr>
      <w:r w:rsidRPr="00F52884">
        <w:rPr>
          <w:rFonts w:ascii="Arial" w:eastAsia="Times New Roman" w:hAnsi="Arial" w:cs="Arial"/>
          <w:szCs w:val="23"/>
          <w:lang w:val="fr-CA"/>
        </w:rPr>
        <w:t>Pour les marchés de produits ou de services supérieurs à 300 000 $ et de services de construction supérieurs à 7 500 000 $, les restrictions additionnelles suivantes s’appliquent à toute dérogation au présent chapitre aux fins du développement économique régional :</w:t>
      </w:r>
    </w:p>
    <w:p w14:paraId="48A2B9BB" w14:textId="77777777" w:rsidR="00AF5F98" w:rsidRPr="00F52884" w:rsidRDefault="00AF5F98" w:rsidP="00AF5F98">
      <w:pPr>
        <w:ind w:left="720"/>
        <w:contextualSpacing/>
        <w:rPr>
          <w:rFonts w:ascii="Arial" w:eastAsia="Times New Roman" w:hAnsi="Arial" w:cs="Arial"/>
          <w:szCs w:val="23"/>
          <w:lang w:val="fr-FR"/>
        </w:rPr>
      </w:pPr>
    </w:p>
    <w:p w14:paraId="25BC05B7" w14:textId="6399EBC8" w:rsidR="00AF5F98" w:rsidRPr="00F52884" w:rsidRDefault="00AF5F98" w:rsidP="0028052A">
      <w:pPr>
        <w:autoSpaceDE w:val="0"/>
        <w:autoSpaceDN w:val="0"/>
        <w:adjustRightInd w:val="0"/>
        <w:ind w:left="1440" w:hanging="720"/>
        <w:contextualSpacing/>
        <w:rPr>
          <w:rFonts w:ascii="Arial" w:eastAsia="Times New Roman" w:hAnsi="Arial" w:cs="Arial"/>
          <w:szCs w:val="23"/>
          <w:lang w:val="fr-FR"/>
        </w:rPr>
      </w:pPr>
      <w:r w:rsidRPr="00F52884">
        <w:rPr>
          <w:rFonts w:ascii="Arial" w:eastAsia="Times New Roman" w:hAnsi="Arial" w:cs="Arial"/>
          <w:szCs w:val="23"/>
          <w:lang w:val="fr-CA"/>
        </w:rPr>
        <w:t>a)</w:t>
      </w:r>
    </w:p>
    <w:p w14:paraId="26C525D4" w14:textId="7882FAFA" w:rsidR="00CA3048" w:rsidRPr="00F52884" w:rsidRDefault="00AF5F98" w:rsidP="00F00107">
      <w:pPr>
        <w:pStyle w:val="ListParagraph"/>
        <w:numPr>
          <w:ilvl w:val="0"/>
          <w:numId w:val="426"/>
        </w:numPr>
        <w:autoSpaceDE w:val="0"/>
        <w:autoSpaceDN w:val="0"/>
        <w:adjustRightInd w:val="0"/>
        <w:ind w:hanging="540"/>
        <w:rPr>
          <w:rFonts w:ascii="Arial" w:eastAsia="Times New Roman" w:hAnsi="Arial" w:cs="Arial"/>
          <w:szCs w:val="23"/>
          <w:lang w:val="fr-FR"/>
        </w:rPr>
      </w:pPr>
      <w:proofErr w:type="gramStart"/>
      <w:r w:rsidRPr="00F52884">
        <w:rPr>
          <w:rFonts w:ascii="Arial" w:eastAsia="Times New Roman" w:hAnsi="Arial" w:cs="Arial"/>
          <w:szCs w:val="23"/>
          <w:lang w:val="fr-CA"/>
        </w:rPr>
        <w:t>si</w:t>
      </w:r>
      <w:proofErr w:type="gramEnd"/>
      <w:r w:rsidRPr="00F52884">
        <w:rPr>
          <w:rFonts w:ascii="Arial" w:eastAsia="Times New Roman" w:hAnsi="Arial" w:cs="Arial"/>
          <w:szCs w:val="23"/>
          <w:lang w:val="fr-CA"/>
        </w:rPr>
        <w:t xml:space="preserve"> la valeur totale du marché  de produits ou de services est supérieure à un million de dollars ou si la valeur du marché de services de construction est supérieure à 7 500 000 $, la valeur de la partie du contrat qui serait touchée par la dérogation ne doit pas </w:t>
      </w:r>
      <w:r w:rsidR="00CA3048" w:rsidRPr="00F52884">
        <w:rPr>
          <w:rFonts w:ascii="Arial" w:eastAsia="Times New Roman" w:hAnsi="Arial" w:cs="Arial"/>
          <w:szCs w:val="23"/>
          <w:lang w:val="fr-CA"/>
        </w:rPr>
        <w:t>dépasser un million de dollars;</w:t>
      </w:r>
    </w:p>
    <w:p w14:paraId="2127284C" w14:textId="77777777" w:rsidR="00CA3048" w:rsidRPr="00F52884" w:rsidRDefault="00CA3048" w:rsidP="00F00107">
      <w:pPr>
        <w:pStyle w:val="ListParagraph"/>
        <w:autoSpaceDE w:val="0"/>
        <w:autoSpaceDN w:val="0"/>
        <w:adjustRightInd w:val="0"/>
        <w:ind w:left="2160" w:hanging="540"/>
        <w:rPr>
          <w:rFonts w:ascii="Arial" w:eastAsia="Times New Roman" w:hAnsi="Arial" w:cs="Arial"/>
          <w:szCs w:val="23"/>
          <w:lang w:val="fr-FR"/>
        </w:rPr>
      </w:pPr>
    </w:p>
    <w:p w14:paraId="535B5AB6" w14:textId="52DF782B" w:rsidR="00AF5F98" w:rsidRPr="00F52884" w:rsidRDefault="00AF5F98" w:rsidP="00F00107">
      <w:pPr>
        <w:pStyle w:val="ListParagraph"/>
        <w:numPr>
          <w:ilvl w:val="0"/>
          <w:numId w:val="426"/>
        </w:numPr>
        <w:autoSpaceDE w:val="0"/>
        <w:autoSpaceDN w:val="0"/>
        <w:adjustRightInd w:val="0"/>
        <w:ind w:hanging="540"/>
        <w:rPr>
          <w:rFonts w:ascii="Arial" w:eastAsia="Times New Roman" w:hAnsi="Arial" w:cs="Arial"/>
          <w:szCs w:val="23"/>
          <w:lang w:val="fr-FR"/>
        </w:rPr>
      </w:pPr>
      <w:proofErr w:type="gramStart"/>
      <w:r w:rsidRPr="00F52884">
        <w:rPr>
          <w:rFonts w:ascii="Arial" w:eastAsia="Arial" w:hAnsi="Arial" w:cs="Arial"/>
          <w:szCs w:val="23"/>
          <w:lang w:val="fr-CA"/>
        </w:rPr>
        <w:t>si</w:t>
      </w:r>
      <w:proofErr w:type="gramEnd"/>
      <w:r w:rsidRPr="00F52884">
        <w:rPr>
          <w:rFonts w:ascii="Arial" w:eastAsia="Arial" w:hAnsi="Arial" w:cs="Arial"/>
          <w:szCs w:val="23"/>
          <w:lang w:val="fr-CA"/>
        </w:rPr>
        <w:t xml:space="preserve"> le marché de produits ou de services a une valeur ne dépassant pas un million de dollars, la valeur totale du contrat peut être touchée par la dérogation; </w:t>
      </w:r>
    </w:p>
    <w:p w14:paraId="72B3D52D" w14:textId="77777777" w:rsidR="00AF5F98" w:rsidRPr="00F52884" w:rsidRDefault="00AF5F98" w:rsidP="00AF5F98">
      <w:pPr>
        <w:autoSpaceDE w:val="0"/>
        <w:autoSpaceDN w:val="0"/>
        <w:adjustRightInd w:val="0"/>
        <w:ind w:left="1440"/>
        <w:contextualSpacing/>
        <w:rPr>
          <w:rFonts w:ascii="Arial" w:eastAsia="Times New Roman" w:hAnsi="Arial" w:cs="Arial"/>
          <w:szCs w:val="23"/>
          <w:lang w:val="fr-FR"/>
        </w:rPr>
      </w:pPr>
    </w:p>
    <w:p w14:paraId="7806101D" w14:textId="3E324BF7" w:rsidR="00AF5F98" w:rsidRPr="00F52884" w:rsidRDefault="00AF5F98" w:rsidP="0028052A">
      <w:pPr>
        <w:autoSpaceDE w:val="0"/>
        <w:autoSpaceDN w:val="0"/>
        <w:adjustRightInd w:val="0"/>
        <w:ind w:left="1440" w:hanging="720"/>
        <w:contextualSpacing/>
        <w:rPr>
          <w:rFonts w:ascii="Arial" w:eastAsia="Times New Roman" w:hAnsi="Arial" w:cs="Arial"/>
          <w:szCs w:val="23"/>
          <w:lang w:val="fr-FR"/>
        </w:rPr>
      </w:pPr>
      <w:r w:rsidRPr="00F52884">
        <w:rPr>
          <w:rFonts w:ascii="Arial" w:eastAsia="Times New Roman" w:hAnsi="Arial" w:cs="Arial"/>
          <w:szCs w:val="23"/>
          <w:lang w:val="fr-CA"/>
        </w:rPr>
        <w:t>b)</w:t>
      </w:r>
      <w:r w:rsidRPr="00F52884">
        <w:rPr>
          <w:rFonts w:ascii="Arial" w:eastAsia="Times New Roman" w:hAnsi="Arial" w:cs="Arial"/>
          <w:szCs w:val="23"/>
          <w:lang w:val="fr-CA"/>
        </w:rPr>
        <w:tab/>
        <w:t>il ne peut être recouru à la présente dérogation plus de dix fois par année;</w:t>
      </w:r>
    </w:p>
    <w:p w14:paraId="1BA5109D" w14:textId="77777777" w:rsidR="00AF5F98" w:rsidRPr="00F52884" w:rsidRDefault="00AF5F98" w:rsidP="0028052A">
      <w:pPr>
        <w:autoSpaceDE w:val="0"/>
        <w:autoSpaceDN w:val="0"/>
        <w:adjustRightInd w:val="0"/>
        <w:ind w:left="1440"/>
        <w:contextualSpacing/>
        <w:rPr>
          <w:rFonts w:ascii="Arial" w:eastAsia="Times New Roman" w:hAnsi="Arial" w:cs="Arial"/>
          <w:szCs w:val="23"/>
          <w:lang w:val="fr-FR"/>
        </w:rPr>
      </w:pPr>
    </w:p>
    <w:p w14:paraId="267B160D" w14:textId="02E58ECF" w:rsidR="00AF5F98" w:rsidRPr="00F52884" w:rsidRDefault="00AF5F98" w:rsidP="0028052A">
      <w:pPr>
        <w:autoSpaceDE w:val="0"/>
        <w:autoSpaceDN w:val="0"/>
        <w:adjustRightInd w:val="0"/>
        <w:ind w:left="1440" w:hanging="720"/>
        <w:contextualSpacing/>
        <w:rPr>
          <w:rFonts w:ascii="Arial" w:eastAsia="Times New Roman" w:hAnsi="Arial" w:cs="Arial"/>
          <w:szCs w:val="23"/>
          <w:lang w:val="fr-FR"/>
        </w:rPr>
      </w:pPr>
      <w:r w:rsidRPr="00F52884">
        <w:rPr>
          <w:rFonts w:ascii="Arial" w:eastAsia="Times New Roman" w:hAnsi="Arial" w:cs="Arial"/>
          <w:szCs w:val="23"/>
          <w:lang w:val="fr-CA"/>
        </w:rPr>
        <w:t xml:space="preserve">c) </w:t>
      </w:r>
      <w:r w:rsidRPr="00F52884">
        <w:rPr>
          <w:rFonts w:ascii="Arial" w:eastAsia="Times New Roman" w:hAnsi="Arial" w:cs="Arial"/>
          <w:szCs w:val="23"/>
          <w:lang w:val="fr-CA"/>
        </w:rPr>
        <w:tab/>
        <w:t>un marché financé par le gouvernement du Canada ne peut bénéficier d’une dérogation.</w:t>
      </w:r>
    </w:p>
    <w:p w14:paraId="5B09C158" w14:textId="77777777" w:rsidR="00AF5F98" w:rsidRPr="00F52884" w:rsidRDefault="00AF5F98" w:rsidP="00AF5F98">
      <w:pPr>
        <w:contextualSpacing/>
        <w:jc w:val="center"/>
        <w:rPr>
          <w:rFonts w:ascii="Arial" w:eastAsia="Times New Roman" w:hAnsi="Arial" w:cs="Arial"/>
          <w:szCs w:val="23"/>
          <w:lang w:val="fr-FR"/>
        </w:rPr>
      </w:pPr>
    </w:p>
    <w:p w14:paraId="204B37E5" w14:textId="77777777" w:rsidR="00AF5F98" w:rsidRPr="00F52884" w:rsidRDefault="00AF5F98" w:rsidP="00AF5F98">
      <w:pPr>
        <w:rPr>
          <w:rFonts w:ascii="Arial" w:eastAsia="Times New Roman" w:hAnsi="Arial" w:cs="Arial"/>
          <w:b/>
          <w:szCs w:val="23"/>
          <w:lang w:val="fr-FR"/>
        </w:rPr>
      </w:pPr>
    </w:p>
    <w:p w14:paraId="00AC0764" w14:textId="77777777" w:rsidR="00AF5F98" w:rsidRPr="00F52884" w:rsidRDefault="00AF5F98" w:rsidP="00AF5F98">
      <w:pPr>
        <w:rPr>
          <w:rFonts w:ascii="Arial" w:eastAsia="Times New Roman" w:hAnsi="Arial" w:cs="Arial"/>
          <w:b/>
          <w:szCs w:val="23"/>
          <w:lang w:val="fr-FR"/>
        </w:rPr>
      </w:pPr>
    </w:p>
    <w:p w14:paraId="62A42778" w14:textId="77777777" w:rsidR="00AF5F98" w:rsidRPr="00F52884" w:rsidRDefault="00AF5F98" w:rsidP="00AF5F98">
      <w:pPr>
        <w:rPr>
          <w:rFonts w:ascii="Arial" w:eastAsia="Times New Roman" w:hAnsi="Arial" w:cs="Arial"/>
          <w:b/>
          <w:szCs w:val="23"/>
          <w:lang w:val="fr-FR"/>
        </w:rPr>
      </w:pPr>
    </w:p>
    <w:p w14:paraId="4E8B23E0" w14:textId="77777777" w:rsidR="00AF5F98" w:rsidRPr="00F52884" w:rsidRDefault="00AF5F98" w:rsidP="00AF5F98">
      <w:pPr>
        <w:rPr>
          <w:rFonts w:ascii="Arial" w:eastAsia="Times New Roman" w:hAnsi="Arial" w:cs="Arial"/>
          <w:b/>
          <w:szCs w:val="23"/>
          <w:lang w:val="fr-FR"/>
        </w:rPr>
      </w:pPr>
    </w:p>
    <w:p w14:paraId="4AEC224A" w14:textId="77777777" w:rsidR="00AF5F98" w:rsidRPr="00F52884" w:rsidRDefault="00AF5F98" w:rsidP="00AF5F98">
      <w:pPr>
        <w:rPr>
          <w:rFonts w:ascii="Arial" w:eastAsia="Times New Roman" w:hAnsi="Arial" w:cs="Arial"/>
          <w:b/>
          <w:szCs w:val="23"/>
          <w:lang w:val="fr-FR"/>
        </w:rPr>
      </w:pPr>
    </w:p>
    <w:p w14:paraId="5FEC4985" w14:textId="77777777" w:rsidR="00AF5F98" w:rsidRPr="00F52884" w:rsidRDefault="00AF5F98" w:rsidP="00AF5F98">
      <w:pPr>
        <w:contextualSpacing/>
        <w:jc w:val="center"/>
        <w:rPr>
          <w:rFonts w:ascii="Arial" w:eastAsia="Times New Roman" w:hAnsi="Arial" w:cs="Arial"/>
          <w:szCs w:val="23"/>
          <w:lang w:val="fr-FR"/>
        </w:rPr>
      </w:pPr>
    </w:p>
    <w:p w14:paraId="06CD6EF4" w14:textId="77777777" w:rsidR="00AF5F98" w:rsidRPr="00F52884" w:rsidRDefault="00AF5F98" w:rsidP="00AF5F98">
      <w:pPr>
        <w:rPr>
          <w:rFonts w:ascii="Arial" w:eastAsia="Times New Roman" w:hAnsi="Arial" w:cs="Arial"/>
          <w:b/>
          <w:szCs w:val="23"/>
          <w:lang w:val="fr-FR"/>
        </w:rPr>
      </w:pPr>
      <w:r w:rsidRPr="00F52884">
        <w:rPr>
          <w:rFonts w:ascii="Arial" w:eastAsia="Times New Roman" w:hAnsi="Arial" w:cs="Arial"/>
          <w:b/>
          <w:bCs/>
          <w:szCs w:val="23"/>
          <w:lang w:val="fr-CA"/>
        </w:rPr>
        <w:br w:type="page"/>
      </w:r>
    </w:p>
    <w:p w14:paraId="12262EE1" w14:textId="77777777" w:rsidR="00AF5F98" w:rsidRPr="00F52884" w:rsidRDefault="00AF5F98" w:rsidP="00F52884">
      <w:pPr>
        <w:pStyle w:val="Heading3"/>
        <w:jc w:val="center"/>
        <w:rPr>
          <w:sz w:val="24"/>
          <w:szCs w:val="24"/>
          <w:lang w:val="fr-FR"/>
        </w:rPr>
      </w:pPr>
      <w:bookmarkStart w:id="60" w:name="_Toc476566320"/>
      <w:bookmarkStart w:id="61" w:name="_Toc156311773"/>
      <w:r w:rsidRPr="00F52884">
        <w:rPr>
          <w:sz w:val="24"/>
          <w:szCs w:val="24"/>
          <w:lang w:val="fr-CA"/>
        </w:rPr>
        <w:lastRenderedPageBreak/>
        <w:t>Liste du Nunavut</w:t>
      </w:r>
      <w:bookmarkEnd w:id="60"/>
      <w:bookmarkEnd w:id="61"/>
    </w:p>
    <w:p w14:paraId="5DE135F8" w14:textId="77777777" w:rsidR="00AF5F98" w:rsidRPr="00F52884" w:rsidRDefault="00AF5F98" w:rsidP="00AF5F98">
      <w:pPr>
        <w:contextualSpacing/>
        <w:jc w:val="center"/>
        <w:rPr>
          <w:rFonts w:ascii="Arial" w:eastAsia="Times New Roman" w:hAnsi="Arial" w:cs="Arial"/>
          <w:szCs w:val="23"/>
          <w:lang w:val="fr-FR"/>
        </w:rPr>
      </w:pPr>
    </w:p>
    <w:p w14:paraId="23E048D5" w14:textId="2A178CC4" w:rsidR="00AF5F98" w:rsidRPr="00F52884" w:rsidRDefault="00AF5F98" w:rsidP="00AF5F98">
      <w:pPr>
        <w:contextualSpacing/>
        <w:jc w:val="center"/>
        <w:rPr>
          <w:rFonts w:ascii="Arial" w:eastAsia="Times New Roman" w:hAnsi="Arial" w:cs="Arial"/>
          <w:b/>
          <w:szCs w:val="23"/>
          <w:lang w:val="fr-FR"/>
        </w:rPr>
      </w:pPr>
      <w:r w:rsidRPr="00F52884">
        <w:rPr>
          <w:rFonts w:ascii="Arial" w:eastAsia="Times New Roman" w:hAnsi="Arial" w:cs="Arial"/>
          <w:b/>
          <w:bCs/>
          <w:szCs w:val="23"/>
          <w:lang w:val="fr-CA"/>
        </w:rPr>
        <w:t>Marchés publics – Exceptions</w:t>
      </w:r>
    </w:p>
    <w:p w14:paraId="6E56CFC5" w14:textId="77777777" w:rsidR="00AF5F98" w:rsidRPr="00F52884" w:rsidRDefault="00AF5F98" w:rsidP="00AF5F98">
      <w:pPr>
        <w:contextualSpacing/>
        <w:jc w:val="center"/>
        <w:rPr>
          <w:rFonts w:ascii="Arial" w:eastAsia="Times New Roman" w:hAnsi="Arial" w:cs="Arial"/>
          <w:szCs w:val="23"/>
          <w:lang w:val="fr-FR"/>
        </w:rPr>
      </w:pPr>
    </w:p>
    <w:p w14:paraId="136DA1D8" w14:textId="1D639B83" w:rsidR="00AF5F98" w:rsidRPr="00F52884" w:rsidRDefault="00AF5F98" w:rsidP="00AF5F98">
      <w:pPr>
        <w:rPr>
          <w:rFonts w:ascii="Arial" w:eastAsia="Arial" w:hAnsi="Arial" w:cs="Arial"/>
          <w:szCs w:val="23"/>
          <w:lang w:val="fr-FR"/>
        </w:rPr>
      </w:pPr>
      <w:r w:rsidRPr="00F52884">
        <w:rPr>
          <w:rFonts w:ascii="Arial" w:eastAsia="Arial" w:hAnsi="Arial" w:cs="Arial"/>
          <w:szCs w:val="23"/>
          <w:lang w:val="fr-CA"/>
        </w:rPr>
        <w:t>En ce qui concerne le Nunavut, le présent chapitre ne couvre pas ce qui suit :</w:t>
      </w:r>
    </w:p>
    <w:p w14:paraId="6FE696E2" w14:textId="77777777" w:rsidR="00AF5F98" w:rsidRPr="00F52884" w:rsidRDefault="00AF5F98" w:rsidP="00AF5F98">
      <w:pPr>
        <w:rPr>
          <w:rFonts w:ascii="Arial" w:eastAsia="Arial" w:hAnsi="Arial" w:cs="Arial"/>
          <w:szCs w:val="23"/>
          <w:lang w:val="fr-FR"/>
        </w:rPr>
      </w:pPr>
    </w:p>
    <w:p w14:paraId="7C375DE0" w14:textId="77777777" w:rsidR="00AF5F98" w:rsidRPr="00F52884" w:rsidRDefault="00AF5F98" w:rsidP="00AF5F98">
      <w:pPr>
        <w:numPr>
          <w:ilvl w:val="0"/>
          <w:numId w:val="219"/>
        </w:numPr>
        <w:ind w:hanging="720"/>
        <w:contextualSpacing/>
        <w:rPr>
          <w:rFonts w:ascii="Arial" w:eastAsia="Arial" w:hAnsi="Arial" w:cs="Arial"/>
          <w:b/>
          <w:szCs w:val="23"/>
        </w:rPr>
      </w:pPr>
      <w:r w:rsidRPr="00F52884">
        <w:rPr>
          <w:rFonts w:ascii="Arial" w:eastAsia="Arial" w:hAnsi="Arial" w:cs="Arial"/>
          <w:b/>
          <w:bCs/>
          <w:szCs w:val="23"/>
          <w:lang w:val="fr-CA"/>
        </w:rPr>
        <w:t>Entités exclues</w:t>
      </w:r>
    </w:p>
    <w:p w14:paraId="73194B4A" w14:textId="77777777" w:rsidR="00AF5F98" w:rsidRPr="00F52884" w:rsidRDefault="00AF5F98" w:rsidP="00AF5F98">
      <w:pPr>
        <w:rPr>
          <w:rFonts w:ascii="Arial" w:eastAsia="Times New Roman" w:hAnsi="Arial" w:cs="Arial"/>
          <w:szCs w:val="23"/>
          <w:lang w:val="fr-CA"/>
        </w:rPr>
      </w:pPr>
    </w:p>
    <w:p w14:paraId="2C6A4BE5" w14:textId="1151B3CE" w:rsidR="00AF5F98" w:rsidRPr="00F52884" w:rsidRDefault="00AF5F98" w:rsidP="00AF5F98">
      <w:pPr>
        <w:rPr>
          <w:rFonts w:ascii="Arial" w:eastAsia="Times New Roman" w:hAnsi="Arial" w:cs="Arial"/>
          <w:szCs w:val="23"/>
          <w:lang w:val="fr-FR"/>
        </w:rPr>
      </w:pPr>
      <w:r w:rsidRPr="00F52884">
        <w:rPr>
          <w:rFonts w:ascii="Arial" w:eastAsia="Times New Roman" w:hAnsi="Arial" w:cs="Arial"/>
          <w:szCs w:val="23"/>
          <w:lang w:val="fr-CA"/>
        </w:rPr>
        <w:t>Les entités suivantes ne sont pas couvertes par le présent chapitre :</w:t>
      </w:r>
    </w:p>
    <w:p w14:paraId="04EE6D55" w14:textId="77777777" w:rsidR="00AF5F98" w:rsidRPr="00F52884" w:rsidRDefault="00AF5F98" w:rsidP="00AF5F98">
      <w:pPr>
        <w:rPr>
          <w:rFonts w:ascii="Arial" w:eastAsia="Times New Roman" w:hAnsi="Arial" w:cs="Arial"/>
          <w:szCs w:val="23"/>
          <w:lang w:val="fr-FR"/>
        </w:rPr>
      </w:pPr>
    </w:p>
    <w:p w14:paraId="49E500E3" w14:textId="77777777" w:rsidR="00AF5F98" w:rsidRPr="00F52884" w:rsidRDefault="00AF5F98" w:rsidP="00AF5F98">
      <w:pPr>
        <w:rPr>
          <w:rFonts w:ascii="Arial" w:eastAsia="Calibri" w:hAnsi="Arial" w:cs="Arial"/>
          <w:szCs w:val="23"/>
          <w:lang w:val="fr-FR"/>
        </w:rPr>
      </w:pPr>
      <w:r w:rsidRPr="00F52884">
        <w:rPr>
          <w:rFonts w:ascii="Arial" w:eastAsia="Arial" w:hAnsi="Arial" w:cs="Arial"/>
          <w:szCs w:val="23"/>
          <w:lang w:val="fr-CA"/>
        </w:rPr>
        <w:t>1.</w:t>
      </w:r>
      <w:r w:rsidRPr="00F52884">
        <w:rPr>
          <w:rFonts w:ascii="Arial" w:eastAsia="Arial" w:hAnsi="Arial" w:cs="Arial"/>
          <w:szCs w:val="23"/>
          <w:lang w:val="fr-CA"/>
        </w:rPr>
        <w:tab/>
        <w:t xml:space="preserve">L’Assemblée législative. </w:t>
      </w:r>
    </w:p>
    <w:p w14:paraId="715FE857" w14:textId="77777777" w:rsidR="00AF5F98" w:rsidRPr="00F52884" w:rsidRDefault="00AF5F98" w:rsidP="00AF5F98">
      <w:pPr>
        <w:rPr>
          <w:rFonts w:ascii="Arial" w:eastAsia="Calibri" w:hAnsi="Arial" w:cs="Arial"/>
          <w:szCs w:val="23"/>
          <w:lang w:val="fr-FR"/>
        </w:rPr>
      </w:pPr>
    </w:p>
    <w:p w14:paraId="076156AF" w14:textId="71F47E57" w:rsidR="00AF5F98" w:rsidRPr="00F52884" w:rsidRDefault="00AF5F98" w:rsidP="00AF5F98">
      <w:pPr>
        <w:ind w:left="720" w:hanging="720"/>
        <w:rPr>
          <w:rFonts w:ascii="Arial" w:eastAsia="Calibri" w:hAnsi="Arial" w:cs="Arial"/>
          <w:szCs w:val="23"/>
          <w:lang w:val="fr-FR"/>
        </w:rPr>
      </w:pPr>
      <w:r w:rsidRPr="00F52884">
        <w:rPr>
          <w:rFonts w:ascii="Arial" w:eastAsia="Calibri" w:hAnsi="Arial" w:cs="Arial"/>
          <w:szCs w:val="23"/>
          <w:lang w:val="fr-CA"/>
        </w:rPr>
        <w:t>2.</w:t>
      </w:r>
      <w:r w:rsidRPr="00F52884">
        <w:rPr>
          <w:rFonts w:ascii="Arial" w:eastAsia="Calibri" w:hAnsi="Arial" w:cs="Arial"/>
          <w:szCs w:val="23"/>
          <w:lang w:val="fr-CA"/>
        </w:rPr>
        <w:tab/>
        <w:t>Toutes les autres entités contractantes décrites à l’article 504.3 sont couvertes, selon les valeurs de seuil révisées suivantes (et sous réserve de l’article 504.4) :</w:t>
      </w:r>
    </w:p>
    <w:p w14:paraId="3C471B77" w14:textId="77777777" w:rsidR="00AF5F98" w:rsidRPr="00F52884" w:rsidRDefault="00AF5F98" w:rsidP="00AF5F98">
      <w:pPr>
        <w:ind w:left="720" w:hanging="720"/>
        <w:rPr>
          <w:rFonts w:ascii="Arial" w:eastAsia="Calibri" w:hAnsi="Arial" w:cs="Arial"/>
          <w:szCs w:val="23"/>
          <w:lang w:val="fr-FR"/>
        </w:rPr>
      </w:pPr>
    </w:p>
    <w:p w14:paraId="0EF57E4C" w14:textId="7971C441" w:rsidR="00AF5F98" w:rsidRPr="00F52884" w:rsidRDefault="00AF5F98" w:rsidP="00AF5F98">
      <w:pPr>
        <w:numPr>
          <w:ilvl w:val="0"/>
          <w:numId w:val="220"/>
        </w:numPr>
        <w:ind w:left="1440" w:hanging="720"/>
        <w:contextualSpacing/>
        <w:rPr>
          <w:rFonts w:ascii="Arial" w:eastAsia="Calibri" w:hAnsi="Arial" w:cs="Arial"/>
          <w:szCs w:val="23"/>
          <w:lang w:val="fr-FR"/>
        </w:rPr>
      </w:pPr>
      <w:r w:rsidRPr="00F52884">
        <w:rPr>
          <w:rFonts w:ascii="Arial" w:eastAsia="Calibri" w:hAnsi="Arial" w:cs="Arial"/>
          <w:szCs w:val="23"/>
          <w:lang w:val="fr-CA"/>
        </w:rPr>
        <w:t>Pour les entités contractantes décrites à l’a</w:t>
      </w:r>
      <w:r w:rsidR="00725565" w:rsidRPr="00F52884">
        <w:rPr>
          <w:rFonts w:ascii="Arial" w:eastAsia="Calibri" w:hAnsi="Arial" w:cs="Arial"/>
          <w:szCs w:val="23"/>
          <w:lang w:val="fr-CA"/>
        </w:rPr>
        <w:t>linéa</w:t>
      </w:r>
      <w:r w:rsidRPr="00F52884">
        <w:rPr>
          <w:rFonts w:ascii="Arial" w:eastAsia="Calibri" w:hAnsi="Arial" w:cs="Arial"/>
          <w:szCs w:val="23"/>
          <w:lang w:val="fr-CA"/>
        </w:rPr>
        <w:t xml:space="preserve"> 504.3a), les valeurs de seuil à </w:t>
      </w:r>
      <w:r w:rsidR="00725565" w:rsidRPr="00F52884">
        <w:rPr>
          <w:rFonts w:ascii="Arial" w:eastAsia="Calibri" w:hAnsi="Arial" w:cs="Arial"/>
          <w:szCs w:val="23"/>
          <w:lang w:val="fr-CA"/>
        </w:rPr>
        <w:t>l’alinéa</w:t>
      </w:r>
      <w:r w:rsidRPr="00F52884">
        <w:rPr>
          <w:rFonts w:ascii="Arial" w:eastAsia="Calibri" w:hAnsi="Arial" w:cs="Arial"/>
          <w:szCs w:val="23"/>
          <w:lang w:val="fr-CA"/>
        </w:rPr>
        <w:t xml:space="preserve"> 504.3a) sont modifiées à (i) 150 000 $ </w:t>
      </w:r>
      <w:r w:rsidR="00725565"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w:t>
      </w:r>
      <w:r w:rsidR="00725565" w:rsidRPr="00F52884">
        <w:rPr>
          <w:rFonts w:ascii="Arial" w:eastAsia="Calibri" w:hAnsi="Arial" w:cs="Arial"/>
          <w:szCs w:val="23"/>
          <w:lang w:val="fr-CA"/>
        </w:rPr>
        <w:t xml:space="preserve">des </w:t>
      </w:r>
      <w:r w:rsidRPr="00F52884">
        <w:rPr>
          <w:rFonts w:ascii="Arial" w:eastAsia="Calibri" w:hAnsi="Arial" w:cs="Arial"/>
          <w:szCs w:val="23"/>
          <w:lang w:val="fr-CA"/>
        </w:rPr>
        <w:t xml:space="preserve">produits ou </w:t>
      </w:r>
      <w:r w:rsidR="00725565" w:rsidRPr="00F52884">
        <w:rPr>
          <w:rFonts w:ascii="Arial" w:eastAsia="Calibri" w:hAnsi="Arial" w:cs="Arial"/>
          <w:szCs w:val="23"/>
          <w:lang w:val="fr-CA"/>
        </w:rPr>
        <w:t xml:space="preserve">des </w:t>
      </w:r>
      <w:r w:rsidRPr="00F52884">
        <w:rPr>
          <w:rFonts w:ascii="Arial" w:eastAsia="Calibri" w:hAnsi="Arial" w:cs="Arial"/>
          <w:szCs w:val="23"/>
          <w:lang w:val="fr-CA"/>
        </w:rPr>
        <w:t xml:space="preserve">services, si le marché porte principalement sur </w:t>
      </w:r>
      <w:r w:rsidR="00725565" w:rsidRPr="00F52884">
        <w:rPr>
          <w:rFonts w:ascii="Arial" w:eastAsia="Calibri" w:hAnsi="Arial" w:cs="Arial"/>
          <w:szCs w:val="23"/>
          <w:lang w:val="fr-CA"/>
        </w:rPr>
        <w:t xml:space="preserve">des </w:t>
      </w:r>
      <w:r w:rsidRPr="00F52884">
        <w:rPr>
          <w:rFonts w:ascii="Arial" w:eastAsia="Calibri" w:hAnsi="Arial" w:cs="Arial"/>
          <w:szCs w:val="23"/>
          <w:lang w:val="fr-CA"/>
        </w:rPr>
        <w:t xml:space="preserve">produits ou </w:t>
      </w:r>
      <w:r w:rsidR="00725565" w:rsidRPr="00F52884">
        <w:rPr>
          <w:rFonts w:ascii="Arial" w:eastAsia="Calibri" w:hAnsi="Arial" w:cs="Arial"/>
          <w:szCs w:val="23"/>
          <w:lang w:val="fr-CA"/>
        </w:rPr>
        <w:t xml:space="preserve">des </w:t>
      </w:r>
      <w:r w:rsidRPr="00F52884">
        <w:rPr>
          <w:rFonts w:ascii="Arial" w:eastAsia="Calibri" w:hAnsi="Arial" w:cs="Arial"/>
          <w:szCs w:val="23"/>
          <w:lang w:val="fr-CA"/>
        </w:rPr>
        <w:t xml:space="preserve">services; ou (ii) 500 000 $ </w:t>
      </w:r>
      <w:r w:rsidR="00725565" w:rsidRPr="00F52884">
        <w:rPr>
          <w:rFonts w:ascii="Arial" w:eastAsia="Calibri" w:hAnsi="Arial" w:cs="Arial"/>
          <w:szCs w:val="23"/>
          <w:lang w:val="fr-CA"/>
        </w:rPr>
        <w:t xml:space="preserve">ou plus </w:t>
      </w:r>
      <w:r w:rsidRPr="00F52884">
        <w:rPr>
          <w:rFonts w:ascii="Arial" w:eastAsia="Calibri" w:hAnsi="Arial" w:cs="Arial"/>
          <w:szCs w:val="23"/>
          <w:lang w:val="fr-CA"/>
        </w:rPr>
        <w:t>pour les services de construction.</w:t>
      </w:r>
    </w:p>
    <w:p w14:paraId="7AFAE9D2" w14:textId="77777777" w:rsidR="00AF5F98" w:rsidRPr="00F52884" w:rsidRDefault="00AF5F98" w:rsidP="00AF5F98">
      <w:pPr>
        <w:ind w:left="1440" w:hanging="720"/>
        <w:contextualSpacing/>
        <w:rPr>
          <w:rFonts w:ascii="Arial" w:eastAsia="Calibri" w:hAnsi="Arial" w:cs="Arial"/>
          <w:szCs w:val="23"/>
          <w:lang w:val="fr-FR"/>
        </w:rPr>
      </w:pPr>
    </w:p>
    <w:p w14:paraId="06E910AF" w14:textId="2E5B2C2F" w:rsidR="00AF5F98" w:rsidRPr="00F52884" w:rsidRDefault="00AF5F98" w:rsidP="00AF5F98">
      <w:pPr>
        <w:numPr>
          <w:ilvl w:val="0"/>
          <w:numId w:val="220"/>
        </w:numPr>
        <w:ind w:left="1440" w:hanging="720"/>
        <w:contextualSpacing/>
        <w:rPr>
          <w:rFonts w:ascii="Arial" w:eastAsia="Calibri" w:hAnsi="Arial" w:cs="Arial"/>
          <w:szCs w:val="23"/>
          <w:lang w:val="fr-FR"/>
        </w:rPr>
      </w:pPr>
      <w:r w:rsidRPr="00F52884">
        <w:rPr>
          <w:rFonts w:ascii="Arial" w:eastAsia="Calibri" w:hAnsi="Arial" w:cs="Arial"/>
          <w:szCs w:val="23"/>
          <w:lang w:val="fr-CA"/>
        </w:rPr>
        <w:t xml:space="preserve">Pour les entités contractantes décrites à </w:t>
      </w:r>
      <w:r w:rsidR="00725565" w:rsidRPr="00F52884">
        <w:rPr>
          <w:rFonts w:ascii="Arial" w:eastAsia="Calibri" w:hAnsi="Arial" w:cs="Arial"/>
          <w:szCs w:val="23"/>
          <w:lang w:val="fr-CA"/>
        </w:rPr>
        <w:t>l’alinéa</w:t>
      </w:r>
      <w:r w:rsidRPr="00F52884">
        <w:rPr>
          <w:rFonts w:ascii="Arial" w:eastAsia="Calibri" w:hAnsi="Arial" w:cs="Arial"/>
          <w:szCs w:val="23"/>
          <w:lang w:val="fr-CA"/>
        </w:rPr>
        <w:t xml:space="preserve"> 504.3b), les valeurs de seuil à </w:t>
      </w:r>
      <w:r w:rsidR="00725565" w:rsidRPr="00F52884">
        <w:rPr>
          <w:rFonts w:ascii="Arial" w:eastAsia="Calibri" w:hAnsi="Arial" w:cs="Arial"/>
          <w:szCs w:val="23"/>
          <w:lang w:val="fr-CA"/>
        </w:rPr>
        <w:t>l’alinéa</w:t>
      </w:r>
      <w:r w:rsidRPr="00F52884">
        <w:rPr>
          <w:rFonts w:ascii="Arial" w:eastAsia="Calibri" w:hAnsi="Arial" w:cs="Arial"/>
          <w:szCs w:val="23"/>
          <w:lang w:val="fr-CA"/>
        </w:rPr>
        <w:t xml:space="preserve"> 504.3b) sont modifiées à (i) 300 000 $ </w:t>
      </w:r>
      <w:r w:rsidR="00725565"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w:t>
      </w:r>
      <w:r w:rsidR="00725565" w:rsidRPr="00F52884">
        <w:rPr>
          <w:rFonts w:ascii="Arial" w:eastAsia="Calibri" w:hAnsi="Arial" w:cs="Arial"/>
          <w:szCs w:val="23"/>
          <w:lang w:val="fr-CA"/>
        </w:rPr>
        <w:t xml:space="preserve">des </w:t>
      </w:r>
      <w:r w:rsidRPr="00F52884">
        <w:rPr>
          <w:rFonts w:ascii="Arial" w:eastAsia="Calibri" w:hAnsi="Arial" w:cs="Arial"/>
          <w:szCs w:val="23"/>
          <w:lang w:val="fr-CA"/>
        </w:rPr>
        <w:t xml:space="preserve">produits ou </w:t>
      </w:r>
      <w:r w:rsidR="00725565" w:rsidRPr="00F52884">
        <w:rPr>
          <w:rFonts w:ascii="Arial" w:eastAsia="Calibri" w:hAnsi="Arial" w:cs="Arial"/>
          <w:szCs w:val="23"/>
          <w:lang w:val="fr-CA"/>
        </w:rPr>
        <w:t xml:space="preserve">des </w:t>
      </w:r>
      <w:r w:rsidRPr="00F52884">
        <w:rPr>
          <w:rFonts w:ascii="Arial" w:eastAsia="Calibri" w:hAnsi="Arial" w:cs="Arial"/>
          <w:szCs w:val="23"/>
          <w:lang w:val="fr-CA"/>
        </w:rPr>
        <w:t xml:space="preserve">services, à l’exception des services de construction; ou (ii) 7 500 000 $ </w:t>
      </w:r>
      <w:r w:rsidR="00644D26"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les services de construction. </w:t>
      </w:r>
    </w:p>
    <w:p w14:paraId="3631B290" w14:textId="7ABAD359" w:rsidR="00AF5F98" w:rsidRPr="00F52884" w:rsidRDefault="00AF5F98" w:rsidP="00AF5F98">
      <w:pPr>
        <w:ind w:left="1440" w:hanging="720"/>
        <w:contextualSpacing/>
        <w:rPr>
          <w:rFonts w:ascii="Arial" w:eastAsia="Calibri" w:hAnsi="Arial" w:cs="Arial"/>
          <w:szCs w:val="23"/>
          <w:lang w:val="fr-FR"/>
        </w:rPr>
      </w:pPr>
    </w:p>
    <w:p w14:paraId="2B9BFF80" w14:textId="448C555B" w:rsidR="00AF5F98" w:rsidRPr="00F52884" w:rsidRDefault="00AF5F98" w:rsidP="00AF5F98">
      <w:pPr>
        <w:numPr>
          <w:ilvl w:val="0"/>
          <w:numId w:val="220"/>
        </w:numPr>
        <w:ind w:left="1440" w:hanging="720"/>
        <w:contextualSpacing/>
        <w:rPr>
          <w:rFonts w:ascii="Arial" w:eastAsia="Calibri" w:hAnsi="Arial" w:cs="Arial"/>
          <w:szCs w:val="23"/>
          <w:lang w:val="fr-FR"/>
        </w:rPr>
      </w:pPr>
      <w:r w:rsidRPr="00F52884">
        <w:rPr>
          <w:rFonts w:ascii="Arial" w:eastAsia="Calibri" w:hAnsi="Arial" w:cs="Arial"/>
          <w:szCs w:val="23"/>
          <w:lang w:val="fr-CA"/>
        </w:rPr>
        <w:t>Pour les entités contractantes décrites à l</w:t>
      </w:r>
      <w:r w:rsidR="00644D26" w:rsidRPr="00F52884">
        <w:rPr>
          <w:rFonts w:ascii="Arial" w:eastAsia="Calibri" w:hAnsi="Arial" w:cs="Arial"/>
          <w:szCs w:val="23"/>
          <w:lang w:val="fr-CA"/>
        </w:rPr>
        <w:t xml:space="preserve"> l’alinéa</w:t>
      </w:r>
      <w:r w:rsidRPr="00F52884">
        <w:rPr>
          <w:rFonts w:ascii="Arial" w:eastAsia="Calibri" w:hAnsi="Arial" w:cs="Arial"/>
          <w:szCs w:val="23"/>
          <w:lang w:val="fr-CA"/>
        </w:rPr>
        <w:t xml:space="preserve"> 504.3c), les valeurs de seuil à </w:t>
      </w:r>
      <w:r w:rsidR="00644D26" w:rsidRPr="00F52884">
        <w:rPr>
          <w:rFonts w:ascii="Arial" w:eastAsia="Calibri" w:hAnsi="Arial" w:cs="Arial"/>
          <w:szCs w:val="23"/>
          <w:lang w:val="fr-CA"/>
        </w:rPr>
        <w:t>l’alinéa</w:t>
      </w:r>
      <w:r w:rsidRPr="00F52884">
        <w:rPr>
          <w:rFonts w:ascii="Arial" w:eastAsia="Calibri" w:hAnsi="Arial" w:cs="Arial"/>
          <w:szCs w:val="23"/>
          <w:lang w:val="fr-CA"/>
        </w:rPr>
        <w:t xml:space="preserve"> 504.3c) sont modifiées à (i) 500 000 $ </w:t>
      </w:r>
      <w:r w:rsidR="00644D26" w:rsidRPr="00F52884">
        <w:rPr>
          <w:rFonts w:ascii="Arial" w:eastAsia="Calibri" w:hAnsi="Arial" w:cs="Arial"/>
          <w:szCs w:val="23"/>
          <w:lang w:val="fr-CA"/>
        </w:rPr>
        <w:t xml:space="preserve">ou plus </w:t>
      </w:r>
      <w:r w:rsidRPr="00F52884">
        <w:rPr>
          <w:rFonts w:ascii="Arial" w:eastAsia="Calibri" w:hAnsi="Arial" w:cs="Arial"/>
          <w:szCs w:val="23"/>
          <w:lang w:val="fr-CA"/>
        </w:rPr>
        <w:t xml:space="preserve">pour </w:t>
      </w:r>
      <w:r w:rsidR="00644D26" w:rsidRPr="00F52884">
        <w:rPr>
          <w:rFonts w:ascii="Arial" w:eastAsia="Calibri" w:hAnsi="Arial" w:cs="Arial"/>
          <w:szCs w:val="23"/>
          <w:lang w:val="fr-CA"/>
        </w:rPr>
        <w:t xml:space="preserve">des </w:t>
      </w:r>
      <w:r w:rsidRPr="00F52884">
        <w:rPr>
          <w:rFonts w:ascii="Arial" w:eastAsia="Calibri" w:hAnsi="Arial" w:cs="Arial"/>
          <w:szCs w:val="23"/>
          <w:lang w:val="fr-CA"/>
        </w:rPr>
        <w:t xml:space="preserve">produits ou </w:t>
      </w:r>
      <w:r w:rsidR="00644D26" w:rsidRPr="00F52884">
        <w:rPr>
          <w:rFonts w:ascii="Arial" w:eastAsia="Calibri" w:hAnsi="Arial" w:cs="Arial"/>
          <w:szCs w:val="23"/>
          <w:lang w:val="fr-CA"/>
        </w:rPr>
        <w:t xml:space="preserve">des </w:t>
      </w:r>
      <w:r w:rsidRPr="00F52884">
        <w:rPr>
          <w:rFonts w:ascii="Arial" w:eastAsia="Calibri" w:hAnsi="Arial" w:cs="Arial"/>
          <w:szCs w:val="23"/>
          <w:lang w:val="fr-CA"/>
        </w:rPr>
        <w:t xml:space="preserve">services, à l’exception des travaux de construction; ou (ii) 7 500 000 $ </w:t>
      </w:r>
      <w:r w:rsidR="00644D26" w:rsidRPr="00F52884">
        <w:rPr>
          <w:rFonts w:ascii="Arial" w:eastAsia="Calibri" w:hAnsi="Arial" w:cs="Arial"/>
          <w:szCs w:val="23"/>
          <w:lang w:val="fr-CA"/>
        </w:rPr>
        <w:t xml:space="preserve">ou plus </w:t>
      </w:r>
      <w:r w:rsidRPr="00F52884">
        <w:rPr>
          <w:rFonts w:ascii="Arial" w:eastAsia="Calibri" w:hAnsi="Arial" w:cs="Arial"/>
          <w:szCs w:val="23"/>
          <w:lang w:val="fr-CA"/>
        </w:rPr>
        <w:t>pour les travaux de construction.</w:t>
      </w:r>
    </w:p>
    <w:p w14:paraId="1AA5AC64" w14:textId="77777777" w:rsidR="00AF5F98" w:rsidRPr="00F52884" w:rsidRDefault="00AF5F98" w:rsidP="00AF5F98">
      <w:pPr>
        <w:ind w:left="1440" w:hanging="720"/>
        <w:contextualSpacing/>
        <w:rPr>
          <w:rFonts w:ascii="Arial" w:eastAsia="Calibri" w:hAnsi="Arial" w:cs="Arial"/>
          <w:szCs w:val="23"/>
          <w:lang w:val="fr-FR"/>
        </w:rPr>
      </w:pPr>
    </w:p>
    <w:p w14:paraId="60D33877" w14:textId="5D4679D8" w:rsidR="00AF5F98" w:rsidRPr="00F52884" w:rsidRDefault="00AF5F98" w:rsidP="00AF5F98">
      <w:pPr>
        <w:ind w:left="720"/>
        <w:contextualSpacing/>
        <w:rPr>
          <w:rFonts w:ascii="Arial" w:eastAsia="Calibri" w:hAnsi="Arial" w:cs="Arial"/>
          <w:szCs w:val="23"/>
          <w:lang w:val="fr-FR"/>
        </w:rPr>
      </w:pPr>
      <w:r w:rsidRPr="00F52884">
        <w:rPr>
          <w:rFonts w:ascii="Arial" w:eastAsia="Calibri" w:hAnsi="Arial" w:cs="Arial"/>
          <w:szCs w:val="23"/>
          <w:lang w:val="fr-CA"/>
        </w:rPr>
        <w:t xml:space="preserve">Il est entendu que si une entité contractante relève de </w:t>
      </w:r>
      <w:r w:rsidR="00644D26" w:rsidRPr="00F52884">
        <w:rPr>
          <w:rFonts w:ascii="Arial" w:eastAsia="Calibri" w:hAnsi="Arial" w:cs="Arial"/>
          <w:szCs w:val="23"/>
          <w:lang w:val="fr-CA"/>
        </w:rPr>
        <w:t>l’alinéa</w:t>
      </w:r>
      <w:r w:rsidRPr="00F52884">
        <w:rPr>
          <w:rFonts w:ascii="Arial" w:eastAsia="Calibri" w:hAnsi="Arial" w:cs="Arial"/>
          <w:szCs w:val="23"/>
          <w:lang w:val="fr-CA"/>
        </w:rPr>
        <w:t xml:space="preserve"> 504.3a) et de </w:t>
      </w:r>
      <w:r w:rsidR="00644D26" w:rsidRPr="00F52884">
        <w:rPr>
          <w:rFonts w:ascii="Arial" w:eastAsia="Calibri" w:hAnsi="Arial" w:cs="Arial"/>
          <w:szCs w:val="23"/>
          <w:lang w:val="fr-CA"/>
        </w:rPr>
        <w:t>l’alinéa</w:t>
      </w:r>
      <w:r w:rsidRPr="00F52884">
        <w:rPr>
          <w:rFonts w:ascii="Arial" w:eastAsia="Calibri" w:hAnsi="Arial" w:cs="Arial"/>
          <w:szCs w:val="23"/>
          <w:lang w:val="fr-CA"/>
        </w:rPr>
        <w:t xml:space="preserve"> 504.3b), les valeurs de seuil applicables sont celles énoncées à l’alinéa b) ci-dessus. Si une entité contractante relève de </w:t>
      </w:r>
      <w:r w:rsidR="00644D26" w:rsidRPr="00F52884">
        <w:rPr>
          <w:rFonts w:ascii="Arial" w:eastAsia="Calibri" w:hAnsi="Arial" w:cs="Arial"/>
          <w:szCs w:val="23"/>
          <w:lang w:val="fr-CA"/>
        </w:rPr>
        <w:t>l’alinéa</w:t>
      </w:r>
      <w:r w:rsidRPr="00F52884">
        <w:rPr>
          <w:rFonts w:ascii="Arial" w:eastAsia="Calibri" w:hAnsi="Arial" w:cs="Arial"/>
          <w:szCs w:val="23"/>
          <w:lang w:val="fr-CA"/>
        </w:rPr>
        <w:t xml:space="preserve"> 504.3a) et de </w:t>
      </w:r>
      <w:r w:rsidR="00644D26" w:rsidRPr="00F52884">
        <w:rPr>
          <w:rFonts w:ascii="Arial" w:eastAsia="Calibri" w:hAnsi="Arial" w:cs="Arial"/>
          <w:szCs w:val="23"/>
          <w:lang w:val="fr-CA"/>
        </w:rPr>
        <w:t>l’alinéa</w:t>
      </w:r>
      <w:r w:rsidR="00644D26" w:rsidRPr="00F52884" w:rsidDel="00644D26">
        <w:rPr>
          <w:rFonts w:ascii="Arial" w:eastAsia="Calibri" w:hAnsi="Arial" w:cs="Arial"/>
          <w:szCs w:val="23"/>
          <w:lang w:val="fr-CA"/>
        </w:rPr>
        <w:t xml:space="preserve"> </w:t>
      </w:r>
      <w:r w:rsidRPr="00F52884">
        <w:rPr>
          <w:rFonts w:ascii="Arial" w:eastAsia="Calibri" w:hAnsi="Arial" w:cs="Arial"/>
          <w:szCs w:val="23"/>
          <w:lang w:val="fr-CA"/>
        </w:rPr>
        <w:t>504.3c), les valeurs de seuil applicables sont celles énoncées à l’alinéa c) ci-dessus.</w:t>
      </w:r>
    </w:p>
    <w:p w14:paraId="222A19A7" w14:textId="77777777" w:rsidR="00AF5F98" w:rsidRPr="00F52884" w:rsidRDefault="00AF5F98" w:rsidP="00AF5F98">
      <w:pPr>
        <w:rPr>
          <w:rFonts w:ascii="Arial" w:eastAsia="Arial" w:hAnsi="Arial" w:cs="Arial"/>
          <w:b/>
          <w:szCs w:val="23"/>
          <w:lang w:val="fr-FR"/>
        </w:rPr>
      </w:pPr>
    </w:p>
    <w:p w14:paraId="4426EF23" w14:textId="77777777" w:rsidR="00AF5F98" w:rsidRPr="00F52884" w:rsidRDefault="00AF5F98" w:rsidP="00AF5F98">
      <w:pPr>
        <w:rPr>
          <w:rFonts w:ascii="Arial" w:eastAsia="Arial" w:hAnsi="Arial" w:cs="Arial"/>
          <w:b/>
          <w:szCs w:val="23"/>
          <w:lang w:val="fr-FR"/>
        </w:rPr>
      </w:pPr>
      <w:r w:rsidRPr="00F52884">
        <w:rPr>
          <w:rFonts w:ascii="Arial" w:eastAsia="Arial" w:hAnsi="Arial" w:cs="Arial"/>
          <w:b/>
          <w:bCs/>
          <w:szCs w:val="23"/>
          <w:lang w:val="fr-CA"/>
        </w:rPr>
        <w:t>B.</w:t>
      </w:r>
      <w:r w:rsidRPr="00F52884">
        <w:rPr>
          <w:rFonts w:ascii="Arial" w:eastAsia="Arial" w:hAnsi="Arial" w:cs="Arial"/>
          <w:szCs w:val="23"/>
          <w:lang w:val="fr-CA"/>
        </w:rPr>
        <w:tab/>
      </w:r>
      <w:r w:rsidRPr="00F52884">
        <w:rPr>
          <w:rFonts w:ascii="Arial" w:eastAsia="Arial" w:hAnsi="Arial" w:cs="Arial"/>
          <w:b/>
          <w:bCs/>
          <w:szCs w:val="23"/>
          <w:lang w:val="fr-CA"/>
        </w:rPr>
        <w:t>Exceptions et remarques</w:t>
      </w:r>
    </w:p>
    <w:p w14:paraId="24B0F8E5" w14:textId="77777777" w:rsidR="00AF5F98" w:rsidRPr="00F52884" w:rsidRDefault="00AF5F98" w:rsidP="00AF5F98">
      <w:pPr>
        <w:rPr>
          <w:rFonts w:ascii="Arial" w:eastAsia="Arial" w:hAnsi="Arial" w:cs="Arial"/>
          <w:b/>
          <w:szCs w:val="23"/>
          <w:lang w:val="fr-FR"/>
        </w:rPr>
      </w:pPr>
    </w:p>
    <w:p w14:paraId="3449213D" w14:textId="28C31A5F" w:rsidR="00AF5F98" w:rsidRPr="00F52884" w:rsidRDefault="00AF5F98" w:rsidP="00F52884">
      <w:pPr>
        <w:pStyle w:val="ListParagraph"/>
        <w:numPr>
          <w:ilvl w:val="0"/>
          <w:numId w:val="290"/>
        </w:numPr>
        <w:ind w:left="709" w:hanging="709"/>
        <w:rPr>
          <w:rFonts w:ascii="Arial" w:eastAsia="Arial" w:hAnsi="Arial" w:cs="Arial"/>
          <w:szCs w:val="23"/>
          <w:lang w:val="fr-FR"/>
        </w:rPr>
      </w:pPr>
      <w:r w:rsidRPr="00F52884">
        <w:rPr>
          <w:rFonts w:ascii="Arial" w:eastAsia="Arial" w:hAnsi="Arial" w:cs="Arial"/>
          <w:szCs w:val="23"/>
          <w:lang w:val="fr-CA"/>
        </w:rPr>
        <w:t xml:space="preserve">Le présent accord ne couvre pas les marchés assujettis à la Nunavut </w:t>
      </w:r>
      <w:proofErr w:type="spellStart"/>
      <w:r w:rsidRPr="00F52884">
        <w:rPr>
          <w:rFonts w:ascii="Arial" w:eastAsia="Arial" w:hAnsi="Arial" w:cs="Arial"/>
          <w:szCs w:val="23"/>
          <w:lang w:val="fr-CA"/>
        </w:rPr>
        <w:t>Nunavum</w:t>
      </w:r>
      <w:r w:rsidR="00644D26" w:rsidRPr="00F52884">
        <w:rPr>
          <w:rFonts w:ascii="Arial" w:eastAsia="Arial" w:hAnsi="Arial" w:cs="Arial"/>
          <w:szCs w:val="23"/>
          <w:lang w:val="fr-CA"/>
        </w:rPr>
        <w:t>m</w:t>
      </w:r>
      <w:r w:rsidRPr="00F52884">
        <w:rPr>
          <w:rFonts w:ascii="Arial" w:eastAsia="Arial" w:hAnsi="Arial" w:cs="Arial"/>
          <w:szCs w:val="23"/>
          <w:lang w:val="fr-CA"/>
        </w:rPr>
        <w:t>i</w:t>
      </w:r>
      <w:proofErr w:type="spellEnd"/>
      <w:r w:rsidRPr="00F52884">
        <w:rPr>
          <w:rFonts w:ascii="Arial" w:eastAsia="Arial" w:hAnsi="Arial" w:cs="Arial"/>
          <w:szCs w:val="23"/>
          <w:lang w:val="fr-CA"/>
        </w:rPr>
        <w:t xml:space="preserve"> </w:t>
      </w:r>
      <w:proofErr w:type="spellStart"/>
      <w:r w:rsidRPr="00F52884">
        <w:rPr>
          <w:rFonts w:ascii="Arial" w:eastAsia="Arial" w:hAnsi="Arial" w:cs="Arial"/>
          <w:szCs w:val="23"/>
          <w:lang w:val="fr-CA"/>
        </w:rPr>
        <w:t>Nangminiqaqtunik</w:t>
      </w:r>
      <w:proofErr w:type="spellEnd"/>
      <w:r w:rsidRPr="00F52884">
        <w:rPr>
          <w:rFonts w:ascii="Arial" w:eastAsia="Arial" w:hAnsi="Arial" w:cs="Arial"/>
          <w:szCs w:val="23"/>
          <w:lang w:val="fr-CA"/>
        </w:rPr>
        <w:t xml:space="preserve"> </w:t>
      </w:r>
      <w:proofErr w:type="spellStart"/>
      <w:r w:rsidRPr="00F52884">
        <w:rPr>
          <w:rFonts w:ascii="Arial" w:eastAsia="Arial" w:hAnsi="Arial" w:cs="Arial"/>
          <w:szCs w:val="23"/>
          <w:lang w:val="fr-CA"/>
        </w:rPr>
        <w:t>Ikajuuti</w:t>
      </w:r>
      <w:proofErr w:type="spellEnd"/>
      <w:r w:rsidRPr="00F52884">
        <w:rPr>
          <w:rFonts w:ascii="Arial" w:eastAsia="Arial" w:hAnsi="Arial" w:cs="Arial"/>
          <w:szCs w:val="23"/>
          <w:lang w:val="fr-CA"/>
        </w:rPr>
        <w:t xml:space="preserve"> (politique NNI) ou aux programmes y succédant qui ont des objectifs semblables, ni les contrats </w:t>
      </w:r>
      <w:r w:rsidR="00644D26" w:rsidRPr="00F52884">
        <w:rPr>
          <w:rFonts w:ascii="Arial" w:eastAsia="Arial" w:hAnsi="Arial" w:cs="Arial"/>
          <w:szCs w:val="23"/>
          <w:lang w:val="fr-CA"/>
        </w:rPr>
        <w:t xml:space="preserve">au sens de </w:t>
      </w:r>
      <w:r w:rsidRPr="00F52884">
        <w:rPr>
          <w:rFonts w:ascii="Arial" w:eastAsia="Arial" w:hAnsi="Arial" w:cs="Arial"/>
          <w:szCs w:val="23"/>
          <w:lang w:val="fr-CA"/>
        </w:rPr>
        <w:t xml:space="preserve">à l’article 24 de </w:t>
      </w:r>
      <w:r w:rsidRPr="0016080B">
        <w:rPr>
          <w:rFonts w:ascii="Arial" w:eastAsia="Arial" w:hAnsi="Arial" w:cs="Arial"/>
          <w:szCs w:val="23"/>
          <w:lang w:val="fr-CA"/>
        </w:rPr>
        <w:t>l’</w:t>
      </w:r>
      <w:r w:rsidRPr="00F34CF7">
        <w:rPr>
          <w:rFonts w:ascii="Arial" w:eastAsia="Arial" w:hAnsi="Arial" w:cs="Arial"/>
          <w:szCs w:val="23"/>
          <w:lang w:val="fr-CA"/>
        </w:rPr>
        <w:t>Accord sur les revendications territoriales du Nunavut</w:t>
      </w:r>
      <w:r w:rsidRPr="0016080B">
        <w:rPr>
          <w:rFonts w:ascii="Arial" w:eastAsia="Arial" w:hAnsi="Arial" w:cs="Arial"/>
          <w:szCs w:val="23"/>
          <w:lang w:val="fr-CA"/>
        </w:rPr>
        <w:t>.</w:t>
      </w:r>
    </w:p>
    <w:p w14:paraId="748CF5E7" w14:textId="77777777" w:rsidR="00AF5F98" w:rsidRPr="00F52884" w:rsidRDefault="00AF5F98" w:rsidP="00AF5F98">
      <w:pPr>
        <w:contextualSpacing/>
        <w:rPr>
          <w:rFonts w:ascii="Arial" w:eastAsia="Arial" w:hAnsi="Arial" w:cs="Arial"/>
          <w:szCs w:val="23"/>
          <w:lang w:val="fr-FR"/>
        </w:rPr>
      </w:pPr>
    </w:p>
    <w:p w14:paraId="5EC28977" w14:textId="5BB6D82D" w:rsidR="00AF5F98" w:rsidRPr="00F52884" w:rsidRDefault="00AF5F98" w:rsidP="00AF5F98">
      <w:pPr>
        <w:numPr>
          <w:ilvl w:val="0"/>
          <w:numId w:val="290"/>
        </w:numPr>
        <w:ind w:left="720" w:hanging="720"/>
        <w:contextualSpacing/>
        <w:rPr>
          <w:rFonts w:ascii="Arial" w:eastAsia="Arial" w:hAnsi="Arial" w:cs="Arial"/>
          <w:szCs w:val="23"/>
          <w:lang w:val="fr-FR"/>
        </w:rPr>
      </w:pPr>
      <w:r w:rsidRPr="00F52884">
        <w:rPr>
          <w:rFonts w:ascii="Arial" w:eastAsia="Arial" w:hAnsi="Arial" w:cs="Arial"/>
          <w:szCs w:val="23"/>
          <w:lang w:val="fr-CA"/>
        </w:rPr>
        <w:t>Les entités contractantes peuvent déroger au présent chapitre aux fins de promotion du développement économique régional en soutenant les petites entreprises ou les possibilités d’emploi, sans fournir de soutien indu aux activités de monopole. Un avis de tels marchés sera rendu public et comprendra les renseignements concernant le marché et le fournisseur retenu.</w:t>
      </w:r>
    </w:p>
    <w:p w14:paraId="68207F75" w14:textId="41B73ACA" w:rsidR="00AF5F98" w:rsidRPr="00F52884" w:rsidRDefault="00AF5F98" w:rsidP="00AF5F98">
      <w:pPr>
        <w:ind w:left="720"/>
        <w:contextualSpacing/>
        <w:rPr>
          <w:rFonts w:ascii="Arial" w:eastAsia="Arial" w:hAnsi="Arial" w:cs="Arial"/>
          <w:szCs w:val="23"/>
          <w:lang w:val="fr-FR"/>
        </w:rPr>
      </w:pPr>
      <w:r w:rsidRPr="00F52884">
        <w:rPr>
          <w:rFonts w:ascii="Arial" w:eastAsia="Arial" w:hAnsi="Arial" w:cs="Arial"/>
          <w:szCs w:val="23"/>
          <w:lang w:val="fr-CA"/>
        </w:rPr>
        <w:lastRenderedPageBreak/>
        <w:t xml:space="preserve">Pour les marchés de produits ou de services supérieurs à 300 000 $ et de services de construction supérieurs à 7 500 000 $, les restrictions additionnelles suivantes s’appliquent à toute dérogation au présent chapitre aux fins du développement économique régional : </w:t>
      </w:r>
    </w:p>
    <w:p w14:paraId="41C6948E" w14:textId="77777777" w:rsidR="00AF5F98" w:rsidRPr="00F52884" w:rsidRDefault="00AF5F98" w:rsidP="00AF5F98">
      <w:pPr>
        <w:autoSpaceDE w:val="0"/>
        <w:autoSpaceDN w:val="0"/>
        <w:adjustRightInd w:val="0"/>
        <w:ind w:left="1440"/>
        <w:contextualSpacing/>
        <w:rPr>
          <w:rFonts w:ascii="Arial" w:eastAsia="Arial" w:hAnsi="Arial" w:cs="Arial"/>
          <w:szCs w:val="23"/>
          <w:lang w:val="fr-FR"/>
        </w:rPr>
      </w:pPr>
    </w:p>
    <w:p w14:paraId="7A3DD862" w14:textId="01E34D98" w:rsidR="00AF5F98" w:rsidRPr="00F52884" w:rsidRDefault="00AF5F98" w:rsidP="0028052A">
      <w:pPr>
        <w:autoSpaceDE w:val="0"/>
        <w:autoSpaceDN w:val="0"/>
        <w:adjustRightInd w:val="0"/>
        <w:ind w:left="720"/>
        <w:contextualSpacing/>
        <w:rPr>
          <w:rFonts w:ascii="Arial" w:eastAsia="Arial" w:hAnsi="Arial" w:cs="Arial"/>
          <w:szCs w:val="23"/>
          <w:lang w:val="fr-FR"/>
        </w:rPr>
      </w:pPr>
      <w:r w:rsidRPr="00F52884">
        <w:rPr>
          <w:rFonts w:ascii="Arial" w:eastAsia="Arial" w:hAnsi="Arial" w:cs="Arial"/>
          <w:szCs w:val="23"/>
          <w:lang w:val="fr-CA"/>
        </w:rPr>
        <w:t>a)</w:t>
      </w:r>
    </w:p>
    <w:p w14:paraId="6CBCF1B7" w14:textId="01ECD68E" w:rsidR="00CA3048" w:rsidRPr="00F52884" w:rsidRDefault="00AF5F98" w:rsidP="00CA3048">
      <w:pPr>
        <w:pStyle w:val="ListParagraph"/>
        <w:numPr>
          <w:ilvl w:val="0"/>
          <w:numId w:val="427"/>
        </w:numPr>
        <w:autoSpaceDE w:val="0"/>
        <w:autoSpaceDN w:val="0"/>
        <w:adjustRightInd w:val="0"/>
        <w:ind w:hanging="540"/>
        <w:rPr>
          <w:rFonts w:ascii="Arial" w:eastAsia="Arial" w:hAnsi="Arial" w:cs="Arial"/>
          <w:szCs w:val="23"/>
          <w:lang w:val="fr-FR"/>
        </w:rPr>
      </w:pPr>
      <w:proofErr w:type="gramStart"/>
      <w:r w:rsidRPr="00F52884">
        <w:rPr>
          <w:rFonts w:ascii="Arial" w:eastAsia="Arial" w:hAnsi="Arial" w:cs="Arial"/>
          <w:szCs w:val="23"/>
          <w:lang w:val="fr-CA"/>
        </w:rPr>
        <w:t>si</w:t>
      </w:r>
      <w:proofErr w:type="gramEnd"/>
      <w:r w:rsidRPr="00F52884">
        <w:rPr>
          <w:rFonts w:ascii="Arial" w:eastAsia="Arial" w:hAnsi="Arial" w:cs="Arial"/>
          <w:szCs w:val="23"/>
          <w:lang w:val="fr-CA"/>
        </w:rPr>
        <w:t xml:space="preserve"> la valeur totale du marché de produits ou de services est supérieure à un million de dollars ou si la valeur du marché de services de construction est supérieure à 7 500 000 $, la valeur de la portion du marché qui serait touchée par la dérogation ne doit pas dépasser un million de dollars;</w:t>
      </w:r>
    </w:p>
    <w:p w14:paraId="44418A0E" w14:textId="77777777" w:rsidR="00CA3048" w:rsidRPr="00F52884" w:rsidRDefault="00CA3048" w:rsidP="00CA3048">
      <w:pPr>
        <w:pStyle w:val="ListParagraph"/>
        <w:autoSpaceDE w:val="0"/>
        <w:autoSpaceDN w:val="0"/>
        <w:adjustRightInd w:val="0"/>
        <w:ind w:left="2160" w:hanging="540"/>
        <w:rPr>
          <w:rFonts w:ascii="Arial" w:eastAsia="Arial" w:hAnsi="Arial" w:cs="Arial"/>
          <w:szCs w:val="23"/>
          <w:lang w:val="fr-FR"/>
        </w:rPr>
      </w:pPr>
    </w:p>
    <w:p w14:paraId="0B985B74" w14:textId="0908A793" w:rsidR="00AF5F98" w:rsidRPr="00F52884" w:rsidRDefault="00AF5F98" w:rsidP="00CA3048">
      <w:pPr>
        <w:pStyle w:val="ListParagraph"/>
        <w:numPr>
          <w:ilvl w:val="0"/>
          <w:numId w:val="427"/>
        </w:numPr>
        <w:autoSpaceDE w:val="0"/>
        <w:autoSpaceDN w:val="0"/>
        <w:adjustRightInd w:val="0"/>
        <w:ind w:hanging="540"/>
        <w:rPr>
          <w:rFonts w:ascii="Arial" w:eastAsia="Arial" w:hAnsi="Arial" w:cs="Arial"/>
          <w:szCs w:val="23"/>
          <w:lang w:val="fr-FR"/>
        </w:rPr>
      </w:pPr>
      <w:proofErr w:type="gramStart"/>
      <w:r w:rsidRPr="00F52884">
        <w:rPr>
          <w:rFonts w:ascii="Arial" w:eastAsia="Arial" w:hAnsi="Arial" w:cs="Arial"/>
          <w:szCs w:val="23"/>
          <w:lang w:val="fr-CA"/>
        </w:rPr>
        <w:t>si</w:t>
      </w:r>
      <w:proofErr w:type="gramEnd"/>
      <w:r w:rsidRPr="00F52884">
        <w:rPr>
          <w:rFonts w:ascii="Arial" w:eastAsia="Arial" w:hAnsi="Arial" w:cs="Arial"/>
          <w:szCs w:val="23"/>
          <w:lang w:val="fr-CA"/>
        </w:rPr>
        <w:t xml:space="preserve"> le marché de produits ou de services a une valeur ne dépassant pas un million de dollars, la valeur totale du contrat peut être touchée par la dérogation; </w:t>
      </w:r>
    </w:p>
    <w:p w14:paraId="6EF9157A" w14:textId="77777777" w:rsidR="00AF5F98" w:rsidRPr="00F52884" w:rsidRDefault="00AF5F98" w:rsidP="00AF5F98">
      <w:pPr>
        <w:ind w:left="720"/>
        <w:contextualSpacing/>
        <w:rPr>
          <w:rFonts w:ascii="Arial" w:eastAsia="Arial" w:hAnsi="Arial" w:cs="Arial"/>
          <w:szCs w:val="23"/>
          <w:lang w:val="fr-FR"/>
        </w:rPr>
      </w:pPr>
    </w:p>
    <w:p w14:paraId="64B9ED31" w14:textId="581275FB" w:rsidR="00AF5F98" w:rsidRPr="00F52884" w:rsidRDefault="00AF5F98" w:rsidP="0028052A">
      <w:pPr>
        <w:autoSpaceDE w:val="0"/>
        <w:autoSpaceDN w:val="0"/>
        <w:adjustRightInd w:val="0"/>
        <w:ind w:left="1440" w:hanging="720"/>
        <w:contextualSpacing/>
        <w:rPr>
          <w:rFonts w:ascii="Arial" w:eastAsia="Arial" w:hAnsi="Arial" w:cs="Arial"/>
          <w:szCs w:val="23"/>
          <w:lang w:val="fr-FR"/>
        </w:rPr>
      </w:pPr>
      <w:r w:rsidRPr="00F52884">
        <w:rPr>
          <w:rFonts w:ascii="Arial" w:eastAsia="Arial" w:hAnsi="Arial" w:cs="Arial"/>
          <w:szCs w:val="23"/>
          <w:lang w:val="fr-CA"/>
        </w:rPr>
        <w:t>b)</w:t>
      </w:r>
      <w:r w:rsidRPr="00F52884">
        <w:rPr>
          <w:rFonts w:ascii="Arial" w:eastAsia="Arial" w:hAnsi="Arial" w:cs="Arial"/>
          <w:szCs w:val="23"/>
          <w:lang w:val="fr-CA"/>
        </w:rPr>
        <w:tab/>
        <w:t>il ne peut être recouru à la présente dérogation plus de dix fois par année;</w:t>
      </w:r>
    </w:p>
    <w:p w14:paraId="4BCD6504" w14:textId="77777777" w:rsidR="00AF5F98" w:rsidRPr="00F52884" w:rsidRDefault="00AF5F98" w:rsidP="0028052A">
      <w:pPr>
        <w:autoSpaceDE w:val="0"/>
        <w:autoSpaceDN w:val="0"/>
        <w:adjustRightInd w:val="0"/>
        <w:ind w:left="1440" w:hanging="720"/>
        <w:contextualSpacing/>
        <w:rPr>
          <w:rFonts w:ascii="Arial" w:eastAsia="Arial" w:hAnsi="Arial" w:cs="Arial"/>
          <w:szCs w:val="23"/>
          <w:lang w:val="fr-CA"/>
        </w:rPr>
      </w:pPr>
    </w:p>
    <w:p w14:paraId="21A919BB" w14:textId="5FA9C65C" w:rsidR="00AF5F98" w:rsidRPr="00F52884" w:rsidRDefault="00AF5F98" w:rsidP="0028052A">
      <w:pPr>
        <w:autoSpaceDE w:val="0"/>
        <w:autoSpaceDN w:val="0"/>
        <w:adjustRightInd w:val="0"/>
        <w:ind w:left="1440" w:hanging="720"/>
        <w:contextualSpacing/>
        <w:rPr>
          <w:rFonts w:ascii="Arial" w:eastAsia="Arial" w:hAnsi="Arial" w:cs="Arial"/>
          <w:szCs w:val="23"/>
          <w:lang w:val="fr-CA"/>
        </w:rPr>
      </w:pPr>
      <w:r w:rsidRPr="00F52884">
        <w:rPr>
          <w:rFonts w:ascii="Arial" w:eastAsia="Arial" w:hAnsi="Arial" w:cs="Arial"/>
          <w:szCs w:val="23"/>
          <w:lang w:val="fr-CA"/>
        </w:rPr>
        <w:t xml:space="preserve">c) </w:t>
      </w:r>
      <w:r w:rsidRPr="00F52884">
        <w:rPr>
          <w:rFonts w:ascii="Arial" w:eastAsia="Arial" w:hAnsi="Arial" w:cs="Arial"/>
          <w:szCs w:val="23"/>
          <w:lang w:val="fr-CA"/>
        </w:rPr>
        <w:tab/>
        <w:t>un marché financé par le gouvernement du Canada ne peut bénéficier d’une dérogation.</w:t>
      </w:r>
    </w:p>
    <w:p w14:paraId="6F4CD526" w14:textId="77777777" w:rsidR="00AF5F98" w:rsidRPr="00F52884" w:rsidRDefault="00AF5F98" w:rsidP="00AF5F98">
      <w:pPr>
        <w:autoSpaceDE w:val="0"/>
        <w:autoSpaceDN w:val="0"/>
        <w:adjustRightInd w:val="0"/>
        <w:ind w:left="2160" w:hanging="720"/>
        <w:contextualSpacing/>
        <w:rPr>
          <w:rFonts w:ascii="Arial" w:eastAsia="Arial" w:hAnsi="Arial" w:cs="Arial"/>
          <w:szCs w:val="23"/>
          <w:lang w:val="fr-FR"/>
        </w:rPr>
      </w:pPr>
    </w:p>
    <w:p w14:paraId="3F9E5C7A" w14:textId="5F65B425" w:rsidR="00AF5F98" w:rsidRPr="00F52884" w:rsidRDefault="00AF5F98" w:rsidP="00F52884">
      <w:pPr>
        <w:tabs>
          <w:tab w:val="left" w:pos="720"/>
        </w:tabs>
        <w:ind w:left="709" w:hanging="709"/>
        <w:contextualSpacing/>
        <w:rPr>
          <w:rFonts w:ascii="Arial" w:eastAsia="Arial" w:hAnsi="Arial" w:cs="Arial"/>
          <w:szCs w:val="23"/>
          <w:lang w:val="fr-FR"/>
        </w:rPr>
      </w:pPr>
      <w:r w:rsidRPr="00F52884">
        <w:rPr>
          <w:rFonts w:ascii="Arial" w:eastAsia="Arial" w:hAnsi="Arial" w:cs="Arial"/>
          <w:szCs w:val="23"/>
          <w:lang w:val="fr-CA"/>
        </w:rPr>
        <w:t>3.</w:t>
      </w:r>
      <w:r w:rsidRPr="00F52884">
        <w:rPr>
          <w:rFonts w:ascii="Arial" w:eastAsia="Arial" w:hAnsi="Arial" w:cs="Arial"/>
          <w:szCs w:val="23"/>
          <w:lang w:val="fr-CA"/>
        </w:rPr>
        <w:tab/>
        <w:t xml:space="preserve">Seul l’article 502.2 s’applique aux marchés ayant pour objectif la réduction de la pauvreté pour les personnes défavorisées lorsque la valeur de ces marchés est inférieure à 300 000 $. </w:t>
      </w:r>
    </w:p>
    <w:p w14:paraId="394E7DFA" w14:textId="77777777" w:rsidR="00AF5F98" w:rsidRPr="00F52884" w:rsidRDefault="00AF5F98" w:rsidP="00AF5F98">
      <w:pPr>
        <w:ind w:left="1440"/>
        <w:contextualSpacing/>
        <w:rPr>
          <w:rFonts w:ascii="Arial" w:eastAsia="Arial" w:hAnsi="Arial" w:cs="Arial"/>
          <w:szCs w:val="23"/>
          <w:lang w:val="fr-FR"/>
        </w:rPr>
      </w:pPr>
    </w:p>
    <w:p w14:paraId="1343A881" w14:textId="55F84A80" w:rsidR="00AF5F98" w:rsidRPr="00F52884" w:rsidRDefault="00AF5F98" w:rsidP="00F52884">
      <w:pPr>
        <w:ind w:left="709" w:hanging="709"/>
        <w:rPr>
          <w:rFonts w:ascii="Arial" w:eastAsia="Arial" w:hAnsi="Arial" w:cs="Arial"/>
          <w:szCs w:val="23"/>
          <w:lang w:val="fr-FR"/>
        </w:rPr>
      </w:pPr>
      <w:r w:rsidRPr="00F52884">
        <w:rPr>
          <w:rFonts w:ascii="Arial" w:eastAsia="Arial" w:hAnsi="Arial" w:cs="Arial"/>
          <w:szCs w:val="23"/>
          <w:lang w:val="fr-CA"/>
        </w:rPr>
        <w:t>4.</w:t>
      </w:r>
      <w:r w:rsidRPr="00F52884">
        <w:rPr>
          <w:rFonts w:ascii="Arial" w:eastAsia="Arial" w:hAnsi="Arial" w:cs="Arial"/>
          <w:szCs w:val="23"/>
          <w:lang w:val="fr-CA"/>
        </w:rPr>
        <w:tab/>
        <w:t xml:space="preserve">L’article 518.9 s’applique seulement aux entités publiques décrites à </w:t>
      </w:r>
      <w:r w:rsidR="00457325" w:rsidRPr="00F52884">
        <w:rPr>
          <w:rFonts w:ascii="Arial" w:eastAsia="Arial" w:hAnsi="Arial" w:cs="Arial"/>
          <w:szCs w:val="23"/>
          <w:lang w:val="fr-CA"/>
        </w:rPr>
        <w:t>l’a</w:t>
      </w:r>
      <w:r w:rsidR="00457325">
        <w:rPr>
          <w:rFonts w:ascii="Arial" w:eastAsia="Arial" w:hAnsi="Arial" w:cs="Arial"/>
          <w:szCs w:val="23"/>
          <w:lang w:val="fr-CA"/>
        </w:rPr>
        <w:t>lin</w:t>
      </w:r>
      <w:r w:rsidR="00457325" w:rsidRPr="00F52884">
        <w:rPr>
          <w:rFonts w:ascii="Arial" w:eastAsia="Arial" w:hAnsi="Arial" w:cs="Arial"/>
          <w:szCs w:val="23"/>
          <w:lang w:val="fr-CA"/>
        </w:rPr>
        <w:t>é</w:t>
      </w:r>
      <w:r w:rsidR="00457325">
        <w:rPr>
          <w:rFonts w:ascii="Arial" w:eastAsia="Arial" w:hAnsi="Arial" w:cs="Arial"/>
          <w:szCs w:val="23"/>
          <w:lang w:val="fr-CA"/>
        </w:rPr>
        <w:t>a</w:t>
      </w:r>
      <w:r w:rsidR="00457325" w:rsidRPr="00F52884">
        <w:rPr>
          <w:rFonts w:ascii="Arial" w:eastAsia="Arial" w:hAnsi="Arial" w:cs="Arial"/>
          <w:szCs w:val="23"/>
          <w:lang w:val="fr-CA"/>
        </w:rPr>
        <w:t> </w:t>
      </w:r>
      <w:r w:rsidRPr="00F52884">
        <w:rPr>
          <w:rFonts w:ascii="Arial" w:eastAsia="Arial" w:hAnsi="Arial" w:cs="Arial"/>
          <w:szCs w:val="23"/>
          <w:lang w:val="fr-CA"/>
        </w:rPr>
        <w:t xml:space="preserve">504.3a) lorsque la valeur du marché public est (i) d’au moins 300 000 $ pour </w:t>
      </w:r>
      <w:r w:rsidR="00644D26" w:rsidRPr="00F52884">
        <w:rPr>
          <w:rFonts w:ascii="Arial" w:eastAsia="Arial" w:hAnsi="Arial" w:cs="Arial"/>
          <w:szCs w:val="23"/>
          <w:lang w:val="fr-CA"/>
        </w:rPr>
        <w:t xml:space="preserve">des </w:t>
      </w:r>
      <w:r w:rsidRPr="00F52884">
        <w:rPr>
          <w:rFonts w:ascii="Arial" w:eastAsia="Arial" w:hAnsi="Arial" w:cs="Arial"/>
          <w:szCs w:val="23"/>
          <w:lang w:val="fr-CA"/>
        </w:rPr>
        <w:t xml:space="preserve">produits ou </w:t>
      </w:r>
      <w:r w:rsidR="00644D26" w:rsidRPr="00F52884">
        <w:rPr>
          <w:rFonts w:ascii="Arial" w:eastAsia="Arial" w:hAnsi="Arial" w:cs="Arial"/>
          <w:szCs w:val="23"/>
          <w:lang w:val="fr-CA"/>
        </w:rPr>
        <w:t xml:space="preserve">des </w:t>
      </w:r>
      <w:r w:rsidRPr="00F52884">
        <w:rPr>
          <w:rFonts w:ascii="Arial" w:eastAsia="Arial" w:hAnsi="Arial" w:cs="Arial"/>
          <w:szCs w:val="23"/>
          <w:lang w:val="fr-CA"/>
        </w:rPr>
        <w:t>services; ou (ii) d’au moins 7 500 000 $ pour les services de construction.</w:t>
      </w:r>
    </w:p>
    <w:p w14:paraId="25A417AF" w14:textId="77777777" w:rsidR="00AF5F98" w:rsidRPr="00F52884" w:rsidRDefault="00AF5F98" w:rsidP="00AF5F98">
      <w:pPr>
        <w:rPr>
          <w:rFonts w:ascii="Arial" w:eastAsia="Arial" w:hAnsi="Arial" w:cs="Arial"/>
          <w:szCs w:val="23"/>
          <w:lang w:val="fr-CA"/>
        </w:rPr>
      </w:pPr>
    </w:p>
    <w:p w14:paraId="0BC179BF" w14:textId="77777777" w:rsidR="00C2527D" w:rsidRPr="00F52884" w:rsidRDefault="00C2527D">
      <w:pPr>
        <w:rPr>
          <w:rFonts w:cstheme="minorHAnsi"/>
          <w:b/>
          <w:bCs/>
          <w:szCs w:val="23"/>
          <w:lang w:val="fr-CA"/>
        </w:rPr>
      </w:pPr>
      <w:r w:rsidRPr="00F52884">
        <w:rPr>
          <w:rFonts w:cstheme="minorHAnsi"/>
          <w:b/>
          <w:bCs/>
          <w:szCs w:val="23"/>
          <w:lang w:val="fr-CA"/>
        </w:rPr>
        <w:br w:type="page"/>
      </w:r>
    </w:p>
    <w:p w14:paraId="7413E119" w14:textId="4346C64F" w:rsidR="006525BE" w:rsidRPr="0009540F" w:rsidRDefault="006525BE" w:rsidP="00F3725A">
      <w:pPr>
        <w:spacing w:before="200"/>
        <w:jc w:val="center"/>
        <w:outlineLvl w:val="1"/>
        <w:rPr>
          <w:rFonts w:ascii="Arial" w:eastAsia="SimHei" w:hAnsi="Arial" w:cs="Arial"/>
          <w:b/>
          <w:bCs/>
          <w:sz w:val="24"/>
          <w:szCs w:val="24"/>
          <w:lang w:val="fr-CA"/>
        </w:rPr>
      </w:pPr>
      <w:bookmarkStart w:id="62" w:name="_Toc156311774"/>
      <w:r w:rsidRPr="0009540F">
        <w:rPr>
          <w:rFonts w:ascii="Arial" w:eastAsia="SimHei" w:hAnsi="Arial" w:cs="Arial"/>
          <w:b/>
          <w:bCs/>
          <w:sz w:val="24"/>
          <w:szCs w:val="24"/>
          <w:lang w:val="fr-CA"/>
        </w:rPr>
        <w:lastRenderedPageBreak/>
        <w:t>Chapitre Six – Protection de l’environnement</w:t>
      </w:r>
      <w:bookmarkEnd w:id="33"/>
      <w:bookmarkEnd w:id="62"/>
    </w:p>
    <w:p w14:paraId="39AF6F53" w14:textId="77777777" w:rsidR="006525BE" w:rsidRPr="0009540F" w:rsidRDefault="006525BE" w:rsidP="00F3725A">
      <w:pPr>
        <w:rPr>
          <w:rFonts w:ascii="Arial" w:eastAsia="Arial" w:hAnsi="Arial" w:cs="Arial"/>
          <w:b/>
          <w:szCs w:val="23"/>
          <w:lang w:val="fr-CA"/>
        </w:rPr>
      </w:pPr>
    </w:p>
    <w:p w14:paraId="1A4E84B8" w14:textId="77777777" w:rsidR="006525BE" w:rsidRPr="0009540F" w:rsidRDefault="006525BE" w:rsidP="00F3725A">
      <w:pPr>
        <w:rPr>
          <w:rFonts w:ascii="Arial" w:eastAsia="Arial" w:hAnsi="Arial" w:cs="Arial"/>
          <w:b/>
          <w:szCs w:val="23"/>
          <w:lang w:val="fr-CA"/>
        </w:rPr>
      </w:pPr>
    </w:p>
    <w:p w14:paraId="514637D9" w14:textId="77777777" w:rsidR="006525BE" w:rsidRPr="0009540F" w:rsidRDefault="006525BE" w:rsidP="00F3725A">
      <w:pPr>
        <w:jc w:val="center"/>
        <w:rPr>
          <w:rFonts w:ascii="Arial" w:eastAsia="Arial" w:hAnsi="Arial" w:cs="Arial"/>
          <w:b/>
          <w:szCs w:val="23"/>
          <w:lang w:val="fr-CA"/>
        </w:rPr>
      </w:pPr>
      <w:r w:rsidRPr="0009540F">
        <w:rPr>
          <w:rFonts w:ascii="Arial" w:eastAsia="Arial" w:hAnsi="Arial" w:cs="Arial"/>
          <w:b/>
          <w:bCs/>
          <w:szCs w:val="23"/>
          <w:lang w:val="fr-CA"/>
        </w:rPr>
        <w:t>Article 600 :</w:t>
      </w:r>
      <w:r w:rsidRPr="0009540F">
        <w:rPr>
          <w:rFonts w:ascii="Arial" w:eastAsia="Arial" w:hAnsi="Arial" w:cs="Arial"/>
          <w:szCs w:val="23"/>
          <w:lang w:val="fr-CA"/>
        </w:rPr>
        <w:tab/>
      </w:r>
      <w:r w:rsidRPr="0009540F">
        <w:rPr>
          <w:rFonts w:ascii="Arial" w:eastAsia="Arial" w:hAnsi="Arial" w:cs="Arial"/>
          <w:szCs w:val="23"/>
          <w:lang w:val="fr-CA"/>
        </w:rPr>
        <w:tab/>
      </w:r>
      <w:r w:rsidRPr="0009540F">
        <w:rPr>
          <w:rFonts w:ascii="Arial" w:eastAsia="Arial" w:hAnsi="Arial" w:cs="Arial"/>
          <w:b/>
          <w:bCs/>
          <w:szCs w:val="23"/>
          <w:lang w:val="fr-CA"/>
        </w:rPr>
        <w:t>Portée et champ d’application</w:t>
      </w:r>
    </w:p>
    <w:p w14:paraId="0DD951BB" w14:textId="77777777" w:rsidR="006525BE" w:rsidRPr="0009540F" w:rsidRDefault="006525BE" w:rsidP="00F3725A">
      <w:pPr>
        <w:jc w:val="both"/>
        <w:rPr>
          <w:rFonts w:ascii="Arial" w:eastAsia="Arial" w:hAnsi="Arial" w:cs="Arial"/>
          <w:b/>
          <w:szCs w:val="23"/>
          <w:lang w:val="fr-CA"/>
        </w:rPr>
      </w:pPr>
    </w:p>
    <w:p w14:paraId="65213ADD" w14:textId="077ACAB9" w:rsidR="006525BE" w:rsidRPr="0009540F" w:rsidRDefault="006525BE" w:rsidP="00F3725A">
      <w:pPr>
        <w:ind w:firstLine="720"/>
        <w:jc w:val="both"/>
        <w:rPr>
          <w:rFonts w:ascii="Arial" w:eastAsia="Arial" w:hAnsi="Arial" w:cs="Arial"/>
          <w:szCs w:val="23"/>
          <w:lang w:val="fr-CA"/>
        </w:rPr>
      </w:pPr>
      <w:r w:rsidRPr="0009540F">
        <w:rPr>
          <w:rFonts w:ascii="Arial" w:eastAsia="Arial" w:hAnsi="Arial" w:cs="Arial"/>
          <w:szCs w:val="23"/>
          <w:lang w:val="fr-CA"/>
        </w:rPr>
        <w:t xml:space="preserve">Le présent chapitre s’applique à toute mesure environnementale adoptée ou maintenue par une Partie qui </w:t>
      </w:r>
      <w:r w:rsidR="006336B8" w:rsidRPr="0009540F">
        <w:rPr>
          <w:rFonts w:ascii="Arial" w:eastAsia="Arial" w:hAnsi="Arial" w:cs="Arial"/>
          <w:szCs w:val="23"/>
          <w:lang w:val="fr-CA"/>
        </w:rPr>
        <w:t xml:space="preserve">est </w:t>
      </w:r>
      <w:r w:rsidRPr="0009540F">
        <w:rPr>
          <w:rFonts w:ascii="Arial" w:eastAsia="Arial" w:hAnsi="Arial" w:cs="Arial"/>
          <w:szCs w:val="23"/>
          <w:lang w:val="fr-CA"/>
        </w:rPr>
        <w:t>susceptible d’affecter le commerce, l’investissement ou la mobilité de la main-d’œuvre à l’intérieur du Canada.</w:t>
      </w:r>
    </w:p>
    <w:p w14:paraId="46DC1883" w14:textId="77777777" w:rsidR="006525BE" w:rsidRPr="0009540F" w:rsidRDefault="006525BE" w:rsidP="00F3725A">
      <w:pPr>
        <w:jc w:val="both"/>
        <w:rPr>
          <w:rFonts w:ascii="Arial" w:eastAsia="Arial" w:hAnsi="Arial" w:cs="Arial"/>
          <w:szCs w:val="23"/>
          <w:lang w:val="fr-CA"/>
        </w:rPr>
      </w:pPr>
    </w:p>
    <w:p w14:paraId="04A52678" w14:textId="0CBFC758" w:rsidR="006525BE" w:rsidRPr="0009540F" w:rsidRDefault="006525BE" w:rsidP="00F3725A">
      <w:pPr>
        <w:ind w:left="2124"/>
        <w:rPr>
          <w:rFonts w:ascii="Arial" w:eastAsia="Arial" w:hAnsi="Arial" w:cs="Arial"/>
          <w:b/>
          <w:szCs w:val="23"/>
          <w:lang w:val="fr-CA"/>
        </w:rPr>
      </w:pPr>
      <w:r w:rsidRPr="0009540F">
        <w:rPr>
          <w:rFonts w:ascii="Arial" w:eastAsia="Arial" w:hAnsi="Arial" w:cs="Arial"/>
          <w:b/>
          <w:bCs/>
          <w:szCs w:val="23"/>
          <w:lang w:val="fr-CA"/>
        </w:rPr>
        <w:t>Article 601 :</w:t>
      </w:r>
      <w:r w:rsidRPr="0009540F">
        <w:rPr>
          <w:rFonts w:ascii="Arial" w:eastAsia="Arial" w:hAnsi="Arial" w:cs="Arial"/>
          <w:szCs w:val="23"/>
          <w:lang w:val="fr-CA"/>
        </w:rPr>
        <w:tab/>
      </w:r>
      <w:r w:rsidR="00544CAB" w:rsidRPr="0009540F">
        <w:rPr>
          <w:rFonts w:ascii="Arial" w:eastAsia="Arial" w:hAnsi="Arial" w:cs="Arial"/>
          <w:szCs w:val="23"/>
          <w:lang w:val="fr-CA"/>
        </w:rPr>
        <w:tab/>
      </w:r>
      <w:r w:rsidRPr="0009540F">
        <w:rPr>
          <w:rFonts w:ascii="Arial" w:eastAsia="Arial" w:hAnsi="Arial" w:cs="Arial"/>
          <w:b/>
          <w:bCs/>
          <w:szCs w:val="23"/>
          <w:lang w:val="fr-CA"/>
        </w:rPr>
        <w:t>Contexte et objectifs</w:t>
      </w:r>
    </w:p>
    <w:p w14:paraId="4EC18B01" w14:textId="77777777" w:rsidR="006525BE" w:rsidRPr="0009540F" w:rsidRDefault="006525BE" w:rsidP="00F3725A">
      <w:pPr>
        <w:jc w:val="both"/>
        <w:rPr>
          <w:rFonts w:ascii="Arial" w:eastAsia="Arial" w:hAnsi="Arial" w:cs="Arial"/>
          <w:b/>
          <w:szCs w:val="23"/>
          <w:lang w:val="fr-CA"/>
        </w:rPr>
      </w:pPr>
    </w:p>
    <w:p w14:paraId="71FE9527" w14:textId="344F2DEC" w:rsidR="006525BE" w:rsidRPr="0009540F" w:rsidRDefault="006525BE" w:rsidP="00F3725A">
      <w:pPr>
        <w:ind w:firstLine="720"/>
        <w:jc w:val="both"/>
        <w:rPr>
          <w:rFonts w:ascii="Arial" w:eastAsia="Arial" w:hAnsi="Arial" w:cs="Arial"/>
          <w:szCs w:val="23"/>
          <w:lang w:val="fr-CA"/>
        </w:rPr>
      </w:pPr>
      <w:r w:rsidRPr="0009540F">
        <w:rPr>
          <w:rFonts w:ascii="Arial" w:eastAsia="Arial" w:hAnsi="Arial" w:cs="Arial"/>
          <w:szCs w:val="23"/>
          <w:lang w:val="fr-CA"/>
        </w:rPr>
        <w:t>Les Parties reconnaissent que la protection de l’environnement et le commerce peuvent se renforcer mutuellement et que le développement durable devrait faire partie d’une approche globale à l’égard du commerce. La protection de l’environnement comprend l’atténuation des changements climatiques et l’adaptation à ces changements, et le maintien de la durabilité des ressources naturelles comme le</w:t>
      </w:r>
      <w:r w:rsidR="00E04F70" w:rsidRPr="0009540F">
        <w:rPr>
          <w:rFonts w:ascii="Arial" w:eastAsia="Arial" w:hAnsi="Arial" w:cs="Arial"/>
          <w:szCs w:val="23"/>
          <w:lang w:val="fr-CA"/>
        </w:rPr>
        <w:t>s</w:t>
      </w:r>
      <w:r w:rsidRPr="0009540F">
        <w:rPr>
          <w:rFonts w:ascii="Arial" w:eastAsia="Arial" w:hAnsi="Arial" w:cs="Arial"/>
          <w:szCs w:val="23"/>
          <w:lang w:val="fr-CA"/>
        </w:rPr>
        <w:t xml:space="preserve"> poisson</w:t>
      </w:r>
      <w:r w:rsidR="00E04F70" w:rsidRPr="0009540F">
        <w:rPr>
          <w:rFonts w:ascii="Arial" w:eastAsia="Arial" w:hAnsi="Arial" w:cs="Arial"/>
          <w:szCs w:val="23"/>
          <w:lang w:val="fr-CA"/>
        </w:rPr>
        <w:t>s</w:t>
      </w:r>
      <w:r w:rsidRPr="0009540F">
        <w:rPr>
          <w:rFonts w:ascii="Arial" w:eastAsia="Arial" w:hAnsi="Arial" w:cs="Arial"/>
          <w:szCs w:val="23"/>
          <w:lang w:val="fr-CA"/>
        </w:rPr>
        <w:t>, les forêts, l’air pur et l’eau.</w:t>
      </w:r>
    </w:p>
    <w:p w14:paraId="4EACF9AB" w14:textId="77777777" w:rsidR="006525BE" w:rsidRPr="0009540F" w:rsidRDefault="006525BE" w:rsidP="00F3725A">
      <w:pPr>
        <w:jc w:val="both"/>
        <w:rPr>
          <w:rFonts w:ascii="Arial" w:eastAsia="Arial" w:hAnsi="Arial" w:cs="Arial"/>
          <w:szCs w:val="23"/>
          <w:lang w:val="fr-CA"/>
        </w:rPr>
      </w:pPr>
    </w:p>
    <w:p w14:paraId="5CF302BD" w14:textId="77777777" w:rsidR="006525BE" w:rsidRPr="0009540F" w:rsidRDefault="006525BE" w:rsidP="00F3725A">
      <w:pPr>
        <w:jc w:val="center"/>
        <w:rPr>
          <w:rFonts w:ascii="Arial" w:eastAsia="Arial" w:hAnsi="Arial" w:cs="Arial"/>
          <w:b/>
          <w:szCs w:val="23"/>
          <w:lang w:val="fr-CA"/>
        </w:rPr>
      </w:pPr>
      <w:r w:rsidRPr="0009540F">
        <w:rPr>
          <w:rFonts w:ascii="Arial" w:eastAsia="Arial" w:hAnsi="Arial" w:cs="Arial"/>
          <w:b/>
          <w:bCs/>
          <w:szCs w:val="23"/>
          <w:lang w:val="fr-CA"/>
        </w:rPr>
        <w:t>Article 602 :</w:t>
      </w:r>
      <w:r w:rsidRPr="0009540F">
        <w:rPr>
          <w:rFonts w:ascii="Arial" w:eastAsia="Arial" w:hAnsi="Arial" w:cs="Arial"/>
          <w:szCs w:val="23"/>
          <w:lang w:val="fr-CA"/>
        </w:rPr>
        <w:tab/>
      </w:r>
      <w:r w:rsidRPr="0009540F">
        <w:rPr>
          <w:rFonts w:ascii="Arial" w:eastAsia="Arial" w:hAnsi="Arial" w:cs="Arial"/>
          <w:szCs w:val="23"/>
          <w:lang w:val="fr-CA"/>
        </w:rPr>
        <w:tab/>
      </w:r>
      <w:r w:rsidRPr="0009540F">
        <w:rPr>
          <w:rFonts w:ascii="Arial" w:eastAsia="Arial" w:hAnsi="Arial" w:cs="Arial"/>
          <w:b/>
          <w:bCs/>
          <w:szCs w:val="23"/>
          <w:lang w:val="fr-CA"/>
        </w:rPr>
        <w:t>Relations avec d’autres accords</w:t>
      </w:r>
    </w:p>
    <w:p w14:paraId="71BD02E5" w14:textId="77777777" w:rsidR="006525BE" w:rsidRPr="0009540F" w:rsidRDefault="006525BE" w:rsidP="00F3725A">
      <w:pPr>
        <w:jc w:val="both"/>
        <w:rPr>
          <w:rFonts w:ascii="Arial" w:eastAsia="Arial" w:hAnsi="Arial" w:cs="Arial"/>
          <w:b/>
          <w:szCs w:val="23"/>
          <w:lang w:val="fr-CA"/>
        </w:rPr>
      </w:pPr>
    </w:p>
    <w:p w14:paraId="7B24FD27" w14:textId="39833430" w:rsidR="006525BE" w:rsidRPr="0009540F" w:rsidRDefault="006525BE" w:rsidP="00F3725A">
      <w:pPr>
        <w:jc w:val="both"/>
        <w:rPr>
          <w:rFonts w:ascii="Arial" w:eastAsia="Arial" w:hAnsi="Arial" w:cs="Arial"/>
          <w:szCs w:val="23"/>
          <w:lang w:val="fr-CA"/>
        </w:rPr>
      </w:pPr>
      <w:r w:rsidRPr="0009540F">
        <w:rPr>
          <w:rFonts w:ascii="Arial" w:eastAsia="Arial" w:hAnsi="Arial" w:cs="Arial"/>
          <w:szCs w:val="23"/>
          <w:lang w:val="fr-CA"/>
        </w:rPr>
        <w:tab/>
        <w:t>Le présent accord</w:t>
      </w:r>
      <w:r w:rsidRPr="0009540F">
        <w:rPr>
          <w:lang w:val="fr-CA"/>
        </w:rPr>
        <w:t xml:space="preserve"> </w:t>
      </w:r>
      <w:r w:rsidRPr="0009540F">
        <w:rPr>
          <w:rFonts w:ascii="Arial" w:eastAsia="Arial" w:hAnsi="Arial" w:cs="Arial"/>
          <w:szCs w:val="23"/>
          <w:lang w:val="fr-CA"/>
        </w:rPr>
        <w:t xml:space="preserve">ne peut être interprété comme </w:t>
      </w:r>
      <w:proofErr w:type="gramStart"/>
      <w:r w:rsidRPr="0009540F">
        <w:rPr>
          <w:rFonts w:ascii="Arial" w:eastAsia="Arial" w:hAnsi="Arial" w:cs="Arial"/>
          <w:szCs w:val="23"/>
          <w:lang w:val="fr-CA"/>
        </w:rPr>
        <w:t>affectant  les</w:t>
      </w:r>
      <w:proofErr w:type="gramEnd"/>
      <w:r w:rsidRPr="0009540F">
        <w:rPr>
          <w:rFonts w:ascii="Arial" w:eastAsia="Arial" w:hAnsi="Arial" w:cs="Arial"/>
          <w:szCs w:val="23"/>
          <w:lang w:val="fr-CA"/>
        </w:rPr>
        <w:t xml:space="preserve"> droits et obligations des Parties découlant des accords sur l’environnement, y compris les accords en matière de conservation, en vigueur à la date d’entrée en vigueur.</w:t>
      </w:r>
    </w:p>
    <w:p w14:paraId="5510CC02" w14:textId="77777777" w:rsidR="006525BE" w:rsidRPr="0009540F" w:rsidRDefault="006525BE" w:rsidP="00F3725A">
      <w:pPr>
        <w:jc w:val="both"/>
        <w:rPr>
          <w:rFonts w:ascii="Arial" w:eastAsia="Arial" w:hAnsi="Arial" w:cs="Arial"/>
          <w:szCs w:val="23"/>
          <w:lang w:val="fr-CA"/>
        </w:rPr>
      </w:pPr>
    </w:p>
    <w:p w14:paraId="006F58E6" w14:textId="77777777" w:rsidR="006525BE" w:rsidRPr="00F52884" w:rsidRDefault="006525BE" w:rsidP="00F3725A">
      <w:pPr>
        <w:jc w:val="center"/>
        <w:rPr>
          <w:rFonts w:ascii="Arial" w:eastAsia="Arial" w:hAnsi="Arial" w:cs="Arial"/>
          <w:b/>
          <w:szCs w:val="23"/>
        </w:rPr>
      </w:pPr>
      <w:r w:rsidRPr="00F52884">
        <w:rPr>
          <w:rFonts w:ascii="Arial" w:eastAsia="Arial" w:hAnsi="Arial" w:cs="Arial"/>
          <w:b/>
          <w:bCs/>
          <w:szCs w:val="23"/>
        </w:rPr>
        <w:t xml:space="preserve">Article </w:t>
      </w:r>
      <w:proofErr w:type="gramStart"/>
      <w:r w:rsidRPr="00F52884">
        <w:rPr>
          <w:rFonts w:ascii="Arial" w:eastAsia="Arial" w:hAnsi="Arial" w:cs="Arial"/>
          <w:b/>
          <w:bCs/>
          <w:szCs w:val="23"/>
        </w:rPr>
        <w:t>603 :</w:t>
      </w:r>
      <w:proofErr w:type="gramEnd"/>
      <w:r w:rsidRPr="00F52884">
        <w:rPr>
          <w:rFonts w:ascii="Arial" w:eastAsia="Arial" w:hAnsi="Arial" w:cs="Arial"/>
          <w:szCs w:val="23"/>
        </w:rPr>
        <w:tab/>
      </w:r>
      <w:r w:rsidRPr="00F52884">
        <w:rPr>
          <w:rFonts w:ascii="Arial" w:eastAsia="Arial" w:hAnsi="Arial" w:cs="Arial"/>
          <w:szCs w:val="23"/>
        </w:rPr>
        <w:tab/>
      </w:r>
      <w:proofErr w:type="spellStart"/>
      <w:r w:rsidRPr="00F52884">
        <w:rPr>
          <w:rFonts w:ascii="Arial" w:eastAsia="Arial" w:hAnsi="Arial" w:cs="Arial"/>
          <w:b/>
          <w:bCs/>
          <w:szCs w:val="23"/>
        </w:rPr>
        <w:t>Considérations</w:t>
      </w:r>
      <w:proofErr w:type="spellEnd"/>
      <w:r w:rsidRPr="00F52884">
        <w:rPr>
          <w:rFonts w:ascii="Arial" w:eastAsia="Arial" w:hAnsi="Arial" w:cs="Arial"/>
          <w:b/>
          <w:bCs/>
          <w:szCs w:val="23"/>
        </w:rPr>
        <w:t xml:space="preserve"> </w:t>
      </w:r>
      <w:proofErr w:type="spellStart"/>
      <w:r w:rsidRPr="00F52884">
        <w:rPr>
          <w:rFonts w:ascii="Arial" w:eastAsia="Arial" w:hAnsi="Arial" w:cs="Arial"/>
          <w:b/>
          <w:bCs/>
          <w:szCs w:val="23"/>
        </w:rPr>
        <w:t>environnementales</w:t>
      </w:r>
      <w:proofErr w:type="spellEnd"/>
    </w:p>
    <w:p w14:paraId="4AB21FCF" w14:textId="77777777" w:rsidR="006525BE" w:rsidRPr="00F52884" w:rsidRDefault="006525BE" w:rsidP="00F3725A">
      <w:pPr>
        <w:jc w:val="both"/>
        <w:rPr>
          <w:rFonts w:ascii="Arial" w:eastAsia="Arial" w:hAnsi="Arial" w:cs="Arial"/>
          <w:b/>
          <w:szCs w:val="23"/>
        </w:rPr>
      </w:pPr>
    </w:p>
    <w:p w14:paraId="2E7B2124" w14:textId="7975D832" w:rsidR="006525BE" w:rsidRPr="003E0DDA" w:rsidRDefault="006525BE" w:rsidP="006525BE">
      <w:pPr>
        <w:numPr>
          <w:ilvl w:val="0"/>
          <w:numId w:val="79"/>
        </w:numPr>
        <w:ind w:left="0" w:right="144" w:firstLine="0"/>
        <w:contextualSpacing/>
        <w:jc w:val="both"/>
        <w:rPr>
          <w:rFonts w:ascii="Arial" w:eastAsia="Arial" w:hAnsi="Arial" w:cs="Arial"/>
          <w:szCs w:val="23"/>
          <w:lang w:val="fr-CA"/>
        </w:rPr>
      </w:pPr>
      <w:r w:rsidRPr="003E0DDA">
        <w:rPr>
          <w:rFonts w:ascii="Arial" w:eastAsia="Arial" w:hAnsi="Arial" w:cs="Arial"/>
          <w:szCs w:val="23"/>
          <w:lang w:val="fr-CA"/>
        </w:rPr>
        <w:t>Chaque Partie, dans les matières relatives au commerce, à l’investissement et à la mobilité de la main-d’œuvre prend, en considération la nécessité de rétablir, de préserver et d’améliorer la qualité de l’environnement.</w:t>
      </w:r>
    </w:p>
    <w:p w14:paraId="44B33852" w14:textId="77777777" w:rsidR="006525BE" w:rsidRPr="003E0DDA" w:rsidRDefault="006525BE" w:rsidP="00F3725A">
      <w:pPr>
        <w:ind w:left="720" w:hanging="720"/>
        <w:jc w:val="both"/>
        <w:rPr>
          <w:rFonts w:ascii="Arial" w:eastAsia="Arial" w:hAnsi="Arial" w:cs="Arial"/>
          <w:b/>
          <w:szCs w:val="23"/>
          <w:lang w:val="fr-CA"/>
        </w:rPr>
      </w:pPr>
    </w:p>
    <w:p w14:paraId="2A847E41" w14:textId="6C24A146" w:rsidR="006525BE" w:rsidRPr="003E0DDA" w:rsidRDefault="006525BE" w:rsidP="006525BE">
      <w:pPr>
        <w:numPr>
          <w:ilvl w:val="0"/>
          <w:numId w:val="79"/>
        </w:numPr>
        <w:ind w:left="0" w:right="144" w:firstLine="0"/>
        <w:contextualSpacing/>
        <w:jc w:val="both"/>
        <w:rPr>
          <w:rFonts w:ascii="Arial" w:eastAsia="Arial" w:hAnsi="Arial" w:cs="Arial"/>
          <w:szCs w:val="23"/>
          <w:lang w:val="fr-CA"/>
        </w:rPr>
      </w:pPr>
      <w:r w:rsidRPr="003E0DDA">
        <w:rPr>
          <w:rFonts w:ascii="Arial" w:eastAsia="Arial" w:hAnsi="Arial" w:cs="Arial"/>
          <w:szCs w:val="23"/>
          <w:lang w:val="fr-CA"/>
        </w:rPr>
        <w:t>Chaque Partie veille spécialement à faciliter l’élimination des obstacles au commerce et à l’investissement en ce qui concerne les produits et les services qui présentent un intérêt particulier pour la protection de l’environnement.</w:t>
      </w:r>
    </w:p>
    <w:p w14:paraId="37EC3CA2" w14:textId="77777777" w:rsidR="006525BE" w:rsidRPr="003E0DDA" w:rsidRDefault="006525BE" w:rsidP="00F3725A">
      <w:pPr>
        <w:ind w:right="144"/>
        <w:jc w:val="both"/>
        <w:rPr>
          <w:rFonts w:ascii="Arial" w:eastAsia="Arial" w:hAnsi="Arial" w:cs="Arial"/>
          <w:szCs w:val="23"/>
          <w:lang w:val="fr-CA"/>
        </w:rPr>
      </w:pPr>
    </w:p>
    <w:p w14:paraId="7CDEF574" w14:textId="77777777" w:rsidR="006525BE" w:rsidRPr="003E0DDA" w:rsidRDefault="006525BE" w:rsidP="00F3725A">
      <w:pPr>
        <w:jc w:val="center"/>
        <w:rPr>
          <w:rFonts w:ascii="Arial" w:eastAsia="Arial" w:hAnsi="Arial" w:cs="Arial"/>
          <w:b/>
          <w:szCs w:val="23"/>
          <w:lang w:val="fr-CA"/>
        </w:rPr>
      </w:pPr>
      <w:r w:rsidRPr="003E0DDA">
        <w:rPr>
          <w:rFonts w:ascii="Arial" w:eastAsia="Arial" w:hAnsi="Arial" w:cs="Arial"/>
          <w:b/>
          <w:bCs/>
          <w:szCs w:val="23"/>
          <w:lang w:val="fr-CA"/>
        </w:rPr>
        <w:t>Article 604 :</w:t>
      </w:r>
      <w:r w:rsidRPr="003E0DDA">
        <w:rPr>
          <w:rFonts w:ascii="Arial" w:eastAsia="Arial" w:hAnsi="Arial" w:cs="Arial"/>
          <w:szCs w:val="23"/>
          <w:lang w:val="fr-CA"/>
        </w:rPr>
        <w:t xml:space="preserve"> </w:t>
      </w:r>
      <w:r w:rsidRPr="003E0DDA">
        <w:rPr>
          <w:rFonts w:ascii="Arial" w:eastAsia="Arial" w:hAnsi="Arial" w:cs="Arial"/>
          <w:szCs w:val="23"/>
          <w:lang w:val="fr-CA"/>
        </w:rPr>
        <w:tab/>
      </w:r>
      <w:r w:rsidRPr="003E0DDA">
        <w:rPr>
          <w:rFonts w:ascii="Arial" w:eastAsia="Arial" w:hAnsi="Arial" w:cs="Arial"/>
          <w:szCs w:val="23"/>
          <w:lang w:val="fr-CA"/>
        </w:rPr>
        <w:tab/>
      </w:r>
      <w:r w:rsidRPr="003E0DDA">
        <w:rPr>
          <w:rFonts w:ascii="Arial" w:eastAsia="Arial" w:hAnsi="Arial" w:cs="Arial"/>
          <w:b/>
          <w:bCs/>
          <w:szCs w:val="23"/>
          <w:lang w:val="fr-CA"/>
        </w:rPr>
        <w:t>Droit de réglementer et niveaux de protection</w:t>
      </w:r>
    </w:p>
    <w:p w14:paraId="107B64D8" w14:textId="77777777" w:rsidR="006525BE" w:rsidRPr="003E0DDA" w:rsidRDefault="006525BE" w:rsidP="00F3725A">
      <w:pPr>
        <w:ind w:right="144"/>
        <w:jc w:val="both"/>
        <w:rPr>
          <w:rFonts w:ascii="Arial" w:eastAsia="Arial" w:hAnsi="Arial" w:cs="Arial"/>
          <w:szCs w:val="23"/>
          <w:lang w:val="fr-CA"/>
        </w:rPr>
      </w:pPr>
    </w:p>
    <w:p w14:paraId="68D87620" w14:textId="38AC214D" w:rsidR="006525BE" w:rsidRPr="003E0DDA" w:rsidRDefault="006525BE" w:rsidP="006525BE">
      <w:pPr>
        <w:numPr>
          <w:ilvl w:val="0"/>
          <w:numId w:val="14"/>
        </w:numPr>
        <w:ind w:left="0" w:right="144" w:firstLine="0"/>
        <w:contextualSpacing/>
        <w:jc w:val="both"/>
        <w:rPr>
          <w:rFonts w:ascii="Arial" w:eastAsia="Arial" w:hAnsi="Arial" w:cs="Arial"/>
          <w:szCs w:val="23"/>
          <w:lang w:val="fr-CA"/>
        </w:rPr>
      </w:pPr>
      <w:r w:rsidRPr="003E0DDA">
        <w:rPr>
          <w:rFonts w:ascii="Arial" w:eastAsia="Arial" w:hAnsi="Arial" w:cs="Arial"/>
          <w:szCs w:val="23"/>
          <w:lang w:val="fr-CA"/>
        </w:rPr>
        <w:t>Chaque Partie a le droit d’établir ses propres priorités en matière d’environnement et niveaux de protection de l’environnement sur son territoire conformément au présent accord, ainsi que d’adopter ou de maintenir ses mesures environnementales en conséquence.</w:t>
      </w:r>
    </w:p>
    <w:p w14:paraId="5338AAA7" w14:textId="77777777" w:rsidR="006525BE" w:rsidRPr="003E0DDA" w:rsidRDefault="006525BE" w:rsidP="00F3725A">
      <w:pPr>
        <w:ind w:right="144"/>
        <w:jc w:val="both"/>
        <w:rPr>
          <w:rFonts w:ascii="Arial" w:eastAsia="Arial" w:hAnsi="Arial" w:cs="Arial"/>
          <w:szCs w:val="23"/>
          <w:lang w:val="fr-CA"/>
        </w:rPr>
      </w:pPr>
    </w:p>
    <w:p w14:paraId="3FF79A44" w14:textId="6D1F107C" w:rsidR="006525BE" w:rsidRPr="003E0DDA" w:rsidRDefault="006525BE" w:rsidP="006525BE">
      <w:pPr>
        <w:numPr>
          <w:ilvl w:val="0"/>
          <w:numId w:val="14"/>
        </w:numPr>
        <w:ind w:left="0" w:right="144" w:firstLine="0"/>
        <w:contextualSpacing/>
        <w:jc w:val="both"/>
        <w:rPr>
          <w:rFonts w:ascii="Arial" w:eastAsia="Arial" w:hAnsi="Arial" w:cs="Arial"/>
          <w:szCs w:val="23"/>
          <w:lang w:val="fr-CA"/>
        </w:rPr>
      </w:pPr>
      <w:r w:rsidRPr="003E0DDA">
        <w:rPr>
          <w:rFonts w:ascii="Arial" w:eastAsia="Arial" w:hAnsi="Arial" w:cs="Arial"/>
          <w:szCs w:val="23"/>
          <w:lang w:val="fr-CA"/>
        </w:rPr>
        <w:t>Chaque Partie fait en sorte que ses mesures prévoient des niveaux élevés de protection de l’environnement et continue de s’efforcer à améliorer ces niveaux.</w:t>
      </w:r>
    </w:p>
    <w:p w14:paraId="18E5F521" w14:textId="77777777" w:rsidR="006525BE" w:rsidRPr="003E0DDA" w:rsidRDefault="006525BE" w:rsidP="00F3725A">
      <w:pPr>
        <w:ind w:right="144"/>
        <w:contextualSpacing/>
        <w:jc w:val="both"/>
        <w:rPr>
          <w:rFonts w:ascii="Arial" w:eastAsia="Arial" w:hAnsi="Arial" w:cs="Arial"/>
          <w:szCs w:val="23"/>
          <w:lang w:val="fr-CA"/>
        </w:rPr>
      </w:pPr>
    </w:p>
    <w:p w14:paraId="48F99EF9" w14:textId="2B88F677" w:rsidR="006525BE" w:rsidRPr="003E0DDA" w:rsidRDefault="006525BE" w:rsidP="00F3725A">
      <w:pPr>
        <w:jc w:val="center"/>
        <w:rPr>
          <w:rFonts w:ascii="Arial" w:eastAsia="Arial" w:hAnsi="Arial" w:cs="Arial"/>
          <w:szCs w:val="23"/>
          <w:lang w:val="fr-CA"/>
        </w:rPr>
      </w:pPr>
      <w:r w:rsidRPr="003E0DDA">
        <w:rPr>
          <w:rFonts w:ascii="Arial" w:eastAsia="Arial" w:hAnsi="Arial" w:cs="Arial"/>
          <w:b/>
          <w:bCs/>
          <w:szCs w:val="23"/>
          <w:lang w:val="fr-CA"/>
        </w:rPr>
        <w:t>Article 605 :</w:t>
      </w:r>
      <w:r w:rsidR="00544CAB" w:rsidRPr="003E0DDA">
        <w:rPr>
          <w:rFonts w:ascii="Arial" w:eastAsia="Arial" w:hAnsi="Arial" w:cs="Arial"/>
          <w:b/>
          <w:bCs/>
          <w:szCs w:val="23"/>
          <w:lang w:val="fr-CA"/>
        </w:rPr>
        <w:tab/>
      </w:r>
      <w:r w:rsidRPr="003E0DDA">
        <w:rPr>
          <w:rFonts w:ascii="Arial" w:eastAsia="Arial" w:hAnsi="Arial" w:cs="Arial"/>
          <w:szCs w:val="23"/>
          <w:lang w:val="fr-CA"/>
        </w:rPr>
        <w:tab/>
      </w:r>
      <w:r w:rsidRPr="003E0DDA">
        <w:rPr>
          <w:rFonts w:ascii="Arial" w:eastAsia="Arial" w:hAnsi="Arial" w:cs="Arial"/>
          <w:b/>
          <w:szCs w:val="23"/>
          <w:lang w:val="fr-CA"/>
        </w:rPr>
        <w:t>Information</w:t>
      </w:r>
      <w:r w:rsidRPr="003E0DDA">
        <w:rPr>
          <w:rFonts w:ascii="Arial" w:eastAsia="Arial" w:hAnsi="Arial" w:cs="Arial"/>
          <w:b/>
          <w:bCs/>
          <w:szCs w:val="23"/>
          <w:lang w:val="fr-CA"/>
        </w:rPr>
        <w:t xml:space="preserve"> scientifique et technique </w:t>
      </w:r>
    </w:p>
    <w:p w14:paraId="2B5481D6" w14:textId="77777777" w:rsidR="006525BE" w:rsidRPr="003E0DDA" w:rsidRDefault="006525BE" w:rsidP="00F3725A">
      <w:pPr>
        <w:jc w:val="center"/>
        <w:rPr>
          <w:rFonts w:ascii="Arial" w:eastAsia="Arial" w:hAnsi="Arial" w:cs="Arial"/>
          <w:szCs w:val="23"/>
          <w:lang w:val="fr-CA"/>
        </w:rPr>
      </w:pPr>
    </w:p>
    <w:p w14:paraId="6405BE3D" w14:textId="1337D962" w:rsidR="006525BE" w:rsidRPr="003E0DDA" w:rsidRDefault="006525BE" w:rsidP="00F3725A">
      <w:pPr>
        <w:ind w:right="144"/>
        <w:jc w:val="both"/>
        <w:rPr>
          <w:rFonts w:ascii="Arial" w:eastAsia="Arial" w:hAnsi="Arial" w:cs="Arial"/>
          <w:szCs w:val="23"/>
          <w:lang w:val="fr-CA"/>
        </w:rPr>
      </w:pPr>
      <w:r w:rsidRPr="003E0DDA">
        <w:rPr>
          <w:rFonts w:ascii="Arial" w:eastAsia="Arial" w:hAnsi="Arial" w:cs="Arial"/>
          <w:szCs w:val="23"/>
          <w:lang w:val="fr-CA"/>
        </w:rPr>
        <w:t>1.</w:t>
      </w:r>
      <w:r w:rsidRPr="003E0DDA">
        <w:rPr>
          <w:rFonts w:ascii="Arial" w:eastAsia="Arial" w:hAnsi="Arial" w:cs="Arial"/>
          <w:szCs w:val="23"/>
          <w:lang w:val="fr-CA"/>
        </w:rPr>
        <w:tab/>
        <w:t>Chaque Partie tient compte de l’information scientifique et technique pertinente, ainsi que des normes, lignes directrices ou recommandations nationales ou internationales connexes, si elles existent, lorsqu’elle élabore et met en œuvre des mesures environnementales qui sont susceptibles d’affecter le commerce ou l’investissement.</w:t>
      </w:r>
    </w:p>
    <w:p w14:paraId="4B601FA6" w14:textId="77777777" w:rsidR="006525BE" w:rsidRPr="003E0DDA" w:rsidRDefault="006525BE" w:rsidP="00F3725A">
      <w:pPr>
        <w:ind w:right="144"/>
        <w:jc w:val="both"/>
        <w:rPr>
          <w:rFonts w:ascii="Arial" w:eastAsia="Arial" w:hAnsi="Arial" w:cs="Arial"/>
          <w:szCs w:val="23"/>
          <w:lang w:val="fr-CA"/>
        </w:rPr>
      </w:pPr>
    </w:p>
    <w:p w14:paraId="41AAF5F3" w14:textId="609B3CA5" w:rsidR="006525BE" w:rsidRPr="003E0DDA" w:rsidRDefault="006525BE" w:rsidP="00F3725A">
      <w:pPr>
        <w:ind w:right="144"/>
        <w:jc w:val="both"/>
        <w:rPr>
          <w:rFonts w:ascii="Arial" w:eastAsia="Arial" w:hAnsi="Arial" w:cs="Arial"/>
          <w:szCs w:val="23"/>
          <w:lang w:val="fr-CA"/>
        </w:rPr>
      </w:pPr>
      <w:r w:rsidRPr="003E0DDA">
        <w:rPr>
          <w:rFonts w:ascii="Arial" w:eastAsia="Arial" w:hAnsi="Arial" w:cs="Arial"/>
          <w:szCs w:val="23"/>
          <w:lang w:val="fr-CA"/>
        </w:rPr>
        <w:t>2.</w:t>
      </w:r>
      <w:r w:rsidRPr="003E0DDA">
        <w:rPr>
          <w:rFonts w:ascii="Arial" w:eastAsia="Arial" w:hAnsi="Arial" w:cs="Arial"/>
          <w:szCs w:val="23"/>
          <w:lang w:val="fr-CA"/>
        </w:rPr>
        <w:tab/>
        <w:t>Une mesure environnementale n’est pas considérée incompatible avec le présent accord du seul fait que la nécessité de cette mesure n’est pas établie avec une certitude scientifique complète.</w:t>
      </w:r>
    </w:p>
    <w:p w14:paraId="56AA5287" w14:textId="77777777" w:rsidR="006525BE" w:rsidRPr="003E0DDA" w:rsidRDefault="006525BE" w:rsidP="00F3725A">
      <w:pPr>
        <w:ind w:right="144"/>
        <w:jc w:val="both"/>
        <w:rPr>
          <w:rFonts w:ascii="Arial" w:eastAsia="Arial" w:hAnsi="Arial" w:cs="Arial"/>
          <w:szCs w:val="23"/>
          <w:lang w:val="fr-CA"/>
        </w:rPr>
      </w:pPr>
    </w:p>
    <w:p w14:paraId="5F2CEA6B" w14:textId="77777777" w:rsidR="006525BE" w:rsidRPr="003E0DDA" w:rsidRDefault="006525BE" w:rsidP="00F3725A">
      <w:pPr>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Le présent chapitre n’a pas pour effet d’empêcher une Partie de recourir aux connaissances traditionnelles, notamment celles des peuples autochtones du Canada, pour enrichir le fondement scientifique d’une mesure environnementale.</w:t>
      </w:r>
    </w:p>
    <w:p w14:paraId="592A01DB" w14:textId="77777777" w:rsidR="006525BE" w:rsidRPr="003E0DDA" w:rsidRDefault="006525BE" w:rsidP="00F3725A">
      <w:pPr>
        <w:ind w:right="144"/>
        <w:jc w:val="both"/>
        <w:rPr>
          <w:rFonts w:ascii="Arial" w:eastAsia="Arial" w:hAnsi="Arial" w:cs="Arial"/>
          <w:szCs w:val="23"/>
          <w:lang w:val="fr-CA"/>
        </w:rPr>
      </w:pPr>
    </w:p>
    <w:p w14:paraId="3B96197B" w14:textId="53E266E6" w:rsidR="006525BE" w:rsidRPr="003E0DDA" w:rsidRDefault="006525BE" w:rsidP="00F3725A">
      <w:pPr>
        <w:jc w:val="center"/>
        <w:rPr>
          <w:rFonts w:ascii="Arial" w:eastAsia="Arial" w:hAnsi="Arial" w:cs="Arial"/>
          <w:b/>
          <w:szCs w:val="23"/>
          <w:lang w:val="fr-CA"/>
        </w:rPr>
      </w:pPr>
      <w:r w:rsidRPr="003E0DDA">
        <w:rPr>
          <w:rFonts w:ascii="Arial" w:eastAsia="Arial" w:hAnsi="Arial" w:cs="Arial"/>
          <w:b/>
          <w:bCs/>
          <w:szCs w:val="23"/>
          <w:lang w:val="fr-CA"/>
        </w:rPr>
        <w:t>Article 606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Maintien des niveaux de protection</w:t>
      </w:r>
    </w:p>
    <w:p w14:paraId="085C653E" w14:textId="77777777" w:rsidR="006525BE" w:rsidRPr="003E0DDA" w:rsidRDefault="006525BE" w:rsidP="00F3725A">
      <w:pPr>
        <w:ind w:right="144"/>
        <w:jc w:val="both"/>
        <w:rPr>
          <w:rFonts w:ascii="Arial" w:eastAsia="Arial" w:hAnsi="Arial" w:cs="Arial"/>
          <w:szCs w:val="23"/>
          <w:lang w:val="fr-CA"/>
        </w:rPr>
      </w:pPr>
    </w:p>
    <w:p w14:paraId="5BA4C208" w14:textId="6EB0105B" w:rsidR="006525BE" w:rsidRPr="003E0DDA" w:rsidRDefault="006525BE" w:rsidP="00F3725A">
      <w:pPr>
        <w:ind w:right="144"/>
        <w:jc w:val="both"/>
        <w:rPr>
          <w:rFonts w:ascii="Arial" w:eastAsia="Arial" w:hAnsi="Arial" w:cs="Arial"/>
          <w:szCs w:val="23"/>
          <w:lang w:val="fr-CA"/>
        </w:rPr>
      </w:pPr>
      <w:r w:rsidRPr="003E0DDA">
        <w:rPr>
          <w:rFonts w:ascii="Arial" w:eastAsia="Arial" w:hAnsi="Arial" w:cs="Arial"/>
          <w:szCs w:val="23"/>
          <w:lang w:val="fr-CA"/>
        </w:rPr>
        <w:tab/>
        <w:t xml:space="preserve">Une Partie ne renonce ni ne déroge de quelque autre façon, ni </w:t>
      </w:r>
      <w:r w:rsidR="00E04F70" w:rsidRPr="003E0DDA">
        <w:rPr>
          <w:rFonts w:ascii="Arial" w:eastAsia="Arial" w:hAnsi="Arial" w:cs="Arial"/>
          <w:szCs w:val="23"/>
          <w:lang w:val="fr-CA"/>
        </w:rPr>
        <w:t>n’</w:t>
      </w:r>
      <w:r w:rsidRPr="003E0DDA">
        <w:rPr>
          <w:rFonts w:ascii="Arial" w:eastAsia="Arial" w:hAnsi="Arial" w:cs="Arial"/>
          <w:szCs w:val="23"/>
          <w:lang w:val="fr-CA"/>
        </w:rPr>
        <w:t>offre de renoncer ou de déroger, à ses mesures environnementales en vue d’encourager le commerce ou l’investissement sur son territoire.</w:t>
      </w:r>
    </w:p>
    <w:p w14:paraId="5AB483D2" w14:textId="77777777" w:rsidR="006525BE" w:rsidRPr="003E0DDA" w:rsidRDefault="006525BE" w:rsidP="00F3725A">
      <w:pPr>
        <w:rPr>
          <w:rFonts w:ascii="Arial" w:eastAsia="Arial" w:hAnsi="Arial" w:cs="Arial"/>
          <w:szCs w:val="23"/>
          <w:lang w:val="fr-CA"/>
        </w:rPr>
      </w:pPr>
    </w:p>
    <w:p w14:paraId="5A32041A" w14:textId="77777777" w:rsidR="006525BE" w:rsidRPr="003E0DDA" w:rsidRDefault="006525BE" w:rsidP="00F3725A">
      <w:pPr>
        <w:rPr>
          <w:rFonts w:ascii="Arial" w:eastAsia="Arial" w:hAnsi="Arial" w:cs="Arial"/>
          <w:szCs w:val="23"/>
          <w:lang w:val="fr-CA"/>
        </w:rPr>
      </w:pPr>
    </w:p>
    <w:p w14:paraId="4BD43A1A" w14:textId="77777777" w:rsidR="006525BE" w:rsidRPr="003E0DDA" w:rsidRDefault="006525BE" w:rsidP="00F3725A">
      <w:pPr>
        <w:rPr>
          <w:lang w:val="fr-CA"/>
        </w:rPr>
      </w:pPr>
    </w:p>
    <w:p w14:paraId="2115BE3C" w14:textId="77777777" w:rsidR="00AA05B4" w:rsidRPr="00F52884" w:rsidRDefault="00AA05B4">
      <w:pPr>
        <w:rPr>
          <w:rFonts w:cstheme="minorHAnsi"/>
          <w:szCs w:val="23"/>
          <w:lang w:val="fr-CA"/>
        </w:rPr>
      </w:pPr>
    </w:p>
    <w:p w14:paraId="5A2FC941" w14:textId="77777777" w:rsidR="00AA05B4" w:rsidRPr="00F52884" w:rsidRDefault="00AA05B4" w:rsidP="000C25A3">
      <w:pPr>
        <w:rPr>
          <w:rStyle w:val="CommentReference"/>
          <w:rFonts w:cstheme="minorHAnsi"/>
          <w:sz w:val="23"/>
          <w:szCs w:val="23"/>
          <w:lang w:val="fr-CA"/>
        </w:rPr>
      </w:pPr>
    </w:p>
    <w:p w14:paraId="7648AB0F" w14:textId="77777777" w:rsidR="00AA05B4" w:rsidRPr="00F52884" w:rsidRDefault="00AA05B4">
      <w:pPr>
        <w:rPr>
          <w:rFonts w:cstheme="minorHAnsi"/>
          <w:szCs w:val="23"/>
          <w:lang w:val="fr-CA"/>
        </w:rPr>
      </w:pPr>
    </w:p>
    <w:p w14:paraId="5CD76698" w14:textId="77777777" w:rsidR="00AA05B4" w:rsidRPr="00F52884" w:rsidRDefault="00AA05B4">
      <w:pPr>
        <w:rPr>
          <w:rFonts w:cstheme="minorHAnsi"/>
          <w:szCs w:val="23"/>
          <w:lang w:val="fr-CA"/>
        </w:rPr>
      </w:pPr>
      <w:r w:rsidRPr="00F52884">
        <w:rPr>
          <w:rFonts w:cstheme="minorHAnsi"/>
          <w:szCs w:val="23"/>
          <w:lang w:val="fr-CA"/>
        </w:rPr>
        <w:br w:type="page"/>
      </w:r>
    </w:p>
    <w:p w14:paraId="3FE625F8" w14:textId="73707488" w:rsidR="0015303D" w:rsidRPr="003E0DDA" w:rsidRDefault="0015303D" w:rsidP="0015303D">
      <w:pPr>
        <w:spacing w:before="200"/>
        <w:jc w:val="center"/>
        <w:outlineLvl w:val="1"/>
        <w:rPr>
          <w:rFonts w:ascii="Arial" w:eastAsia="SimHei" w:hAnsi="Arial" w:cs="Arial"/>
          <w:bCs/>
          <w:szCs w:val="23"/>
          <w:lang w:val="fr-CA"/>
        </w:rPr>
      </w:pPr>
      <w:bookmarkStart w:id="63" w:name="_Toc471907454"/>
      <w:bookmarkStart w:id="64" w:name="_Toc330454427"/>
      <w:bookmarkStart w:id="65" w:name="_Toc357427414"/>
      <w:bookmarkStart w:id="66" w:name="_Toc156311775"/>
      <w:r w:rsidRPr="003E0DDA">
        <w:rPr>
          <w:rFonts w:ascii="Arial" w:eastAsia="SimHei" w:hAnsi="Arial" w:cs="Arial"/>
          <w:b/>
          <w:bCs/>
          <w:szCs w:val="23"/>
          <w:lang w:val="fr-CA"/>
        </w:rPr>
        <w:lastRenderedPageBreak/>
        <w:t>Chapitre Sept – Mobilité de la main-d’œuvre</w:t>
      </w:r>
      <w:bookmarkEnd w:id="63"/>
      <w:bookmarkEnd w:id="66"/>
    </w:p>
    <w:p w14:paraId="7B4B7322" w14:textId="77777777" w:rsidR="0015303D" w:rsidRPr="003E0DDA" w:rsidRDefault="0015303D" w:rsidP="0015303D">
      <w:pPr>
        <w:jc w:val="center"/>
        <w:rPr>
          <w:rFonts w:ascii="Arial" w:eastAsia="Arial" w:hAnsi="Arial" w:cs="Arial"/>
          <w:szCs w:val="23"/>
          <w:lang w:val="fr-CA"/>
        </w:rPr>
      </w:pPr>
    </w:p>
    <w:p w14:paraId="188CC99A" w14:textId="77777777" w:rsidR="0015303D" w:rsidRPr="003E0DDA" w:rsidRDefault="0015303D" w:rsidP="0015303D">
      <w:pPr>
        <w:jc w:val="center"/>
        <w:rPr>
          <w:rFonts w:ascii="Arial" w:eastAsia="Arial" w:hAnsi="Arial" w:cs="Arial"/>
          <w:szCs w:val="23"/>
          <w:lang w:val="fr-CA"/>
        </w:rPr>
      </w:pPr>
    </w:p>
    <w:p w14:paraId="6C1EE24C" w14:textId="1E219DA4" w:rsidR="0015303D" w:rsidRPr="003E0DDA" w:rsidRDefault="0015303D" w:rsidP="0015303D">
      <w:pPr>
        <w:jc w:val="center"/>
        <w:rPr>
          <w:rFonts w:ascii="Arial" w:eastAsia="Arial" w:hAnsi="Arial" w:cs="Arial"/>
          <w:b/>
          <w:szCs w:val="23"/>
          <w:lang w:val="fr-CA"/>
        </w:rPr>
      </w:pPr>
      <w:bookmarkStart w:id="67" w:name="_Toc330454418"/>
      <w:bookmarkStart w:id="68" w:name="_Toc357427405"/>
      <w:r w:rsidRPr="003E0DDA">
        <w:rPr>
          <w:rFonts w:ascii="Arial" w:eastAsia="Arial" w:hAnsi="Arial" w:cs="Arial"/>
          <w:b/>
          <w:bCs/>
          <w:szCs w:val="23"/>
          <w:lang w:val="fr-CA"/>
        </w:rPr>
        <w:t xml:space="preserve">Article 700 :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Objet</w:t>
      </w:r>
      <w:bookmarkEnd w:id="67"/>
      <w:bookmarkEnd w:id="68"/>
    </w:p>
    <w:p w14:paraId="77DC7724" w14:textId="77777777" w:rsidR="0015303D" w:rsidRPr="003E0DDA" w:rsidRDefault="0015303D" w:rsidP="0015303D">
      <w:pPr>
        <w:rPr>
          <w:rFonts w:ascii="Arial" w:eastAsia="Arial" w:hAnsi="Arial" w:cs="Arial"/>
          <w:szCs w:val="23"/>
          <w:lang w:val="fr-CA"/>
        </w:rPr>
      </w:pPr>
    </w:p>
    <w:p w14:paraId="5FD391E5" w14:textId="3C3380D0" w:rsidR="0015303D" w:rsidRPr="003E0DDA" w:rsidRDefault="0015303D" w:rsidP="0015303D">
      <w:pPr>
        <w:widowControl w:val="0"/>
        <w:tabs>
          <w:tab w:val="left" w:pos="567"/>
        </w:tabs>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Le présent chapitre a pour objet d’éliminer ou de réduire les mesures adoptées ou maintenues par les Parties qui restreignent ou entravent la mobilité de la main-d’œuvre à l’intérieur du Canada et, en particulier, de permettre à tout travailleur accrédité pour exercer un métier ou une profession par un organisme de réglementation d’une Partie d’être reconnu comme qualifié par l’ensemble des autres Parties pour exercer ce métier ou cette profession.</w:t>
      </w:r>
    </w:p>
    <w:p w14:paraId="5290D4BC" w14:textId="77777777" w:rsidR="0015303D" w:rsidRPr="003E0DDA" w:rsidRDefault="0015303D" w:rsidP="0015303D">
      <w:pPr>
        <w:widowControl w:val="0"/>
        <w:tabs>
          <w:tab w:val="left" w:pos="567"/>
        </w:tabs>
        <w:autoSpaceDE w:val="0"/>
        <w:autoSpaceDN w:val="0"/>
        <w:adjustRightInd w:val="0"/>
        <w:rPr>
          <w:rFonts w:ascii="Arial" w:eastAsia="Times New Roman" w:hAnsi="Arial" w:cs="Arial"/>
          <w:szCs w:val="23"/>
          <w:lang w:val="fr-CA"/>
        </w:rPr>
      </w:pPr>
    </w:p>
    <w:p w14:paraId="193E0245" w14:textId="04794526" w:rsidR="0015303D" w:rsidRPr="003E0DDA" w:rsidRDefault="0015303D" w:rsidP="0015303D">
      <w:pPr>
        <w:jc w:val="center"/>
        <w:rPr>
          <w:rFonts w:ascii="Arial" w:eastAsia="Arial" w:hAnsi="Arial" w:cs="Arial"/>
          <w:b/>
          <w:szCs w:val="23"/>
          <w:lang w:val="fr-CA"/>
        </w:rPr>
      </w:pPr>
      <w:r w:rsidRPr="003E0DDA">
        <w:rPr>
          <w:rFonts w:ascii="Arial" w:eastAsia="Arial" w:hAnsi="Arial" w:cs="Arial"/>
          <w:b/>
          <w:bCs/>
          <w:szCs w:val="23"/>
          <w:lang w:val="fr-CA"/>
        </w:rPr>
        <w:t>Article 701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Portée et champ d’application</w:t>
      </w:r>
    </w:p>
    <w:p w14:paraId="7AE9DFF6" w14:textId="77777777" w:rsidR="0015303D" w:rsidRPr="003E0DDA" w:rsidRDefault="0015303D" w:rsidP="0015303D">
      <w:pPr>
        <w:rPr>
          <w:rFonts w:ascii="Arial" w:eastAsia="Arial" w:hAnsi="Arial" w:cs="Arial"/>
          <w:szCs w:val="23"/>
          <w:lang w:val="fr-CA"/>
        </w:rPr>
      </w:pPr>
    </w:p>
    <w:p w14:paraId="7941EAD5" w14:textId="484553C8" w:rsidR="0015303D" w:rsidRPr="003E0DDA" w:rsidRDefault="0015303D" w:rsidP="0015303D">
      <w:pPr>
        <w:rPr>
          <w:rFonts w:ascii="Arial" w:eastAsia="Arial" w:hAnsi="Arial" w:cs="Arial"/>
          <w:szCs w:val="23"/>
          <w:lang w:val="fr-CA"/>
        </w:rPr>
      </w:pPr>
      <w:r w:rsidRPr="003E0DDA">
        <w:rPr>
          <w:rFonts w:ascii="Arial" w:eastAsia="Arial" w:hAnsi="Arial" w:cs="Arial"/>
          <w:szCs w:val="23"/>
          <w:lang w:val="fr-CA"/>
        </w:rPr>
        <w:t xml:space="preserve">1. </w:t>
      </w:r>
      <w:r w:rsidRPr="003E0DDA">
        <w:rPr>
          <w:rFonts w:ascii="Arial" w:eastAsia="Arial" w:hAnsi="Arial" w:cs="Arial"/>
          <w:szCs w:val="23"/>
          <w:lang w:val="fr-CA"/>
        </w:rPr>
        <w:tab/>
        <w:t>Le présent chapitre s’applique à toute mesure adoptée ou maintenue par une Partie concernant :</w:t>
      </w:r>
    </w:p>
    <w:p w14:paraId="70DAE0FE" w14:textId="77777777" w:rsidR="0015303D" w:rsidRPr="003E0DDA" w:rsidRDefault="0015303D" w:rsidP="0015303D">
      <w:pPr>
        <w:rPr>
          <w:rFonts w:ascii="Arial" w:eastAsia="Arial" w:hAnsi="Arial" w:cs="Arial"/>
          <w:szCs w:val="23"/>
          <w:lang w:val="fr-CA"/>
        </w:rPr>
      </w:pPr>
    </w:p>
    <w:p w14:paraId="17F6549B" w14:textId="26AC0D94" w:rsidR="0015303D" w:rsidRPr="003E0DDA" w:rsidRDefault="0015303D" w:rsidP="0015303D">
      <w:pPr>
        <w:autoSpaceDE w:val="0"/>
        <w:autoSpaceDN w:val="0"/>
        <w:adjustRightInd w:val="0"/>
        <w:ind w:left="1440" w:hanging="720"/>
        <w:contextualSpacing/>
        <w:rPr>
          <w:rFonts w:ascii="Arial" w:eastAsia="Arial" w:hAnsi="Arial" w:cs="Arial"/>
          <w:szCs w:val="23"/>
          <w:lang w:val="fr-CA"/>
        </w:rPr>
      </w:pPr>
      <w:r w:rsidRPr="003E0DDA">
        <w:rPr>
          <w:rFonts w:ascii="Arial" w:eastAsia="Arial" w:hAnsi="Arial" w:cs="Arial"/>
          <w:szCs w:val="23"/>
          <w:lang w:val="fr-CA"/>
        </w:rPr>
        <w:t>a)</w:t>
      </w:r>
      <w:r w:rsidRPr="003E0DDA">
        <w:rPr>
          <w:rFonts w:ascii="Arial" w:eastAsia="Arial" w:hAnsi="Arial" w:cs="Arial"/>
          <w:szCs w:val="23"/>
          <w:lang w:val="fr-CA"/>
        </w:rPr>
        <w:tab/>
        <w:t xml:space="preserve">les exigences de résidence applicables aux travailleurs comme condition d’accès à des occasions d’emplois ou de reconnaissance professionnelle se rapportant au métier ou à la profession du travailleur; </w:t>
      </w:r>
    </w:p>
    <w:p w14:paraId="60187A2D" w14:textId="77777777" w:rsidR="0015303D" w:rsidRPr="003E0DDA" w:rsidRDefault="0015303D" w:rsidP="0015303D">
      <w:pPr>
        <w:autoSpaceDE w:val="0"/>
        <w:autoSpaceDN w:val="0"/>
        <w:adjustRightInd w:val="0"/>
        <w:ind w:left="1440" w:hanging="720"/>
        <w:contextualSpacing/>
        <w:rPr>
          <w:rFonts w:ascii="Arial" w:eastAsia="Arial" w:hAnsi="Arial" w:cs="Arial"/>
          <w:szCs w:val="23"/>
          <w:lang w:val="fr-CA"/>
        </w:rPr>
      </w:pPr>
    </w:p>
    <w:p w14:paraId="2613EF35" w14:textId="3191AC27" w:rsidR="0015303D" w:rsidRPr="003E0DDA" w:rsidRDefault="0015303D" w:rsidP="0015303D">
      <w:pPr>
        <w:autoSpaceDE w:val="0"/>
        <w:autoSpaceDN w:val="0"/>
        <w:adjustRightInd w:val="0"/>
        <w:ind w:left="1440" w:hanging="720"/>
        <w:contextualSpacing/>
        <w:rPr>
          <w:rFonts w:ascii="Arial" w:eastAsia="Arial" w:hAnsi="Arial" w:cs="Arial"/>
          <w:szCs w:val="23"/>
          <w:lang w:val="fr-CA"/>
        </w:rPr>
      </w:pPr>
      <w:r w:rsidRPr="003E0DDA">
        <w:rPr>
          <w:rFonts w:ascii="Arial" w:eastAsia="Arial" w:hAnsi="Arial" w:cs="Arial"/>
          <w:szCs w:val="23"/>
          <w:lang w:val="fr-CA"/>
        </w:rPr>
        <w:t>b)</w:t>
      </w:r>
      <w:r w:rsidRPr="003E0DDA">
        <w:rPr>
          <w:rFonts w:ascii="Arial" w:eastAsia="Arial" w:hAnsi="Arial" w:cs="Arial"/>
          <w:szCs w:val="23"/>
          <w:lang w:val="fr-CA"/>
        </w:rPr>
        <w:tab/>
        <w:t xml:space="preserve">les exigences </w:t>
      </w:r>
      <w:r w:rsidR="007806A6" w:rsidRPr="003E0DDA">
        <w:rPr>
          <w:rFonts w:ascii="Arial" w:eastAsia="Arial" w:hAnsi="Arial" w:cs="Arial"/>
          <w:szCs w:val="23"/>
          <w:lang w:val="fr-CA"/>
        </w:rPr>
        <w:t xml:space="preserve">relatives à la </w:t>
      </w:r>
      <w:r w:rsidRPr="003E0DDA">
        <w:rPr>
          <w:rFonts w:ascii="Arial" w:eastAsia="Arial" w:hAnsi="Arial" w:cs="Arial"/>
          <w:szCs w:val="23"/>
          <w:lang w:val="fr-CA"/>
        </w:rPr>
        <w:t>reconnaissance professionnelle, autres que les exigences en matière de résidence, applicables aux travailleurs en vue de l’exercice d’un métier ou d’une profession ou de l’utilisation d’un titre réservé;</w:t>
      </w:r>
    </w:p>
    <w:p w14:paraId="65CC9C71" w14:textId="77777777" w:rsidR="0015303D" w:rsidRPr="003E0DDA" w:rsidRDefault="0015303D" w:rsidP="0015303D">
      <w:pPr>
        <w:autoSpaceDE w:val="0"/>
        <w:autoSpaceDN w:val="0"/>
        <w:adjustRightInd w:val="0"/>
        <w:ind w:left="1440" w:hanging="720"/>
        <w:contextualSpacing/>
        <w:rPr>
          <w:rFonts w:ascii="Arial" w:eastAsia="Arial" w:hAnsi="Arial" w:cs="Arial"/>
          <w:szCs w:val="23"/>
          <w:lang w:val="fr-CA"/>
        </w:rPr>
      </w:pPr>
    </w:p>
    <w:p w14:paraId="759A933C" w14:textId="4569479A" w:rsidR="0015303D" w:rsidRPr="003E0DDA" w:rsidRDefault="007401BF" w:rsidP="007401BF">
      <w:pPr>
        <w:autoSpaceDE w:val="0"/>
        <w:autoSpaceDN w:val="0"/>
        <w:adjustRightInd w:val="0"/>
        <w:ind w:left="1440" w:hanging="720"/>
        <w:rPr>
          <w:rFonts w:ascii="Arial" w:eastAsia="Arial" w:hAnsi="Arial" w:cs="Arial"/>
          <w:szCs w:val="23"/>
          <w:lang w:val="fr-CA"/>
        </w:rPr>
      </w:pPr>
      <w:r w:rsidRPr="003E0DDA">
        <w:rPr>
          <w:rFonts w:ascii="Arial" w:eastAsia="Arial" w:hAnsi="Arial" w:cs="Arial"/>
          <w:szCs w:val="23"/>
          <w:lang w:val="fr-CA"/>
        </w:rPr>
        <w:t>c)</w:t>
      </w:r>
      <w:r w:rsidRPr="003E0DDA">
        <w:rPr>
          <w:rFonts w:ascii="Arial" w:eastAsia="Arial" w:hAnsi="Arial" w:cs="Arial"/>
          <w:szCs w:val="23"/>
          <w:lang w:val="fr-CA"/>
        </w:rPr>
        <w:tab/>
      </w:r>
      <w:r w:rsidR="0015303D" w:rsidRPr="003E0DDA">
        <w:rPr>
          <w:rFonts w:ascii="Arial" w:eastAsia="Arial" w:hAnsi="Arial" w:cs="Arial"/>
          <w:szCs w:val="23"/>
          <w:lang w:val="fr-CA"/>
        </w:rPr>
        <w:t>les normes professionnelles.</w:t>
      </w:r>
    </w:p>
    <w:p w14:paraId="460F4C1F" w14:textId="77777777" w:rsidR="0015303D" w:rsidRPr="003E0DDA" w:rsidRDefault="0015303D" w:rsidP="0015303D">
      <w:pPr>
        <w:autoSpaceDE w:val="0"/>
        <w:autoSpaceDN w:val="0"/>
        <w:adjustRightInd w:val="0"/>
        <w:ind w:left="1440"/>
        <w:contextualSpacing/>
        <w:rPr>
          <w:rFonts w:ascii="Arial" w:eastAsia="Arial" w:hAnsi="Arial" w:cs="Arial"/>
          <w:szCs w:val="23"/>
          <w:lang w:val="fr-CA"/>
        </w:rPr>
      </w:pPr>
    </w:p>
    <w:p w14:paraId="53E82DAF" w14:textId="3C860F49" w:rsidR="0015303D" w:rsidRPr="003E0DDA" w:rsidRDefault="0015303D" w:rsidP="0015303D">
      <w:pPr>
        <w:tabs>
          <w:tab w:val="left" w:pos="720"/>
        </w:tabs>
        <w:rPr>
          <w:rFonts w:ascii="Arial" w:eastAsia="Arial" w:hAnsi="Arial" w:cs="Arial"/>
          <w:szCs w:val="23"/>
          <w:lang w:val="fr-CA"/>
        </w:rPr>
      </w:pPr>
      <w:r w:rsidRPr="003E0DDA">
        <w:rPr>
          <w:rFonts w:ascii="Arial" w:eastAsia="Arial" w:hAnsi="Arial" w:cs="Arial"/>
          <w:szCs w:val="23"/>
          <w:lang w:val="fr-CA"/>
        </w:rPr>
        <w:t xml:space="preserve">2. </w:t>
      </w:r>
      <w:r w:rsidRPr="003E0DDA">
        <w:rPr>
          <w:rFonts w:ascii="Arial" w:eastAsia="Arial" w:hAnsi="Arial" w:cs="Arial"/>
          <w:szCs w:val="23"/>
          <w:lang w:val="fr-CA"/>
        </w:rPr>
        <w:tab/>
        <w:t>Le présent chapitre ne s’applique pas :</w:t>
      </w:r>
    </w:p>
    <w:p w14:paraId="0D2D660C" w14:textId="77777777" w:rsidR="0015303D" w:rsidRPr="003E0DDA" w:rsidRDefault="0015303D" w:rsidP="0015303D">
      <w:pPr>
        <w:rPr>
          <w:rFonts w:ascii="Arial" w:eastAsia="Arial" w:hAnsi="Arial" w:cs="Arial"/>
          <w:szCs w:val="23"/>
          <w:lang w:val="fr-CA"/>
        </w:rPr>
      </w:pPr>
    </w:p>
    <w:p w14:paraId="21B09B2D" w14:textId="7D69B750" w:rsidR="0015303D" w:rsidRPr="003E0DDA" w:rsidRDefault="0015303D" w:rsidP="0015303D">
      <w:pPr>
        <w:ind w:left="1440" w:hanging="720"/>
        <w:rPr>
          <w:rFonts w:ascii="Arial" w:eastAsia="Arial" w:hAnsi="Arial" w:cs="Arial"/>
          <w:szCs w:val="23"/>
          <w:lang w:val="fr-CA"/>
        </w:rPr>
      </w:pPr>
      <w:r w:rsidRPr="003E0DDA">
        <w:rPr>
          <w:rFonts w:ascii="Arial" w:eastAsia="Arial" w:hAnsi="Arial" w:cs="Arial"/>
          <w:szCs w:val="23"/>
          <w:lang w:val="fr-CA"/>
        </w:rPr>
        <w:t>a)</w:t>
      </w:r>
      <w:r w:rsidRPr="003E0DDA">
        <w:rPr>
          <w:rFonts w:ascii="Arial" w:eastAsia="Arial" w:hAnsi="Arial" w:cs="Arial"/>
          <w:szCs w:val="23"/>
          <w:lang w:val="fr-CA"/>
        </w:rPr>
        <w:tab/>
        <w:t>aux mesures à caractère social, y compris les codes du travail et normes du travail, les régimes de salaire minimum, les périodes d’admissibilité à l’assurance-emploi et les prestations d’aide sociale;</w:t>
      </w:r>
    </w:p>
    <w:p w14:paraId="0F3DC566" w14:textId="77777777" w:rsidR="0015303D" w:rsidRPr="003E0DDA" w:rsidRDefault="0015303D" w:rsidP="0015303D">
      <w:pPr>
        <w:ind w:left="1440" w:hanging="720"/>
        <w:rPr>
          <w:rFonts w:ascii="Arial" w:eastAsia="Arial" w:hAnsi="Arial" w:cs="Arial"/>
          <w:szCs w:val="23"/>
          <w:lang w:val="fr-CA"/>
        </w:rPr>
      </w:pPr>
    </w:p>
    <w:p w14:paraId="4FCA886F" w14:textId="358F9D8E" w:rsidR="0015303D" w:rsidRPr="003E0DDA" w:rsidRDefault="0015303D" w:rsidP="0015303D">
      <w:pPr>
        <w:ind w:left="1440" w:hanging="720"/>
        <w:rPr>
          <w:rFonts w:ascii="Arial" w:eastAsia="Arial" w:hAnsi="Arial" w:cs="Arial"/>
          <w:szCs w:val="23"/>
          <w:lang w:val="fr-CA"/>
        </w:rPr>
      </w:pPr>
      <w:r w:rsidRPr="003E0DDA">
        <w:rPr>
          <w:rFonts w:ascii="Arial" w:eastAsia="Arial" w:hAnsi="Arial" w:cs="Arial"/>
          <w:szCs w:val="23"/>
          <w:lang w:val="fr-CA"/>
        </w:rPr>
        <w:t>b)</w:t>
      </w:r>
      <w:r w:rsidRPr="003E0DDA">
        <w:rPr>
          <w:rFonts w:ascii="Arial" w:eastAsia="Arial" w:hAnsi="Arial" w:cs="Arial"/>
          <w:szCs w:val="23"/>
          <w:lang w:val="fr-CA"/>
        </w:rPr>
        <w:tab/>
        <w:t>aux mesures du Québec, du Nunavut et des Territoires du Nord-Ouest relatives à leurs exigences en matière de langues officielles.</w:t>
      </w:r>
    </w:p>
    <w:p w14:paraId="27E0F4E0" w14:textId="77777777" w:rsidR="0015303D" w:rsidRPr="003E0DDA" w:rsidRDefault="0015303D" w:rsidP="0015303D">
      <w:pPr>
        <w:widowControl w:val="0"/>
        <w:autoSpaceDE w:val="0"/>
        <w:autoSpaceDN w:val="0"/>
        <w:adjustRightInd w:val="0"/>
        <w:ind w:left="1134" w:hanging="567"/>
        <w:jc w:val="both"/>
        <w:rPr>
          <w:rFonts w:ascii="Arial" w:eastAsia="Times New Roman" w:hAnsi="Arial" w:cs="Arial"/>
          <w:szCs w:val="23"/>
          <w:lang w:val="fr-CA"/>
        </w:rPr>
      </w:pPr>
    </w:p>
    <w:p w14:paraId="7C1EF416" w14:textId="698010C2" w:rsidR="0015303D" w:rsidRPr="00F52884" w:rsidRDefault="0015303D" w:rsidP="0015303D">
      <w:pPr>
        <w:jc w:val="center"/>
        <w:rPr>
          <w:rFonts w:ascii="Arial" w:eastAsia="Arial" w:hAnsi="Arial" w:cs="Arial"/>
          <w:b/>
          <w:szCs w:val="23"/>
        </w:rPr>
      </w:pPr>
      <w:bookmarkStart w:id="69" w:name="_Toc357427407"/>
      <w:r w:rsidRPr="00F52884">
        <w:rPr>
          <w:rFonts w:ascii="Arial" w:eastAsia="Arial" w:hAnsi="Arial" w:cs="Arial"/>
          <w:b/>
          <w:bCs/>
          <w:szCs w:val="23"/>
        </w:rPr>
        <w:t>Article </w:t>
      </w:r>
      <w:proofErr w:type="gramStart"/>
      <w:r w:rsidRPr="00F52884">
        <w:rPr>
          <w:rFonts w:ascii="Arial" w:eastAsia="Arial" w:hAnsi="Arial" w:cs="Arial"/>
          <w:b/>
          <w:bCs/>
          <w:szCs w:val="23"/>
        </w:rPr>
        <w:t>702 :</w:t>
      </w:r>
      <w:proofErr w:type="gramEnd"/>
      <w:r w:rsidRPr="00F52884">
        <w:rPr>
          <w:rFonts w:ascii="Arial" w:eastAsia="Arial" w:hAnsi="Arial" w:cs="Arial"/>
          <w:szCs w:val="23"/>
        </w:rPr>
        <w:t xml:space="preserve"> </w:t>
      </w:r>
      <w:r w:rsidRPr="00F52884">
        <w:rPr>
          <w:rFonts w:ascii="Arial" w:eastAsia="Arial" w:hAnsi="Arial" w:cs="Arial"/>
          <w:szCs w:val="23"/>
        </w:rPr>
        <w:tab/>
      </w:r>
      <w:bookmarkEnd w:id="69"/>
      <w:r w:rsidR="00996A22" w:rsidRPr="00F52884">
        <w:rPr>
          <w:rFonts w:ascii="Arial" w:eastAsia="Arial" w:hAnsi="Arial" w:cs="Arial"/>
          <w:szCs w:val="23"/>
        </w:rPr>
        <w:tab/>
      </w:r>
      <w:proofErr w:type="spellStart"/>
      <w:r w:rsidRPr="00F52884">
        <w:rPr>
          <w:rFonts w:ascii="Arial" w:eastAsia="Arial" w:hAnsi="Arial" w:cs="Arial"/>
          <w:b/>
          <w:bCs/>
          <w:szCs w:val="23"/>
        </w:rPr>
        <w:t>Étendue</w:t>
      </w:r>
      <w:proofErr w:type="spellEnd"/>
      <w:r w:rsidRPr="00F52884">
        <w:rPr>
          <w:rFonts w:ascii="Arial" w:eastAsia="Arial" w:hAnsi="Arial" w:cs="Arial"/>
          <w:b/>
          <w:bCs/>
          <w:szCs w:val="23"/>
        </w:rPr>
        <w:t xml:space="preserve"> des obligations</w:t>
      </w:r>
    </w:p>
    <w:p w14:paraId="4A86F178" w14:textId="77777777" w:rsidR="0015303D" w:rsidRPr="00F52884" w:rsidRDefault="0015303D" w:rsidP="0015303D">
      <w:pPr>
        <w:widowControl w:val="0"/>
        <w:autoSpaceDE w:val="0"/>
        <w:autoSpaceDN w:val="0"/>
        <w:adjustRightInd w:val="0"/>
        <w:rPr>
          <w:rFonts w:ascii="Arial" w:eastAsia="Times New Roman" w:hAnsi="Arial" w:cs="Arial"/>
          <w:szCs w:val="23"/>
        </w:rPr>
      </w:pPr>
    </w:p>
    <w:p w14:paraId="35EA5DA3" w14:textId="0AF8462A" w:rsidR="0015303D" w:rsidRPr="003E0DDA" w:rsidRDefault="0015303D" w:rsidP="0015303D">
      <w:pPr>
        <w:widowControl w:val="0"/>
        <w:numPr>
          <w:ilvl w:val="0"/>
          <w:numId w:val="181"/>
        </w:numPr>
        <w:autoSpaceDE w:val="0"/>
        <w:autoSpaceDN w:val="0"/>
        <w:adjustRightInd w:val="0"/>
        <w:ind w:left="0" w:firstLine="0"/>
        <w:contextualSpacing/>
        <w:rPr>
          <w:rFonts w:ascii="Arial" w:eastAsia="Times New Roman" w:hAnsi="Arial" w:cs="Arial"/>
          <w:szCs w:val="23"/>
          <w:lang w:val="fr-CA"/>
        </w:rPr>
      </w:pPr>
      <w:r w:rsidRPr="003E0DDA">
        <w:rPr>
          <w:rFonts w:ascii="Arial" w:eastAsia="Times New Roman" w:hAnsi="Arial" w:cs="Arial"/>
          <w:szCs w:val="23"/>
          <w:lang w:val="fr-CA"/>
        </w:rPr>
        <w:t xml:space="preserve">Pour l’application de </w:t>
      </w:r>
      <w:r w:rsidR="00AC4764" w:rsidRPr="003E0DDA">
        <w:rPr>
          <w:rFonts w:ascii="Arial" w:eastAsia="Times New Roman" w:hAnsi="Arial" w:cs="Arial"/>
          <w:szCs w:val="23"/>
          <w:lang w:val="fr-CA"/>
        </w:rPr>
        <w:t>l’alin</w:t>
      </w:r>
      <w:r w:rsidR="00AC4764" w:rsidRPr="003E0DDA">
        <w:rPr>
          <w:rFonts w:ascii="Arial" w:eastAsia="Arial" w:hAnsi="Arial" w:cs="Arial"/>
          <w:szCs w:val="23"/>
          <w:lang w:val="fr-CA"/>
        </w:rPr>
        <w:t>é</w:t>
      </w:r>
      <w:r w:rsidR="00AC4764" w:rsidRPr="003E0DDA">
        <w:rPr>
          <w:rFonts w:ascii="Arial" w:eastAsia="Times New Roman" w:hAnsi="Arial" w:cs="Arial"/>
          <w:szCs w:val="23"/>
          <w:lang w:val="fr-CA"/>
        </w:rPr>
        <w:t xml:space="preserve">a </w:t>
      </w:r>
      <w:r w:rsidRPr="003E0DDA">
        <w:rPr>
          <w:rFonts w:ascii="Arial" w:eastAsia="Times New Roman" w:hAnsi="Arial" w:cs="Arial"/>
          <w:szCs w:val="23"/>
          <w:lang w:val="fr-CA"/>
        </w:rPr>
        <w:t>103d) (Étendue des obligations), chaque Partie fait en sorte, par des mesures appropriées, que les organismes non gouvernementaux qui exercent des pouvoirs délégués par la loi respectent les dispositions du présent chapitre.</w:t>
      </w:r>
    </w:p>
    <w:p w14:paraId="7B171645" w14:textId="77777777" w:rsidR="0015303D" w:rsidRPr="003E0DDA" w:rsidRDefault="0015303D" w:rsidP="0015303D">
      <w:pPr>
        <w:widowControl w:val="0"/>
        <w:autoSpaceDE w:val="0"/>
        <w:autoSpaceDN w:val="0"/>
        <w:adjustRightInd w:val="0"/>
        <w:rPr>
          <w:rFonts w:ascii="Arial" w:eastAsia="Times New Roman" w:hAnsi="Arial" w:cs="Arial"/>
          <w:szCs w:val="23"/>
          <w:lang w:val="fr-CA"/>
        </w:rPr>
      </w:pPr>
    </w:p>
    <w:p w14:paraId="3FBE5006" w14:textId="77777777" w:rsidR="0015303D" w:rsidRPr="003E0DDA" w:rsidRDefault="0015303D" w:rsidP="0015303D">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Chaque Partie s’efforce, par des mesures appropriées, d’assurer le respect des dispositions du présent chapitre par des organismes non gouvernementaux autres que ceux qui exercent des pouvoirs délégués par la loi.</w:t>
      </w:r>
    </w:p>
    <w:p w14:paraId="0310D2DF" w14:textId="77777777" w:rsidR="0015303D" w:rsidRPr="003E0DDA" w:rsidRDefault="0015303D" w:rsidP="0015303D">
      <w:pPr>
        <w:widowControl w:val="0"/>
        <w:autoSpaceDE w:val="0"/>
        <w:autoSpaceDN w:val="0"/>
        <w:adjustRightInd w:val="0"/>
        <w:rPr>
          <w:rFonts w:ascii="Arial" w:eastAsia="Times New Roman" w:hAnsi="Arial" w:cs="Arial"/>
          <w:szCs w:val="23"/>
          <w:lang w:val="fr-CA"/>
        </w:rPr>
      </w:pPr>
    </w:p>
    <w:p w14:paraId="37765C93" w14:textId="269D99DA" w:rsidR="0015303D" w:rsidRPr="003E0DDA" w:rsidRDefault="0015303D" w:rsidP="0015303D">
      <w:pPr>
        <w:keepNext/>
        <w:keepLines/>
        <w:jc w:val="center"/>
        <w:rPr>
          <w:rFonts w:ascii="Arial" w:eastAsia="Arial" w:hAnsi="Arial" w:cs="Arial"/>
          <w:b/>
          <w:szCs w:val="23"/>
          <w:lang w:val="fr-CA"/>
        </w:rPr>
      </w:pPr>
      <w:bookmarkStart w:id="70" w:name="_Toc330454421"/>
      <w:bookmarkStart w:id="71" w:name="_Toc357427408"/>
      <w:r w:rsidRPr="003E0DDA">
        <w:rPr>
          <w:rFonts w:ascii="Arial" w:eastAsia="Arial" w:hAnsi="Arial" w:cs="Arial"/>
          <w:b/>
          <w:bCs/>
          <w:szCs w:val="23"/>
          <w:lang w:val="fr-CA"/>
        </w:rPr>
        <w:lastRenderedPageBreak/>
        <w:t xml:space="preserve">Article 703 :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Relations avec d’autres accords</w:t>
      </w:r>
      <w:bookmarkEnd w:id="70"/>
      <w:bookmarkEnd w:id="71"/>
    </w:p>
    <w:p w14:paraId="52CA49A5" w14:textId="77777777" w:rsidR="0015303D" w:rsidRPr="003E0DDA" w:rsidRDefault="0015303D" w:rsidP="0015303D">
      <w:pPr>
        <w:keepNext/>
        <w:keepLines/>
        <w:rPr>
          <w:rFonts w:ascii="Arial" w:eastAsia="Times New Roman" w:hAnsi="Arial" w:cs="Arial"/>
          <w:b/>
          <w:szCs w:val="23"/>
          <w:lang w:val="fr-CA"/>
        </w:rPr>
      </w:pPr>
    </w:p>
    <w:p w14:paraId="35783268" w14:textId="71A870DA" w:rsidR="0015303D" w:rsidRPr="003E0DDA" w:rsidRDefault="0015303D" w:rsidP="0015303D">
      <w:pPr>
        <w:keepNext/>
        <w:keepLines/>
        <w:widowControl w:val="0"/>
        <w:autoSpaceDE w:val="0"/>
        <w:autoSpaceDN w:val="0"/>
        <w:adjustRightInd w:val="0"/>
        <w:ind w:firstLine="720"/>
        <w:rPr>
          <w:rFonts w:ascii="Arial" w:eastAsia="Times New Roman" w:hAnsi="Arial" w:cs="Arial"/>
          <w:szCs w:val="23"/>
          <w:lang w:val="fr-CA"/>
        </w:rPr>
      </w:pPr>
      <w:r w:rsidRPr="003E0DDA">
        <w:rPr>
          <w:rFonts w:ascii="Arial" w:eastAsia="Times New Roman" w:hAnsi="Arial" w:cs="Arial"/>
          <w:szCs w:val="23"/>
          <w:lang w:val="fr-CA"/>
        </w:rPr>
        <w:t>Si, dans un cas particulier, il y a incompatibilité entre une disposition du présent chapitre et une disposition de tout autre accord conclu par au moins deux Parties relativement aux questions visées par le présent chapitre, l’accord qui favorise le plus la mobilité de la main-d’œuvre, dans ce cas particulier, l’emporte dans la mesure de l’incompatibilité. Il est entendu que, si cet accord l’emporte, il ne s’applique qu’à l’égard des Parties à cet accord.</w:t>
      </w:r>
    </w:p>
    <w:p w14:paraId="5F329619" w14:textId="77777777" w:rsidR="0015303D" w:rsidRPr="003E0DDA" w:rsidRDefault="0015303D" w:rsidP="0015303D">
      <w:pPr>
        <w:rPr>
          <w:rFonts w:ascii="Arial" w:eastAsia="Arial" w:hAnsi="Arial" w:cs="Arial"/>
          <w:szCs w:val="23"/>
          <w:lang w:val="fr-CA"/>
        </w:rPr>
      </w:pPr>
    </w:p>
    <w:p w14:paraId="32B52083" w14:textId="2B18F2C9" w:rsidR="0015303D" w:rsidRPr="003E0DDA" w:rsidRDefault="0015303D" w:rsidP="0015303D">
      <w:pPr>
        <w:jc w:val="center"/>
        <w:rPr>
          <w:rFonts w:ascii="Arial" w:eastAsia="Times New Roman" w:hAnsi="Arial" w:cs="Arial"/>
          <w:b/>
          <w:szCs w:val="23"/>
          <w:lang w:val="fr-CA"/>
        </w:rPr>
      </w:pPr>
      <w:r w:rsidRPr="003E0DDA">
        <w:rPr>
          <w:rFonts w:ascii="Arial" w:eastAsia="Times New Roman" w:hAnsi="Arial" w:cs="Arial"/>
          <w:b/>
          <w:bCs/>
          <w:szCs w:val="23"/>
          <w:lang w:val="fr-CA"/>
        </w:rPr>
        <w:t xml:space="preserve">Article 704 : </w:t>
      </w:r>
      <w:r w:rsidRPr="003E0DDA">
        <w:rPr>
          <w:rFonts w:ascii="Arial" w:eastAsia="Times New Roman" w:hAnsi="Arial" w:cs="Arial"/>
          <w:szCs w:val="23"/>
          <w:lang w:val="fr-CA"/>
        </w:rPr>
        <w:tab/>
      </w:r>
      <w:r w:rsidR="00996A22" w:rsidRPr="003E0DDA">
        <w:rPr>
          <w:rFonts w:ascii="Arial" w:eastAsia="Times New Roman" w:hAnsi="Arial" w:cs="Arial"/>
          <w:szCs w:val="23"/>
          <w:lang w:val="fr-CA"/>
        </w:rPr>
        <w:tab/>
      </w:r>
      <w:r w:rsidRPr="003E0DDA">
        <w:rPr>
          <w:rFonts w:ascii="Arial" w:eastAsia="Times New Roman" w:hAnsi="Arial" w:cs="Arial"/>
          <w:b/>
          <w:bCs/>
          <w:szCs w:val="23"/>
          <w:lang w:val="fr-CA"/>
        </w:rPr>
        <w:t>Exigences en matière de résidence</w:t>
      </w:r>
    </w:p>
    <w:p w14:paraId="69AD1CDA" w14:textId="77777777" w:rsidR="0015303D" w:rsidRPr="003E0DDA" w:rsidRDefault="0015303D" w:rsidP="0015303D">
      <w:pPr>
        <w:rPr>
          <w:rFonts w:ascii="Arial" w:eastAsia="Times New Roman" w:hAnsi="Arial" w:cs="Arial"/>
          <w:b/>
          <w:bCs/>
          <w:szCs w:val="23"/>
          <w:lang w:val="fr-CA"/>
        </w:rPr>
      </w:pPr>
    </w:p>
    <w:p w14:paraId="3138BA2D" w14:textId="47C6564B"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1. </w:t>
      </w:r>
      <w:r w:rsidRPr="003E0DDA">
        <w:rPr>
          <w:rFonts w:ascii="Arial" w:eastAsia="Times New Roman" w:hAnsi="Arial" w:cs="Arial"/>
          <w:szCs w:val="23"/>
          <w:lang w:val="fr-CA"/>
        </w:rPr>
        <w:tab/>
        <w:t>Sous réserve de l’article 707, une Partie n’oblige pas un travailleur d’une Partie à résider sur son territoire comme condition visant, selon le cas :</w:t>
      </w:r>
    </w:p>
    <w:p w14:paraId="684B2829" w14:textId="77777777" w:rsidR="0015303D" w:rsidRPr="003E0DDA" w:rsidRDefault="0015303D" w:rsidP="0015303D">
      <w:pPr>
        <w:rPr>
          <w:rFonts w:ascii="Arial" w:eastAsia="Times New Roman" w:hAnsi="Arial" w:cs="Arial"/>
          <w:szCs w:val="23"/>
          <w:lang w:val="fr-CA"/>
        </w:rPr>
      </w:pPr>
    </w:p>
    <w:p w14:paraId="2650A89A" w14:textId="77777777" w:rsidR="0015303D" w:rsidRPr="00F52884" w:rsidRDefault="0015303D" w:rsidP="007401BF">
      <w:pPr>
        <w:numPr>
          <w:ilvl w:val="0"/>
          <w:numId w:val="182"/>
        </w:numPr>
        <w:autoSpaceDE w:val="0"/>
        <w:autoSpaceDN w:val="0"/>
        <w:adjustRightInd w:val="0"/>
        <w:ind w:left="1440" w:hanging="720"/>
        <w:contextualSpacing/>
        <w:rPr>
          <w:rFonts w:ascii="Arial" w:eastAsia="Times New Roman" w:hAnsi="Arial" w:cs="Arial"/>
          <w:szCs w:val="23"/>
        </w:rPr>
      </w:pPr>
      <w:proofErr w:type="spellStart"/>
      <w:r w:rsidRPr="00F52884">
        <w:rPr>
          <w:rFonts w:ascii="Arial" w:eastAsia="Times New Roman" w:hAnsi="Arial" w:cs="Arial"/>
          <w:szCs w:val="23"/>
        </w:rPr>
        <w:t>l’admissibilité</w:t>
      </w:r>
      <w:proofErr w:type="spellEnd"/>
      <w:r w:rsidRPr="00F52884">
        <w:rPr>
          <w:rFonts w:ascii="Arial" w:eastAsia="Times New Roman" w:hAnsi="Arial" w:cs="Arial"/>
          <w:szCs w:val="23"/>
        </w:rPr>
        <w:t xml:space="preserve"> à </w:t>
      </w:r>
      <w:proofErr w:type="spellStart"/>
      <w:proofErr w:type="gramStart"/>
      <w:r w:rsidRPr="00F52884">
        <w:rPr>
          <w:rFonts w:ascii="Arial" w:eastAsia="Times New Roman" w:hAnsi="Arial" w:cs="Arial"/>
          <w:szCs w:val="23"/>
        </w:rPr>
        <w:t>l’emploi</w:t>
      </w:r>
      <w:proofErr w:type="spellEnd"/>
      <w:r w:rsidRPr="00F52884">
        <w:rPr>
          <w:rFonts w:ascii="Arial" w:eastAsia="Times New Roman" w:hAnsi="Arial" w:cs="Arial"/>
          <w:szCs w:val="23"/>
        </w:rPr>
        <w:t>;</w:t>
      </w:r>
      <w:proofErr w:type="gramEnd"/>
    </w:p>
    <w:p w14:paraId="7F60F183" w14:textId="77777777" w:rsidR="0015303D" w:rsidRPr="00F52884" w:rsidRDefault="0015303D" w:rsidP="007401BF">
      <w:pPr>
        <w:autoSpaceDE w:val="0"/>
        <w:autoSpaceDN w:val="0"/>
        <w:adjustRightInd w:val="0"/>
        <w:ind w:left="1440" w:hanging="720"/>
        <w:contextualSpacing/>
        <w:rPr>
          <w:rFonts w:ascii="Arial" w:eastAsia="Times New Roman" w:hAnsi="Arial" w:cs="Arial"/>
          <w:szCs w:val="23"/>
        </w:rPr>
      </w:pPr>
    </w:p>
    <w:p w14:paraId="451E1910" w14:textId="77777777" w:rsidR="0015303D" w:rsidRPr="003E0DDA" w:rsidRDefault="0015303D" w:rsidP="007401BF">
      <w:pPr>
        <w:numPr>
          <w:ilvl w:val="0"/>
          <w:numId w:val="182"/>
        </w:numPr>
        <w:autoSpaceDE w:val="0"/>
        <w:autoSpaceDN w:val="0"/>
        <w:adjustRightInd w:val="0"/>
        <w:ind w:left="1440" w:hanging="720"/>
        <w:contextualSpacing/>
        <w:rPr>
          <w:rFonts w:ascii="Arial" w:eastAsia="Times New Roman" w:hAnsi="Arial" w:cs="Arial"/>
          <w:szCs w:val="23"/>
          <w:lang w:val="fr-CA"/>
        </w:rPr>
      </w:pPr>
      <w:proofErr w:type="gramStart"/>
      <w:r w:rsidRPr="003E0DDA">
        <w:rPr>
          <w:rFonts w:ascii="Arial" w:eastAsia="Times New Roman" w:hAnsi="Arial" w:cs="Arial"/>
          <w:szCs w:val="23"/>
          <w:lang w:val="fr-CA"/>
        </w:rPr>
        <w:t>la</w:t>
      </w:r>
      <w:proofErr w:type="gramEnd"/>
      <w:r w:rsidRPr="003E0DDA">
        <w:rPr>
          <w:rFonts w:ascii="Arial" w:eastAsia="Times New Roman" w:hAnsi="Arial" w:cs="Arial"/>
          <w:szCs w:val="23"/>
          <w:lang w:val="fr-CA"/>
        </w:rPr>
        <w:t xml:space="preserve"> reconnaissance professionnelle se rapportant au métier ou à la profession du travailleur.</w:t>
      </w:r>
    </w:p>
    <w:p w14:paraId="2EB45900" w14:textId="77777777" w:rsidR="0015303D" w:rsidRPr="003E0DDA" w:rsidRDefault="0015303D" w:rsidP="0015303D">
      <w:pPr>
        <w:rPr>
          <w:rFonts w:ascii="Arial" w:eastAsia="Times New Roman" w:hAnsi="Arial" w:cs="Arial"/>
          <w:szCs w:val="23"/>
          <w:lang w:val="fr-CA"/>
        </w:rPr>
      </w:pPr>
    </w:p>
    <w:p w14:paraId="57C714D6" w14:textId="7B2F5F1B"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2. </w:t>
      </w:r>
      <w:r w:rsidRPr="003E0DDA">
        <w:rPr>
          <w:rFonts w:ascii="Arial" w:eastAsia="Times New Roman" w:hAnsi="Arial" w:cs="Arial"/>
          <w:szCs w:val="23"/>
          <w:lang w:val="fr-CA"/>
        </w:rPr>
        <w:tab/>
        <w:t>Le gouvernement du Canada, conformément à l’alinéa 1a) et sous réserve de l’article 707, n’oblige pas un travailleur d’une Partie à résider dans une province ou un territoire précis comme condition d’admissibilité pour soumettre une demande, dans un processus de nomination ou d’embauche externe, à des fins de nomination ou d’embauche à un poste ou un emploi :</w:t>
      </w:r>
    </w:p>
    <w:p w14:paraId="0B774CA8" w14:textId="77777777" w:rsidR="0015303D" w:rsidRPr="003E0DDA" w:rsidRDefault="0015303D" w:rsidP="0015303D">
      <w:pPr>
        <w:rPr>
          <w:rFonts w:ascii="Arial" w:eastAsia="Times New Roman" w:hAnsi="Arial" w:cs="Arial"/>
          <w:szCs w:val="23"/>
          <w:lang w:val="fr-CA"/>
        </w:rPr>
      </w:pPr>
    </w:p>
    <w:p w14:paraId="7AC4869E" w14:textId="63608678" w:rsidR="0015303D" w:rsidRPr="003E0DDA" w:rsidRDefault="0015303D" w:rsidP="007401BF">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 xml:space="preserve">dans des ministères de la fonction publique fédérale, des établissements publics, des sociétés d’État, des organismes distincts et autres secteurs de l’administration publique énumérés aux annexes I à VI de la </w:t>
      </w:r>
      <w:r w:rsidRPr="003E0DDA">
        <w:rPr>
          <w:rFonts w:ascii="Arial" w:eastAsia="Times New Roman" w:hAnsi="Arial" w:cs="Arial"/>
          <w:i/>
          <w:szCs w:val="23"/>
          <w:lang w:val="fr-CA"/>
        </w:rPr>
        <w:t xml:space="preserve">Loi sur la gestion des finances publiques </w:t>
      </w:r>
      <w:r w:rsidRPr="003E0DDA">
        <w:rPr>
          <w:rFonts w:ascii="Arial" w:eastAsia="Times New Roman" w:hAnsi="Arial" w:cs="Arial"/>
          <w:szCs w:val="23"/>
          <w:lang w:val="fr-CA"/>
        </w:rPr>
        <w:t>(Canada), avec ses modifications;</w:t>
      </w:r>
    </w:p>
    <w:p w14:paraId="606D6770" w14:textId="77777777" w:rsidR="0015303D" w:rsidRPr="003E0DDA" w:rsidRDefault="0015303D" w:rsidP="007401BF">
      <w:pPr>
        <w:autoSpaceDE w:val="0"/>
        <w:autoSpaceDN w:val="0"/>
        <w:adjustRightInd w:val="0"/>
        <w:ind w:left="1440" w:hanging="720"/>
        <w:contextualSpacing/>
        <w:rPr>
          <w:rFonts w:ascii="Arial" w:eastAsia="Times New Roman" w:hAnsi="Arial" w:cs="Arial"/>
          <w:szCs w:val="23"/>
          <w:lang w:val="fr-CA"/>
        </w:rPr>
      </w:pPr>
    </w:p>
    <w:p w14:paraId="60262042" w14:textId="09138695" w:rsidR="0015303D" w:rsidRPr="003E0DDA" w:rsidRDefault="0015303D" w:rsidP="007401BF">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 xml:space="preserve">dans d’autres sociétés d’État au sens de la </w:t>
      </w:r>
      <w:r w:rsidRPr="003E0DDA">
        <w:rPr>
          <w:rFonts w:ascii="Arial" w:eastAsia="Times New Roman" w:hAnsi="Arial" w:cs="Arial"/>
          <w:i/>
          <w:szCs w:val="23"/>
          <w:lang w:val="fr-CA"/>
        </w:rPr>
        <w:t xml:space="preserve">Loi sur la gestion des finances publiques </w:t>
      </w:r>
      <w:r w:rsidRPr="003E0DDA">
        <w:rPr>
          <w:rFonts w:ascii="Arial" w:eastAsia="Times New Roman" w:hAnsi="Arial" w:cs="Arial"/>
          <w:szCs w:val="23"/>
          <w:lang w:val="fr-CA"/>
        </w:rPr>
        <w:t>(Canada</w:t>
      </w:r>
      <w:r w:rsidRPr="003E0DDA">
        <w:rPr>
          <w:rFonts w:ascii="Arial" w:eastAsia="Times New Roman" w:hAnsi="Arial" w:cs="Arial"/>
          <w:i/>
          <w:szCs w:val="23"/>
          <w:lang w:val="fr-CA"/>
        </w:rPr>
        <w:t>)</w:t>
      </w:r>
      <w:r w:rsidRPr="003E0DDA">
        <w:rPr>
          <w:rFonts w:ascii="Arial" w:eastAsia="Times New Roman" w:hAnsi="Arial" w:cs="Arial"/>
          <w:szCs w:val="23"/>
          <w:lang w:val="fr-CA"/>
        </w:rPr>
        <w:t xml:space="preserve">, avec ses modifications, qui ne sont pas visées par l’alinéa a). </w:t>
      </w:r>
    </w:p>
    <w:p w14:paraId="31B06562" w14:textId="77777777" w:rsidR="0015303D" w:rsidRPr="003E0DDA" w:rsidRDefault="0015303D" w:rsidP="0015303D">
      <w:pPr>
        <w:rPr>
          <w:rFonts w:ascii="Arial" w:eastAsia="Arial" w:hAnsi="Arial" w:cs="Arial"/>
          <w:szCs w:val="23"/>
          <w:lang w:val="fr-CA"/>
        </w:rPr>
      </w:pPr>
    </w:p>
    <w:p w14:paraId="572E3F89" w14:textId="7D5608C0" w:rsidR="0015303D" w:rsidRPr="003E0DDA" w:rsidRDefault="0015303D" w:rsidP="0015303D">
      <w:pPr>
        <w:jc w:val="center"/>
        <w:rPr>
          <w:rFonts w:ascii="Arial" w:eastAsia="Times New Roman" w:hAnsi="Arial" w:cs="Arial"/>
          <w:b/>
          <w:szCs w:val="23"/>
          <w:lang w:val="fr-CA"/>
        </w:rPr>
      </w:pPr>
      <w:r w:rsidRPr="003E0DDA">
        <w:rPr>
          <w:rFonts w:ascii="Arial" w:eastAsia="Times New Roman" w:hAnsi="Arial" w:cs="Arial"/>
          <w:b/>
          <w:bCs/>
          <w:szCs w:val="23"/>
          <w:lang w:val="fr-CA"/>
        </w:rPr>
        <w:t>Article 705 :</w:t>
      </w:r>
      <w:r w:rsidRPr="003E0DDA">
        <w:rPr>
          <w:rFonts w:ascii="Arial" w:eastAsia="Times New Roman" w:hAnsi="Arial" w:cs="Arial"/>
          <w:szCs w:val="23"/>
          <w:lang w:val="fr-CA"/>
        </w:rPr>
        <w:tab/>
      </w:r>
      <w:r w:rsidR="00996A22" w:rsidRPr="003E0DDA">
        <w:rPr>
          <w:rFonts w:ascii="Arial" w:eastAsia="Times New Roman" w:hAnsi="Arial" w:cs="Arial"/>
          <w:szCs w:val="23"/>
          <w:lang w:val="fr-CA"/>
        </w:rPr>
        <w:tab/>
      </w:r>
      <w:r w:rsidRPr="003E0DDA">
        <w:rPr>
          <w:rFonts w:ascii="Arial" w:eastAsia="Times New Roman" w:hAnsi="Arial" w:cs="Arial"/>
          <w:b/>
          <w:bCs/>
          <w:szCs w:val="23"/>
          <w:lang w:val="fr-CA"/>
        </w:rPr>
        <w:t>Reconnaissance professionnelle des travailleurs</w:t>
      </w:r>
    </w:p>
    <w:p w14:paraId="244849EE" w14:textId="77777777" w:rsidR="0015303D" w:rsidRPr="003E0DDA" w:rsidRDefault="0015303D" w:rsidP="0015303D">
      <w:pPr>
        <w:rPr>
          <w:rFonts w:ascii="Arial" w:eastAsia="Times New Roman" w:hAnsi="Arial" w:cs="Arial"/>
          <w:szCs w:val="23"/>
          <w:lang w:val="fr-CA"/>
        </w:rPr>
      </w:pPr>
    </w:p>
    <w:p w14:paraId="0448FD2A" w14:textId="6D2B955B"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1. </w:t>
      </w:r>
      <w:r w:rsidRPr="003E0DDA">
        <w:rPr>
          <w:rFonts w:ascii="Arial" w:eastAsia="Times New Roman" w:hAnsi="Arial" w:cs="Arial"/>
          <w:szCs w:val="23"/>
          <w:lang w:val="fr-CA"/>
        </w:rPr>
        <w:tab/>
        <w:t xml:space="preserve">Sous réserve des paragraphes 2, 3, 4 et 6 et de l’article 707, tout travailleur accrédité par un organisme de réglementation d’une Partie pour exercer un métier ou une profession doit, au moment de la demande, être accrédité pour exercer ce métier ou cette profession par toute autre Partie qui réglemente ce métier ou cette profession sans exigence </w:t>
      </w:r>
      <w:r w:rsidR="00BA7FE6" w:rsidRPr="00F52884">
        <w:rPr>
          <w:rFonts w:ascii="Arial" w:hAnsi="Arial" w:cs="Arial"/>
          <w:lang w:val="fr-CA"/>
        </w:rPr>
        <w:t xml:space="preserve">supplémentaire </w:t>
      </w:r>
      <w:r w:rsidRPr="003E0DDA">
        <w:rPr>
          <w:rFonts w:ascii="Arial" w:eastAsia="Times New Roman" w:hAnsi="Arial" w:cs="Arial"/>
          <w:szCs w:val="23"/>
          <w:lang w:val="fr-CA"/>
        </w:rPr>
        <w:t xml:space="preserve">significative de formation, d’expérience, d’examens ou d’évaluations dans le cadre de cette procédure de reconnaissance professionnelle. </w:t>
      </w:r>
    </w:p>
    <w:p w14:paraId="7F24F597" w14:textId="77777777" w:rsidR="0015303D" w:rsidRPr="003E0DDA" w:rsidRDefault="0015303D" w:rsidP="0015303D">
      <w:pPr>
        <w:rPr>
          <w:rFonts w:ascii="Arial" w:eastAsia="Times New Roman" w:hAnsi="Arial" w:cs="Arial"/>
          <w:szCs w:val="23"/>
          <w:lang w:val="fr-CA"/>
        </w:rPr>
      </w:pPr>
    </w:p>
    <w:p w14:paraId="47EEB10B" w14:textId="3C0DA89D" w:rsidR="0015303D" w:rsidRPr="003E0DDA" w:rsidRDefault="0015303D" w:rsidP="0015303D">
      <w:pPr>
        <w:rPr>
          <w:rFonts w:ascii="Arial" w:eastAsia="Times New Roman" w:hAnsi="Arial" w:cs="Arial"/>
          <w:b/>
          <w:szCs w:val="23"/>
          <w:lang w:val="fr-CA"/>
        </w:rPr>
      </w:pPr>
      <w:r w:rsidRPr="003E0DDA">
        <w:rPr>
          <w:rFonts w:ascii="Arial" w:eastAsia="Times New Roman" w:hAnsi="Arial" w:cs="Arial"/>
          <w:szCs w:val="23"/>
          <w:lang w:val="fr-CA"/>
        </w:rPr>
        <w:t xml:space="preserve">2. </w:t>
      </w:r>
      <w:r w:rsidRPr="003E0DDA">
        <w:rPr>
          <w:rFonts w:ascii="Arial" w:eastAsia="Times New Roman" w:hAnsi="Arial" w:cs="Arial"/>
          <w:szCs w:val="23"/>
          <w:lang w:val="fr-CA"/>
        </w:rPr>
        <w:tab/>
        <w:t xml:space="preserve">Sous réserve des paragraphes 3 et 4 et de l’article 707, chaque Partie reconnaît tout travailleur titulaire, pour une province ou un territoire, d’une accréditation portant la mention Sceau rouge, conformément au Programme des normes interprovinciales Sceau rouge, comme étant qualifié pour exercer le métier ou la profession visé par cette accréditation. </w:t>
      </w:r>
    </w:p>
    <w:p w14:paraId="2B0AD155" w14:textId="77777777" w:rsidR="0015303D" w:rsidRPr="003E0DDA" w:rsidRDefault="0015303D" w:rsidP="0015303D">
      <w:pPr>
        <w:rPr>
          <w:rFonts w:ascii="Arial" w:eastAsia="Times New Roman" w:hAnsi="Arial" w:cs="Arial"/>
          <w:szCs w:val="23"/>
          <w:lang w:val="fr-CA"/>
        </w:rPr>
      </w:pPr>
    </w:p>
    <w:p w14:paraId="590D77A7" w14:textId="700D3A90"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lastRenderedPageBreak/>
        <w:t xml:space="preserve">3. </w:t>
      </w:r>
      <w:r w:rsidRPr="003E0DDA">
        <w:rPr>
          <w:rFonts w:ascii="Arial" w:eastAsia="Times New Roman" w:hAnsi="Arial" w:cs="Arial"/>
          <w:szCs w:val="23"/>
          <w:lang w:val="fr-CA"/>
        </w:rPr>
        <w:tab/>
        <w:t>Un organisme de réglementation d’une Partie peut, comme condition de reconnaissance professionnelle de tout travailleur visé aux paragraphes 1 ou 2, imposer des exigences à ce travailleur (autres que des exigences significatives de formation, d’expérience, d’examens ou d’évaluations supplémentaires), y compris, selon le cas :</w:t>
      </w:r>
    </w:p>
    <w:p w14:paraId="74B43056" w14:textId="77777777" w:rsidR="0015303D" w:rsidRPr="003E0DDA" w:rsidRDefault="0015303D" w:rsidP="0015303D">
      <w:pPr>
        <w:rPr>
          <w:rFonts w:ascii="Arial" w:eastAsia="Times New Roman" w:hAnsi="Arial" w:cs="Arial"/>
          <w:szCs w:val="23"/>
          <w:lang w:val="fr-CA"/>
        </w:rPr>
      </w:pPr>
    </w:p>
    <w:p w14:paraId="3FAF37F2" w14:textId="69B65321"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 xml:space="preserve">acquitter des frais liés à la demande ou à son traitement; </w:t>
      </w:r>
    </w:p>
    <w:p w14:paraId="40021D8C"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2C346D83" w14:textId="12829F14"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 xml:space="preserve">obtenir une assurance, une protection contre la faute professionnelle ou une protection semblable; </w:t>
      </w:r>
    </w:p>
    <w:p w14:paraId="7259F269"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7FB58C58" w14:textId="595F3C85"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 xml:space="preserve">déposer un cautionnement; </w:t>
      </w:r>
    </w:p>
    <w:p w14:paraId="72D602E1"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173955C5" w14:textId="195C1B1F"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d) </w:t>
      </w:r>
      <w:r w:rsidRPr="003E0DDA">
        <w:rPr>
          <w:rFonts w:ascii="Arial" w:eastAsia="Times New Roman" w:hAnsi="Arial" w:cs="Arial"/>
          <w:szCs w:val="23"/>
          <w:lang w:val="fr-CA"/>
        </w:rPr>
        <w:tab/>
        <w:t>faire l’objet d’une vérification d’antécédents judiciaires;</w:t>
      </w:r>
    </w:p>
    <w:p w14:paraId="0D9C2CED"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3B744914" w14:textId="1EB0C2EF"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e) </w:t>
      </w:r>
      <w:r w:rsidRPr="003E0DDA">
        <w:rPr>
          <w:rFonts w:ascii="Arial" w:eastAsia="Times New Roman" w:hAnsi="Arial" w:cs="Arial"/>
          <w:szCs w:val="23"/>
          <w:lang w:val="fr-CA"/>
        </w:rPr>
        <w:tab/>
        <w:t xml:space="preserve">démontrer son intégrité; </w:t>
      </w:r>
    </w:p>
    <w:p w14:paraId="77245AF4"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48C248E9" w14:textId="6C55EF4B"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f) </w:t>
      </w:r>
      <w:r w:rsidRPr="003E0DDA">
        <w:rPr>
          <w:rFonts w:ascii="Arial" w:eastAsia="Times New Roman" w:hAnsi="Arial" w:cs="Arial"/>
          <w:szCs w:val="23"/>
          <w:lang w:val="fr-CA"/>
        </w:rPr>
        <w:tab/>
        <w:t>démontrer une connaissance des mesures maintenues par cette Partie et applicables à l’exercice de ce métier ou de cette profession sur son territoire;</w:t>
      </w:r>
    </w:p>
    <w:p w14:paraId="6073FFAA"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5D24019C" w14:textId="468CA205"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g) </w:t>
      </w:r>
      <w:r w:rsidRPr="003E0DDA">
        <w:rPr>
          <w:rFonts w:ascii="Arial" w:eastAsia="Times New Roman" w:hAnsi="Arial" w:cs="Arial"/>
          <w:szCs w:val="23"/>
          <w:lang w:val="fr-CA"/>
        </w:rPr>
        <w:tab/>
        <w:t xml:space="preserve">produire un certificat, une lettre ou une autre preuve, fourni par l’organisme de réglementation de chaque territoire où le travailleur est actuellement accrédité, confirmant ainsi que sa reconnaissance professionnelle est en règle dans ce territoire; </w:t>
      </w:r>
    </w:p>
    <w:p w14:paraId="495EAA3E" w14:textId="77777777" w:rsidR="0015303D" w:rsidRPr="003E0DDA" w:rsidRDefault="0015303D" w:rsidP="0015303D">
      <w:pPr>
        <w:rPr>
          <w:rFonts w:ascii="Arial" w:eastAsia="Times New Roman" w:hAnsi="Arial" w:cs="Arial"/>
          <w:szCs w:val="23"/>
          <w:lang w:val="fr-CA"/>
        </w:rPr>
      </w:pPr>
    </w:p>
    <w:p w14:paraId="4FB5EDEE" w14:textId="77777777" w:rsidR="0015303D" w:rsidRPr="003E0DDA" w:rsidRDefault="0015303D" w:rsidP="0015303D">
      <w:pPr>
        <w:rPr>
          <w:rFonts w:ascii="Arial" w:eastAsia="Times New Roman" w:hAnsi="Arial" w:cs="Arial"/>
          <w:szCs w:val="23"/>
          <w:lang w:val="fr-CA"/>
        </w:rPr>
      </w:pPr>
      <w:proofErr w:type="gramStart"/>
      <w:r w:rsidRPr="003E0DDA">
        <w:rPr>
          <w:rFonts w:ascii="Arial" w:eastAsia="Times New Roman" w:hAnsi="Arial" w:cs="Arial"/>
          <w:szCs w:val="23"/>
          <w:lang w:val="fr-CA"/>
        </w:rPr>
        <w:t>à</w:t>
      </w:r>
      <w:proofErr w:type="gramEnd"/>
      <w:r w:rsidRPr="003E0DDA">
        <w:rPr>
          <w:rFonts w:ascii="Arial" w:eastAsia="Times New Roman" w:hAnsi="Arial" w:cs="Arial"/>
          <w:szCs w:val="23"/>
          <w:lang w:val="fr-CA"/>
        </w:rPr>
        <w:t xml:space="preserve"> condition que :</w:t>
      </w:r>
    </w:p>
    <w:p w14:paraId="1175A266" w14:textId="77777777" w:rsidR="0015303D" w:rsidRPr="003E0DDA" w:rsidRDefault="0015303D" w:rsidP="0015303D">
      <w:pPr>
        <w:rPr>
          <w:rFonts w:ascii="Arial" w:eastAsia="Times New Roman" w:hAnsi="Arial" w:cs="Arial"/>
          <w:szCs w:val="23"/>
          <w:lang w:val="fr-CA"/>
        </w:rPr>
      </w:pPr>
    </w:p>
    <w:p w14:paraId="68E3DBD9" w14:textId="1ED52E96"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h) </w:t>
      </w:r>
      <w:r w:rsidRPr="003E0DDA">
        <w:rPr>
          <w:rFonts w:ascii="Arial" w:eastAsia="Times New Roman" w:hAnsi="Arial" w:cs="Arial"/>
          <w:szCs w:val="23"/>
          <w:lang w:val="fr-CA"/>
        </w:rPr>
        <w:tab/>
        <w:t>sous réserve de l’alinéa 5c), chacune des exigences énoncées aux alinéas a) à f) soit identique ou très similaire, mais pas plus onéreuse que celles imposées par l’organisme de réglementation aux travailleurs de son territoire, dans le cadre de la procédure normale de reconnaissance professionnelle;</w:t>
      </w:r>
    </w:p>
    <w:p w14:paraId="087607E6" w14:textId="77777777"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p>
    <w:p w14:paraId="3319C3E5" w14:textId="5EE1824B" w:rsidR="0015303D" w:rsidRPr="003E0DDA" w:rsidRDefault="0015303D" w:rsidP="006B33A2">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i) </w:t>
      </w:r>
      <w:r w:rsidRPr="003E0DDA">
        <w:rPr>
          <w:rFonts w:ascii="Arial" w:eastAsia="Times New Roman" w:hAnsi="Arial" w:cs="Arial"/>
          <w:szCs w:val="23"/>
          <w:lang w:val="fr-CA"/>
        </w:rPr>
        <w:tab/>
        <w:t>chacune de ces exigences ne constitue pas une restriction déguisée à la mobilité de la main-d’œuvre.</w:t>
      </w:r>
    </w:p>
    <w:p w14:paraId="7E7CEAA6" w14:textId="77777777" w:rsidR="0015303D" w:rsidRPr="003E0DDA" w:rsidRDefault="0015303D" w:rsidP="0015303D">
      <w:pPr>
        <w:rPr>
          <w:rFonts w:ascii="Arial" w:eastAsia="Times New Roman" w:hAnsi="Arial" w:cs="Arial"/>
          <w:szCs w:val="23"/>
          <w:lang w:val="fr-CA"/>
        </w:rPr>
      </w:pPr>
    </w:p>
    <w:p w14:paraId="1942E6EE" w14:textId="77777777"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4. </w:t>
      </w:r>
      <w:r w:rsidRPr="003E0DDA">
        <w:rPr>
          <w:rFonts w:ascii="Arial" w:eastAsia="Times New Roman" w:hAnsi="Arial" w:cs="Arial"/>
          <w:szCs w:val="23"/>
          <w:lang w:val="fr-CA"/>
        </w:rPr>
        <w:tab/>
        <w:t>Aucune disposition des paragraphes 1 ou 2 ne limite la capacité d’un organisme de réglementation d’une Partie de faire ce qui suit :</w:t>
      </w:r>
    </w:p>
    <w:p w14:paraId="36A1FF6B" w14:textId="77777777" w:rsidR="0015303D" w:rsidRPr="003E0DDA" w:rsidRDefault="0015303D" w:rsidP="0015303D">
      <w:pPr>
        <w:rPr>
          <w:rFonts w:ascii="Arial" w:eastAsia="Times New Roman" w:hAnsi="Arial" w:cs="Arial"/>
          <w:szCs w:val="23"/>
          <w:lang w:val="fr-CA"/>
        </w:rPr>
      </w:pPr>
    </w:p>
    <w:p w14:paraId="7FD0863B" w14:textId="0930CCF3" w:rsidR="0015303D" w:rsidRPr="003E0DDA" w:rsidRDefault="0015303D" w:rsidP="0015303D">
      <w:pPr>
        <w:autoSpaceDE w:val="0"/>
        <w:autoSpaceDN w:val="0"/>
        <w:adjustRightInd w:val="0"/>
        <w:ind w:left="1440" w:hanging="720"/>
        <w:contextualSpacing/>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refuser d’accréditer un travailleur ou imposer des modalités, conditions ou restrictions à sa capacité d’exercer son métier ou sa profession si cette action est jugée nécessaire pour protéger l’intérêt du public, à la suite de plaintes ou de procédures disciplinaires ou criminelles concernant les compétences, le comportement ou l’intégrité de ce travailleur dans toute autre province ou territoire;</w:t>
      </w:r>
    </w:p>
    <w:p w14:paraId="7DBA87E1" w14:textId="77777777" w:rsidR="0015303D" w:rsidRPr="003E0DDA" w:rsidRDefault="0015303D" w:rsidP="0015303D">
      <w:pPr>
        <w:autoSpaceDE w:val="0"/>
        <w:autoSpaceDN w:val="0"/>
        <w:adjustRightInd w:val="0"/>
        <w:ind w:left="1440" w:hanging="720"/>
        <w:contextualSpacing/>
        <w:rPr>
          <w:rFonts w:ascii="Arial" w:eastAsia="Times New Roman" w:hAnsi="Arial" w:cs="Arial"/>
          <w:szCs w:val="23"/>
          <w:lang w:val="fr-CA"/>
        </w:rPr>
      </w:pPr>
    </w:p>
    <w:p w14:paraId="77FBCC14" w14:textId="78F7C4C6" w:rsidR="0015303D" w:rsidRPr="003E0DDA" w:rsidRDefault="0015303D" w:rsidP="0015303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imposer de la formation, de l’expérience, des examens ou des évaluations supplémentaires comme condition de reconnaissance professionnelle quand une personne n’a pas exercé le métier ou la profession depuis une période déterminée;</w:t>
      </w:r>
    </w:p>
    <w:p w14:paraId="11D11986" w14:textId="77777777" w:rsidR="0015303D" w:rsidRPr="003E0DDA" w:rsidRDefault="0015303D" w:rsidP="0015303D">
      <w:pPr>
        <w:autoSpaceDE w:val="0"/>
        <w:autoSpaceDN w:val="0"/>
        <w:adjustRightInd w:val="0"/>
        <w:ind w:left="1080"/>
        <w:contextualSpacing/>
        <w:rPr>
          <w:rFonts w:ascii="Arial" w:eastAsia="Times New Roman" w:hAnsi="Arial" w:cs="Arial"/>
          <w:szCs w:val="23"/>
          <w:lang w:val="fr-CA"/>
        </w:rPr>
      </w:pPr>
    </w:p>
    <w:p w14:paraId="1DCCDFB5" w14:textId="5444CB00" w:rsidR="0015303D" w:rsidRPr="003E0DDA" w:rsidRDefault="0015303D" w:rsidP="00F00107">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lastRenderedPageBreak/>
        <w:t>c)</w:t>
      </w:r>
      <w:r w:rsidRPr="003E0DDA">
        <w:rPr>
          <w:rFonts w:ascii="Arial" w:eastAsia="Times New Roman" w:hAnsi="Arial" w:cs="Arial"/>
          <w:szCs w:val="23"/>
          <w:lang w:val="fr-CA"/>
        </w:rPr>
        <w:tab/>
        <w:t>nonobstant l’article 808 (Langue), demander au travailleur de démontrer un niveau de compétence en anglais ou en français comme condition de reconnaissance professionnelle lorsqu’une exigence équivalente de compétence linguistique n’a pas été imposée au travailleur, et remplie par celui-ci, comme condition de reconnaissance professionnelle du travailleur dans sa province ou son territoire d’accréditation actuel;</w:t>
      </w:r>
    </w:p>
    <w:p w14:paraId="57AED4CE" w14:textId="77777777" w:rsidR="0015303D" w:rsidRPr="003E0DDA" w:rsidRDefault="0015303D" w:rsidP="006B33A2">
      <w:pPr>
        <w:autoSpaceDE w:val="0"/>
        <w:autoSpaceDN w:val="0"/>
        <w:adjustRightInd w:val="0"/>
        <w:ind w:left="1304" w:hanging="698"/>
        <w:contextualSpacing/>
        <w:rPr>
          <w:rFonts w:ascii="Arial" w:eastAsia="Times New Roman" w:hAnsi="Arial" w:cs="Arial"/>
          <w:szCs w:val="23"/>
          <w:lang w:val="fr-CA"/>
        </w:rPr>
      </w:pPr>
    </w:p>
    <w:p w14:paraId="6926C98F" w14:textId="283A3350" w:rsidR="0015303D" w:rsidRPr="003E0DDA" w:rsidRDefault="0015303D" w:rsidP="00F00107">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 xml:space="preserve">déterminer si, pour une limite, restriction ou condition d’exercice imposée à un travailleur dans la province ou le territoire où il a reçu sa reconnaissance professionnelle actuelle, il existe une limite, restriction ou condition équivalente qui peut être imposée par l’organisme de réglementation à un travailleur sur son territoire et imposer une limite, restriction ou condition d’exercice équivalente à la reconnaissance professionnelle du travailleur ou, lorsque l’organisme de réglementation n’a pas prévu l’application d’une reconnaissance professionnelle équivalente limitée, restreinte ou conditionnelle, refuser d’accréditer le travailleur; </w:t>
      </w:r>
    </w:p>
    <w:p w14:paraId="100F7447" w14:textId="77777777" w:rsidR="0015303D" w:rsidRPr="003E0DDA" w:rsidRDefault="0015303D" w:rsidP="0015303D">
      <w:pPr>
        <w:rPr>
          <w:rFonts w:ascii="Arial" w:eastAsia="Times New Roman" w:hAnsi="Arial" w:cs="Arial"/>
          <w:szCs w:val="23"/>
          <w:lang w:val="fr-CA"/>
        </w:rPr>
      </w:pPr>
    </w:p>
    <w:p w14:paraId="3BEC8EE7" w14:textId="77777777" w:rsidR="0015303D" w:rsidRPr="003E0DDA" w:rsidRDefault="0015303D" w:rsidP="0015303D">
      <w:pPr>
        <w:rPr>
          <w:rFonts w:ascii="Arial" w:eastAsia="Times New Roman" w:hAnsi="Arial" w:cs="Arial"/>
          <w:szCs w:val="23"/>
          <w:lang w:val="fr-CA"/>
        </w:rPr>
      </w:pPr>
      <w:proofErr w:type="gramStart"/>
      <w:r w:rsidRPr="003E0DDA">
        <w:rPr>
          <w:rFonts w:ascii="Arial" w:eastAsia="Times New Roman" w:hAnsi="Arial" w:cs="Arial"/>
          <w:szCs w:val="23"/>
          <w:lang w:val="fr-CA"/>
        </w:rPr>
        <w:t>à</w:t>
      </w:r>
      <w:proofErr w:type="gramEnd"/>
      <w:r w:rsidRPr="003E0DDA">
        <w:rPr>
          <w:rFonts w:ascii="Arial" w:eastAsia="Times New Roman" w:hAnsi="Arial" w:cs="Arial"/>
          <w:szCs w:val="23"/>
          <w:lang w:val="fr-CA"/>
        </w:rPr>
        <w:t xml:space="preserve"> condition que :</w:t>
      </w:r>
    </w:p>
    <w:p w14:paraId="7D32F5DA" w14:textId="77777777" w:rsidR="0015303D" w:rsidRPr="003E0DDA" w:rsidRDefault="0015303D" w:rsidP="0015303D">
      <w:pPr>
        <w:rPr>
          <w:rFonts w:ascii="Arial" w:eastAsia="Times New Roman" w:hAnsi="Arial" w:cs="Arial"/>
          <w:szCs w:val="23"/>
          <w:lang w:val="fr-CA"/>
        </w:rPr>
      </w:pPr>
    </w:p>
    <w:p w14:paraId="270EA668" w14:textId="6E2CAE91" w:rsidR="0015303D" w:rsidRPr="003E0DDA" w:rsidRDefault="0015303D" w:rsidP="0015303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chacune de ces mesures soit identique ou très similaire, mais pas plus onéreuse que celles imposées par l’organisme de réglementation aux travailleurs de son territoire;</w:t>
      </w:r>
    </w:p>
    <w:p w14:paraId="7812A125" w14:textId="77777777" w:rsidR="0015303D" w:rsidRPr="003E0DDA" w:rsidRDefault="0015303D" w:rsidP="0015303D">
      <w:pPr>
        <w:tabs>
          <w:tab w:val="left" w:pos="2016"/>
        </w:tabs>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b/>
      </w:r>
      <w:r w:rsidRPr="003E0DDA">
        <w:rPr>
          <w:rFonts w:ascii="Arial" w:eastAsia="Times New Roman" w:hAnsi="Arial" w:cs="Arial"/>
          <w:szCs w:val="23"/>
          <w:lang w:val="fr-CA"/>
        </w:rPr>
        <w:tab/>
      </w:r>
    </w:p>
    <w:p w14:paraId="7DBCFF93" w14:textId="7D08059B" w:rsidR="0015303D" w:rsidRPr="003E0DDA" w:rsidRDefault="0015303D" w:rsidP="0015303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f)</w:t>
      </w:r>
      <w:r w:rsidRPr="003E0DDA">
        <w:rPr>
          <w:rFonts w:ascii="Arial" w:eastAsia="Times New Roman" w:hAnsi="Arial" w:cs="Arial"/>
          <w:szCs w:val="23"/>
          <w:lang w:val="fr-CA"/>
        </w:rPr>
        <w:tab/>
        <w:t>la mesure ne constitue pas une restriction déguisée à la mobilité de la main-d’œuvre.</w:t>
      </w:r>
    </w:p>
    <w:p w14:paraId="56A5A369" w14:textId="77777777" w:rsidR="0015303D" w:rsidRPr="003E0DDA" w:rsidRDefault="0015303D" w:rsidP="0015303D">
      <w:pPr>
        <w:rPr>
          <w:rFonts w:ascii="Arial" w:eastAsia="Times New Roman" w:hAnsi="Arial" w:cs="Arial"/>
          <w:szCs w:val="23"/>
          <w:lang w:val="fr-CA"/>
        </w:rPr>
      </w:pPr>
    </w:p>
    <w:p w14:paraId="2B7ADA79" w14:textId="4331DC46"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5. </w:t>
      </w:r>
      <w:r w:rsidRPr="003E0DDA">
        <w:rPr>
          <w:rFonts w:ascii="Arial" w:eastAsia="Times New Roman" w:hAnsi="Arial" w:cs="Arial"/>
          <w:szCs w:val="23"/>
          <w:lang w:val="fr-CA"/>
        </w:rPr>
        <w:tab/>
        <w:t>Sous réserve de l’article 707, chaque Partie fait en sorte que les mesures qu’elle adopte ou maintient en matière de reconnaissance professionnelle des travailleurs d’une autre Partie :</w:t>
      </w:r>
    </w:p>
    <w:p w14:paraId="231C19F1" w14:textId="77777777" w:rsidR="0015303D" w:rsidRPr="003E0DDA" w:rsidRDefault="0015303D" w:rsidP="0015303D">
      <w:pPr>
        <w:rPr>
          <w:rFonts w:ascii="Arial" w:eastAsia="Times New Roman" w:hAnsi="Arial" w:cs="Arial"/>
          <w:szCs w:val="23"/>
          <w:lang w:val="fr-CA"/>
        </w:rPr>
      </w:pPr>
    </w:p>
    <w:p w14:paraId="081BFF0E" w14:textId="34CF9063"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soient publiées sur le site Web de l’organisme de réglementation compétent ou facilement accessibles sur un site Web de la Partie;</w:t>
      </w:r>
    </w:p>
    <w:p w14:paraId="35148105" w14:textId="77777777" w:rsidR="0015303D" w:rsidRPr="003E0DDA" w:rsidRDefault="0015303D" w:rsidP="0015303D">
      <w:pPr>
        <w:ind w:left="1440" w:hanging="720"/>
        <w:rPr>
          <w:rFonts w:ascii="Arial" w:eastAsia="Times New Roman" w:hAnsi="Arial" w:cs="Arial"/>
          <w:szCs w:val="23"/>
          <w:lang w:val="fr-CA"/>
        </w:rPr>
      </w:pPr>
    </w:p>
    <w:p w14:paraId="6EA67AD9" w14:textId="476A8FA2"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entraînent une reconnaissance professionnelle rapide;</w:t>
      </w:r>
    </w:p>
    <w:p w14:paraId="03C3D577" w14:textId="77777777" w:rsidR="0015303D" w:rsidRPr="003E0DDA" w:rsidRDefault="0015303D" w:rsidP="0015303D">
      <w:pPr>
        <w:ind w:left="1440" w:hanging="720"/>
        <w:rPr>
          <w:rFonts w:ascii="Arial" w:eastAsia="Times New Roman" w:hAnsi="Arial" w:cs="Arial"/>
          <w:szCs w:val="23"/>
          <w:lang w:val="fr-CA"/>
        </w:rPr>
      </w:pPr>
    </w:p>
    <w:p w14:paraId="0AE0E8D0" w14:textId="09AA63E3"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sous réserve des frais excédentaires réels, n’imposent pas de droits ou autres frais plus élevés que ceux imposés à ses propres travailleurs.</w:t>
      </w:r>
    </w:p>
    <w:p w14:paraId="715017FA" w14:textId="77777777" w:rsidR="0015303D" w:rsidRPr="003E0DDA" w:rsidRDefault="0015303D" w:rsidP="0015303D">
      <w:pPr>
        <w:rPr>
          <w:rFonts w:ascii="Arial" w:eastAsia="Times New Roman" w:hAnsi="Arial" w:cs="Arial"/>
          <w:szCs w:val="23"/>
          <w:lang w:val="fr-CA"/>
        </w:rPr>
      </w:pPr>
    </w:p>
    <w:p w14:paraId="28B4B64D" w14:textId="77777777"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6. </w:t>
      </w:r>
      <w:r w:rsidRPr="003E0DDA">
        <w:rPr>
          <w:rFonts w:ascii="Arial" w:eastAsia="Times New Roman" w:hAnsi="Arial" w:cs="Arial"/>
          <w:szCs w:val="23"/>
          <w:lang w:val="fr-CA"/>
        </w:rPr>
        <w:tab/>
        <w:t xml:space="preserve">Lorsqu’un travailleur est accrédité pour exercer un métier ou une profession par un organisme de réglementation d’une Partie, aucune disposition du présent article n’empêche un organisme de réglementation d’une autre Partie de lui permettre d’exercer ce métier ou cette profession sur son territoire, sans autre forme de reconnaissance professionnelle. </w:t>
      </w:r>
    </w:p>
    <w:p w14:paraId="37C271C7" w14:textId="77777777" w:rsidR="0015303D" w:rsidRPr="003E0DDA" w:rsidRDefault="0015303D" w:rsidP="0015303D">
      <w:pPr>
        <w:rPr>
          <w:rFonts w:ascii="Arial" w:eastAsia="Arial" w:hAnsi="Arial" w:cs="Arial"/>
          <w:szCs w:val="23"/>
          <w:lang w:val="fr-CA"/>
        </w:rPr>
      </w:pPr>
    </w:p>
    <w:p w14:paraId="3993B5E9" w14:textId="67BD267F" w:rsidR="0015303D" w:rsidRPr="003E0DDA" w:rsidRDefault="0015303D" w:rsidP="0015303D">
      <w:pPr>
        <w:jc w:val="center"/>
        <w:rPr>
          <w:rFonts w:ascii="Arial" w:eastAsia="Times New Roman" w:hAnsi="Arial" w:cs="Arial"/>
          <w:b/>
          <w:szCs w:val="23"/>
          <w:lang w:val="fr-CA"/>
        </w:rPr>
      </w:pPr>
      <w:r w:rsidRPr="003E0DDA">
        <w:rPr>
          <w:rFonts w:ascii="Arial" w:eastAsia="Times New Roman" w:hAnsi="Arial" w:cs="Arial"/>
          <w:b/>
          <w:bCs/>
          <w:szCs w:val="23"/>
          <w:lang w:val="fr-CA"/>
        </w:rPr>
        <w:t>Article 706 :</w:t>
      </w:r>
      <w:r w:rsidRPr="003E0DDA">
        <w:rPr>
          <w:rFonts w:ascii="Arial" w:eastAsia="Times New Roman" w:hAnsi="Arial" w:cs="Arial"/>
          <w:szCs w:val="23"/>
          <w:lang w:val="fr-CA"/>
        </w:rPr>
        <w:tab/>
      </w:r>
      <w:r w:rsidR="00996A22" w:rsidRPr="003E0DDA">
        <w:rPr>
          <w:rFonts w:ascii="Arial" w:eastAsia="Times New Roman" w:hAnsi="Arial" w:cs="Arial"/>
          <w:szCs w:val="23"/>
          <w:lang w:val="fr-CA"/>
        </w:rPr>
        <w:tab/>
      </w:r>
      <w:r w:rsidRPr="003E0DDA">
        <w:rPr>
          <w:rFonts w:ascii="Arial" w:eastAsia="Times New Roman" w:hAnsi="Arial" w:cs="Arial"/>
          <w:b/>
          <w:bCs/>
          <w:szCs w:val="23"/>
          <w:lang w:val="fr-CA"/>
        </w:rPr>
        <w:t>Normes professionnelles</w:t>
      </w:r>
    </w:p>
    <w:p w14:paraId="72B68495" w14:textId="77777777" w:rsidR="0015303D" w:rsidRPr="003E0DDA" w:rsidRDefault="0015303D" w:rsidP="0015303D">
      <w:pPr>
        <w:rPr>
          <w:rFonts w:ascii="Arial" w:eastAsia="Times New Roman" w:hAnsi="Arial" w:cs="Arial"/>
          <w:b/>
          <w:szCs w:val="23"/>
          <w:lang w:val="fr-CA"/>
        </w:rPr>
      </w:pPr>
    </w:p>
    <w:p w14:paraId="5F093945" w14:textId="35EBC557"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1. </w:t>
      </w:r>
      <w:r w:rsidRPr="003E0DDA">
        <w:rPr>
          <w:rFonts w:ascii="Arial" w:eastAsia="Times New Roman" w:hAnsi="Arial" w:cs="Arial"/>
          <w:szCs w:val="23"/>
          <w:lang w:val="fr-CA"/>
        </w:rPr>
        <w:tab/>
        <w:t>Chaque Partie peut adopter ou maintenir des normes professionnelles et, ce faisant, déterminer le niveau de protection qu’elle estime approprié dans les circonstances. Les Parties conviennent de prendre des dispositions pour concilier leurs normes professionnelles, le cas échéant et dans la mesure du possible.</w:t>
      </w:r>
    </w:p>
    <w:p w14:paraId="7FE6F0B1" w14:textId="77777777" w:rsidR="0015303D" w:rsidRPr="003E0DDA" w:rsidRDefault="0015303D" w:rsidP="0015303D">
      <w:pPr>
        <w:rPr>
          <w:rFonts w:ascii="Arial" w:eastAsia="Times New Roman" w:hAnsi="Arial" w:cs="Arial"/>
          <w:szCs w:val="23"/>
          <w:lang w:val="fr-CA"/>
        </w:rPr>
      </w:pPr>
    </w:p>
    <w:p w14:paraId="59ACB454" w14:textId="30FE641D"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2. </w:t>
      </w:r>
      <w:r w:rsidRPr="003E0DDA">
        <w:rPr>
          <w:rFonts w:ascii="Arial" w:eastAsia="Times New Roman" w:hAnsi="Arial" w:cs="Arial"/>
          <w:szCs w:val="23"/>
          <w:lang w:val="fr-CA"/>
        </w:rPr>
        <w:tab/>
        <w:t>En complément du paragraphe 1, chaque Partie adopte, le cas échéant et dans la mesure du possible, ses normes professionnelles en fonction des normes interprovinciales communes, y compris les normes professionnelles élaborées dans le cadre du Programme des normes interprovinciales Sceau rouge, ou des normes internationales. Les Parties réitèrent leur engagement soutenu envers le Programme des normes interprovinciales Sceau rouge, y compris le recours aux analyses nationales de professions, comme étant une approche éprouvée pour mettre en place des normes interprovinciales communes pour les métiers.</w:t>
      </w:r>
    </w:p>
    <w:p w14:paraId="518EE86F" w14:textId="77777777" w:rsidR="0015303D" w:rsidRPr="003E0DDA" w:rsidRDefault="0015303D" w:rsidP="0015303D">
      <w:pPr>
        <w:rPr>
          <w:rFonts w:ascii="Arial" w:eastAsia="Times New Roman" w:hAnsi="Arial" w:cs="Arial"/>
          <w:szCs w:val="23"/>
          <w:lang w:val="fr-CA"/>
        </w:rPr>
      </w:pPr>
    </w:p>
    <w:p w14:paraId="7277D611" w14:textId="5EBAC0C6" w:rsidR="0015303D" w:rsidRPr="003E0DDA" w:rsidRDefault="0015303D" w:rsidP="0015303D">
      <w:pPr>
        <w:rPr>
          <w:rFonts w:ascii="Arial" w:eastAsia="Arial" w:hAnsi="Arial" w:cs="Arial"/>
          <w:szCs w:val="23"/>
          <w:lang w:val="fr-CA"/>
        </w:rPr>
      </w:pPr>
      <w:r w:rsidRPr="003E0DDA">
        <w:rPr>
          <w:rFonts w:ascii="Arial" w:eastAsia="Arial" w:hAnsi="Arial" w:cs="Arial"/>
          <w:szCs w:val="23"/>
          <w:lang w:val="fr-CA"/>
        </w:rPr>
        <w:t xml:space="preserve">3. </w:t>
      </w:r>
      <w:r w:rsidRPr="003E0DDA">
        <w:rPr>
          <w:rFonts w:ascii="Arial" w:eastAsia="Arial" w:hAnsi="Arial" w:cs="Arial"/>
          <w:szCs w:val="23"/>
          <w:lang w:val="fr-CA"/>
        </w:rPr>
        <w:tab/>
        <w:t xml:space="preserve">Si des normes professionnelles n’ont pas été établies sur le territoire d’une Partie relativement à un métier ou </w:t>
      </w:r>
      <w:proofErr w:type="gramStart"/>
      <w:r w:rsidRPr="003E0DDA">
        <w:rPr>
          <w:rFonts w:ascii="Arial" w:eastAsia="Arial" w:hAnsi="Arial" w:cs="Arial"/>
          <w:szCs w:val="23"/>
          <w:lang w:val="fr-CA"/>
        </w:rPr>
        <w:t>une profession donné</w:t>
      </w:r>
      <w:proofErr w:type="gramEnd"/>
      <w:r w:rsidRPr="003E0DDA">
        <w:rPr>
          <w:rFonts w:ascii="Arial" w:eastAsia="Arial" w:hAnsi="Arial" w:cs="Arial"/>
          <w:szCs w:val="23"/>
          <w:lang w:val="fr-CA"/>
        </w:rPr>
        <w:t>, mais qu’elles existent sur le territoire de toute autre Partie, et que la Partie où il n’existe pas de normes professionnelles entend en élaborer, elle le fait de manière à favoriser la mobilité de la main-d’œuvre. La Partie qui entend élaborer ces normes professionnelles notifie aux autres Parties son intention et leur donne l’occasion de formuler des commentaires lors de l’élaboration de ces normes professionnelles.</w:t>
      </w:r>
    </w:p>
    <w:p w14:paraId="7A5C5204" w14:textId="77777777" w:rsidR="0015303D" w:rsidRPr="003E0DDA" w:rsidRDefault="0015303D" w:rsidP="0015303D">
      <w:pPr>
        <w:rPr>
          <w:rFonts w:ascii="Arial" w:eastAsia="Arial" w:hAnsi="Arial" w:cs="Arial"/>
          <w:szCs w:val="23"/>
          <w:lang w:val="fr-CA"/>
        </w:rPr>
      </w:pPr>
    </w:p>
    <w:p w14:paraId="42C36FCB" w14:textId="1602BCD8"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4. </w:t>
      </w:r>
      <w:r w:rsidRPr="003E0DDA">
        <w:rPr>
          <w:rFonts w:ascii="Arial" w:eastAsia="Times New Roman" w:hAnsi="Arial" w:cs="Arial"/>
          <w:szCs w:val="23"/>
          <w:lang w:val="fr-CA"/>
        </w:rPr>
        <w:tab/>
        <w:t>S’il n’existe pas de normes professionnelles sur le territoire de toute autre Partie relativement à un métier ou à une profession et qu’une Partie estime nécessaire d’établir des normes professionnelles pour ce métier ou cette profession, ces nouvelles normes professionnelles sont élaborées de manière à favoriser la mobilité de la main-d’œuvre. La Partie qui entend élaborer de nouvelles normes professionnelles notifie aux autres Parties son intention et leur donne l’occasion de formuler des commentaires lors de l’élaboration de telles normes professionnelles.</w:t>
      </w:r>
    </w:p>
    <w:p w14:paraId="5EA4A0D3" w14:textId="77777777" w:rsidR="0015303D" w:rsidRPr="003E0DDA" w:rsidRDefault="0015303D" w:rsidP="0015303D">
      <w:pPr>
        <w:rPr>
          <w:rFonts w:ascii="Arial" w:eastAsia="Times New Roman" w:hAnsi="Arial" w:cs="Arial"/>
          <w:szCs w:val="23"/>
          <w:lang w:val="fr-CA"/>
        </w:rPr>
      </w:pPr>
    </w:p>
    <w:p w14:paraId="6CBAB5F0" w14:textId="23DB44B6"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5. </w:t>
      </w:r>
      <w:r w:rsidRPr="003E0DDA">
        <w:rPr>
          <w:rFonts w:ascii="Arial" w:eastAsia="Times New Roman" w:hAnsi="Arial" w:cs="Arial"/>
          <w:szCs w:val="23"/>
          <w:lang w:val="fr-CA"/>
        </w:rPr>
        <w:tab/>
        <w:t>Si une Partie estime nécessaire d’apporter des modifications à toute norme professionnelle relativement à un métier ou à une profession, la modification</w:t>
      </w:r>
      <w:r w:rsidRPr="003E0DDA">
        <w:rPr>
          <w:rFonts w:ascii="Arial" w:eastAsia="Times New Roman" w:hAnsi="Arial" w:cs="Arial"/>
          <w:szCs w:val="23"/>
          <w:u w:val="words"/>
          <w:lang w:val="fr-CA"/>
        </w:rPr>
        <w:t xml:space="preserve"> </w:t>
      </w:r>
      <w:r w:rsidRPr="003E0DDA">
        <w:rPr>
          <w:rFonts w:ascii="Arial" w:eastAsia="Times New Roman" w:hAnsi="Arial" w:cs="Arial"/>
          <w:szCs w:val="23"/>
          <w:lang w:val="fr-CA"/>
        </w:rPr>
        <w:t xml:space="preserve">de ces normes professionnelles se fait de manière à favoriser la mobilité de la main-d’œuvre. La Partie qui entend apporter ces modifications notifie aux autres Parties son intention et leur donne l’occasion de formuler des commentaires sur les modifications de ces normes. </w:t>
      </w:r>
    </w:p>
    <w:p w14:paraId="51E2989F" w14:textId="77777777" w:rsidR="0015303D" w:rsidRPr="003E0DDA" w:rsidRDefault="0015303D" w:rsidP="0015303D">
      <w:pPr>
        <w:rPr>
          <w:rFonts w:ascii="Arial" w:eastAsia="Times New Roman" w:hAnsi="Arial" w:cs="Arial"/>
          <w:szCs w:val="23"/>
          <w:lang w:val="fr-CA"/>
        </w:rPr>
      </w:pPr>
    </w:p>
    <w:p w14:paraId="7D05DCE8" w14:textId="6EA5A28B" w:rsidR="0015303D" w:rsidRPr="003E0DDA" w:rsidRDefault="0015303D" w:rsidP="0015303D">
      <w:pPr>
        <w:jc w:val="center"/>
        <w:rPr>
          <w:rFonts w:ascii="Arial" w:eastAsia="Times New Roman" w:hAnsi="Arial" w:cs="Arial"/>
          <w:b/>
          <w:szCs w:val="23"/>
          <w:lang w:val="fr-CA"/>
        </w:rPr>
      </w:pPr>
      <w:r w:rsidRPr="003E0DDA">
        <w:rPr>
          <w:rFonts w:ascii="Arial" w:eastAsia="Times New Roman" w:hAnsi="Arial" w:cs="Arial"/>
          <w:b/>
          <w:bCs/>
          <w:szCs w:val="23"/>
          <w:lang w:val="fr-CA"/>
        </w:rPr>
        <w:t xml:space="preserve">Article 707 : </w:t>
      </w:r>
      <w:r w:rsidRPr="003E0DDA">
        <w:rPr>
          <w:rFonts w:ascii="Arial" w:eastAsia="Times New Roman" w:hAnsi="Arial" w:cs="Arial"/>
          <w:szCs w:val="23"/>
          <w:lang w:val="fr-CA"/>
        </w:rPr>
        <w:tab/>
      </w:r>
      <w:r w:rsidR="00996A22" w:rsidRPr="003E0DDA">
        <w:rPr>
          <w:rFonts w:ascii="Arial" w:eastAsia="Times New Roman" w:hAnsi="Arial" w:cs="Arial"/>
          <w:szCs w:val="23"/>
          <w:lang w:val="fr-CA"/>
        </w:rPr>
        <w:tab/>
      </w:r>
      <w:r w:rsidRPr="003E0DDA">
        <w:rPr>
          <w:rFonts w:ascii="Arial" w:eastAsia="Times New Roman" w:hAnsi="Arial" w:cs="Arial"/>
          <w:b/>
          <w:bCs/>
          <w:szCs w:val="23"/>
          <w:lang w:val="fr-CA"/>
        </w:rPr>
        <w:t>Objectifs légitimes pour la mobilité de la main-d’œuvre</w:t>
      </w:r>
    </w:p>
    <w:p w14:paraId="64F8A59E" w14:textId="77777777" w:rsidR="0015303D" w:rsidRPr="003E0DDA" w:rsidRDefault="0015303D" w:rsidP="0015303D">
      <w:pPr>
        <w:rPr>
          <w:rFonts w:ascii="Arial" w:eastAsia="Times New Roman" w:hAnsi="Arial" w:cs="Arial"/>
          <w:szCs w:val="23"/>
          <w:lang w:val="fr-CA"/>
        </w:rPr>
      </w:pPr>
    </w:p>
    <w:p w14:paraId="31F6899F" w14:textId="33389252"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t xml:space="preserve">1. </w:t>
      </w:r>
      <w:r w:rsidRPr="003E0DDA">
        <w:rPr>
          <w:rFonts w:ascii="Arial" w:eastAsia="Times New Roman" w:hAnsi="Arial" w:cs="Arial"/>
          <w:szCs w:val="23"/>
          <w:lang w:val="fr-CA"/>
        </w:rPr>
        <w:tab/>
        <w:t xml:space="preserve">Lorsqu’il est établi qu’une mesure relevant de la portée et du champ d’application du présent chapitre est incompatible avec l’article 201 (Traitement non discriminatoire), l’article 704 ou les articles 705.1, 705.2 ou 705.5, cette mesure est permise au titre du présent chapitre si les conditions suivantes sont réunies : </w:t>
      </w:r>
    </w:p>
    <w:p w14:paraId="5A0A6FD4" w14:textId="77777777" w:rsidR="0015303D" w:rsidRPr="003E0DDA" w:rsidRDefault="0015303D" w:rsidP="0015303D">
      <w:pPr>
        <w:rPr>
          <w:rFonts w:ascii="Arial" w:eastAsia="Times New Roman" w:hAnsi="Arial" w:cs="Arial"/>
          <w:szCs w:val="23"/>
          <w:lang w:val="fr-CA"/>
        </w:rPr>
      </w:pPr>
    </w:p>
    <w:p w14:paraId="5D70F467" w14:textId="4DB453D5"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la mesure a pour objet la réalisation d’un objectif légitime en matière de mobilité de la main-d’œuvre;</w:t>
      </w:r>
    </w:p>
    <w:p w14:paraId="515CEBD5" w14:textId="77777777" w:rsidR="0015303D" w:rsidRPr="003E0DDA" w:rsidRDefault="0015303D" w:rsidP="0015303D">
      <w:pPr>
        <w:ind w:left="1440" w:hanging="720"/>
        <w:rPr>
          <w:rFonts w:ascii="Arial" w:eastAsia="Times New Roman" w:hAnsi="Arial" w:cs="Arial"/>
          <w:szCs w:val="23"/>
          <w:lang w:val="fr-CA"/>
        </w:rPr>
      </w:pPr>
    </w:p>
    <w:p w14:paraId="74D0311A" w14:textId="25F0A3C2"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la mesure ne restreint pas la mobilité de la main-d’œuvre plus qu’il n’est nécessaire pour réaliser cet objectif légitime en matière de mobilité de la main-d’œuvre;</w:t>
      </w:r>
    </w:p>
    <w:p w14:paraId="71F8B3C5" w14:textId="77777777" w:rsidR="0015303D" w:rsidRPr="003E0DDA" w:rsidRDefault="0015303D" w:rsidP="0015303D">
      <w:pPr>
        <w:ind w:left="1440" w:hanging="720"/>
        <w:rPr>
          <w:rFonts w:ascii="Arial" w:eastAsia="Times New Roman" w:hAnsi="Arial" w:cs="Arial"/>
          <w:szCs w:val="23"/>
          <w:lang w:val="fr-CA"/>
        </w:rPr>
      </w:pPr>
    </w:p>
    <w:p w14:paraId="6D157A2F" w14:textId="1C521B7F"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 xml:space="preserve">la mesure ne crée pas une restriction déguisée à la mobilité de la main-d’œuvre. </w:t>
      </w:r>
    </w:p>
    <w:p w14:paraId="6BFD5362" w14:textId="77777777" w:rsidR="0015303D" w:rsidRPr="003E0DDA" w:rsidRDefault="0015303D" w:rsidP="0015303D">
      <w:pPr>
        <w:rPr>
          <w:rFonts w:ascii="Arial" w:eastAsia="Times New Roman" w:hAnsi="Arial" w:cs="Arial"/>
          <w:szCs w:val="23"/>
          <w:lang w:val="fr-CA"/>
        </w:rPr>
      </w:pPr>
    </w:p>
    <w:p w14:paraId="7074CF9C" w14:textId="6F39E93D" w:rsidR="0015303D" w:rsidRPr="003E0DDA" w:rsidRDefault="0015303D" w:rsidP="0015303D">
      <w:pPr>
        <w:rPr>
          <w:rFonts w:ascii="Arial" w:eastAsia="Times New Roman" w:hAnsi="Arial" w:cs="Arial"/>
          <w:szCs w:val="23"/>
          <w:lang w:val="fr-CA"/>
        </w:rPr>
      </w:pPr>
      <w:r w:rsidRPr="003E0DDA">
        <w:rPr>
          <w:rFonts w:ascii="Arial" w:eastAsia="Times New Roman" w:hAnsi="Arial" w:cs="Arial"/>
          <w:szCs w:val="23"/>
          <w:lang w:val="fr-CA"/>
        </w:rPr>
        <w:lastRenderedPageBreak/>
        <w:t xml:space="preserve">2. </w:t>
      </w:r>
      <w:r w:rsidRPr="003E0DDA">
        <w:rPr>
          <w:rFonts w:ascii="Arial" w:eastAsia="Times New Roman" w:hAnsi="Arial" w:cs="Arial"/>
          <w:szCs w:val="23"/>
          <w:lang w:val="fr-CA"/>
        </w:rPr>
        <w:tab/>
        <w:t xml:space="preserve">Il est entendu qu’aux fins de l’application de l’alinéa 1b) aux articles 705.1, 705.2 ou 705.5, la simple différence entre les exigences </w:t>
      </w:r>
      <w:r w:rsidR="007806A6" w:rsidRPr="003E0DDA">
        <w:rPr>
          <w:rFonts w:ascii="Arial" w:eastAsia="Times New Roman" w:hAnsi="Arial" w:cs="Arial"/>
          <w:szCs w:val="23"/>
          <w:lang w:val="fr-CA"/>
        </w:rPr>
        <w:t xml:space="preserve">relatives à la </w:t>
      </w:r>
      <w:r w:rsidRPr="003E0DDA">
        <w:rPr>
          <w:rFonts w:ascii="Arial" w:eastAsia="Times New Roman" w:hAnsi="Arial" w:cs="Arial"/>
          <w:szCs w:val="23"/>
          <w:lang w:val="fr-CA"/>
        </w:rPr>
        <w:t>reconnaissance professionnelle d’une Partie touchant les titres de compétence, l’éducation, la formation, l’expérience, les méthodes d’examen ou d’évaluation et celles de toute autre Partie ne suffit pas, en soi, à justifier, pour réaliser un objectif légitime en matière de mobilité de la main-d’œuvre, l’imposition d’exigences supplémentaires en matière d’éducation, de formation, d’expérience, d’examens ou d’évaluations. Si la différence porte sur les titres de compétence, l’éducation, la formation ou l’expérience, la Partie qui cherche à imposer une exigence supplémentaire doit être en mesure de démontrer que cette différence entraîne une lacune réelle et significative dans une compétence, un domaine de connaissances ou une aptitude. Par exemple, l’imposition d’une exigence en matière d’éducation, de formation ou d’expérience supplémentaire peut être justifiée en application de l’alinéa 1b) lorsqu’une Partie est en mesure de démontrer :</w:t>
      </w:r>
    </w:p>
    <w:p w14:paraId="4C4D7AFF" w14:textId="77777777" w:rsidR="0015303D" w:rsidRPr="003E0DDA" w:rsidRDefault="0015303D" w:rsidP="0015303D">
      <w:pPr>
        <w:rPr>
          <w:rFonts w:ascii="Arial" w:eastAsia="Times New Roman" w:hAnsi="Arial" w:cs="Arial"/>
          <w:szCs w:val="23"/>
          <w:lang w:val="fr-CA"/>
        </w:rPr>
      </w:pPr>
    </w:p>
    <w:p w14:paraId="5374750F" w14:textId="029AD2C2"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 xml:space="preserve">l’existence d’une différence significative entre le champ d’exercice d’un métier ou d’une profession pour lequel le travailleur cherche à être accrédité sur son territoire, et le champ d’exercice du métier ou de la profession pour lequel le travailleur a été accrédité par l’organisme de réglementation d’une autre Partie; </w:t>
      </w:r>
    </w:p>
    <w:p w14:paraId="35BB93EC" w14:textId="77777777" w:rsidR="0015303D" w:rsidRPr="003E0DDA" w:rsidRDefault="0015303D" w:rsidP="0015303D">
      <w:pPr>
        <w:ind w:left="1440" w:hanging="720"/>
        <w:rPr>
          <w:rFonts w:ascii="Arial" w:eastAsia="Times New Roman" w:hAnsi="Arial" w:cs="Arial"/>
          <w:szCs w:val="23"/>
          <w:lang w:val="fr-CA"/>
        </w:rPr>
      </w:pPr>
    </w:p>
    <w:p w14:paraId="7826858B" w14:textId="058AF868" w:rsidR="0015303D" w:rsidRPr="003E0DDA" w:rsidRDefault="0015303D" w:rsidP="0015303D">
      <w:pPr>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 xml:space="preserve">en raison de cette différence, le travailleur n’a pas la compétence, les connaissances dans un domaine </w:t>
      </w:r>
      <w:proofErr w:type="spellStart"/>
      <w:r w:rsidRPr="003E0DDA">
        <w:rPr>
          <w:rFonts w:ascii="Arial" w:eastAsia="Times New Roman" w:hAnsi="Arial" w:cs="Arial"/>
          <w:szCs w:val="23"/>
          <w:lang w:val="fr-CA"/>
        </w:rPr>
        <w:t>ou</w:t>
      </w:r>
      <w:proofErr w:type="spellEnd"/>
      <w:r w:rsidRPr="003E0DDA">
        <w:rPr>
          <w:rFonts w:ascii="Arial" w:eastAsia="Times New Roman" w:hAnsi="Arial" w:cs="Arial"/>
          <w:szCs w:val="23"/>
          <w:lang w:val="fr-CA"/>
        </w:rPr>
        <w:t xml:space="preserve"> l’aptitude nécessaires pour exercer dans le champ de pratique du métier ou de la profession pour lequel le travailleur cherche à être accrédité. </w:t>
      </w:r>
    </w:p>
    <w:p w14:paraId="78DE2A44" w14:textId="77777777" w:rsidR="0015303D" w:rsidRPr="003E0DDA" w:rsidRDefault="0015303D" w:rsidP="0015303D">
      <w:pPr>
        <w:rPr>
          <w:rFonts w:ascii="Arial" w:eastAsia="Times New Roman" w:hAnsi="Arial" w:cs="Arial"/>
          <w:szCs w:val="23"/>
          <w:lang w:val="fr-CA"/>
        </w:rPr>
      </w:pPr>
    </w:p>
    <w:p w14:paraId="7E086DCF" w14:textId="3E3B9209" w:rsidR="0015303D" w:rsidRPr="003E0DDA" w:rsidRDefault="0015303D" w:rsidP="0015303D">
      <w:pPr>
        <w:rPr>
          <w:rFonts w:ascii="Arial" w:eastAsia="Times New Roman" w:hAnsi="Arial" w:cs="Arial"/>
          <w:szCs w:val="23"/>
          <w:lang w:val="fr-CA"/>
        </w:rPr>
      </w:pPr>
      <w:r w:rsidRPr="003E0DDA">
        <w:rPr>
          <w:rFonts w:ascii="Arial" w:eastAsia="Arial" w:hAnsi="Arial" w:cs="Arial"/>
          <w:szCs w:val="23"/>
          <w:lang w:val="fr-CA"/>
        </w:rPr>
        <w:t xml:space="preserve">3. </w:t>
      </w:r>
      <w:r w:rsidRPr="003E0DDA">
        <w:rPr>
          <w:rFonts w:ascii="Arial" w:eastAsia="Arial" w:hAnsi="Arial" w:cs="Arial"/>
          <w:szCs w:val="23"/>
          <w:lang w:val="fr-CA"/>
        </w:rPr>
        <w:tab/>
        <w:t xml:space="preserve">La Partie qui adopte ou maintient une mesure en application du paragraphe 1 donne un avis écrit de cette mesure au Forum des ministres du marché du travail (le « Forum »), en respectant la forme et le contenu considérés appropriés par le Forum. L’avis précise le motif à l’appui de la mesure et la durée prévue de son application. </w:t>
      </w:r>
    </w:p>
    <w:p w14:paraId="246988D3" w14:textId="77777777" w:rsidR="0015303D" w:rsidRPr="003E0DDA" w:rsidRDefault="0015303D" w:rsidP="0015303D">
      <w:pPr>
        <w:rPr>
          <w:rFonts w:ascii="Arial" w:eastAsia="Times New Roman" w:hAnsi="Arial" w:cs="Arial"/>
          <w:szCs w:val="23"/>
          <w:lang w:val="fr-CA"/>
        </w:rPr>
      </w:pPr>
    </w:p>
    <w:p w14:paraId="7FB2CC68" w14:textId="0E5E3C83" w:rsidR="0015303D" w:rsidRPr="003E0DDA" w:rsidRDefault="0015303D" w:rsidP="0015303D">
      <w:pPr>
        <w:rPr>
          <w:rFonts w:ascii="Arial" w:eastAsia="Arial" w:hAnsi="Arial" w:cs="Arial"/>
          <w:szCs w:val="23"/>
          <w:lang w:val="fr-CA"/>
        </w:rPr>
      </w:pPr>
      <w:bookmarkStart w:id="72" w:name="_Toc437261317"/>
      <w:bookmarkStart w:id="73" w:name="_Toc470078991"/>
      <w:r w:rsidRPr="003E0DDA">
        <w:rPr>
          <w:rFonts w:ascii="Arial" w:eastAsia="Arial" w:hAnsi="Arial" w:cs="Arial"/>
          <w:szCs w:val="23"/>
          <w:lang w:val="fr-CA"/>
        </w:rPr>
        <w:t xml:space="preserve">4. </w:t>
      </w:r>
      <w:r w:rsidRPr="003E0DDA">
        <w:rPr>
          <w:rFonts w:ascii="Arial" w:eastAsia="Arial" w:hAnsi="Arial" w:cs="Arial"/>
          <w:szCs w:val="23"/>
          <w:lang w:val="fr-CA"/>
        </w:rPr>
        <w:tab/>
        <w:t>Le Forum élabore et met en œuvre un cadre visant à permettre aux Parties d’établir une liste des mesures particulières prises en application du paragraphe 1 et à l’égard desquelles l’avis prévu au paragraphe 3 a été donné au Forum. Le Forum publie cette liste en ligne.</w:t>
      </w:r>
      <w:bookmarkStart w:id="74" w:name="_Toc330454426"/>
      <w:bookmarkStart w:id="75" w:name="_Toc357427413"/>
      <w:bookmarkEnd w:id="72"/>
      <w:bookmarkEnd w:id="73"/>
    </w:p>
    <w:p w14:paraId="0958B61C" w14:textId="77777777" w:rsidR="0015303D" w:rsidRPr="003E0DDA" w:rsidRDefault="0015303D" w:rsidP="0015303D">
      <w:pPr>
        <w:jc w:val="center"/>
        <w:rPr>
          <w:rFonts w:ascii="Arial" w:eastAsia="Arial" w:hAnsi="Arial" w:cs="Arial"/>
          <w:b/>
          <w:szCs w:val="23"/>
          <w:lang w:val="fr-CA"/>
        </w:rPr>
      </w:pPr>
    </w:p>
    <w:p w14:paraId="2B4EFB42" w14:textId="43ED9E27" w:rsidR="0015303D" w:rsidRPr="003E0DDA" w:rsidRDefault="0015303D" w:rsidP="0015303D">
      <w:pPr>
        <w:jc w:val="center"/>
        <w:rPr>
          <w:rFonts w:ascii="Arial" w:eastAsia="Arial" w:hAnsi="Arial" w:cs="Arial"/>
          <w:b/>
          <w:szCs w:val="23"/>
          <w:lang w:val="fr-CA"/>
        </w:rPr>
      </w:pPr>
      <w:r w:rsidRPr="003E0DDA">
        <w:rPr>
          <w:rFonts w:ascii="Arial" w:eastAsia="Arial" w:hAnsi="Arial" w:cs="Arial"/>
          <w:b/>
          <w:bCs/>
          <w:szCs w:val="23"/>
          <w:lang w:val="fr-CA"/>
        </w:rPr>
        <w:t xml:space="preserve">Article 708 :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Mise en œuvre, application et évaluation</w:t>
      </w:r>
      <w:bookmarkEnd w:id="74"/>
      <w:bookmarkEnd w:id="75"/>
    </w:p>
    <w:p w14:paraId="1009D777" w14:textId="77777777" w:rsidR="0015303D" w:rsidRPr="003E0DDA" w:rsidRDefault="0015303D" w:rsidP="0015303D">
      <w:pPr>
        <w:rPr>
          <w:rFonts w:ascii="Arial" w:eastAsia="Times New Roman" w:hAnsi="Arial" w:cs="Arial"/>
          <w:b/>
          <w:szCs w:val="23"/>
          <w:lang w:val="fr-CA"/>
        </w:rPr>
      </w:pPr>
    </w:p>
    <w:p w14:paraId="649BA474" w14:textId="77777777" w:rsidR="0015303D" w:rsidRPr="003E0DDA" w:rsidRDefault="0015303D" w:rsidP="0015303D">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1. </w:t>
      </w:r>
      <w:r w:rsidRPr="003E0DDA">
        <w:rPr>
          <w:rFonts w:ascii="Arial" w:eastAsia="Times New Roman" w:hAnsi="Arial" w:cs="Arial"/>
          <w:szCs w:val="23"/>
          <w:lang w:val="fr-CA"/>
        </w:rPr>
        <w:tab/>
        <w:t>Le Forum est chargé du mandat suivant :</w:t>
      </w:r>
    </w:p>
    <w:p w14:paraId="4200E722" w14:textId="77777777" w:rsidR="0015303D" w:rsidRPr="003E0DDA" w:rsidRDefault="0015303D" w:rsidP="0015303D">
      <w:pPr>
        <w:widowControl w:val="0"/>
        <w:autoSpaceDE w:val="0"/>
        <w:autoSpaceDN w:val="0"/>
        <w:adjustRightInd w:val="0"/>
        <w:rPr>
          <w:rFonts w:ascii="Arial" w:eastAsia="Times New Roman" w:hAnsi="Arial" w:cs="Arial"/>
          <w:szCs w:val="23"/>
          <w:lang w:val="fr-CA"/>
        </w:rPr>
      </w:pPr>
    </w:p>
    <w:p w14:paraId="37AFD9E5" w14:textId="7375476A"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promouvoir la mise en œuvre et le respect continu du présent chapitre et élaborer un ou des plans de travail se rattachant aux objectifs de ce chapitre;</w:t>
      </w:r>
    </w:p>
    <w:p w14:paraId="7046F829" w14:textId="77777777"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p>
    <w:p w14:paraId="6DAB3228" w14:textId="2D64D6EC"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 xml:space="preserve">élaborer et mettre en œuvre le cadre d’application de l’article 706; </w:t>
      </w:r>
    </w:p>
    <w:p w14:paraId="5BB00CB6" w14:textId="77777777"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p>
    <w:p w14:paraId="0BE4766A" w14:textId="64E1621A"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élaborer la forme et le contenu exigés pour les avis prévus à l’article 707.3;</w:t>
      </w:r>
    </w:p>
    <w:p w14:paraId="569F813F" w14:textId="77777777"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p>
    <w:p w14:paraId="402E2554" w14:textId="54A7255D"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d) </w:t>
      </w:r>
      <w:r w:rsidRPr="003E0DDA">
        <w:rPr>
          <w:rFonts w:ascii="Arial" w:eastAsia="Times New Roman" w:hAnsi="Arial" w:cs="Arial"/>
          <w:szCs w:val="23"/>
          <w:lang w:val="fr-CA"/>
        </w:rPr>
        <w:tab/>
        <w:t>élaborer et mettre en œuvre le cadre de publication des mesures prévues à l’article 707.4;</w:t>
      </w:r>
    </w:p>
    <w:p w14:paraId="455AE061" w14:textId="77777777"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p>
    <w:p w14:paraId="4A5ED369" w14:textId="4FE2A62C"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lastRenderedPageBreak/>
        <w:t xml:space="preserve">e) </w:t>
      </w:r>
      <w:r w:rsidRPr="003E0DDA">
        <w:rPr>
          <w:rFonts w:ascii="Arial" w:eastAsia="Times New Roman" w:hAnsi="Arial" w:cs="Arial"/>
          <w:szCs w:val="23"/>
          <w:lang w:val="fr-CA"/>
        </w:rPr>
        <w:tab/>
        <w:t>préparer un rapport annuel sur l’application du présent chapitre et le présenter au Comité.</w:t>
      </w:r>
    </w:p>
    <w:p w14:paraId="32E14BBF" w14:textId="77777777" w:rsidR="0015303D" w:rsidRPr="003E0DDA" w:rsidRDefault="0015303D" w:rsidP="0015303D">
      <w:pPr>
        <w:widowControl w:val="0"/>
        <w:autoSpaceDE w:val="0"/>
        <w:autoSpaceDN w:val="0"/>
        <w:adjustRightInd w:val="0"/>
        <w:ind w:left="1134" w:hanging="567"/>
        <w:rPr>
          <w:rFonts w:ascii="Arial" w:eastAsia="Times New Roman" w:hAnsi="Arial" w:cs="Arial"/>
          <w:szCs w:val="23"/>
          <w:lang w:val="fr-CA"/>
        </w:rPr>
      </w:pPr>
    </w:p>
    <w:p w14:paraId="0823A7BF" w14:textId="50442DE1" w:rsidR="0015303D" w:rsidRPr="003E0DDA" w:rsidRDefault="0015303D" w:rsidP="0015303D">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2. </w:t>
      </w:r>
      <w:r w:rsidRPr="003E0DDA">
        <w:rPr>
          <w:rFonts w:ascii="Arial" w:eastAsia="Times New Roman" w:hAnsi="Arial" w:cs="Arial"/>
          <w:szCs w:val="23"/>
          <w:lang w:val="fr-CA"/>
        </w:rPr>
        <w:tab/>
        <w:t>Le rapport annuel prévu à l’alinéa 1e) comporte les renseignements suivants :</w:t>
      </w:r>
    </w:p>
    <w:p w14:paraId="5AE6F731" w14:textId="77777777" w:rsidR="0015303D" w:rsidRPr="003E0DDA" w:rsidRDefault="0015303D" w:rsidP="0015303D">
      <w:pPr>
        <w:widowControl w:val="0"/>
        <w:autoSpaceDE w:val="0"/>
        <w:autoSpaceDN w:val="0"/>
        <w:adjustRightInd w:val="0"/>
        <w:rPr>
          <w:rFonts w:ascii="Arial" w:eastAsia="Times New Roman" w:hAnsi="Arial" w:cs="Arial"/>
          <w:szCs w:val="23"/>
          <w:lang w:val="fr-CA"/>
        </w:rPr>
      </w:pPr>
    </w:p>
    <w:p w14:paraId="69A60477" w14:textId="5AB3A4A6"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une évaluation de l’efficacité des dispositions du présent chapitre, y compris l’évaluation de toute conséquence défavorable imprévue, accompagnée des recommandations appropriées en vue de régler les préoccupations soulevées dans l’évaluation, y compris les modifications qui devraient être apportées au présent chapitre;</w:t>
      </w:r>
    </w:p>
    <w:p w14:paraId="21063820" w14:textId="77777777"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p>
    <w:p w14:paraId="06A3F6E0" w14:textId="3188DF10"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une liste des mesures à l’égard desquelles l’avis prévu à l’article 707.3 a été donné, accompagnée d’une description des justifications invoquées à l’égard de ces mesures et la durée prévue de celles-ci;</w:t>
      </w:r>
    </w:p>
    <w:p w14:paraId="5B429B48" w14:textId="77777777"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p>
    <w:p w14:paraId="254C03EE" w14:textId="429A88B0" w:rsidR="0015303D" w:rsidRPr="003E0DDA" w:rsidRDefault="0015303D" w:rsidP="0015303D">
      <w:pPr>
        <w:widowControl w:val="0"/>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un résumé des différends qui ont surgi entre les Parties durant l’année relativement à l’interprétation ou à l’application du présent chapitre et les résultats des consultations ou autres procédures de règlement des différends auxquelles les Parties concernées ont décidé de recourir.</w:t>
      </w:r>
    </w:p>
    <w:p w14:paraId="703F9514" w14:textId="77777777" w:rsidR="0015303D" w:rsidRPr="003E0DDA" w:rsidRDefault="0015303D" w:rsidP="0015303D">
      <w:pPr>
        <w:widowControl w:val="0"/>
        <w:autoSpaceDE w:val="0"/>
        <w:autoSpaceDN w:val="0"/>
        <w:adjustRightInd w:val="0"/>
        <w:ind w:left="720"/>
        <w:rPr>
          <w:rFonts w:ascii="Arial" w:eastAsia="Times New Roman" w:hAnsi="Arial" w:cs="Arial"/>
          <w:szCs w:val="23"/>
          <w:lang w:val="fr-CA"/>
        </w:rPr>
      </w:pPr>
    </w:p>
    <w:p w14:paraId="52471561" w14:textId="025AF26B" w:rsidR="0015303D" w:rsidRPr="003E0DDA" w:rsidRDefault="0015303D" w:rsidP="00F00107">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3. </w:t>
      </w:r>
      <w:r w:rsidRPr="003E0DDA">
        <w:rPr>
          <w:rFonts w:ascii="Arial" w:eastAsia="Times New Roman" w:hAnsi="Arial" w:cs="Arial"/>
          <w:szCs w:val="23"/>
          <w:lang w:val="fr-CA"/>
        </w:rPr>
        <w:tab/>
        <w:t xml:space="preserve">Le Forum peut constituer les comités qu’il estime nécessaires pour l’aider dans la mise en œuvre de tout plan de travail. Les comités peuvent être composés de représentants des Parties et, s’il y a lieu, d’organismes de réglementation, d’autres organismes non gouvernementaux et de groupes d’intérêts concernés. </w:t>
      </w:r>
    </w:p>
    <w:p w14:paraId="0C0C007C" w14:textId="77777777" w:rsidR="0015303D" w:rsidRPr="003E0DDA" w:rsidRDefault="0015303D" w:rsidP="0015303D">
      <w:pPr>
        <w:rPr>
          <w:rFonts w:ascii="Arial" w:eastAsia="Arial" w:hAnsi="Arial" w:cs="Arial"/>
          <w:szCs w:val="23"/>
          <w:lang w:val="fr-CA"/>
        </w:rPr>
      </w:pPr>
    </w:p>
    <w:p w14:paraId="437B4B25" w14:textId="77777777" w:rsidR="0015303D" w:rsidRPr="003E0DDA" w:rsidRDefault="0015303D" w:rsidP="0015303D">
      <w:pPr>
        <w:rPr>
          <w:lang w:val="fr-CA"/>
        </w:rPr>
      </w:pPr>
    </w:p>
    <w:p w14:paraId="22985640" w14:textId="77777777" w:rsidR="00AA05B4" w:rsidRPr="003E0DDA" w:rsidRDefault="00AA05B4" w:rsidP="000C25A3">
      <w:pPr>
        <w:rPr>
          <w:rFonts w:cstheme="minorHAnsi"/>
          <w:szCs w:val="23"/>
          <w:lang w:val="fr-CA"/>
        </w:rPr>
      </w:pPr>
    </w:p>
    <w:bookmarkEnd w:id="64"/>
    <w:bookmarkEnd w:id="65"/>
    <w:p w14:paraId="4931A439" w14:textId="77777777" w:rsidR="00AA05B4" w:rsidRPr="00F52884" w:rsidRDefault="00AA05B4">
      <w:pPr>
        <w:rPr>
          <w:rFonts w:cstheme="minorHAnsi"/>
          <w:szCs w:val="23"/>
          <w:lang w:val="fr-CA"/>
        </w:rPr>
      </w:pPr>
    </w:p>
    <w:p w14:paraId="107609C8" w14:textId="77777777" w:rsidR="00AA05B4" w:rsidRPr="00F52884" w:rsidRDefault="00AA05B4">
      <w:pPr>
        <w:rPr>
          <w:rFonts w:cstheme="minorHAnsi"/>
          <w:szCs w:val="23"/>
          <w:lang w:val="fr-CA"/>
        </w:rPr>
      </w:pPr>
      <w:r w:rsidRPr="00F52884">
        <w:rPr>
          <w:rFonts w:cstheme="minorHAnsi"/>
          <w:szCs w:val="23"/>
          <w:lang w:val="fr-CA"/>
        </w:rPr>
        <w:br w:type="page"/>
      </w:r>
    </w:p>
    <w:p w14:paraId="28CC3DB9" w14:textId="77777777" w:rsidR="00C208C7" w:rsidRPr="003E0DDA" w:rsidRDefault="00C208C7" w:rsidP="00252B9C">
      <w:pPr>
        <w:contextualSpacing/>
        <w:jc w:val="center"/>
        <w:outlineLvl w:val="0"/>
        <w:rPr>
          <w:rFonts w:ascii="Arial" w:eastAsia="Times New Roman" w:hAnsi="Arial" w:cs="Arial"/>
          <w:b/>
          <w:bCs/>
          <w:szCs w:val="23"/>
          <w:lang w:val="fr-CA"/>
        </w:rPr>
      </w:pPr>
      <w:bookmarkStart w:id="76" w:name="_Toc471907455"/>
      <w:bookmarkStart w:id="77" w:name="_Toc156311776"/>
      <w:r w:rsidRPr="003E0DDA">
        <w:rPr>
          <w:rFonts w:ascii="Arial" w:eastAsia="Times New Roman" w:hAnsi="Arial" w:cs="Arial"/>
          <w:b/>
          <w:bCs/>
          <w:szCs w:val="23"/>
          <w:lang w:val="fr-CA"/>
        </w:rPr>
        <w:lastRenderedPageBreak/>
        <w:t>PARTIE IV – EXCEPTIONS</w:t>
      </w:r>
      <w:bookmarkEnd w:id="76"/>
      <w:bookmarkEnd w:id="77"/>
    </w:p>
    <w:p w14:paraId="3E68A1BF" w14:textId="77777777" w:rsidR="00C208C7" w:rsidRPr="003E0DDA" w:rsidRDefault="00C208C7" w:rsidP="00252B9C">
      <w:pPr>
        <w:rPr>
          <w:rFonts w:ascii="Arial" w:eastAsia="Arial" w:hAnsi="Arial" w:cs="Arial"/>
          <w:szCs w:val="23"/>
          <w:lang w:val="fr-CA"/>
        </w:rPr>
      </w:pPr>
    </w:p>
    <w:p w14:paraId="4F11F76D" w14:textId="15457564" w:rsidR="00C208C7" w:rsidRPr="003E0DDA" w:rsidRDefault="00C208C7" w:rsidP="00252B9C">
      <w:pPr>
        <w:jc w:val="center"/>
        <w:outlineLvl w:val="1"/>
        <w:rPr>
          <w:rFonts w:ascii="Arial" w:eastAsia="Times New Roman" w:hAnsi="Arial" w:cs="Arial"/>
          <w:b/>
          <w:bCs/>
          <w:szCs w:val="23"/>
          <w:lang w:val="fr-CA"/>
        </w:rPr>
      </w:pPr>
      <w:bookmarkStart w:id="78" w:name="_Toc433636909"/>
      <w:bookmarkStart w:id="79" w:name="_Toc471907456"/>
      <w:bookmarkStart w:id="80" w:name="_Toc156311777"/>
      <w:r w:rsidRPr="003E0DDA">
        <w:rPr>
          <w:rFonts w:ascii="Arial" w:eastAsia="Times New Roman" w:hAnsi="Arial" w:cs="Arial"/>
          <w:b/>
          <w:bCs/>
          <w:szCs w:val="23"/>
          <w:lang w:val="fr-CA"/>
        </w:rPr>
        <w:t>Chapitre Huit – Exceptions générales</w:t>
      </w:r>
      <w:bookmarkEnd w:id="78"/>
      <w:bookmarkEnd w:id="79"/>
      <w:bookmarkEnd w:id="80"/>
    </w:p>
    <w:p w14:paraId="7F4DDEAB" w14:textId="77777777" w:rsidR="00C208C7" w:rsidRPr="003E0DDA" w:rsidRDefault="00C208C7" w:rsidP="00252B9C">
      <w:pPr>
        <w:rPr>
          <w:rFonts w:ascii="Arial" w:eastAsia="Arial" w:hAnsi="Arial" w:cs="Arial"/>
          <w:szCs w:val="23"/>
          <w:lang w:val="fr-CA"/>
        </w:rPr>
      </w:pPr>
    </w:p>
    <w:p w14:paraId="696450A9" w14:textId="77777777" w:rsidR="00C208C7" w:rsidRPr="003E0DDA" w:rsidRDefault="00C208C7" w:rsidP="00252B9C">
      <w:pPr>
        <w:rPr>
          <w:rFonts w:ascii="Arial" w:eastAsia="Arial" w:hAnsi="Arial" w:cs="Arial"/>
          <w:szCs w:val="23"/>
          <w:lang w:val="fr-CA"/>
        </w:rPr>
      </w:pPr>
    </w:p>
    <w:p w14:paraId="48775E0D" w14:textId="77777777"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Article 800 :</w:t>
      </w:r>
      <w:r w:rsidRPr="003E0DDA">
        <w:rPr>
          <w:rFonts w:ascii="Arial" w:eastAsia="Arial" w:hAnsi="Arial" w:cs="Arial"/>
          <w:b/>
          <w:bCs/>
          <w:szCs w:val="23"/>
          <w:lang w:val="fr-CA"/>
        </w:rPr>
        <w:tab/>
      </w:r>
      <w:r w:rsidRPr="003E0DDA">
        <w:rPr>
          <w:rFonts w:ascii="Arial" w:eastAsia="Arial" w:hAnsi="Arial" w:cs="Arial"/>
          <w:b/>
          <w:bCs/>
          <w:szCs w:val="23"/>
          <w:lang w:val="fr-CA"/>
        </w:rPr>
        <w:tab/>
        <w:t>Peuples autochtones</w:t>
      </w:r>
    </w:p>
    <w:p w14:paraId="265FFFD3" w14:textId="77777777" w:rsidR="00C208C7" w:rsidRPr="003E0DDA" w:rsidRDefault="00C208C7" w:rsidP="00252B9C">
      <w:pPr>
        <w:rPr>
          <w:rFonts w:ascii="Arial" w:eastAsia="Times New Roman" w:hAnsi="Arial" w:cs="Arial"/>
          <w:szCs w:val="23"/>
          <w:lang w:val="fr-CA"/>
        </w:rPr>
      </w:pPr>
    </w:p>
    <w:p w14:paraId="4BE61918" w14:textId="4A808232" w:rsidR="00C208C7" w:rsidRPr="003E0DDA" w:rsidRDefault="00C208C7" w:rsidP="00252B9C">
      <w:pPr>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 xml:space="preserve">Le présent accord ne s’applique pas aux mesures adoptées ou maintenues par une Partie à l’égard des peuples autochtones. Il n’affecte pas les droits existants des peuples autochtones du Canada — ancestraux ou issus de traités — prévus à l’article 35 de la </w:t>
      </w:r>
      <w:r w:rsidRPr="003E0DDA">
        <w:rPr>
          <w:rFonts w:ascii="Arial" w:eastAsia="Times New Roman" w:hAnsi="Arial" w:cs="Arial"/>
          <w:i/>
          <w:iCs/>
          <w:szCs w:val="23"/>
          <w:lang w:val="fr-CA"/>
        </w:rPr>
        <w:t>Loi constitutionnelle de 1982</w:t>
      </w:r>
      <w:r w:rsidRPr="003E0DDA">
        <w:rPr>
          <w:rFonts w:ascii="Arial" w:eastAsia="Times New Roman" w:hAnsi="Arial" w:cs="Arial"/>
          <w:szCs w:val="23"/>
          <w:lang w:val="fr-CA"/>
        </w:rPr>
        <w:t>.</w:t>
      </w:r>
    </w:p>
    <w:p w14:paraId="555D8695" w14:textId="77777777" w:rsidR="00C208C7" w:rsidRPr="003E0DDA" w:rsidRDefault="00C208C7" w:rsidP="00252B9C">
      <w:pPr>
        <w:rPr>
          <w:rFonts w:ascii="Arial" w:eastAsia="Times New Roman" w:hAnsi="Arial" w:cs="Arial"/>
          <w:szCs w:val="23"/>
          <w:lang w:val="fr-CA"/>
        </w:rPr>
      </w:pPr>
    </w:p>
    <w:p w14:paraId="0000EC4E" w14:textId="72132280" w:rsidR="00C208C7" w:rsidRPr="003E0DDA" w:rsidRDefault="00C208C7" w:rsidP="00252B9C">
      <w:pPr>
        <w:rPr>
          <w:rFonts w:ascii="Arial" w:eastAsia="Times New Roman" w:hAnsi="Arial" w:cs="Arial"/>
          <w:iCs/>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Il est entendu qu’aucune disposition du présent accord n’empêche une Partie de s’acquitter de ses obligations au titre de ses traités avec les peuples autochtones, y compris les accords sur des revendications territoriales.  </w:t>
      </w:r>
    </w:p>
    <w:p w14:paraId="3E762E93" w14:textId="77777777" w:rsidR="00C208C7" w:rsidRPr="003E0DDA" w:rsidRDefault="00C208C7" w:rsidP="00252B9C">
      <w:pPr>
        <w:rPr>
          <w:rFonts w:ascii="Arial" w:eastAsia="Times New Roman" w:hAnsi="Arial" w:cs="Arial"/>
          <w:i/>
          <w:iCs/>
          <w:szCs w:val="23"/>
          <w:lang w:val="fr-CA"/>
        </w:rPr>
      </w:pPr>
    </w:p>
    <w:p w14:paraId="56E586C2" w14:textId="77777777"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Article 801 :</w:t>
      </w:r>
      <w:r w:rsidRPr="003E0DDA">
        <w:rPr>
          <w:rFonts w:ascii="Arial" w:eastAsia="Arial" w:hAnsi="Arial" w:cs="Arial"/>
          <w:szCs w:val="23"/>
          <w:lang w:val="fr-CA"/>
        </w:rPr>
        <w:tab/>
      </w:r>
      <w:r w:rsidRPr="003E0DDA">
        <w:rPr>
          <w:rFonts w:ascii="Arial" w:eastAsia="Arial" w:hAnsi="Arial" w:cs="Arial"/>
          <w:szCs w:val="23"/>
          <w:lang w:val="fr-CA"/>
        </w:rPr>
        <w:tab/>
      </w:r>
      <w:r w:rsidRPr="003E0DDA">
        <w:rPr>
          <w:rFonts w:ascii="Arial" w:eastAsia="Arial" w:hAnsi="Arial" w:cs="Arial"/>
          <w:b/>
          <w:bCs/>
          <w:szCs w:val="23"/>
          <w:lang w:val="fr-CA"/>
        </w:rPr>
        <w:t>Sécurité nationale</w:t>
      </w:r>
    </w:p>
    <w:p w14:paraId="3E6FA16F" w14:textId="77777777" w:rsidR="00C208C7" w:rsidRPr="003E0DDA" w:rsidRDefault="00C208C7" w:rsidP="00252B9C">
      <w:pPr>
        <w:rPr>
          <w:rFonts w:ascii="Arial" w:eastAsia="Times New Roman" w:hAnsi="Arial" w:cs="Arial"/>
          <w:szCs w:val="23"/>
          <w:lang w:val="fr-CA"/>
        </w:rPr>
      </w:pPr>
    </w:p>
    <w:p w14:paraId="5B90FACF" w14:textId="4CD1C771" w:rsidR="00C208C7" w:rsidRPr="003E0DDA" w:rsidRDefault="00C208C7" w:rsidP="00252B9C">
      <w:pPr>
        <w:ind w:firstLine="720"/>
        <w:rPr>
          <w:rFonts w:ascii="Arial" w:eastAsia="Times New Roman" w:hAnsi="Arial" w:cs="Arial"/>
          <w:szCs w:val="23"/>
          <w:lang w:val="fr-CA"/>
        </w:rPr>
      </w:pPr>
      <w:r w:rsidRPr="003E0DDA">
        <w:rPr>
          <w:rFonts w:ascii="Arial" w:eastAsia="Times New Roman" w:hAnsi="Arial" w:cs="Arial"/>
          <w:szCs w:val="23"/>
          <w:lang w:val="fr-CA"/>
        </w:rPr>
        <w:t>Le présent accord ne peut être interprétée comme :</w:t>
      </w:r>
    </w:p>
    <w:p w14:paraId="63F2CF15" w14:textId="77777777" w:rsidR="00C208C7" w:rsidRPr="003E0DDA" w:rsidRDefault="00C208C7" w:rsidP="00252B9C">
      <w:pPr>
        <w:rPr>
          <w:rFonts w:ascii="Arial" w:eastAsia="Times New Roman" w:hAnsi="Arial" w:cs="Arial"/>
          <w:szCs w:val="23"/>
          <w:lang w:val="fr-CA"/>
        </w:rPr>
      </w:pPr>
    </w:p>
    <w:p w14:paraId="74FF4A71" w14:textId="26DD29FF" w:rsidR="00C208C7" w:rsidRPr="003E0DDA" w:rsidRDefault="00C208C7" w:rsidP="00C208C7">
      <w:pPr>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obligeant le gouvernement du Canada à fournir des renseignements dont la divulgation serait, selon lui, contraire à la sécurité nationale, ou à donner accès à de tels renseignements;</w:t>
      </w:r>
    </w:p>
    <w:p w14:paraId="00D7CDE3" w14:textId="77777777" w:rsidR="00C208C7" w:rsidRPr="003E0DDA" w:rsidRDefault="00C208C7" w:rsidP="00C208C7">
      <w:pPr>
        <w:ind w:left="1440" w:hanging="720"/>
        <w:rPr>
          <w:rFonts w:ascii="Arial" w:eastAsia="Times New Roman" w:hAnsi="Arial" w:cs="Arial"/>
          <w:szCs w:val="23"/>
          <w:lang w:val="fr-CA"/>
        </w:rPr>
      </w:pPr>
    </w:p>
    <w:p w14:paraId="72022240" w14:textId="31E52ADF" w:rsidR="00C208C7" w:rsidRPr="003E0DDA" w:rsidRDefault="00C208C7" w:rsidP="00C208C7">
      <w:pPr>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empêchant le gouvernement du Canada de prendre les dispositions qu’il juge nécessaires pour protéger les intérêts du Canada en matière de sécurité nationale ou pour respecter ses obligations internationales en matière de maintien de la paix et de la sécurité internationales.</w:t>
      </w:r>
    </w:p>
    <w:p w14:paraId="56E8F892" w14:textId="77777777" w:rsidR="00C208C7" w:rsidRPr="003E0DDA" w:rsidRDefault="00C208C7" w:rsidP="00252B9C">
      <w:pPr>
        <w:rPr>
          <w:rFonts w:ascii="Arial" w:eastAsia="Arial" w:hAnsi="Arial" w:cs="Arial"/>
          <w:szCs w:val="23"/>
          <w:lang w:val="fr-CA"/>
        </w:rPr>
      </w:pPr>
    </w:p>
    <w:p w14:paraId="4294E011" w14:textId="77777777"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Article 802 :</w:t>
      </w:r>
      <w:r w:rsidRPr="003E0DDA">
        <w:rPr>
          <w:rFonts w:ascii="Arial" w:eastAsia="Arial" w:hAnsi="Arial" w:cs="Arial"/>
          <w:szCs w:val="23"/>
          <w:lang w:val="fr-CA"/>
        </w:rPr>
        <w:tab/>
      </w:r>
      <w:r w:rsidRPr="003E0DDA">
        <w:rPr>
          <w:rFonts w:ascii="Arial" w:eastAsia="Arial" w:hAnsi="Arial" w:cs="Arial"/>
          <w:szCs w:val="23"/>
          <w:lang w:val="fr-CA"/>
        </w:rPr>
        <w:tab/>
      </w:r>
      <w:r w:rsidRPr="003E0DDA">
        <w:rPr>
          <w:rFonts w:ascii="Arial" w:eastAsia="Arial" w:hAnsi="Arial" w:cs="Arial"/>
          <w:b/>
          <w:bCs/>
          <w:szCs w:val="23"/>
          <w:lang w:val="fr-CA"/>
        </w:rPr>
        <w:t>Fiscalité</w:t>
      </w:r>
    </w:p>
    <w:p w14:paraId="6464BCA6" w14:textId="77777777" w:rsidR="00C208C7" w:rsidRPr="003E0DDA" w:rsidRDefault="00C208C7" w:rsidP="00252B9C">
      <w:pPr>
        <w:rPr>
          <w:rFonts w:ascii="Arial" w:eastAsia="Times New Roman" w:hAnsi="Arial" w:cs="Arial"/>
          <w:szCs w:val="23"/>
          <w:lang w:val="fr-CA"/>
        </w:rPr>
      </w:pPr>
    </w:p>
    <w:p w14:paraId="07A6094B" w14:textId="3FAA75C4" w:rsidR="00C208C7" w:rsidRPr="003E0DDA" w:rsidRDefault="00C208C7" w:rsidP="00252B9C">
      <w:pPr>
        <w:ind w:firstLine="720"/>
        <w:rPr>
          <w:rFonts w:ascii="Arial" w:eastAsia="Times New Roman" w:hAnsi="Arial" w:cs="Arial"/>
          <w:szCs w:val="23"/>
          <w:lang w:val="fr-CA"/>
        </w:rPr>
      </w:pPr>
      <w:r w:rsidRPr="003E0DDA">
        <w:rPr>
          <w:rFonts w:ascii="Arial" w:eastAsia="Times New Roman" w:hAnsi="Arial" w:cs="Arial"/>
          <w:szCs w:val="23"/>
          <w:lang w:val="fr-CA"/>
        </w:rPr>
        <w:t xml:space="preserve">Sous réserve de l’article 320 (Stimulants interdits) et de l’article 321 (Stimulants à éviter), le présent accord ne s’applique pas aux mesures fiscales adoptées ou maintenues par une Partie ou aux mesures propres à garantir le respect des mesures fiscales. </w:t>
      </w:r>
    </w:p>
    <w:p w14:paraId="07BF45AF" w14:textId="77777777" w:rsidR="00C208C7" w:rsidRPr="003E0DDA" w:rsidRDefault="00C208C7" w:rsidP="00252B9C">
      <w:pPr>
        <w:rPr>
          <w:rFonts w:ascii="Arial" w:eastAsia="Arial" w:hAnsi="Arial" w:cs="Arial"/>
          <w:szCs w:val="23"/>
          <w:lang w:val="fr-CA"/>
        </w:rPr>
      </w:pPr>
    </w:p>
    <w:p w14:paraId="4FE11055" w14:textId="77777777" w:rsidR="00C208C7" w:rsidRPr="003E0DDA" w:rsidRDefault="00C208C7" w:rsidP="00252B9C">
      <w:pPr>
        <w:jc w:val="center"/>
        <w:rPr>
          <w:rFonts w:ascii="Arial" w:eastAsia="Times New Roman" w:hAnsi="Arial" w:cs="Arial"/>
          <w:b/>
          <w:szCs w:val="23"/>
          <w:lang w:val="fr-CA"/>
        </w:rPr>
      </w:pPr>
      <w:r w:rsidRPr="003E0DDA">
        <w:rPr>
          <w:rFonts w:ascii="Arial" w:eastAsia="Times New Roman" w:hAnsi="Arial" w:cs="Arial"/>
          <w:b/>
          <w:bCs/>
          <w:szCs w:val="23"/>
          <w:lang w:val="fr-CA"/>
        </w:rPr>
        <w:t>Article 803 :</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b/>
          <w:bCs/>
          <w:szCs w:val="23"/>
          <w:lang w:val="fr-CA"/>
        </w:rPr>
        <w:t>Eau</w:t>
      </w:r>
    </w:p>
    <w:p w14:paraId="083C6AD8" w14:textId="77777777" w:rsidR="00C208C7" w:rsidRPr="003E0DDA" w:rsidRDefault="00C208C7" w:rsidP="00252B9C">
      <w:pPr>
        <w:jc w:val="center"/>
        <w:rPr>
          <w:rFonts w:ascii="Arial" w:eastAsia="Times New Roman" w:hAnsi="Arial" w:cs="Arial"/>
          <w:b/>
          <w:szCs w:val="23"/>
          <w:lang w:val="fr-CA"/>
        </w:rPr>
      </w:pPr>
    </w:p>
    <w:p w14:paraId="10DB8B68" w14:textId="105B4E29" w:rsidR="00C208C7" w:rsidRPr="003E0DDA" w:rsidRDefault="00C208C7" w:rsidP="00252B9C">
      <w:pPr>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Les Parties reconnaissent que l’eau dans son état naturel, y compris l’eau des lacs, rivières et fleuves, réservoirs, aquifères et bassins d’eau, ne constitue pas un produit ou une marchandise. Sauf pour l’application du chapitre Six (Protection de l’environnement), l’eau dans son état naturel n’est pas soumise aux modalités du présent accord.</w:t>
      </w:r>
    </w:p>
    <w:p w14:paraId="517FCB54" w14:textId="77777777" w:rsidR="00C208C7" w:rsidRPr="003E0DDA" w:rsidRDefault="00C208C7" w:rsidP="00252B9C">
      <w:pPr>
        <w:rPr>
          <w:rFonts w:ascii="Arial" w:eastAsia="Times New Roman" w:hAnsi="Arial" w:cs="Arial"/>
          <w:szCs w:val="23"/>
          <w:lang w:val="fr-CA"/>
        </w:rPr>
      </w:pPr>
    </w:p>
    <w:p w14:paraId="2EA83859" w14:textId="77777777" w:rsidR="00C208C7" w:rsidRPr="003E0DDA" w:rsidRDefault="00C208C7" w:rsidP="00252B9C">
      <w:pPr>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Chaque Partie a le droit de protéger et de préserver ses ressources naturelles en eau. Aucune disposition du présent accord n'a pour effet d'obliger une Partie à autoriser l'utilisation commerciale de l'eau à quelque fin que ce soit, y compris son prélèvement, son extraction ou sa dérivation à des fins d'exportation à grande échelle.</w:t>
      </w:r>
    </w:p>
    <w:p w14:paraId="06867837" w14:textId="77777777" w:rsidR="00C208C7" w:rsidRPr="003E0DDA" w:rsidRDefault="00C208C7" w:rsidP="00252B9C">
      <w:pPr>
        <w:rPr>
          <w:rFonts w:ascii="Arial" w:eastAsia="Times New Roman" w:hAnsi="Arial" w:cs="Arial"/>
          <w:szCs w:val="23"/>
          <w:lang w:val="fr-CA"/>
        </w:rPr>
      </w:pPr>
    </w:p>
    <w:p w14:paraId="6FBE8D33" w14:textId="19D23052" w:rsidR="00C208C7" w:rsidRPr="003E0DDA" w:rsidRDefault="00C208C7" w:rsidP="00252B9C">
      <w:pPr>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Si une Partie autorise l'utilisation commerciale d'une source d'eau particulière, elle le fait d'une manière conforme au présent accord.</w:t>
      </w:r>
    </w:p>
    <w:p w14:paraId="7C3BD8B5" w14:textId="77777777" w:rsidR="00C208C7" w:rsidRPr="003E0DDA" w:rsidRDefault="00C208C7" w:rsidP="00252B9C">
      <w:pPr>
        <w:rPr>
          <w:rFonts w:ascii="Arial" w:eastAsia="Times New Roman" w:hAnsi="Arial" w:cs="Arial"/>
          <w:szCs w:val="23"/>
          <w:lang w:val="fr-CA"/>
        </w:rPr>
      </w:pPr>
    </w:p>
    <w:p w14:paraId="1EF58946" w14:textId="0D8F80BB" w:rsidR="00C208C7" w:rsidRPr="003E0DDA" w:rsidRDefault="00C208C7" w:rsidP="00252B9C">
      <w:pPr>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L’article 307 (Accès aux marchés - Services) et l’article 312 (Accès aux marchés - Investissement) ne s’appliquent pas aux mesures adoptées ou maintenues par une Partie en ce qui concerne le captage, la distribution ou l’épuration de l’eau.</w:t>
      </w:r>
    </w:p>
    <w:p w14:paraId="4C9FFD19" w14:textId="77777777" w:rsidR="00C208C7" w:rsidRPr="003E0DDA" w:rsidRDefault="00C208C7" w:rsidP="00252B9C">
      <w:pPr>
        <w:rPr>
          <w:rFonts w:ascii="Arial" w:eastAsia="Times New Roman" w:hAnsi="Arial" w:cs="Arial"/>
          <w:szCs w:val="23"/>
          <w:lang w:val="fr-CA"/>
        </w:rPr>
      </w:pPr>
    </w:p>
    <w:p w14:paraId="30BD8A8A" w14:textId="77777777" w:rsidR="00C208C7" w:rsidRPr="003E0DDA" w:rsidRDefault="00C208C7" w:rsidP="00252B9C">
      <w:pPr>
        <w:jc w:val="center"/>
        <w:rPr>
          <w:rFonts w:ascii="Arial" w:eastAsia="Times New Roman" w:hAnsi="Arial" w:cs="Arial"/>
          <w:b/>
          <w:szCs w:val="23"/>
          <w:lang w:val="fr-CA"/>
        </w:rPr>
      </w:pPr>
      <w:r w:rsidRPr="003E0DDA">
        <w:rPr>
          <w:rFonts w:ascii="Arial" w:eastAsia="Times New Roman" w:hAnsi="Arial" w:cs="Arial"/>
          <w:b/>
          <w:bCs/>
          <w:szCs w:val="23"/>
          <w:lang w:val="fr-CA"/>
        </w:rPr>
        <w:t>Article 804 :</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b/>
          <w:bCs/>
          <w:szCs w:val="23"/>
          <w:lang w:val="fr-CA"/>
        </w:rPr>
        <w:t>Dessaisissement</w:t>
      </w:r>
    </w:p>
    <w:p w14:paraId="72789D88" w14:textId="77777777" w:rsidR="00C208C7" w:rsidRPr="003E0DDA" w:rsidRDefault="00C208C7" w:rsidP="00252B9C">
      <w:pPr>
        <w:jc w:val="center"/>
        <w:rPr>
          <w:rFonts w:ascii="Arial" w:eastAsia="Times New Roman" w:hAnsi="Arial" w:cs="Arial"/>
          <w:b/>
          <w:szCs w:val="23"/>
          <w:lang w:val="fr-CA"/>
        </w:rPr>
      </w:pPr>
    </w:p>
    <w:p w14:paraId="18405C9A" w14:textId="1CF93244" w:rsidR="00C208C7" w:rsidRPr="003E0DDA" w:rsidRDefault="00C208C7" w:rsidP="00252B9C">
      <w:pPr>
        <w:ind w:firstLine="720"/>
        <w:rPr>
          <w:rFonts w:ascii="Arial" w:eastAsia="Times New Roman" w:hAnsi="Arial" w:cs="Arial"/>
          <w:szCs w:val="23"/>
          <w:lang w:val="fr-CA"/>
        </w:rPr>
      </w:pPr>
      <w:r w:rsidRPr="003E0DDA">
        <w:rPr>
          <w:rFonts w:ascii="Arial" w:eastAsia="Arial" w:hAnsi="Arial" w:cs="Arial"/>
          <w:szCs w:val="23"/>
          <w:lang w:val="fr-CA"/>
        </w:rPr>
        <w:t>Une Partie, lors de la vente ou de la cession du capital-actions ou des actifs d’une entreprise publique ou d’une entité publique, peut interdire ou limiter la propriété de tels intérêts ou actifs par des investisseurs d’une Partie ou d’une tierce partie ou leurs investissements, ainsi que la capacité des propriétaires de tels intérêts ou actifs de contrôler une entreprise en résultant. En ce qui concerne une telle vente ou cession, une Partie peut également adopter ou maintenir toute mesure concernant la nationalité ou la résidence des dirigeants ou des membres du conseil d’administration.</w:t>
      </w:r>
    </w:p>
    <w:p w14:paraId="782D2C86" w14:textId="77777777" w:rsidR="00C208C7" w:rsidRPr="003E0DDA" w:rsidRDefault="00C208C7" w:rsidP="00252B9C">
      <w:pPr>
        <w:ind w:left="720"/>
        <w:contextualSpacing/>
        <w:rPr>
          <w:rFonts w:ascii="Arial" w:eastAsia="Times New Roman" w:hAnsi="Arial" w:cs="Arial"/>
          <w:szCs w:val="23"/>
          <w:lang w:val="fr-CA"/>
        </w:rPr>
      </w:pPr>
    </w:p>
    <w:p w14:paraId="781213CD" w14:textId="77777777" w:rsidR="00C208C7" w:rsidRPr="003E0DDA" w:rsidRDefault="00C208C7" w:rsidP="00252B9C">
      <w:pPr>
        <w:jc w:val="center"/>
        <w:rPr>
          <w:rFonts w:ascii="Arial" w:eastAsia="Times New Roman" w:hAnsi="Arial" w:cs="Arial"/>
          <w:b/>
          <w:szCs w:val="23"/>
          <w:lang w:val="fr-CA"/>
        </w:rPr>
      </w:pPr>
      <w:r w:rsidRPr="003E0DDA">
        <w:rPr>
          <w:rFonts w:ascii="Arial" w:eastAsia="Times New Roman" w:hAnsi="Arial" w:cs="Arial"/>
          <w:b/>
          <w:bCs/>
          <w:szCs w:val="23"/>
          <w:lang w:val="fr-CA"/>
        </w:rPr>
        <w:t>Article 805 :</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b/>
          <w:bCs/>
          <w:szCs w:val="23"/>
          <w:lang w:val="fr-CA"/>
        </w:rPr>
        <w:t>Services sociaux</w:t>
      </w:r>
    </w:p>
    <w:p w14:paraId="688E9AE1" w14:textId="77777777" w:rsidR="00C208C7" w:rsidRPr="003E0DDA" w:rsidRDefault="00C208C7" w:rsidP="00252B9C">
      <w:pPr>
        <w:jc w:val="center"/>
        <w:rPr>
          <w:rFonts w:ascii="Arial" w:eastAsia="Times New Roman" w:hAnsi="Arial" w:cs="Arial"/>
          <w:b/>
          <w:szCs w:val="23"/>
          <w:lang w:val="fr-CA"/>
        </w:rPr>
      </w:pPr>
    </w:p>
    <w:p w14:paraId="41D889DF" w14:textId="58A50745" w:rsidR="00C208C7" w:rsidRPr="003E0DDA" w:rsidRDefault="00C208C7" w:rsidP="00252B9C">
      <w:pPr>
        <w:ind w:firstLine="720"/>
        <w:contextualSpacing/>
        <w:rPr>
          <w:rFonts w:ascii="Arial" w:eastAsia="Times New Roman" w:hAnsi="Arial" w:cs="Arial"/>
          <w:szCs w:val="23"/>
          <w:lang w:val="fr-CA"/>
        </w:rPr>
      </w:pPr>
      <w:r w:rsidRPr="003E0DDA">
        <w:rPr>
          <w:rFonts w:ascii="Arial" w:eastAsia="Times New Roman" w:hAnsi="Arial" w:cs="Arial"/>
          <w:szCs w:val="23"/>
          <w:lang w:val="fr-CA"/>
        </w:rPr>
        <w:t>Les Parties se réservent le droit d’adopter ou de maintenir des mesures relatives à la fourniture de services d’application de la loi et de services correctionnels ainsi que des services suivants, pour autant qu’il s’agisse de services sociaux établis ou maintenus pour une raison d’intérêt public : sécurité ou garantie du revenu, sécurité ou assurance sociale, bien-être social, éducation publique, formation publique, santé et garde d’enfants.</w:t>
      </w:r>
    </w:p>
    <w:p w14:paraId="2B2E0B93" w14:textId="77777777" w:rsidR="00C208C7" w:rsidRPr="003E0DDA" w:rsidRDefault="00C208C7" w:rsidP="00252B9C">
      <w:pPr>
        <w:contextualSpacing/>
        <w:jc w:val="both"/>
        <w:rPr>
          <w:rFonts w:ascii="Arial" w:eastAsia="Times New Roman" w:hAnsi="Arial" w:cs="Arial"/>
          <w:szCs w:val="23"/>
          <w:lang w:val="fr-CA"/>
        </w:rPr>
      </w:pPr>
    </w:p>
    <w:p w14:paraId="207EDEE5" w14:textId="4E14C02D" w:rsidR="00C208C7" w:rsidRPr="003E0DDA" w:rsidRDefault="00C208C7" w:rsidP="00252B9C">
      <w:pPr>
        <w:contextualSpacing/>
        <w:jc w:val="center"/>
        <w:rPr>
          <w:rFonts w:ascii="Arial" w:eastAsia="Times New Roman" w:hAnsi="Arial" w:cs="Arial"/>
          <w:b/>
          <w:szCs w:val="23"/>
          <w:lang w:val="fr-CA"/>
        </w:rPr>
      </w:pPr>
      <w:r w:rsidRPr="003E0DDA">
        <w:rPr>
          <w:rFonts w:ascii="Arial" w:eastAsia="Times New Roman" w:hAnsi="Arial" w:cs="Arial"/>
          <w:b/>
          <w:bCs/>
          <w:szCs w:val="23"/>
          <w:lang w:val="fr-CA"/>
        </w:rPr>
        <w:t xml:space="preserve">Article 806 : </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b/>
          <w:bCs/>
          <w:szCs w:val="23"/>
          <w:lang w:val="fr-CA"/>
        </w:rPr>
        <w:t xml:space="preserve">Mesures relatives au contrôle du </w:t>
      </w:r>
      <w:r w:rsidR="00FC2F84" w:rsidRPr="003E0DDA">
        <w:rPr>
          <w:rFonts w:ascii="Arial" w:eastAsia="Times New Roman" w:hAnsi="Arial" w:cs="Arial"/>
          <w:b/>
          <w:bCs/>
          <w:szCs w:val="23"/>
          <w:lang w:val="fr-CA"/>
        </w:rPr>
        <w:t>tabagisme</w:t>
      </w:r>
    </w:p>
    <w:p w14:paraId="3E39BE86" w14:textId="77777777" w:rsidR="00C208C7" w:rsidRPr="003E0DDA" w:rsidRDefault="00C208C7" w:rsidP="00252B9C">
      <w:pPr>
        <w:contextualSpacing/>
        <w:rPr>
          <w:rFonts w:ascii="Arial" w:eastAsia="Times New Roman" w:hAnsi="Arial" w:cs="Arial"/>
          <w:b/>
          <w:szCs w:val="23"/>
          <w:lang w:val="fr-CA"/>
        </w:rPr>
      </w:pPr>
    </w:p>
    <w:p w14:paraId="484EF185" w14:textId="2DC8AB31" w:rsidR="00C208C7" w:rsidRPr="003E0DDA" w:rsidRDefault="00C208C7" w:rsidP="00252B9C">
      <w:pPr>
        <w:ind w:firstLine="720"/>
        <w:contextualSpacing/>
        <w:rPr>
          <w:rFonts w:ascii="Arial" w:eastAsia="Times New Roman" w:hAnsi="Arial" w:cs="Arial"/>
          <w:szCs w:val="23"/>
          <w:lang w:val="fr-CA"/>
        </w:rPr>
      </w:pPr>
      <w:r w:rsidRPr="003E0DDA">
        <w:rPr>
          <w:rFonts w:ascii="Arial" w:eastAsia="Times New Roman" w:hAnsi="Arial" w:cs="Arial"/>
          <w:szCs w:val="23"/>
          <w:lang w:val="fr-CA"/>
        </w:rPr>
        <w:t xml:space="preserve">Le présent accord ne s’applique pas aux mesures adoptées ou maintenues par une Partie en ce qui concerne le contrôle du </w:t>
      </w:r>
      <w:r w:rsidR="00FC2F84" w:rsidRPr="003E0DDA">
        <w:rPr>
          <w:rFonts w:ascii="Arial" w:eastAsia="Times New Roman" w:hAnsi="Arial" w:cs="Arial"/>
          <w:szCs w:val="23"/>
          <w:lang w:val="fr-CA"/>
        </w:rPr>
        <w:t>tabagisme</w:t>
      </w:r>
      <w:r w:rsidRPr="003E0DDA">
        <w:rPr>
          <w:rFonts w:ascii="Arial" w:eastAsia="Times New Roman" w:hAnsi="Arial" w:cs="Arial"/>
          <w:szCs w:val="23"/>
          <w:lang w:val="fr-CA"/>
        </w:rPr>
        <w:t>.</w:t>
      </w:r>
    </w:p>
    <w:p w14:paraId="1794692A" w14:textId="77777777" w:rsidR="00C208C7" w:rsidRPr="003E0DDA" w:rsidRDefault="00C208C7" w:rsidP="00252B9C">
      <w:pPr>
        <w:ind w:firstLine="720"/>
        <w:contextualSpacing/>
        <w:rPr>
          <w:rFonts w:ascii="Arial" w:eastAsia="Times New Roman" w:hAnsi="Arial" w:cs="Arial"/>
          <w:szCs w:val="23"/>
          <w:lang w:val="fr-CA"/>
        </w:rPr>
      </w:pPr>
    </w:p>
    <w:p w14:paraId="33932EAD" w14:textId="31572DA4"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Article 807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Services fournis dans l’exercice du pouvoir gouvernemental</w:t>
      </w:r>
    </w:p>
    <w:p w14:paraId="30726217" w14:textId="77777777" w:rsidR="00C208C7" w:rsidRPr="003E0DDA" w:rsidRDefault="00C208C7" w:rsidP="00252B9C">
      <w:pPr>
        <w:rPr>
          <w:rFonts w:ascii="Arial" w:eastAsia="Arial" w:hAnsi="Arial" w:cs="Arial"/>
          <w:b/>
          <w:szCs w:val="23"/>
          <w:lang w:val="fr-CA"/>
        </w:rPr>
      </w:pPr>
    </w:p>
    <w:p w14:paraId="2F29CB85" w14:textId="77777777" w:rsidR="00C208C7" w:rsidRPr="003E0DDA" w:rsidRDefault="00C208C7" w:rsidP="00C208C7">
      <w:pPr>
        <w:numPr>
          <w:ilvl w:val="0"/>
          <w:numId w:val="55"/>
        </w:numPr>
        <w:ind w:left="709" w:hanging="709"/>
        <w:rPr>
          <w:rFonts w:ascii="Arial" w:eastAsia="Arial" w:hAnsi="Arial" w:cs="Arial"/>
          <w:szCs w:val="23"/>
          <w:lang w:val="fr-CA"/>
        </w:rPr>
      </w:pPr>
      <w:r w:rsidRPr="003E0DDA">
        <w:rPr>
          <w:rFonts w:ascii="Arial" w:eastAsia="Arial" w:hAnsi="Arial" w:cs="Arial"/>
          <w:szCs w:val="23"/>
          <w:lang w:val="fr-CA"/>
        </w:rPr>
        <w:t>Sous réserve des dispositions prévues :</w:t>
      </w:r>
    </w:p>
    <w:p w14:paraId="71718BE0" w14:textId="77777777" w:rsidR="00C208C7" w:rsidRPr="003E0DDA" w:rsidRDefault="00C208C7" w:rsidP="00252B9C">
      <w:pPr>
        <w:rPr>
          <w:rFonts w:ascii="Arial" w:eastAsia="Arial" w:hAnsi="Arial" w:cs="Arial"/>
          <w:szCs w:val="23"/>
          <w:lang w:val="fr-CA"/>
        </w:rPr>
      </w:pPr>
    </w:p>
    <w:p w14:paraId="2C0FF30F" w14:textId="7A1DB00D" w:rsidR="00C208C7" w:rsidRPr="003E0DDA" w:rsidRDefault="00C208C7" w:rsidP="00C208C7">
      <w:pPr>
        <w:numPr>
          <w:ilvl w:val="0"/>
          <w:numId w:val="183"/>
        </w:numPr>
        <w:ind w:left="1440" w:hanging="720"/>
        <w:rPr>
          <w:rFonts w:ascii="Arial" w:eastAsia="Arial" w:hAnsi="Arial" w:cs="Arial"/>
          <w:szCs w:val="23"/>
          <w:lang w:val="fr-CA"/>
        </w:rPr>
      </w:pPr>
      <w:proofErr w:type="gramStart"/>
      <w:r w:rsidRPr="003E0DDA">
        <w:rPr>
          <w:rFonts w:ascii="Arial" w:eastAsia="Arial" w:hAnsi="Arial" w:cs="Arial"/>
          <w:szCs w:val="23"/>
          <w:lang w:val="fr-CA"/>
        </w:rPr>
        <w:t>à</w:t>
      </w:r>
      <w:proofErr w:type="gramEnd"/>
      <w:r w:rsidRPr="003E0DDA">
        <w:rPr>
          <w:rFonts w:ascii="Arial" w:eastAsia="Arial" w:hAnsi="Arial" w:cs="Arial"/>
          <w:szCs w:val="23"/>
          <w:lang w:val="fr-CA"/>
        </w:rPr>
        <w:t xml:space="preserve"> la partie D du chapitre Trois (Dispositions particulières);</w:t>
      </w:r>
    </w:p>
    <w:p w14:paraId="7AEC4277" w14:textId="77777777" w:rsidR="00C208C7" w:rsidRPr="003E0DDA" w:rsidRDefault="00C208C7" w:rsidP="00C208C7">
      <w:pPr>
        <w:ind w:left="1440" w:hanging="720"/>
        <w:rPr>
          <w:rFonts w:ascii="Arial" w:eastAsia="Arial" w:hAnsi="Arial" w:cs="Arial"/>
          <w:szCs w:val="23"/>
          <w:lang w:val="fr-CA"/>
        </w:rPr>
      </w:pPr>
    </w:p>
    <w:p w14:paraId="54BEBC07" w14:textId="5FF7DBCE" w:rsidR="00C208C7" w:rsidRPr="003E0DDA" w:rsidRDefault="00C208C7" w:rsidP="00C208C7">
      <w:pPr>
        <w:numPr>
          <w:ilvl w:val="0"/>
          <w:numId w:val="183"/>
        </w:numPr>
        <w:ind w:left="1440" w:hanging="720"/>
        <w:rPr>
          <w:rFonts w:ascii="Arial" w:eastAsia="Arial" w:hAnsi="Arial" w:cs="Arial"/>
          <w:szCs w:val="23"/>
          <w:lang w:val="fr-CA"/>
        </w:rPr>
      </w:pPr>
      <w:proofErr w:type="gramStart"/>
      <w:r w:rsidRPr="003E0DDA">
        <w:rPr>
          <w:rFonts w:ascii="Arial" w:eastAsia="Arial" w:hAnsi="Arial" w:cs="Arial"/>
          <w:szCs w:val="23"/>
          <w:lang w:val="fr-CA"/>
        </w:rPr>
        <w:t>au</w:t>
      </w:r>
      <w:proofErr w:type="gramEnd"/>
      <w:r w:rsidRPr="003E0DDA">
        <w:rPr>
          <w:rFonts w:ascii="Arial" w:eastAsia="Arial" w:hAnsi="Arial" w:cs="Arial"/>
          <w:szCs w:val="23"/>
          <w:lang w:val="fr-CA"/>
        </w:rPr>
        <w:t xml:space="preserve"> chapitre Cinq (Marchés publics);</w:t>
      </w:r>
    </w:p>
    <w:p w14:paraId="3440287E" w14:textId="77777777" w:rsidR="00C208C7" w:rsidRPr="003E0DDA" w:rsidRDefault="00C208C7" w:rsidP="00C208C7">
      <w:pPr>
        <w:ind w:left="1440" w:hanging="720"/>
        <w:rPr>
          <w:rFonts w:ascii="Arial" w:eastAsia="Arial" w:hAnsi="Arial" w:cs="Arial"/>
          <w:szCs w:val="23"/>
          <w:lang w:val="fr-CA"/>
        </w:rPr>
      </w:pPr>
    </w:p>
    <w:p w14:paraId="1C5E3C59" w14:textId="42B85C0E" w:rsidR="00C208C7" w:rsidRPr="003E0DDA" w:rsidRDefault="00C208C7" w:rsidP="00C208C7">
      <w:pPr>
        <w:numPr>
          <w:ilvl w:val="0"/>
          <w:numId w:val="183"/>
        </w:numPr>
        <w:ind w:left="1440" w:hanging="720"/>
        <w:rPr>
          <w:rFonts w:ascii="Arial" w:eastAsia="Arial" w:hAnsi="Arial" w:cs="Arial"/>
          <w:szCs w:val="23"/>
          <w:lang w:val="fr-CA"/>
        </w:rPr>
      </w:pPr>
      <w:proofErr w:type="gramStart"/>
      <w:r w:rsidRPr="003E0DDA">
        <w:rPr>
          <w:rFonts w:ascii="Arial" w:eastAsia="Arial" w:hAnsi="Arial" w:cs="Arial"/>
          <w:szCs w:val="23"/>
          <w:lang w:val="fr-CA"/>
        </w:rPr>
        <w:t>au</w:t>
      </w:r>
      <w:proofErr w:type="gramEnd"/>
      <w:r w:rsidRPr="003E0DDA">
        <w:rPr>
          <w:rFonts w:ascii="Arial" w:eastAsia="Arial" w:hAnsi="Arial" w:cs="Arial"/>
          <w:szCs w:val="23"/>
          <w:lang w:val="fr-CA"/>
        </w:rPr>
        <w:t xml:space="preserve"> chapitre Sept (Mobilité de la main-d’œuvre),</w:t>
      </w:r>
    </w:p>
    <w:p w14:paraId="663DDC40" w14:textId="77777777" w:rsidR="00C208C7" w:rsidRPr="003E0DDA" w:rsidRDefault="00C208C7" w:rsidP="00252B9C">
      <w:pPr>
        <w:rPr>
          <w:rFonts w:ascii="Arial" w:eastAsia="Arial" w:hAnsi="Arial" w:cs="Arial"/>
          <w:szCs w:val="23"/>
          <w:lang w:val="fr-CA"/>
        </w:rPr>
      </w:pPr>
    </w:p>
    <w:p w14:paraId="6E376CBF" w14:textId="35B06658" w:rsidR="00C208C7" w:rsidRPr="003E0DDA" w:rsidRDefault="00C208C7" w:rsidP="00252B9C">
      <w:pPr>
        <w:rPr>
          <w:rFonts w:ascii="Arial" w:eastAsia="Arial" w:hAnsi="Arial" w:cs="Arial"/>
          <w:szCs w:val="23"/>
          <w:lang w:val="fr-CA"/>
        </w:rPr>
      </w:pPr>
      <w:proofErr w:type="gramStart"/>
      <w:r w:rsidRPr="003E0DDA">
        <w:rPr>
          <w:rFonts w:ascii="Arial" w:eastAsia="Arial" w:hAnsi="Arial" w:cs="Arial"/>
          <w:szCs w:val="23"/>
          <w:lang w:val="fr-CA"/>
        </w:rPr>
        <w:t>aucune</w:t>
      </w:r>
      <w:proofErr w:type="gramEnd"/>
      <w:r w:rsidRPr="003E0DDA">
        <w:rPr>
          <w:rFonts w:ascii="Arial" w:eastAsia="Arial" w:hAnsi="Arial" w:cs="Arial"/>
          <w:szCs w:val="23"/>
          <w:lang w:val="fr-CA"/>
        </w:rPr>
        <w:t xml:space="preserve"> disposition du présent accord ne s’applique aux services fournis dans l’exercice du pouvoir gouvernemental.</w:t>
      </w:r>
    </w:p>
    <w:p w14:paraId="5F53D1FF" w14:textId="77777777" w:rsidR="00C208C7" w:rsidRPr="003E0DDA" w:rsidRDefault="00C208C7" w:rsidP="00252B9C">
      <w:pPr>
        <w:contextualSpacing/>
        <w:rPr>
          <w:rFonts w:ascii="Arial" w:eastAsia="Arial" w:hAnsi="Arial" w:cs="Arial"/>
          <w:szCs w:val="23"/>
          <w:lang w:val="fr-CA"/>
        </w:rPr>
      </w:pPr>
    </w:p>
    <w:p w14:paraId="2DAC1228" w14:textId="4CA2424D" w:rsidR="00C208C7" w:rsidRPr="003E0DDA" w:rsidRDefault="00C208C7" w:rsidP="00252B9C">
      <w:pPr>
        <w:rPr>
          <w:rFonts w:ascii="Arial" w:eastAsia="Arial" w:hAnsi="Arial" w:cs="Arial"/>
          <w:szCs w:val="23"/>
          <w:lang w:val="fr-CA"/>
        </w:rPr>
      </w:pPr>
      <w:r w:rsidRPr="003E0DDA">
        <w:rPr>
          <w:rFonts w:ascii="Arial" w:eastAsia="Arial" w:hAnsi="Arial" w:cs="Arial"/>
          <w:szCs w:val="23"/>
          <w:lang w:val="fr-CA"/>
        </w:rPr>
        <w:t>2.</w:t>
      </w:r>
      <w:r w:rsidRPr="003E0DDA">
        <w:rPr>
          <w:rFonts w:ascii="Arial" w:eastAsia="Arial" w:hAnsi="Arial" w:cs="Arial"/>
          <w:szCs w:val="23"/>
          <w:lang w:val="fr-CA"/>
        </w:rPr>
        <w:tab/>
        <w:t>Pour l’application du présent article, un service fourni dans l’exercice du pouvoir gouvernemental désigne tout service qui n’est fourni ni sur une base commerciale, ni en concurrence avec un ou plusieurs fournisseurs de services.</w:t>
      </w:r>
    </w:p>
    <w:p w14:paraId="3D415F4C" w14:textId="77777777" w:rsidR="00C208C7" w:rsidRPr="003E0DDA" w:rsidRDefault="00C208C7" w:rsidP="00252B9C">
      <w:pPr>
        <w:rPr>
          <w:rFonts w:ascii="Arial" w:eastAsia="Arial" w:hAnsi="Arial" w:cs="Arial"/>
          <w:szCs w:val="23"/>
          <w:lang w:val="fr-CA"/>
        </w:rPr>
      </w:pPr>
    </w:p>
    <w:p w14:paraId="0FF1CD7D" w14:textId="77777777" w:rsidR="00C208C7" w:rsidRPr="003E0DDA" w:rsidRDefault="00C208C7" w:rsidP="00252B9C">
      <w:pPr>
        <w:jc w:val="center"/>
        <w:rPr>
          <w:rFonts w:ascii="Arial" w:eastAsia="Times New Roman" w:hAnsi="Arial" w:cs="Arial"/>
          <w:szCs w:val="23"/>
          <w:lang w:val="fr-CA"/>
        </w:rPr>
      </w:pPr>
      <w:r w:rsidRPr="003E0DDA">
        <w:rPr>
          <w:rFonts w:ascii="Arial" w:eastAsia="Times New Roman" w:hAnsi="Arial" w:cs="Arial"/>
          <w:b/>
          <w:bCs/>
          <w:szCs w:val="23"/>
          <w:lang w:val="fr-CA"/>
        </w:rPr>
        <w:t xml:space="preserve">Article 808 : </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b/>
          <w:bCs/>
          <w:szCs w:val="23"/>
          <w:lang w:val="fr-CA"/>
        </w:rPr>
        <w:t>Langue</w:t>
      </w:r>
    </w:p>
    <w:p w14:paraId="4A64F6F2" w14:textId="77777777" w:rsidR="00C208C7" w:rsidRPr="003E0DDA" w:rsidRDefault="00C208C7" w:rsidP="00252B9C">
      <w:pPr>
        <w:jc w:val="both"/>
        <w:rPr>
          <w:rFonts w:ascii="Arial" w:eastAsia="Times New Roman" w:hAnsi="Arial" w:cs="Arial"/>
          <w:szCs w:val="23"/>
          <w:lang w:val="fr-CA"/>
        </w:rPr>
      </w:pPr>
    </w:p>
    <w:p w14:paraId="1E628725" w14:textId="7D542CAE" w:rsidR="00C208C7" w:rsidRPr="003E0DDA" w:rsidRDefault="00C208C7" w:rsidP="00252B9C">
      <w:pPr>
        <w:ind w:firstLine="720"/>
        <w:jc w:val="both"/>
        <w:rPr>
          <w:rFonts w:ascii="Arial" w:eastAsia="Times New Roman" w:hAnsi="Arial" w:cs="Arial"/>
          <w:szCs w:val="23"/>
          <w:lang w:val="fr-CA"/>
        </w:rPr>
      </w:pPr>
      <w:r w:rsidRPr="003E0DDA">
        <w:rPr>
          <w:rFonts w:ascii="Arial" w:eastAsia="Arial" w:hAnsi="Arial" w:cs="Arial"/>
          <w:szCs w:val="23"/>
          <w:lang w:val="fr-CA"/>
        </w:rPr>
        <w:lastRenderedPageBreak/>
        <w:t>Le présent accord ne s’applique pas aux mesures adoptées ou maintenues par une Partie en ce qui concerne la langue, à la condition que la mesure ne constitue pas une restriction déguisée du commerce.</w:t>
      </w:r>
    </w:p>
    <w:p w14:paraId="44E75921" w14:textId="77777777" w:rsidR="00C208C7" w:rsidRPr="003E0DDA" w:rsidRDefault="00C208C7" w:rsidP="00252B9C">
      <w:pPr>
        <w:rPr>
          <w:rFonts w:ascii="Arial" w:eastAsia="Arial" w:hAnsi="Arial" w:cs="Arial"/>
          <w:szCs w:val="23"/>
          <w:lang w:val="fr-CA"/>
        </w:rPr>
      </w:pPr>
    </w:p>
    <w:p w14:paraId="7A5313C9" w14:textId="77777777"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Article 809 :</w:t>
      </w:r>
      <w:r w:rsidRPr="003E0DDA">
        <w:rPr>
          <w:rFonts w:ascii="Arial" w:eastAsia="Arial" w:hAnsi="Arial" w:cs="Arial"/>
          <w:szCs w:val="23"/>
          <w:lang w:val="fr-CA"/>
        </w:rPr>
        <w:tab/>
      </w:r>
      <w:r w:rsidRPr="003E0DDA">
        <w:rPr>
          <w:rFonts w:ascii="Arial" w:eastAsia="Arial" w:hAnsi="Arial" w:cs="Arial"/>
          <w:szCs w:val="23"/>
          <w:lang w:val="fr-CA"/>
        </w:rPr>
        <w:tab/>
      </w:r>
      <w:r w:rsidRPr="003E0DDA">
        <w:rPr>
          <w:rFonts w:ascii="Arial" w:eastAsia="Arial" w:hAnsi="Arial" w:cs="Arial"/>
          <w:b/>
          <w:bCs/>
          <w:szCs w:val="23"/>
          <w:lang w:val="fr-CA"/>
        </w:rPr>
        <w:t>Culture</w:t>
      </w:r>
    </w:p>
    <w:p w14:paraId="602B0D30" w14:textId="77777777" w:rsidR="00C208C7" w:rsidRPr="003E0DDA" w:rsidRDefault="00C208C7" w:rsidP="00252B9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6EA5DE59" w14:textId="2142F93D" w:rsidR="00C208C7" w:rsidRPr="003E0DDA" w:rsidRDefault="00C208C7" w:rsidP="00252B9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firstLine="709"/>
        <w:rPr>
          <w:rFonts w:ascii="Arial" w:eastAsia="Times New Roman" w:hAnsi="Arial" w:cs="Arial"/>
          <w:szCs w:val="23"/>
          <w:lang w:val="fr-CA"/>
        </w:rPr>
      </w:pPr>
      <w:r w:rsidRPr="003E0DDA">
        <w:rPr>
          <w:rFonts w:ascii="Arial" w:eastAsia="Times New Roman" w:hAnsi="Arial" w:cs="Arial"/>
          <w:szCs w:val="23"/>
          <w:lang w:val="fr-CA"/>
        </w:rPr>
        <w:t>Le présent accord ne s’applique pas aux mesures adoptées ou maintenues par une Partie relativement à la culture ou aux industries culturelles.</w:t>
      </w:r>
    </w:p>
    <w:p w14:paraId="6C4FFC75" w14:textId="77777777" w:rsidR="00C208C7" w:rsidRPr="003E0DDA" w:rsidRDefault="00C208C7" w:rsidP="00252B9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539505B8" w14:textId="77777777"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 xml:space="preserve">Article 810 : </w:t>
      </w:r>
      <w:r w:rsidRPr="003E0DDA">
        <w:rPr>
          <w:rFonts w:ascii="Arial" w:eastAsia="Arial" w:hAnsi="Arial" w:cs="Arial"/>
          <w:szCs w:val="23"/>
          <w:lang w:val="fr-CA"/>
        </w:rPr>
        <w:tab/>
      </w:r>
      <w:r w:rsidRPr="003E0DDA">
        <w:rPr>
          <w:rFonts w:ascii="Arial" w:eastAsia="Arial" w:hAnsi="Arial" w:cs="Arial"/>
          <w:szCs w:val="23"/>
          <w:lang w:val="fr-CA"/>
        </w:rPr>
        <w:tab/>
      </w:r>
      <w:r w:rsidRPr="003E0DDA">
        <w:rPr>
          <w:rFonts w:ascii="Arial" w:eastAsia="Arial" w:hAnsi="Arial" w:cs="Arial"/>
          <w:b/>
          <w:bCs/>
          <w:szCs w:val="23"/>
          <w:lang w:val="fr-CA"/>
        </w:rPr>
        <w:t>Exigences en matière de citoyenneté canadienne et de résidence permanente</w:t>
      </w:r>
    </w:p>
    <w:p w14:paraId="17094F5E" w14:textId="77777777" w:rsidR="00C208C7" w:rsidRPr="003E0DDA" w:rsidRDefault="00C208C7" w:rsidP="00252B9C">
      <w:pPr>
        <w:rPr>
          <w:rFonts w:ascii="Arial" w:eastAsia="Arial" w:hAnsi="Arial" w:cs="Arial"/>
          <w:szCs w:val="23"/>
          <w:lang w:val="fr-CA"/>
        </w:rPr>
      </w:pPr>
    </w:p>
    <w:p w14:paraId="5B3695B9" w14:textId="5A5FBEC8" w:rsidR="00C208C7" w:rsidRPr="003E0DDA" w:rsidRDefault="00C208C7" w:rsidP="00252B9C">
      <w:pPr>
        <w:ind w:firstLine="708"/>
        <w:rPr>
          <w:rFonts w:ascii="Arial" w:eastAsia="Arial" w:hAnsi="Arial" w:cs="Arial"/>
          <w:szCs w:val="23"/>
          <w:lang w:val="fr-CA"/>
        </w:rPr>
      </w:pPr>
      <w:r w:rsidRPr="003E0DDA">
        <w:rPr>
          <w:rFonts w:ascii="Arial" w:eastAsia="Arial" w:hAnsi="Arial" w:cs="Arial"/>
          <w:szCs w:val="23"/>
          <w:lang w:val="fr-CA"/>
        </w:rPr>
        <w:t>Sauf en ce qui concerne les mesures visées par la portée et le champ d’application du chapitre Sept (Mobilité de la main-d’œuvre), l’article 201 (Traitement non discriminatoire) ne s’applique pas aux mesures adoptées ou maintenues par une Partie qui exige la citoyenneté ou la résidence permanente canadienne.</w:t>
      </w:r>
    </w:p>
    <w:p w14:paraId="581ACC79" w14:textId="77777777" w:rsidR="00C208C7" w:rsidRPr="003E0DDA" w:rsidRDefault="00C208C7" w:rsidP="00252B9C">
      <w:pPr>
        <w:rPr>
          <w:rFonts w:ascii="Arial" w:eastAsia="Arial" w:hAnsi="Arial" w:cs="Arial"/>
          <w:szCs w:val="23"/>
          <w:lang w:val="fr-CA"/>
        </w:rPr>
      </w:pPr>
    </w:p>
    <w:p w14:paraId="172317E0" w14:textId="2626F605" w:rsidR="00C208C7" w:rsidRPr="003E0DDA" w:rsidRDefault="00C208C7" w:rsidP="00252B9C">
      <w:pPr>
        <w:jc w:val="center"/>
        <w:rPr>
          <w:rFonts w:ascii="Arial" w:eastAsia="Arial" w:hAnsi="Arial" w:cs="Arial"/>
          <w:b/>
          <w:szCs w:val="23"/>
          <w:lang w:val="fr-CA"/>
        </w:rPr>
      </w:pPr>
      <w:r w:rsidRPr="003E0DDA">
        <w:rPr>
          <w:rFonts w:ascii="Arial" w:eastAsia="Arial" w:hAnsi="Arial" w:cs="Arial"/>
          <w:b/>
          <w:bCs/>
          <w:szCs w:val="23"/>
          <w:lang w:val="fr-CA"/>
        </w:rPr>
        <w:t>Article 811 :</w:t>
      </w:r>
      <w:r w:rsidRPr="003E0DDA">
        <w:rPr>
          <w:rFonts w:ascii="Arial" w:eastAsia="Arial" w:hAnsi="Arial" w:cs="Arial"/>
          <w:b/>
          <w:bCs/>
          <w:szCs w:val="23"/>
          <w:lang w:val="fr-CA"/>
        </w:rPr>
        <w:tab/>
      </w:r>
      <w:r w:rsidRPr="003E0DDA">
        <w:rPr>
          <w:rFonts w:ascii="Arial" w:eastAsia="Arial" w:hAnsi="Arial" w:cs="Arial"/>
          <w:b/>
          <w:bCs/>
          <w:szCs w:val="23"/>
          <w:lang w:val="fr-CA"/>
        </w:rPr>
        <w:tab/>
        <w:t>Jeux et paris</w:t>
      </w:r>
    </w:p>
    <w:p w14:paraId="38579EA7" w14:textId="77777777" w:rsidR="00C208C7" w:rsidRPr="003E0DDA" w:rsidRDefault="00C208C7" w:rsidP="00252B9C">
      <w:pPr>
        <w:jc w:val="center"/>
        <w:rPr>
          <w:rFonts w:ascii="Arial" w:eastAsia="Arial" w:hAnsi="Arial" w:cs="Arial"/>
          <w:b/>
          <w:szCs w:val="23"/>
          <w:lang w:val="fr-CA"/>
        </w:rPr>
      </w:pPr>
    </w:p>
    <w:p w14:paraId="146E41F0" w14:textId="324A4483" w:rsidR="00C208C7" w:rsidRPr="003E0DDA" w:rsidRDefault="00C208C7" w:rsidP="00252B9C">
      <w:pPr>
        <w:tabs>
          <w:tab w:val="left" w:pos="720"/>
        </w:tabs>
        <w:rPr>
          <w:rFonts w:ascii="Arial" w:eastAsia="Arial" w:hAnsi="Arial" w:cs="Arial"/>
          <w:szCs w:val="23"/>
          <w:lang w:val="fr-CA"/>
        </w:rPr>
      </w:pPr>
      <w:r w:rsidRPr="003E0DDA">
        <w:rPr>
          <w:rFonts w:ascii="Arial" w:eastAsia="Arial" w:hAnsi="Arial" w:cs="Arial"/>
          <w:szCs w:val="23"/>
          <w:lang w:val="fr-CA"/>
        </w:rPr>
        <w:t>1.</w:t>
      </w:r>
      <w:r w:rsidRPr="003E0DDA">
        <w:rPr>
          <w:rFonts w:ascii="Arial" w:eastAsia="Arial" w:hAnsi="Arial" w:cs="Arial"/>
          <w:szCs w:val="23"/>
          <w:lang w:val="fr-CA"/>
        </w:rPr>
        <w:tab/>
        <w:t>L’article 201 (Traitement non discriminatoire) et l’article 313 (Prescriptions de résultats) ne s’appliquent pas, selon le cas :</w:t>
      </w:r>
    </w:p>
    <w:p w14:paraId="686000D5" w14:textId="77777777" w:rsidR="00C208C7" w:rsidRPr="003E0DDA" w:rsidRDefault="00C208C7" w:rsidP="00252B9C">
      <w:pPr>
        <w:tabs>
          <w:tab w:val="left" w:pos="720"/>
        </w:tabs>
        <w:rPr>
          <w:rFonts w:ascii="Arial" w:eastAsia="Arial" w:hAnsi="Arial" w:cs="Arial"/>
          <w:szCs w:val="23"/>
          <w:u w:val="single"/>
          <w:lang w:val="fr-CA"/>
        </w:rPr>
      </w:pPr>
    </w:p>
    <w:p w14:paraId="64E462C9" w14:textId="52119EC4" w:rsidR="00C208C7" w:rsidRPr="003E0DDA" w:rsidRDefault="00C208C7" w:rsidP="00C208C7">
      <w:pPr>
        <w:numPr>
          <w:ilvl w:val="0"/>
          <w:numId w:val="184"/>
        </w:numPr>
        <w:ind w:left="1440" w:hanging="720"/>
        <w:rPr>
          <w:rFonts w:ascii="Arial" w:eastAsia="Arial" w:hAnsi="Arial" w:cs="Arial"/>
          <w:szCs w:val="23"/>
          <w:u w:val="single"/>
          <w:lang w:val="fr-CA"/>
        </w:rPr>
      </w:pPr>
      <w:proofErr w:type="gramStart"/>
      <w:r w:rsidRPr="003E0DDA">
        <w:rPr>
          <w:rFonts w:ascii="Arial" w:eastAsia="Arial" w:hAnsi="Arial" w:cs="Arial"/>
          <w:szCs w:val="23"/>
          <w:lang w:val="fr-CA"/>
        </w:rPr>
        <w:t>aux</w:t>
      </w:r>
      <w:proofErr w:type="gramEnd"/>
      <w:r w:rsidRPr="003E0DDA">
        <w:rPr>
          <w:rFonts w:ascii="Arial" w:eastAsia="Arial" w:hAnsi="Arial" w:cs="Arial"/>
          <w:szCs w:val="23"/>
          <w:lang w:val="fr-CA"/>
        </w:rPr>
        <w:t xml:space="preserve"> mesures existantes maintenues par une Partie en ce qui concerne les jeux et les paris;</w:t>
      </w:r>
    </w:p>
    <w:p w14:paraId="3EC77538" w14:textId="77777777" w:rsidR="00C208C7" w:rsidRPr="003E0DDA" w:rsidRDefault="00C208C7" w:rsidP="00C208C7">
      <w:pPr>
        <w:ind w:left="1440"/>
        <w:rPr>
          <w:rFonts w:ascii="Arial" w:eastAsia="Arial" w:hAnsi="Arial" w:cs="Arial"/>
          <w:szCs w:val="23"/>
          <w:u w:val="single"/>
          <w:lang w:val="fr-CA"/>
        </w:rPr>
      </w:pPr>
    </w:p>
    <w:p w14:paraId="28AEA79E" w14:textId="148F4488" w:rsidR="00C208C7" w:rsidRPr="003E0DDA" w:rsidRDefault="00C208C7" w:rsidP="00C208C7">
      <w:pPr>
        <w:numPr>
          <w:ilvl w:val="0"/>
          <w:numId w:val="184"/>
        </w:numPr>
        <w:ind w:left="1440" w:hanging="720"/>
        <w:rPr>
          <w:rFonts w:ascii="Arial" w:eastAsia="Arial" w:hAnsi="Arial" w:cs="Arial"/>
          <w:szCs w:val="23"/>
          <w:u w:val="single"/>
          <w:lang w:val="fr-CA"/>
        </w:rPr>
      </w:pPr>
      <w:proofErr w:type="gramStart"/>
      <w:r w:rsidRPr="003E0DDA">
        <w:rPr>
          <w:rFonts w:ascii="Arial" w:eastAsia="Arial" w:hAnsi="Arial" w:cs="Arial"/>
          <w:szCs w:val="23"/>
          <w:lang w:val="fr-CA"/>
        </w:rPr>
        <w:t>au</w:t>
      </w:r>
      <w:proofErr w:type="gramEnd"/>
      <w:r w:rsidRPr="003E0DDA">
        <w:rPr>
          <w:rFonts w:ascii="Arial" w:eastAsia="Arial" w:hAnsi="Arial" w:cs="Arial"/>
          <w:szCs w:val="23"/>
          <w:lang w:val="fr-CA"/>
        </w:rPr>
        <w:t xml:space="preserve"> maintien ou au prompt renouvellement des mesures mentionnées à l’alinéa a);</w:t>
      </w:r>
    </w:p>
    <w:p w14:paraId="583B31D4" w14:textId="7359B112" w:rsidR="00C208C7" w:rsidRPr="003E0DDA" w:rsidRDefault="00C208C7" w:rsidP="00C208C7">
      <w:pPr>
        <w:rPr>
          <w:rFonts w:ascii="Arial" w:eastAsia="Arial" w:hAnsi="Arial" w:cs="Arial"/>
          <w:szCs w:val="23"/>
          <w:u w:val="single"/>
          <w:lang w:val="fr-CA"/>
        </w:rPr>
      </w:pPr>
    </w:p>
    <w:p w14:paraId="4F610FC5" w14:textId="7072B29D" w:rsidR="00C208C7" w:rsidRPr="003E0DDA" w:rsidRDefault="00C208C7" w:rsidP="00C208C7">
      <w:pPr>
        <w:numPr>
          <w:ilvl w:val="0"/>
          <w:numId w:val="184"/>
        </w:numPr>
        <w:tabs>
          <w:tab w:val="left" w:pos="720"/>
        </w:tabs>
        <w:ind w:left="1440" w:hanging="720"/>
        <w:rPr>
          <w:rFonts w:ascii="Arial" w:eastAsia="Arial" w:hAnsi="Arial" w:cs="Arial"/>
          <w:szCs w:val="23"/>
          <w:u w:val="single"/>
          <w:lang w:val="fr-CA"/>
        </w:rPr>
      </w:pPr>
      <w:proofErr w:type="gramStart"/>
      <w:r w:rsidRPr="003E0DDA">
        <w:rPr>
          <w:rFonts w:ascii="Arial" w:eastAsia="Arial" w:hAnsi="Arial" w:cs="Arial"/>
          <w:szCs w:val="23"/>
          <w:lang w:val="fr-CA"/>
        </w:rPr>
        <w:t>à</w:t>
      </w:r>
      <w:proofErr w:type="gramEnd"/>
      <w:r w:rsidRPr="003E0DDA">
        <w:rPr>
          <w:rFonts w:ascii="Arial" w:eastAsia="Arial" w:hAnsi="Arial" w:cs="Arial"/>
          <w:szCs w:val="23"/>
          <w:lang w:val="fr-CA"/>
        </w:rPr>
        <w:t xml:space="preserve"> la modification d’une mesure mentionnée à l’alinéa a), pour autant que la modification ne diminue pas la conformité de la mesure aux obligations, comme elle existait immédiatement avant la modification.</w:t>
      </w:r>
    </w:p>
    <w:p w14:paraId="59A6DB52" w14:textId="77777777" w:rsidR="00C208C7" w:rsidRPr="003E0DDA" w:rsidRDefault="00C208C7" w:rsidP="00252B9C">
      <w:pPr>
        <w:tabs>
          <w:tab w:val="left" w:pos="720"/>
        </w:tabs>
        <w:rPr>
          <w:rFonts w:ascii="Arial" w:eastAsia="Arial" w:hAnsi="Arial" w:cs="Arial"/>
          <w:szCs w:val="23"/>
          <w:u w:val="single"/>
          <w:lang w:val="fr-CA"/>
        </w:rPr>
      </w:pPr>
    </w:p>
    <w:p w14:paraId="7138C210" w14:textId="2741B554" w:rsidR="00C208C7" w:rsidRPr="003E0DDA" w:rsidRDefault="00C208C7" w:rsidP="00252B9C">
      <w:pPr>
        <w:tabs>
          <w:tab w:val="left" w:pos="720"/>
        </w:tabs>
        <w:rPr>
          <w:rFonts w:ascii="Arial" w:eastAsia="Arial" w:hAnsi="Arial" w:cs="Arial"/>
          <w:szCs w:val="23"/>
          <w:u w:val="single"/>
          <w:lang w:val="fr-CA"/>
        </w:rPr>
      </w:pPr>
      <w:r w:rsidRPr="003E0DDA">
        <w:rPr>
          <w:rFonts w:ascii="Arial" w:eastAsia="Arial" w:hAnsi="Arial" w:cs="Arial"/>
          <w:szCs w:val="23"/>
          <w:lang w:val="fr-CA"/>
        </w:rPr>
        <w:t>2.</w:t>
      </w:r>
      <w:r w:rsidRPr="003E0DDA">
        <w:rPr>
          <w:rFonts w:ascii="Arial" w:eastAsia="Arial" w:hAnsi="Arial" w:cs="Arial"/>
          <w:szCs w:val="23"/>
          <w:lang w:val="fr-CA"/>
        </w:rPr>
        <w:tab/>
        <w:t>L’article 301 (Droit d’entrée et de sortie), l’article 307 (Accès aux marchés - Services) et l’article 312 (Accès aux marchés - Investissement) ne s’appliquent pas aux mesures adoptées ou maintenues par une Partie en ce qui concerne les jeux et les paris.</w:t>
      </w:r>
    </w:p>
    <w:p w14:paraId="2979C185" w14:textId="77777777" w:rsidR="00C208C7" w:rsidRPr="003E0DDA" w:rsidRDefault="00C208C7" w:rsidP="00252B9C">
      <w:pPr>
        <w:rPr>
          <w:rFonts w:ascii="Arial" w:eastAsia="Arial" w:hAnsi="Arial" w:cs="Arial"/>
          <w:szCs w:val="23"/>
          <w:u w:val="single"/>
          <w:lang w:val="fr-CA"/>
        </w:rPr>
      </w:pPr>
    </w:p>
    <w:p w14:paraId="3F01DFC3" w14:textId="1ED6187B" w:rsidR="00C208C7" w:rsidRPr="00F52884" w:rsidRDefault="00C208C7" w:rsidP="00252B9C">
      <w:pPr>
        <w:jc w:val="center"/>
        <w:rPr>
          <w:rFonts w:ascii="Arial" w:eastAsia="Arial" w:hAnsi="Arial" w:cs="Arial"/>
          <w:b/>
          <w:bCs/>
          <w:szCs w:val="23"/>
        </w:rPr>
      </w:pPr>
      <w:r w:rsidRPr="00F52884">
        <w:rPr>
          <w:rFonts w:ascii="Arial" w:eastAsia="Arial" w:hAnsi="Arial" w:cs="Arial"/>
          <w:b/>
          <w:bCs/>
          <w:szCs w:val="23"/>
        </w:rPr>
        <w:t xml:space="preserve">Article </w:t>
      </w:r>
      <w:proofErr w:type="gramStart"/>
      <w:r w:rsidRPr="00F52884">
        <w:rPr>
          <w:rFonts w:ascii="Arial" w:eastAsia="Arial" w:hAnsi="Arial" w:cs="Arial"/>
          <w:b/>
          <w:bCs/>
          <w:szCs w:val="23"/>
        </w:rPr>
        <w:t>812 :</w:t>
      </w:r>
      <w:proofErr w:type="gramEnd"/>
      <w:r w:rsidRPr="00F52884">
        <w:rPr>
          <w:rFonts w:ascii="Arial" w:eastAsia="Arial" w:hAnsi="Arial" w:cs="Arial"/>
          <w:b/>
          <w:bCs/>
          <w:szCs w:val="23"/>
        </w:rPr>
        <w:tab/>
      </w:r>
      <w:r w:rsidRPr="00F52884">
        <w:rPr>
          <w:rFonts w:ascii="Arial" w:eastAsia="Arial" w:hAnsi="Arial" w:cs="Arial"/>
          <w:b/>
          <w:bCs/>
          <w:szCs w:val="23"/>
        </w:rPr>
        <w:tab/>
        <w:t xml:space="preserve">Mise </w:t>
      </w:r>
      <w:proofErr w:type="spellStart"/>
      <w:r w:rsidRPr="00F52884">
        <w:rPr>
          <w:rFonts w:ascii="Arial" w:eastAsia="Arial" w:hAnsi="Arial" w:cs="Arial"/>
          <w:b/>
          <w:bCs/>
          <w:szCs w:val="23"/>
        </w:rPr>
        <w:t>en</w:t>
      </w:r>
      <w:proofErr w:type="spellEnd"/>
      <w:r w:rsidRPr="00F52884">
        <w:rPr>
          <w:rFonts w:ascii="Arial" w:eastAsia="Arial" w:hAnsi="Arial" w:cs="Arial"/>
          <w:b/>
          <w:bCs/>
          <w:szCs w:val="23"/>
        </w:rPr>
        <w:t xml:space="preserve"> </w:t>
      </w:r>
      <w:proofErr w:type="spellStart"/>
      <w:r w:rsidRPr="00F52884">
        <w:rPr>
          <w:rFonts w:ascii="Arial" w:eastAsia="Arial" w:hAnsi="Arial" w:cs="Arial"/>
          <w:b/>
          <w:bCs/>
          <w:szCs w:val="23"/>
        </w:rPr>
        <w:t>marché</w:t>
      </w:r>
      <w:proofErr w:type="spellEnd"/>
      <w:r w:rsidRPr="00F52884">
        <w:rPr>
          <w:rFonts w:ascii="Arial" w:eastAsia="Arial" w:hAnsi="Arial" w:cs="Arial"/>
          <w:b/>
          <w:bCs/>
          <w:szCs w:val="23"/>
        </w:rPr>
        <w:t xml:space="preserve"> collective</w:t>
      </w:r>
    </w:p>
    <w:p w14:paraId="45F20A84" w14:textId="77777777" w:rsidR="00C208C7" w:rsidRPr="00F52884" w:rsidRDefault="00C208C7" w:rsidP="00252B9C">
      <w:pPr>
        <w:rPr>
          <w:rFonts w:ascii="Arial" w:eastAsia="Arial" w:hAnsi="Arial" w:cs="Arial"/>
          <w:szCs w:val="23"/>
        </w:rPr>
      </w:pPr>
    </w:p>
    <w:p w14:paraId="718A3926" w14:textId="1675ECAB"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L’article 307 (Accès aux marchés - Services) et l’article 312 (Accès aux marchés - Investissement) ne s’appliquent pas aux mesures adoptées ou maintenues par une Partie pour les arrangements de mise en marché collective de produits agricoles, y compris des activités comme la production, la fixation des prix, l’achat, la vente ou toute autre activité de conditionnement du produit ou à son offre, en un lieu ou à un moment donné, pour achat en vue de consommation ou d’utilisation.</w:t>
      </w:r>
    </w:p>
    <w:p w14:paraId="5EBF66C8" w14:textId="77777777" w:rsidR="00C208C7" w:rsidRPr="003E0DDA" w:rsidRDefault="00C208C7" w:rsidP="00252B9C">
      <w:pPr>
        <w:contextualSpacing/>
        <w:rPr>
          <w:rFonts w:ascii="Arial" w:eastAsia="Arial" w:hAnsi="Arial" w:cs="Arial"/>
          <w:szCs w:val="23"/>
          <w:lang w:val="fr-CA"/>
        </w:rPr>
      </w:pPr>
    </w:p>
    <w:p w14:paraId="6FD6E9C9" w14:textId="4505289F"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L’article 301.2 (Droit d’entrée et de sortie) ne s’applique pas, selon le cas :</w:t>
      </w:r>
    </w:p>
    <w:p w14:paraId="22D3A9C6" w14:textId="77777777" w:rsidR="00C208C7" w:rsidRPr="003E0DDA" w:rsidRDefault="00C208C7" w:rsidP="00252B9C">
      <w:pPr>
        <w:contextualSpacing/>
        <w:rPr>
          <w:rFonts w:ascii="Arial" w:eastAsia="Arial" w:hAnsi="Arial" w:cs="Arial"/>
          <w:szCs w:val="23"/>
          <w:lang w:val="fr-CA"/>
        </w:rPr>
      </w:pPr>
    </w:p>
    <w:p w14:paraId="2D24DE2F" w14:textId="7821B562" w:rsidR="00C208C7" w:rsidRPr="003E0DDA" w:rsidRDefault="00C208C7" w:rsidP="00C208C7">
      <w:pPr>
        <w:ind w:left="1440" w:hanging="720"/>
        <w:contextualSpacing/>
        <w:rPr>
          <w:rFonts w:ascii="Arial" w:eastAsia="Arial" w:hAnsi="Arial" w:cs="Arial"/>
          <w:szCs w:val="23"/>
          <w:lang w:val="fr-CA"/>
        </w:rPr>
      </w:pPr>
      <w:r w:rsidRPr="003E0DDA">
        <w:rPr>
          <w:rFonts w:ascii="Arial" w:eastAsia="Arial" w:hAnsi="Arial" w:cs="Arial"/>
          <w:szCs w:val="23"/>
          <w:lang w:val="fr-CA"/>
        </w:rPr>
        <w:t>a)</w:t>
      </w:r>
      <w:r w:rsidRPr="003E0DDA">
        <w:rPr>
          <w:rFonts w:ascii="Arial" w:eastAsia="Arial" w:hAnsi="Arial" w:cs="Arial"/>
          <w:szCs w:val="23"/>
          <w:lang w:val="fr-CA"/>
        </w:rPr>
        <w:tab/>
        <w:t xml:space="preserve">aux mesures concernant les arrangements de mise en marché collective de la volaille et des œufs réglementés aux termes de la </w:t>
      </w:r>
      <w:r w:rsidRPr="003E0DDA">
        <w:rPr>
          <w:rFonts w:ascii="Arial" w:eastAsia="Arial" w:hAnsi="Arial" w:cs="Arial"/>
          <w:i/>
          <w:szCs w:val="23"/>
          <w:lang w:val="fr-CA"/>
        </w:rPr>
        <w:t xml:space="preserve">Loi sur les offices des </w:t>
      </w:r>
      <w:r w:rsidRPr="003E0DDA">
        <w:rPr>
          <w:rFonts w:ascii="Arial" w:eastAsia="Arial" w:hAnsi="Arial" w:cs="Arial"/>
          <w:i/>
          <w:szCs w:val="23"/>
          <w:lang w:val="fr-CA"/>
        </w:rPr>
        <w:lastRenderedPageBreak/>
        <w:t xml:space="preserve">produits agricoles </w:t>
      </w:r>
      <w:r w:rsidRPr="003E0DDA">
        <w:rPr>
          <w:rFonts w:ascii="Arial" w:eastAsia="Arial" w:hAnsi="Arial" w:cs="Arial"/>
          <w:szCs w:val="23"/>
          <w:lang w:val="fr-CA"/>
        </w:rPr>
        <w:t xml:space="preserve">(Canada), avec ses modifications, et du lait et des produits laitiers réglementés par la </w:t>
      </w:r>
      <w:r w:rsidRPr="003E0DDA">
        <w:rPr>
          <w:rFonts w:ascii="Arial" w:eastAsia="Arial" w:hAnsi="Arial" w:cs="Arial"/>
          <w:i/>
          <w:szCs w:val="23"/>
          <w:lang w:val="fr-CA"/>
        </w:rPr>
        <w:t>Loi sur la Commission canadienne du lait</w:t>
      </w:r>
      <w:r w:rsidRPr="003E0DDA">
        <w:rPr>
          <w:rFonts w:ascii="Arial" w:eastAsia="Arial" w:hAnsi="Arial" w:cs="Arial"/>
          <w:szCs w:val="23"/>
          <w:lang w:val="fr-CA"/>
        </w:rPr>
        <w:t xml:space="preserve"> (Canada), avec ses modifications, et de la </w:t>
      </w:r>
      <w:r w:rsidRPr="003E0DDA">
        <w:rPr>
          <w:rFonts w:ascii="Arial" w:eastAsia="Arial" w:hAnsi="Arial" w:cs="Arial"/>
          <w:i/>
          <w:szCs w:val="23"/>
          <w:lang w:val="fr-CA"/>
        </w:rPr>
        <w:t>Loi sur la commercialisation des produits agricoles</w:t>
      </w:r>
      <w:r w:rsidRPr="003E0DDA">
        <w:rPr>
          <w:rFonts w:ascii="Arial" w:eastAsia="Arial" w:hAnsi="Arial" w:cs="Arial"/>
          <w:szCs w:val="23"/>
          <w:lang w:val="fr-CA"/>
        </w:rPr>
        <w:t xml:space="preserve"> (Canada), telle que modifiée, adoptées ou maintenues par une Partie, qui restreignent ou empêchent la circulation d’un produit agricole et concernent l’entrée du produit sur le territoire de cette Partie ou sa sortie de celui-ci; </w:t>
      </w:r>
    </w:p>
    <w:p w14:paraId="7A6C6EF6" w14:textId="77777777" w:rsidR="00C208C7" w:rsidRPr="003E0DDA" w:rsidRDefault="00C208C7" w:rsidP="00C208C7">
      <w:pPr>
        <w:ind w:left="1440" w:hanging="720"/>
        <w:contextualSpacing/>
        <w:rPr>
          <w:rFonts w:ascii="Arial" w:eastAsia="Arial" w:hAnsi="Arial" w:cs="Arial"/>
          <w:szCs w:val="23"/>
          <w:lang w:val="fr-CA"/>
        </w:rPr>
      </w:pPr>
      <w:r w:rsidRPr="003E0DDA">
        <w:rPr>
          <w:rFonts w:ascii="Arial" w:eastAsia="Arial" w:hAnsi="Arial" w:cs="Arial"/>
          <w:szCs w:val="23"/>
          <w:lang w:val="fr-CA"/>
        </w:rPr>
        <w:t> </w:t>
      </w:r>
    </w:p>
    <w:p w14:paraId="2CE9D4EB" w14:textId="34C20540" w:rsidR="00C208C7" w:rsidRPr="003E0DDA" w:rsidRDefault="00C208C7" w:rsidP="00C208C7">
      <w:pPr>
        <w:ind w:left="1440" w:hanging="720"/>
        <w:contextualSpacing/>
        <w:rPr>
          <w:rFonts w:ascii="Arial" w:eastAsia="Arial" w:hAnsi="Arial" w:cs="Arial"/>
          <w:szCs w:val="23"/>
          <w:lang w:val="fr-CA"/>
        </w:rPr>
      </w:pPr>
      <w:r w:rsidRPr="003E0DDA">
        <w:rPr>
          <w:rFonts w:ascii="Arial" w:eastAsia="Arial" w:hAnsi="Arial" w:cs="Arial"/>
          <w:szCs w:val="23"/>
          <w:lang w:val="fr-CA"/>
        </w:rPr>
        <w:t>b)</w:t>
      </w:r>
      <w:r w:rsidRPr="003E0DDA">
        <w:rPr>
          <w:rFonts w:ascii="Arial" w:eastAsia="Arial" w:hAnsi="Arial" w:cs="Arial"/>
          <w:szCs w:val="23"/>
          <w:lang w:val="fr-CA"/>
        </w:rPr>
        <w:tab/>
        <w:t>aux mesures concernant les arrangements de mise en marché collective non visés à l’alinéa a), adoptées ou maintenues par une Partie, qui restreignent ou empêchent la circulation d’un produit agricole et concernent la sortie de ce produit du territoire de cette Partie;</w:t>
      </w:r>
    </w:p>
    <w:p w14:paraId="219A1776" w14:textId="77777777" w:rsidR="00C208C7" w:rsidRPr="003E0DDA" w:rsidRDefault="00C208C7" w:rsidP="00C208C7">
      <w:pPr>
        <w:ind w:left="1440" w:hanging="720"/>
        <w:contextualSpacing/>
        <w:rPr>
          <w:rFonts w:ascii="Arial" w:eastAsia="Arial" w:hAnsi="Arial" w:cs="Arial"/>
          <w:szCs w:val="23"/>
          <w:lang w:val="fr-CA"/>
        </w:rPr>
      </w:pPr>
    </w:p>
    <w:p w14:paraId="2F82C669" w14:textId="67643AA0" w:rsidR="00C208C7" w:rsidRPr="003E0DDA" w:rsidRDefault="00C208C7" w:rsidP="00C208C7">
      <w:pPr>
        <w:ind w:left="1440" w:hanging="720"/>
        <w:contextualSpacing/>
        <w:rPr>
          <w:rFonts w:ascii="Arial" w:eastAsia="Arial" w:hAnsi="Arial" w:cs="Arial"/>
          <w:szCs w:val="23"/>
          <w:lang w:val="fr-CA"/>
        </w:rPr>
      </w:pPr>
      <w:r w:rsidRPr="003E0DDA">
        <w:rPr>
          <w:rFonts w:ascii="Arial" w:eastAsia="Arial" w:hAnsi="Arial" w:cs="Arial"/>
          <w:szCs w:val="23"/>
          <w:lang w:val="fr-CA"/>
        </w:rPr>
        <w:t>c)</w:t>
      </w:r>
      <w:r w:rsidRPr="003E0DDA">
        <w:rPr>
          <w:rFonts w:ascii="Arial" w:eastAsia="Arial" w:hAnsi="Arial" w:cs="Arial"/>
          <w:szCs w:val="23"/>
          <w:lang w:val="fr-CA"/>
        </w:rPr>
        <w:tab/>
        <w:t xml:space="preserve">aux mesures existantes concernant les arrangements de mise en marché collective non visés à l’alinéa a), maintenues par une Partie, qui restreignent ou empêchent la circulation d’un produit agricole et concernent l’entrée du produit sur le territoire de cette Partie. </w:t>
      </w:r>
    </w:p>
    <w:p w14:paraId="47027AFE" w14:textId="77777777" w:rsidR="00C208C7" w:rsidRPr="003E0DDA" w:rsidRDefault="00C208C7" w:rsidP="00252B9C">
      <w:pPr>
        <w:rPr>
          <w:rFonts w:ascii="Arial" w:eastAsia="Arial" w:hAnsi="Arial" w:cs="Arial"/>
          <w:szCs w:val="23"/>
          <w:lang w:val="fr-CA"/>
        </w:rPr>
      </w:pPr>
    </w:p>
    <w:p w14:paraId="45353BBD" w14:textId="512F7671"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L’article 301.3 (Droit d’entrée et de sortie) ne s’applique pas aux mesures adoptées ou maintenues par le gouvernement du Canada qui restreignent ou empêchent la circulation d’un produit agricole entre les limites provinciales ou territoriales pour le maintien des arrangements de mise en marché collective.</w:t>
      </w:r>
    </w:p>
    <w:p w14:paraId="264196DB" w14:textId="77777777" w:rsidR="00C208C7" w:rsidRPr="003E0DDA" w:rsidRDefault="00C208C7" w:rsidP="00252B9C">
      <w:pPr>
        <w:contextualSpacing/>
        <w:rPr>
          <w:rFonts w:ascii="Arial" w:eastAsia="Arial" w:hAnsi="Arial" w:cs="Arial"/>
          <w:szCs w:val="23"/>
          <w:lang w:val="fr-CA"/>
        </w:rPr>
      </w:pPr>
    </w:p>
    <w:p w14:paraId="3D451731" w14:textId="065C53B7"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Une Partie qui établit un nouvel arrangement de mise en marché collective pouvant avoir un effet notable sur le commerce ou l’investissement dans les produits agricoles en donne notification aux Parties conformément à l’article 402 (Notification réglementaire).</w:t>
      </w:r>
    </w:p>
    <w:p w14:paraId="1E977F28" w14:textId="77777777" w:rsidR="00C208C7" w:rsidRPr="00F52884" w:rsidRDefault="00C208C7" w:rsidP="00252B9C">
      <w:pPr>
        <w:pStyle w:val="ListParagraph"/>
        <w:rPr>
          <w:rFonts w:ascii="Arial" w:eastAsia="Arial" w:hAnsi="Arial" w:cs="Arial"/>
          <w:szCs w:val="23"/>
          <w:lang w:val="fr-CA"/>
        </w:rPr>
      </w:pPr>
    </w:p>
    <w:p w14:paraId="34F5D888" w14:textId="63BD29C3"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La Partie qui estime que l’établissement d’un nouvel arrangement de mise en marché collective ou que la modification d’un arrangement de mise en marché existant de toute autre Partie pourrait causer des effets défavorables pour ses intérêts</w:t>
      </w:r>
      <w:r w:rsidRPr="003E0DDA" w:rsidDel="00C122FE">
        <w:rPr>
          <w:rFonts w:ascii="Arial" w:eastAsia="Arial" w:hAnsi="Arial" w:cs="Arial"/>
          <w:szCs w:val="23"/>
          <w:lang w:val="fr-CA"/>
        </w:rPr>
        <w:t xml:space="preserve"> </w:t>
      </w:r>
      <w:r w:rsidRPr="003E0DDA">
        <w:rPr>
          <w:rFonts w:ascii="Arial" w:eastAsia="Arial" w:hAnsi="Arial" w:cs="Arial"/>
          <w:szCs w:val="23"/>
          <w:lang w:val="fr-CA"/>
        </w:rPr>
        <w:t>commerciaux ou d’investissement peut demander la tenue de consultations avec cette autre Partie à ce sujet.</w:t>
      </w:r>
    </w:p>
    <w:p w14:paraId="56809952" w14:textId="77777777" w:rsidR="00C208C7" w:rsidRPr="00F52884" w:rsidRDefault="00C208C7" w:rsidP="00252B9C">
      <w:pPr>
        <w:pStyle w:val="ListParagraph"/>
        <w:rPr>
          <w:rFonts w:ascii="Arial" w:eastAsia="Arial" w:hAnsi="Arial" w:cs="Arial"/>
          <w:szCs w:val="23"/>
          <w:lang w:val="fr-CA"/>
        </w:rPr>
      </w:pPr>
    </w:p>
    <w:p w14:paraId="1E86B64F" w14:textId="4A522CEE"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Pendant les consultations, une Partie peut demander des renseignements supplémentaires sur l’arrangement de mise en marché collective de l’autre Partie, y compris l’objectif soutenant le nouvel arrangement ou la modification d’un arrangement existant, et toute mesure prise pour limiter un éventuel effet de distorsion sur le commerce ou l’investissement.</w:t>
      </w:r>
    </w:p>
    <w:p w14:paraId="310CAE2C" w14:textId="77777777" w:rsidR="00C208C7" w:rsidRPr="00F52884" w:rsidRDefault="00C208C7" w:rsidP="00252B9C">
      <w:pPr>
        <w:pStyle w:val="ListParagraph"/>
        <w:rPr>
          <w:rFonts w:ascii="Arial" w:eastAsia="Arial" w:hAnsi="Arial" w:cs="Arial"/>
          <w:szCs w:val="23"/>
          <w:lang w:val="fr-CA"/>
        </w:rPr>
      </w:pPr>
    </w:p>
    <w:p w14:paraId="4E828DAC" w14:textId="661557D3" w:rsidR="00C208C7" w:rsidRPr="003E0DDA" w:rsidRDefault="00C208C7" w:rsidP="00C208C7">
      <w:pPr>
        <w:numPr>
          <w:ilvl w:val="0"/>
          <w:numId w:val="84"/>
        </w:numPr>
        <w:ind w:left="0" w:firstLine="0"/>
        <w:contextualSpacing/>
        <w:rPr>
          <w:rFonts w:ascii="Arial" w:eastAsia="Arial" w:hAnsi="Arial" w:cs="Arial"/>
          <w:szCs w:val="23"/>
          <w:lang w:val="fr-CA"/>
        </w:rPr>
      </w:pPr>
      <w:r w:rsidRPr="003E0DDA">
        <w:rPr>
          <w:rFonts w:ascii="Arial" w:eastAsia="Arial" w:hAnsi="Arial" w:cs="Arial"/>
          <w:szCs w:val="23"/>
          <w:lang w:val="fr-CA"/>
        </w:rPr>
        <w:t>L’autre Partie accorde une considération complète et bienveillante aux représentations faites pendant les consultations par la Partie qui a demandé les consultations et, en se fondant sur ces représentations, s’efforce d’éliminer ou de réduire les effets défavorables sur les intérêts commerciaux ou d’investissement de la Partie qui a demandé les consultations.</w:t>
      </w:r>
    </w:p>
    <w:p w14:paraId="0181E877" w14:textId="77777777" w:rsidR="00C208C7" w:rsidRPr="003E0DDA" w:rsidRDefault="00C208C7" w:rsidP="00252B9C">
      <w:pPr>
        <w:ind w:left="360"/>
        <w:rPr>
          <w:rFonts w:ascii="Arial" w:eastAsia="Arial" w:hAnsi="Arial" w:cs="Arial"/>
          <w:szCs w:val="23"/>
          <w:u w:val="single"/>
          <w:lang w:val="fr-CA"/>
        </w:rPr>
      </w:pPr>
    </w:p>
    <w:p w14:paraId="6FBFBCB3" w14:textId="77777777" w:rsidR="00C208C7" w:rsidRPr="003E0DDA" w:rsidRDefault="00C208C7" w:rsidP="00252B9C">
      <w:pPr>
        <w:keepNext/>
        <w:keepLines/>
        <w:jc w:val="center"/>
        <w:rPr>
          <w:rFonts w:ascii="Arial" w:eastAsia="Arial" w:hAnsi="Arial" w:cs="Arial"/>
          <w:b/>
          <w:szCs w:val="23"/>
          <w:lang w:val="fr-CA"/>
        </w:rPr>
      </w:pPr>
      <w:r w:rsidRPr="003E0DDA">
        <w:rPr>
          <w:rFonts w:ascii="Arial" w:eastAsia="Arial" w:hAnsi="Arial" w:cs="Arial"/>
          <w:b/>
          <w:bCs/>
          <w:szCs w:val="23"/>
          <w:lang w:val="fr-CA"/>
        </w:rPr>
        <w:lastRenderedPageBreak/>
        <w:t>Article 813 :</w:t>
      </w:r>
      <w:r w:rsidRPr="003E0DDA">
        <w:rPr>
          <w:rFonts w:ascii="Arial" w:eastAsia="Arial" w:hAnsi="Arial" w:cs="Arial"/>
          <w:szCs w:val="23"/>
          <w:lang w:val="fr-CA"/>
        </w:rPr>
        <w:tab/>
      </w:r>
      <w:r w:rsidRPr="003E0DDA">
        <w:rPr>
          <w:rFonts w:ascii="Arial" w:eastAsia="Arial" w:hAnsi="Arial" w:cs="Arial"/>
          <w:szCs w:val="23"/>
          <w:lang w:val="fr-CA"/>
        </w:rPr>
        <w:tab/>
      </w:r>
      <w:r w:rsidRPr="003E0DDA">
        <w:rPr>
          <w:rFonts w:ascii="Arial" w:eastAsia="Arial" w:hAnsi="Arial" w:cs="Arial"/>
          <w:b/>
          <w:bCs/>
          <w:szCs w:val="23"/>
          <w:lang w:val="fr-CA"/>
        </w:rPr>
        <w:t>Service de transport de passagers</w:t>
      </w:r>
    </w:p>
    <w:p w14:paraId="29B703F5" w14:textId="77777777" w:rsidR="00C208C7" w:rsidRPr="003E0DDA" w:rsidRDefault="00C208C7" w:rsidP="00252B9C">
      <w:pPr>
        <w:keepNext/>
        <w:keepLines/>
        <w:jc w:val="center"/>
        <w:rPr>
          <w:rFonts w:ascii="Arial" w:eastAsia="Arial" w:hAnsi="Arial" w:cs="Arial"/>
          <w:b/>
          <w:szCs w:val="23"/>
          <w:lang w:val="fr-CA"/>
        </w:rPr>
      </w:pPr>
    </w:p>
    <w:p w14:paraId="6D1FA6CB" w14:textId="66E96310" w:rsidR="00C208C7" w:rsidRPr="003E0DDA" w:rsidRDefault="00C208C7" w:rsidP="00252B9C">
      <w:pPr>
        <w:keepNext/>
        <w:keepLines/>
        <w:ind w:firstLine="720"/>
        <w:rPr>
          <w:rFonts w:ascii="Arial" w:eastAsia="Arial" w:hAnsi="Arial" w:cs="Arial"/>
          <w:szCs w:val="23"/>
          <w:u w:val="single"/>
          <w:lang w:val="fr-CA"/>
        </w:rPr>
      </w:pPr>
      <w:r w:rsidRPr="003E0DDA">
        <w:rPr>
          <w:rFonts w:ascii="Arial" w:eastAsia="Arial" w:hAnsi="Arial" w:cs="Arial"/>
          <w:szCs w:val="23"/>
          <w:shd w:val="clear" w:color="auto" w:fill="FFFFFF"/>
          <w:lang w:val="fr-CA"/>
        </w:rPr>
        <w:t>L’article 307 (Accès aux marchés - Services) et l’article 312 (Accès aux marchés - Investissement) ne s’appliquent pas aux mesures adoptées ou maintenues par une Partie en ce qui concerne le transport de passagers.</w:t>
      </w:r>
    </w:p>
    <w:p w14:paraId="724E9CF3" w14:textId="77777777" w:rsidR="00C208C7" w:rsidRPr="003E0DDA" w:rsidRDefault="00C208C7" w:rsidP="00252B9C">
      <w:pPr>
        <w:rPr>
          <w:rFonts w:ascii="Arial" w:eastAsia="Arial" w:hAnsi="Arial" w:cs="Arial"/>
          <w:b/>
          <w:szCs w:val="23"/>
          <w:lang w:val="fr-CA"/>
        </w:rPr>
      </w:pPr>
    </w:p>
    <w:p w14:paraId="4CE802FF" w14:textId="77777777" w:rsidR="00C208C7" w:rsidRPr="003E0DDA" w:rsidRDefault="00C208C7" w:rsidP="00252B9C">
      <w:pPr>
        <w:rPr>
          <w:rFonts w:ascii="Arial" w:eastAsia="Arial" w:hAnsi="Arial" w:cs="Arial"/>
          <w:szCs w:val="23"/>
          <w:lang w:val="fr-CA"/>
        </w:rPr>
      </w:pPr>
    </w:p>
    <w:p w14:paraId="7BC7E00D" w14:textId="77777777" w:rsidR="00C208C7" w:rsidRPr="003E0DDA" w:rsidRDefault="00C208C7" w:rsidP="00252B9C">
      <w:pPr>
        <w:rPr>
          <w:lang w:val="fr-CA"/>
        </w:rPr>
      </w:pPr>
    </w:p>
    <w:p w14:paraId="38A982C6" w14:textId="77777777" w:rsidR="00323A55" w:rsidRPr="003E0DDA" w:rsidRDefault="00323A55" w:rsidP="00B45E6C">
      <w:pPr>
        <w:rPr>
          <w:rFonts w:ascii="Arial" w:eastAsia="Arial" w:hAnsi="Arial" w:cs="Arial"/>
          <w:b/>
          <w:szCs w:val="23"/>
          <w:lang w:val="fr-CA"/>
        </w:rPr>
      </w:pPr>
    </w:p>
    <w:p w14:paraId="7DE8C4A3" w14:textId="77777777" w:rsidR="00C208C7" w:rsidRPr="003E0DDA" w:rsidRDefault="00C208C7">
      <w:pPr>
        <w:rPr>
          <w:rFonts w:asciiTheme="majorHAnsi" w:eastAsiaTheme="majorEastAsia" w:hAnsiTheme="majorHAnsi" w:cstheme="majorBidi"/>
          <w:b/>
          <w:bCs/>
          <w:sz w:val="24"/>
          <w:szCs w:val="24"/>
          <w:lang w:val="fr-CA"/>
        </w:rPr>
      </w:pPr>
      <w:bookmarkStart w:id="81" w:name="_Toc433636910"/>
      <w:bookmarkStart w:id="82" w:name="_Toc471907457"/>
      <w:r w:rsidRPr="003E0DDA">
        <w:rPr>
          <w:sz w:val="24"/>
          <w:szCs w:val="24"/>
          <w:lang w:val="fr-CA"/>
        </w:rPr>
        <w:br w:type="page"/>
      </w:r>
    </w:p>
    <w:p w14:paraId="13525DD6" w14:textId="2D67BEEF" w:rsidR="006A15B5" w:rsidRPr="003E0DDA" w:rsidRDefault="006A15B5" w:rsidP="006A15B5">
      <w:pPr>
        <w:pStyle w:val="Heading2"/>
        <w:jc w:val="center"/>
        <w:rPr>
          <w:sz w:val="24"/>
          <w:szCs w:val="24"/>
          <w:lang w:val="fr-CA"/>
        </w:rPr>
      </w:pPr>
      <w:bookmarkStart w:id="83" w:name="_Toc156311778"/>
      <w:r w:rsidRPr="003E0DDA">
        <w:rPr>
          <w:sz w:val="24"/>
          <w:szCs w:val="24"/>
          <w:lang w:val="fr-CA"/>
        </w:rPr>
        <w:lastRenderedPageBreak/>
        <w:t>Chapitre Neuf – Exceptions propres aux Parties</w:t>
      </w:r>
      <w:bookmarkEnd w:id="81"/>
      <w:bookmarkEnd w:id="82"/>
      <w:bookmarkEnd w:id="83"/>
    </w:p>
    <w:p w14:paraId="59E6A020" w14:textId="77777777" w:rsidR="006A15B5" w:rsidRPr="003E0DDA" w:rsidRDefault="006A15B5" w:rsidP="0015303D">
      <w:pPr>
        <w:contextualSpacing/>
        <w:jc w:val="center"/>
        <w:rPr>
          <w:rFonts w:ascii="Arial" w:eastAsia="Arial" w:hAnsi="Arial" w:cs="Arial"/>
          <w:szCs w:val="23"/>
          <w:lang w:val="fr-CA"/>
        </w:rPr>
      </w:pPr>
    </w:p>
    <w:p w14:paraId="7F99CD1A" w14:textId="77777777" w:rsidR="006A15B5" w:rsidRPr="003E0DDA" w:rsidRDefault="006A15B5" w:rsidP="0015303D">
      <w:pPr>
        <w:contextualSpacing/>
        <w:jc w:val="center"/>
        <w:rPr>
          <w:rFonts w:ascii="Arial" w:eastAsia="Arial" w:hAnsi="Arial" w:cs="Arial"/>
          <w:szCs w:val="23"/>
          <w:lang w:val="fr-CA"/>
        </w:rPr>
      </w:pPr>
    </w:p>
    <w:p w14:paraId="4A5E6AB6" w14:textId="60CB9D28" w:rsidR="006A15B5" w:rsidRPr="003E0DDA" w:rsidRDefault="006A15B5" w:rsidP="0015303D">
      <w:pPr>
        <w:contextualSpacing/>
        <w:jc w:val="center"/>
        <w:rPr>
          <w:rFonts w:ascii="Arial" w:eastAsia="Arial" w:hAnsi="Arial" w:cs="Arial"/>
          <w:b/>
          <w:szCs w:val="23"/>
          <w:lang w:val="fr-CA"/>
        </w:rPr>
      </w:pPr>
      <w:r w:rsidRPr="003E0DDA">
        <w:rPr>
          <w:rFonts w:ascii="Arial" w:eastAsia="Arial" w:hAnsi="Arial" w:cs="Arial"/>
          <w:b/>
          <w:bCs/>
          <w:szCs w:val="23"/>
          <w:lang w:val="fr-CA"/>
        </w:rPr>
        <w:t>Article 900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Étendue des exceptions propres aux Parties</w:t>
      </w:r>
    </w:p>
    <w:p w14:paraId="2330A328" w14:textId="77777777" w:rsidR="006A15B5" w:rsidRPr="003E0DDA" w:rsidRDefault="006A15B5" w:rsidP="0015303D">
      <w:pPr>
        <w:contextualSpacing/>
        <w:rPr>
          <w:rFonts w:ascii="Arial" w:eastAsia="Arial" w:hAnsi="Arial" w:cs="Arial"/>
          <w:szCs w:val="23"/>
          <w:lang w:val="fr-CA"/>
        </w:rPr>
      </w:pPr>
    </w:p>
    <w:p w14:paraId="1BF0039C" w14:textId="3747DC71" w:rsidR="006A15B5" w:rsidRPr="003E0DDA" w:rsidRDefault="006A15B5" w:rsidP="0015303D">
      <w:pPr>
        <w:contextualSpacing/>
        <w:rPr>
          <w:rFonts w:ascii="Arial" w:eastAsia="Arial" w:hAnsi="Arial" w:cs="Arial"/>
          <w:szCs w:val="23"/>
          <w:lang w:val="fr-CA"/>
        </w:rPr>
      </w:pPr>
      <w:r w:rsidRPr="003E0DDA">
        <w:rPr>
          <w:rFonts w:ascii="Arial" w:eastAsia="Arial" w:hAnsi="Arial" w:cs="Arial"/>
          <w:szCs w:val="23"/>
          <w:lang w:val="fr-CA"/>
        </w:rPr>
        <w:t>1.</w:t>
      </w:r>
      <w:r w:rsidRPr="003E0DDA">
        <w:rPr>
          <w:rFonts w:ascii="Arial" w:eastAsia="Arial" w:hAnsi="Arial" w:cs="Arial"/>
          <w:szCs w:val="23"/>
          <w:lang w:val="fr-CA"/>
        </w:rPr>
        <w:tab/>
        <w:t>L’article 201 (Traitement non discriminatoire), l’article 301 (Droit d’entrée et de sortie), l’article 307 (Accès aux marchés - Services), l’article 312 (Accès aux marchés - Investissement)</w:t>
      </w:r>
      <w:r w:rsidR="009832DD">
        <w:rPr>
          <w:rFonts w:ascii="Arial" w:eastAsia="Arial" w:hAnsi="Arial" w:cs="Arial"/>
          <w:szCs w:val="23"/>
          <w:lang w:val="fr-CA"/>
        </w:rPr>
        <w:t>,</w:t>
      </w:r>
      <w:r w:rsidRPr="003E0DDA">
        <w:rPr>
          <w:rFonts w:ascii="Arial" w:eastAsia="Arial" w:hAnsi="Arial" w:cs="Arial"/>
          <w:szCs w:val="23"/>
          <w:lang w:val="fr-CA"/>
        </w:rPr>
        <w:t xml:space="preserve"> l’article 313 (Prescriptions de résultats) </w:t>
      </w:r>
      <w:r w:rsidR="009832DD" w:rsidRPr="009A780E">
        <w:rPr>
          <w:rFonts w:ascii="Arial" w:eastAsia="Times New Roman" w:hAnsi="Arial" w:cs="Arial"/>
          <w:szCs w:val="23"/>
          <w:lang w:val="fr-CA"/>
        </w:rPr>
        <w:t>et le paragraphe 2 de l’annexe 309 </w:t>
      </w:r>
      <w:r w:rsidRPr="003E0DDA">
        <w:rPr>
          <w:rFonts w:ascii="Arial" w:eastAsia="Arial" w:hAnsi="Arial" w:cs="Arial"/>
          <w:szCs w:val="23"/>
          <w:lang w:val="fr-CA"/>
        </w:rPr>
        <w:t>ne s’appliquent pas, selon le cas :</w:t>
      </w:r>
    </w:p>
    <w:p w14:paraId="61C7357C" w14:textId="77777777" w:rsidR="006A15B5" w:rsidRPr="003E0DDA" w:rsidRDefault="006A15B5" w:rsidP="0015303D">
      <w:pPr>
        <w:contextualSpacing/>
        <w:rPr>
          <w:rFonts w:ascii="Arial" w:eastAsia="Arial" w:hAnsi="Arial" w:cs="Arial"/>
          <w:szCs w:val="23"/>
          <w:lang w:val="fr-CA"/>
        </w:rPr>
      </w:pPr>
    </w:p>
    <w:p w14:paraId="325BD0A1" w14:textId="33842BAB" w:rsidR="006A15B5" w:rsidRPr="003E0DDA" w:rsidRDefault="006A15B5" w:rsidP="006A15B5">
      <w:pPr>
        <w:numPr>
          <w:ilvl w:val="0"/>
          <w:numId w:val="15"/>
        </w:numPr>
        <w:contextualSpacing/>
        <w:rPr>
          <w:rFonts w:ascii="Arial" w:eastAsia="Arial" w:hAnsi="Arial" w:cs="Arial"/>
          <w:szCs w:val="23"/>
          <w:lang w:val="fr-CA"/>
        </w:rPr>
      </w:pPr>
      <w:proofErr w:type="gramStart"/>
      <w:r w:rsidRPr="003E0DDA">
        <w:rPr>
          <w:rFonts w:ascii="Arial" w:eastAsia="Arial" w:hAnsi="Arial" w:cs="Arial"/>
          <w:szCs w:val="23"/>
          <w:lang w:val="fr-CA"/>
        </w:rPr>
        <w:t>aux</w:t>
      </w:r>
      <w:proofErr w:type="gramEnd"/>
      <w:r w:rsidRPr="003E0DDA">
        <w:rPr>
          <w:rFonts w:ascii="Arial" w:eastAsia="Arial" w:hAnsi="Arial" w:cs="Arial"/>
          <w:szCs w:val="23"/>
          <w:lang w:val="fr-CA"/>
        </w:rPr>
        <w:t xml:space="preserve"> mesures non conformes existantes qui sont maintenues par une Partie, comme il est énoncé dans la liste de cette Partie </w:t>
      </w:r>
      <w:r w:rsidR="00457325" w:rsidRPr="003E0DDA">
        <w:rPr>
          <w:rFonts w:ascii="Arial" w:eastAsia="Arial" w:hAnsi="Arial" w:cs="Arial"/>
          <w:szCs w:val="23"/>
          <w:lang w:val="fr-CA"/>
        </w:rPr>
        <w:t xml:space="preserve">jointe </w:t>
      </w:r>
      <w:r w:rsidRPr="003E0DDA">
        <w:rPr>
          <w:rFonts w:ascii="Arial" w:eastAsia="Arial" w:hAnsi="Arial" w:cs="Arial"/>
          <w:szCs w:val="23"/>
          <w:lang w:val="fr-CA"/>
        </w:rPr>
        <w:t>à l’annexe I de la partie VII (Listes des Parties);</w:t>
      </w:r>
    </w:p>
    <w:p w14:paraId="075F90A0" w14:textId="77777777" w:rsidR="006A15B5" w:rsidRPr="003E0DDA" w:rsidRDefault="006A15B5" w:rsidP="006A15B5">
      <w:pPr>
        <w:ind w:left="1440" w:hanging="720"/>
        <w:contextualSpacing/>
        <w:rPr>
          <w:rFonts w:ascii="Arial" w:eastAsia="Arial" w:hAnsi="Arial" w:cs="Arial"/>
          <w:szCs w:val="23"/>
          <w:lang w:val="fr-CA"/>
        </w:rPr>
      </w:pPr>
    </w:p>
    <w:p w14:paraId="783BFF52" w14:textId="77777777" w:rsidR="006A15B5" w:rsidRPr="003E0DDA" w:rsidRDefault="006A15B5" w:rsidP="006A15B5">
      <w:pPr>
        <w:numPr>
          <w:ilvl w:val="0"/>
          <w:numId w:val="15"/>
        </w:numPr>
        <w:contextualSpacing/>
        <w:rPr>
          <w:rFonts w:ascii="Arial" w:eastAsia="Arial" w:hAnsi="Arial" w:cs="Arial"/>
          <w:szCs w:val="23"/>
          <w:lang w:val="fr-CA"/>
        </w:rPr>
      </w:pPr>
      <w:proofErr w:type="gramStart"/>
      <w:r w:rsidRPr="003E0DDA">
        <w:rPr>
          <w:rFonts w:ascii="Arial" w:eastAsia="Arial" w:hAnsi="Arial" w:cs="Arial"/>
          <w:szCs w:val="23"/>
          <w:lang w:val="fr-CA"/>
        </w:rPr>
        <w:t>aux</w:t>
      </w:r>
      <w:proofErr w:type="gramEnd"/>
      <w:r w:rsidRPr="003E0DDA">
        <w:rPr>
          <w:rFonts w:ascii="Arial" w:eastAsia="Arial" w:hAnsi="Arial" w:cs="Arial"/>
          <w:szCs w:val="23"/>
          <w:lang w:val="fr-CA"/>
        </w:rPr>
        <w:t xml:space="preserve"> mesures non conformes existantes maintenues par une administration régionale, locale, de district ou autre forme d’administration municipale;</w:t>
      </w:r>
    </w:p>
    <w:p w14:paraId="30BEEBA5" w14:textId="77777777" w:rsidR="006A15B5" w:rsidRPr="003E0DDA" w:rsidRDefault="006A15B5" w:rsidP="006A15B5">
      <w:pPr>
        <w:ind w:left="1440" w:hanging="720"/>
        <w:contextualSpacing/>
        <w:rPr>
          <w:rFonts w:ascii="Arial" w:eastAsia="Arial" w:hAnsi="Arial" w:cs="Arial"/>
          <w:szCs w:val="23"/>
          <w:lang w:val="fr-CA"/>
        </w:rPr>
      </w:pPr>
    </w:p>
    <w:p w14:paraId="2762E05A" w14:textId="27045253" w:rsidR="006A15B5" w:rsidRPr="003E0DDA" w:rsidRDefault="006A15B5" w:rsidP="006A15B5">
      <w:pPr>
        <w:numPr>
          <w:ilvl w:val="0"/>
          <w:numId w:val="15"/>
        </w:numPr>
        <w:contextualSpacing/>
        <w:rPr>
          <w:rFonts w:ascii="Arial" w:eastAsia="Arial" w:hAnsi="Arial" w:cs="Arial"/>
          <w:szCs w:val="23"/>
          <w:lang w:val="fr-CA"/>
        </w:rPr>
      </w:pPr>
      <w:proofErr w:type="gramStart"/>
      <w:r w:rsidRPr="003E0DDA">
        <w:rPr>
          <w:rFonts w:ascii="Arial" w:eastAsia="Arial" w:hAnsi="Arial" w:cs="Arial"/>
          <w:szCs w:val="23"/>
          <w:lang w:val="fr-CA"/>
        </w:rPr>
        <w:t>au</w:t>
      </w:r>
      <w:proofErr w:type="gramEnd"/>
      <w:r w:rsidRPr="003E0DDA">
        <w:rPr>
          <w:rFonts w:ascii="Arial" w:eastAsia="Arial" w:hAnsi="Arial" w:cs="Arial"/>
          <w:szCs w:val="23"/>
          <w:lang w:val="fr-CA"/>
        </w:rPr>
        <w:t xml:space="preserve"> maintien ou au prompt renouvellement de mesures non conformes visées à l’alinéa a) ou b);</w:t>
      </w:r>
    </w:p>
    <w:p w14:paraId="17459425" w14:textId="77777777" w:rsidR="006A15B5" w:rsidRPr="003E0DDA" w:rsidRDefault="006A15B5" w:rsidP="006A15B5">
      <w:pPr>
        <w:ind w:left="1440" w:hanging="720"/>
        <w:rPr>
          <w:rFonts w:ascii="Arial" w:eastAsia="Arial" w:hAnsi="Arial" w:cs="Arial"/>
          <w:szCs w:val="23"/>
          <w:lang w:val="fr-CA"/>
        </w:rPr>
      </w:pPr>
    </w:p>
    <w:p w14:paraId="635112CD" w14:textId="54A63BBC" w:rsidR="006A15B5" w:rsidRPr="003E0DDA" w:rsidRDefault="006A15B5" w:rsidP="006A15B5">
      <w:pPr>
        <w:numPr>
          <w:ilvl w:val="0"/>
          <w:numId w:val="15"/>
        </w:numPr>
        <w:contextualSpacing/>
        <w:rPr>
          <w:rFonts w:ascii="Arial" w:eastAsia="Arial" w:hAnsi="Arial" w:cs="Arial"/>
          <w:szCs w:val="23"/>
          <w:lang w:val="fr-CA"/>
        </w:rPr>
      </w:pPr>
      <w:proofErr w:type="gramStart"/>
      <w:r w:rsidRPr="003E0DDA">
        <w:rPr>
          <w:rFonts w:ascii="Arial" w:eastAsia="Arial" w:hAnsi="Arial" w:cs="Arial"/>
          <w:szCs w:val="23"/>
          <w:lang w:val="fr-CA"/>
        </w:rPr>
        <w:t>à</w:t>
      </w:r>
      <w:proofErr w:type="gramEnd"/>
      <w:r w:rsidRPr="003E0DDA">
        <w:rPr>
          <w:rFonts w:ascii="Arial" w:eastAsia="Arial" w:hAnsi="Arial" w:cs="Arial"/>
          <w:szCs w:val="23"/>
          <w:lang w:val="fr-CA"/>
        </w:rPr>
        <w:t xml:space="preserve"> la modification d’une mesure non conforme visée à l’alinéa a) ou b) pour autant que la modification ne diminue pas la conformité de la mesure à l’article 201, à l’article 301, à l’article 307, à l’article 312</w:t>
      </w:r>
      <w:r w:rsidR="009832DD">
        <w:rPr>
          <w:rFonts w:ascii="Arial" w:eastAsia="Arial" w:hAnsi="Arial" w:cs="Arial"/>
          <w:szCs w:val="23"/>
          <w:lang w:val="fr-CA"/>
        </w:rPr>
        <w:t>,</w:t>
      </w:r>
      <w:r w:rsidRPr="003E0DDA">
        <w:rPr>
          <w:rFonts w:ascii="Arial" w:eastAsia="Arial" w:hAnsi="Arial" w:cs="Arial"/>
          <w:szCs w:val="23"/>
          <w:lang w:val="fr-CA"/>
        </w:rPr>
        <w:t xml:space="preserve"> à l’article 313</w:t>
      </w:r>
      <w:r w:rsidR="009832DD" w:rsidRPr="009A780E">
        <w:rPr>
          <w:rFonts w:ascii="Arial" w:eastAsia="Times New Roman" w:hAnsi="Arial" w:cs="Arial"/>
          <w:szCs w:val="23"/>
          <w:lang w:val="fr-CA"/>
        </w:rPr>
        <w:t xml:space="preserve"> et le paragraphe 2 de l’annexe 309 </w:t>
      </w:r>
      <w:r w:rsidR="009832DD" w:rsidRPr="009A780E">
        <w:rPr>
          <w:rFonts w:ascii="Arial" w:eastAsia="Arial" w:hAnsi="Arial" w:cs="Arial"/>
          <w:szCs w:val="23"/>
          <w:lang w:val="fr-CA"/>
        </w:rPr>
        <w:t xml:space="preserve"> </w:t>
      </w:r>
      <w:r w:rsidRPr="003E0DDA">
        <w:rPr>
          <w:rFonts w:ascii="Arial" w:eastAsia="Arial" w:hAnsi="Arial" w:cs="Arial"/>
          <w:szCs w:val="23"/>
          <w:lang w:val="fr-CA"/>
        </w:rPr>
        <w:t xml:space="preserve">, comme elle existait immédiatement avant la modification. </w:t>
      </w:r>
    </w:p>
    <w:p w14:paraId="384B27A0" w14:textId="77777777" w:rsidR="006A15B5" w:rsidRPr="003E0DDA" w:rsidRDefault="006A15B5" w:rsidP="0015303D">
      <w:pPr>
        <w:contextualSpacing/>
        <w:rPr>
          <w:rFonts w:ascii="Arial" w:eastAsia="Arial" w:hAnsi="Arial" w:cs="Arial"/>
          <w:szCs w:val="23"/>
          <w:lang w:val="fr-CA"/>
        </w:rPr>
      </w:pPr>
    </w:p>
    <w:p w14:paraId="363C0735" w14:textId="01311118" w:rsidR="006A15B5" w:rsidRPr="003E0DDA" w:rsidRDefault="006A15B5" w:rsidP="006A15B5">
      <w:pPr>
        <w:numPr>
          <w:ilvl w:val="0"/>
          <w:numId w:val="56"/>
        </w:numPr>
        <w:ind w:left="0" w:firstLine="0"/>
        <w:contextualSpacing/>
        <w:rPr>
          <w:rFonts w:ascii="Arial" w:eastAsia="Arial" w:hAnsi="Arial" w:cs="Arial"/>
          <w:szCs w:val="23"/>
          <w:lang w:val="fr-CA"/>
        </w:rPr>
      </w:pPr>
      <w:r w:rsidRPr="003E0DDA">
        <w:rPr>
          <w:rFonts w:ascii="Arial" w:eastAsia="Arial" w:hAnsi="Arial" w:cs="Arial"/>
          <w:szCs w:val="23"/>
          <w:lang w:val="fr-CA"/>
        </w:rPr>
        <w:t>L’article 201 (Traitement non discriminatoire), l’article 301 (Droit d’entrée et de sortie), l’article 307 (Accès aux marchés - Services), l’article 312 (Accès aux marchés - Investissement), l’article 313 (Prescriptions de résultats) et toute autre obligation précisée par une Partie ne s’appliquent pas aux mesures qu’une Partie adopte ou maintient pour les secteurs, les sous-secteurs ou les activités énoncés dans sa liste</w:t>
      </w:r>
      <w:r w:rsidR="00457325" w:rsidRPr="003E0DDA">
        <w:rPr>
          <w:rFonts w:ascii="Arial" w:eastAsia="Arial" w:hAnsi="Arial" w:cs="Arial"/>
          <w:szCs w:val="23"/>
          <w:lang w:val="fr-CA"/>
        </w:rPr>
        <w:t xml:space="preserve"> jointe</w:t>
      </w:r>
      <w:r w:rsidRPr="003E0DDA">
        <w:rPr>
          <w:rFonts w:ascii="Arial" w:eastAsia="Arial" w:hAnsi="Arial" w:cs="Arial"/>
          <w:szCs w:val="23"/>
          <w:lang w:val="fr-CA"/>
        </w:rPr>
        <w:t xml:space="preserve"> à l’annexe II de la partie VII (Listes des Parties).</w:t>
      </w:r>
    </w:p>
    <w:p w14:paraId="37ED4D2D" w14:textId="77777777" w:rsidR="006A15B5" w:rsidRPr="003E0DDA" w:rsidRDefault="006A15B5" w:rsidP="0015303D">
      <w:pPr>
        <w:rPr>
          <w:rFonts w:ascii="Arial" w:eastAsia="Arial" w:hAnsi="Arial" w:cs="Arial"/>
          <w:szCs w:val="23"/>
          <w:lang w:val="fr-CA"/>
        </w:rPr>
      </w:pPr>
    </w:p>
    <w:p w14:paraId="1F658A4E" w14:textId="77777777" w:rsidR="009832DD" w:rsidRPr="009A780E" w:rsidRDefault="006A15B5" w:rsidP="009832DD">
      <w:pPr>
        <w:numPr>
          <w:ilvl w:val="0"/>
          <w:numId w:val="56"/>
        </w:numPr>
        <w:ind w:left="0" w:firstLine="0"/>
        <w:contextualSpacing/>
        <w:rPr>
          <w:rFonts w:ascii="Arial" w:eastAsia="Arial" w:hAnsi="Arial" w:cs="Arial"/>
          <w:szCs w:val="23"/>
          <w:lang w:val="fr-CA"/>
        </w:rPr>
      </w:pPr>
      <w:r w:rsidRPr="003E0DDA">
        <w:rPr>
          <w:rFonts w:ascii="Arial" w:eastAsia="Arial" w:hAnsi="Arial" w:cs="Arial"/>
          <w:szCs w:val="23"/>
          <w:lang w:val="fr-CA"/>
        </w:rPr>
        <w:t xml:space="preserve">Il est entendu que toute exception énoncée dans les listes d’une Partie </w:t>
      </w:r>
      <w:r w:rsidR="007A1C46" w:rsidRPr="003E0DDA">
        <w:rPr>
          <w:rFonts w:ascii="Arial" w:eastAsia="Arial" w:hAnsi="Arial" w:cs="Arial"/>
          <w:szCs w:val="23"/>
          <w:lang w:val="fr-CA"/>
        </w:rPr>
        <w:t>jointes</w:t>
      </w:r>
      <w:r w:rsidRPr="003E0DDA">
        <w:rPr>
          <w:rFonts w:ascii="Arial" w:eastAsia="Arial" w:hAnsi="Arial" w:cs="Arial"/>
          <w:szCs w:val="23"/>
          <w:lang w:val="fr-CA"/>
        </w:rPr>
        <w:t xml:space="preserve"> </w:t>
      </w:r>
      <w:r w:rsidR="007A1C46" w:rsidRPr="003E0DDA">
        <w:rPr>
          <w:rFonts w:ascii="Arial" w:eastAsia="Arial" w:hAnsi="Arial" w:cs="Arial"/>
          <w:szCs w:val="23"/>
          <w:lang w:val="fr-CA"/>
        </w:rPr>
        <w:t xml:space="preserve">à </w:t>
      </w:r>
      <w:r w:rsidRPr="003E0DDA">
        <w:rPr>
          <w:rFonts w:ascii="Arial" w:eastAsia="Arial" w:hAnsi="Arial" w:cs="Arial"/>
          <w:szCs w:val="23"/>
          <w:lang w:val="fr-CA"/>
        </w:rPr>
        <w:t>la partie VII (Listes des Parties) pour des mesures relatives aux produits agricoles ou aux produits alimentaires ne s’applique pas aux règlements techniques, aux procédures d’évaluation de la conformité, aux normes ou aux mesures sanitaires ou phytosanitaires de cette Partie.</w:t>
      </w:r>
    </w:p>
    <w:p w14:paraId="15779E2B" w14:textId="77777777" w:rsidR="009832DD" w:rsidRPr="009A780E" w:rsidRDefault="009832DD" w:rsidP="009832DD">
      <w:pPr>
        <w:pStyle w:val="ListParagraph"/>
        <w:rPr>
          <w:rFonts w:ascii="Arial" w:eastAsia="Times New Roman" w:hAnsi="Arial" w:cs="Arial"/>
          <w:szCs w:val="23"/>
          <w:lang w:val="fr-CA"/>
        </w:rPr>
      </w:pPr>
    </w:p>
    <w:p w14:paraId="1BE93910" w14:textId="7DD79B97" w:rsidR="009832DD" w:rsidRPr="009A780E" w:rsidRDefault="009832DD" w:rsidP="009832DD">
      <w:pPr>
        <w:numPr>
          <w:ilvl w:val="0"/>
          <w:numId w:val="56"/>
        </w:numPr>
        <w:ind w:left="0" w:firstLine="0"/>
        <w:contextualSpacing/>
        <w:rPr>
          <w:rFonts w:ascii="Arial" w:eastAsia="Arial" w:hAnsi="Arial" w:cs="Arial"/>
          <w:szCs w:val="23"/>
          <w:lang w:val="fr-CA"/>
        </w:rPr>
      </w:pPr>
      <w:bookmarkStart w:id="84" w:name="lt_pId041"/>
      <w:r w:rsidRPr="009A780E">
        <w:rPr>
          <w:rFonts w:ascii="Arial" w:eastAsia="Times New Roman" w:hAnsi="Arial" w:cs="Arial"/>
          <w:szCs w:val="23"/>
          <w:lang w:val="fr-CA"/>
        </w:rPr>
        <w:t>Nonobstant le paragraphe 3, une exception énoncée dans les listes d’une Partie jointes à la partie VII (Listes des Parties) pour une mesure relative au cannabis peut s’appliquer aux règlements techniques, aux procédures d’évaluation de la conformité, aux normes ou aux mesures sanitaires ou phytosanitaires de cette Partie.</w:t>
      </w:r>
      <w:bookmarkEnd w:id="84"/>
      <w:r w:rsidRPr="009A780E">
        <w:rPr>
          <w:rFonts w:ascii="Arial" w:eastAsia="Times New Roman" w:hAnsi="Arial" w:cs="Arial"/>
          <w:szCs w:val="23"/>
          <w:lang w:val="fr-CA"/>
        </w:rPr>
        <w:t> </w:t>
      </w:r>
    </w:p>
    <w:p w14:paraId="686211C4" w14:textId="77777777" w:rsidR="009832DD" w:rsidRPr="009A780E" w:rsidRDefault="009832DD" w:rsidP="009832DD">
      <w:pPr>
        <w:pStyle w:val="ListParagraph"/>
        <w:rPr>
          <w:rFonts w:ascii="Arial" w:eastAsia="Arial" w:hAnsi="Arial" w:cs="Arial"/>
          <w:szCs w:val="23"/>
          <w:lang w:val="fr-CA"/>
        </w:rPr>
      </w:pPr>
    </w:p>
    <w:p w14:paraId="32C694A3" w14:textId="7D3A661D" w:rsidR="009832DD" w:rsidRPr="009832DD" w:rsidRDefault="009832DD" w:rsidP="009832DD">
      <w:pPr>
        <w:numPr>
          <w:ilvl w:val="0"/>
          <w:numId w:val="56"/>
        </w:numPr>
        <w:ind w:left="0" w:firstLine="0"/>
        <w:contextualSpacing/>
        <w:rPr>
          <w:rFonts w:ascii="Arial" w:eastAsia="Arial" w:hAnsi="Arial" w:cs="Arial"/>
          <w:szCs w:val="23"/>
          <w:lang w:val="fr-CA"/>
        </w:rPr>
      </w:pPr>
      <w:r w:rsidRPr="009A780E">
        <w:rPr>
          <w:rFonts w:ascii="Arial" w:eastAsia="Times New Roman" w:hAnsi="Arial" w:cs="Arial"/>
          <w:szCs w:val="23"/>
          <w:lang w:val="fr-CA"/>
        </w:rPr>
        <w:t>Pour les fins de l’application des paragraphes 1 (a) et (b) à l’annexe 309, « existante » désigne une mesure adoptée avant le 23 septembre 2020. </w:t>
      </w:r>
    </w:p>
    <w:p w14:paraId="68E9A4BA" w14:textId="77777777" w:rsidR="006A15B5" w:rsidRPr="003E0DDA" w:rsidRDefault="006A15B5" w:rsidP="0015303D">
      <w:pPr>
        <w:contextualSpacing/>
        <w:rPr>
          <w:rFonts w:ascii="Arial" w:eastAsia="Arial" w:hAnsi="Arial" w:cs="Arial"/>
          <w:szCs w:val="23"/>
          <w:lang w:val="fr-CA"/>
        </w:rPr>
      </w:pPr>
    </w:p>
    <w:p w14:paraId="666161F0" w14:textId="68615297" w:rsidR="006A15B5" w:rsidRPr="003E0DDA" w:rsidRDefault="006A15B5" w:rsidP="0015303D">
      <w:pPr>
        <w:contextualSpacing/>
        <w:jc w:val="center"/>
        <w:rPr>
          <w:rFonts w:ascii="Arial" w:eastAsia="Arial" w:hAnsi="Arial" w:cs="Arial"/>
          <w:b/>
          <w:szCs w:val="23"/>
          <w:lang w:val="fr-CA"/>
        </w:rPr>
      </w:pPr>
      <w:r w:rsidRPr="003E0DDA">
        <w:rPr>
          <w:rFonts w:ascii="Arial" w:eastAsia="Arial" w:hAnsi="Arial" w:cs="Arial"/>
          <w:b/>
          <w:bCs/>
          <w:szCs w:val="23"/>
          <w:lang w:val="fr-CA"/>
        </w:rPr>
        <w:t>Article 901 :</w:t>
      </w:r>
      <w:r w:rsidRPr="003E0DDA">
        <w:rPr>
          <w:rFonts w:ascii="Arial" w:eastAsia="Arial" w:hAnsi="Arial" w:cs="Arial"/>
          <w:szCs w:val="23"/>
          <w:lang w:val="fr-CA"/>
        </w:rPr>
        <w:tab/>
      </w:r>
      <w:r w:rsidR="00996A22" w:rsidRPr="003E0DDA">
        <w:rPr>
          <w:rFonts w:ascii="Arial" w:eastAsia="Arial" w:hAnsi="Arial" w:cs="Arial"/>
          <w:szCs w:val="23"/>
          <w:lang w:val="fr-CA"/>
        </w:rPr>
        <w:tab/>
      </w:r>
      <w:r w:rsidRPr="003E0DDA">
        <w:rPr>
          <w:rFonts w:ascii="Arial" w:eastAsia="Arial" w:hAnsi="Arial" w:cs="Arial"/>
          <w:b/>
          <w:bCs/>
          <w:szCs w:val="23"/>
          <w:lang w:val="fr-CA"/>
        </w:rPr>
        <w:t>Interprétation de l’annexe I et de l’annexe II</w:t>
      </w:r>
    </w:p>
    <w:p w14:paraId="64152F5B" w14:textId="0B7AC6C3" w:rsidR="006A15B5" w:rsidRPr="003E0DDA" w:rsidRDefault="009832DD" w:rsidP="009A780E">
      <w:pPr>
        <w:contextualSpacing/>
        <w:rPr>
          <w:rFonts w:ascii="Arial" w:eastAsia="Arial" w:hAnsi="Arial" w:cs="Arial"/>
          <w:szCs w:val="23"/>
          <w:lang w:val="fr-CA"/>
        </w:rPr>
      </w:pPr>
      <w:r>
        <w:rPr>
          <w:rFonts w:ascii="Arial" w:eastAsia="Arial" w:hAnsi="Arial" w:cs="Arial"/>
          <w:szCs w:val="23"/>
          <w:lang w:val="fr-CA"/>
        </w:rPr>
        <w:lastRenderedPageBreak/>
        <w:t>1.</w:t>
      </w:r>
      <w:r>
        <w:rPr>
          <w:rFonts w:ascii="Arial" w:eastAsia="Arial" w:hAnsi="Arial" w:cs="Arial"/>
          <w:szCs w:val="23"/>
          <w:lang w:val="fr-CA"/>
        </w:rPr>
        <w:tab/>
      </w:r>
      <w:r w:rsidR="006A15B5" w:rsidRPr="003E0DDA">
        <w:rPr>
          <w:rFonts w:ascii="Arial" w:eastAsia="Arial" w:hAnsi="Arial" w:cs="Arial"/>
          <w:szCs w:val="23"/>
          <w:lang w:val="fr-CA"/>
        </w:rPr>
        <w:t xml:space="preserve">La liste de chaque Partie </w:t>
      </w:r>
      <w:r w:rsidR="00457325" w:rsidRPr="003E0DDA">
        <w:rPr>
          <w:rFonts w:ascii="Arial" w:eastAsia="Arial" w:hAnsi="Arial" w:cs="Arial"/>
          <w:szCs w:val="23"/>
          <w:lang w:val="fr-CA"/>
        </w:rPr>
        <w:t xml:space="preserve">jointe </w:t>
      </w:r>
      <w:r w:rsidR="006A15B5" w:rsidRPr="003E0DDA">
        <w:rPr>
          <w:rFonts w:ascii="Arial" w:eastAsia="Arial" w:hAnsi="Arial" w:cs="Arial"/>
          <w:szCs w:val="23"/>
          <w:lang w:val="fr-CA"/>
        </w:rPr>
        <w:t>à l’annexe I de la partie VII (Listes des Parties) énonce, conformément à l’article 900.1, les exceptions de chaque Partie concernant les mesures existantes maintenues par une Partie et qui ne sont pas conformes à l’article 201 (Traitement non discriminatoire), à l’article 301 (Droit d’entrée et de sortie), à l’article 307 (Accès aux marchés - Services), à l’article 312 (Accès aux marchés - Investissement)</w:t>
      </w:r>
      <w:r>
        <w:rPr>
          <w:rFonts w:ascii="Arial" w:eastAsia="Arial" w:hAnsi="Arial" w:cs="Arial"/>
          <w:szCs w:val="23"/>
          <w:lang w:val="fr-CA"/>
        </w:rPr>
        <w:t>,</w:t>
      </w:r>
      <w:r w:rsidR="006A15B5" w:rsidRPr="003E0DDA">
        <w:rPr>
          <w:rFonts w:ascii="Arial" w:eastAsia="Arial" w:hAnsi="Arial" w:cs="Arial"/>
          <w:szCs w:val="23"/>
          <w:lang w:val="fr-CA"/>
        </w:rPr>
        <w:t xml:space="preserve"> à l’article 313 (Prescriptions de résultats)</w:t>
      </w:r>
      <w:r w:rsidRPr="009A780E">
        <w:rPr>
          <w:rFonts w:ascii="Arial" w:eastAsia="Times New Roman" w:hAnsi="Arial" w:cs="Arial"/>
          <w:szCs w:val="23"/>
          <w:lang w:val="fr-CA"/>
        </w:rPr>
        <w:t xml:space="preserve"> ou au paragraphe 2 de l’annexe 309 </w:t>
      </w:r>
      <w:r w:rsidR="006A15B5" w:rsidRPr="003E0DDA">
        <w:rPr>
          <w:rFonts w:ascii="Arial" w:eastAsia="Arial" w:hAnsi="Arial" w:cs="Arial"/>
          <w:szCs w:val="23"/>
          <w:lang w:val="fr-CA"/>
        </w:rPr>
        <w:t>.</w:t>
      </w:r>
    </w:p>
    <w:p w14:paraId="1BC69E36" w14:textId="77777777" w:rsidR="006A15B5" w:rsidRPr="003E0DDA" w:rsidRDefault="006A15B5" w:rsidP="0015303D">
      <w:pPr>
        <w:contextualSpacing/>
        <w:rPr>
          <w:rFonts w:ascii="Arial" w:eastAsia="Arial" w:hAnsi="Arial" w:cs="Arial"/>
          <w:szCs w:val="23"/>
          <w:lang w:val="fr-CA"/>
        </w:rPr>
      </w:pPr>
    </w:p>
    <w:p w14:paraId="2DB04387" w14:textId="01CC601F" w:rsidR="006A15B5" w:rsidRPr="003E0DDA" w:rsidRDefault="009832DD" w:rsidP="009A780E">
      <w:pPr>
        <w:contextualSpacing/>
        <w:rPr>
          <w:rFonts w:ascii="Arial" w:eastAsia="Arial" w:hAnsi="Arial" w:cs="Arial"/>
          <w:szCs w:val="23"/>
          <w:lang w:val="fr-CA"/>
        </w:rPr>
      </w:pPr>
      <w:r>
        <w:rPr>
          <w:rFonts w:ascii="Arial" w:eastAsia="Arial" w:hAnsi="Arial" w:cs="Arial"/>
          <w:szCs w:val="23"/>
          <w:lang w:val="fr-CA"/>
        </w:rPr>
        <w:t>2.</w:t>
      </w:r>
      <w:r>
        <w:rPr>
          <w:rFonts w:ascii="Arial" w:eastAsia="Arial" w:hAnsi="Arial" w:cs="Arial"/>
          <w:szCs w:val="23"/>
          <w:lang w:val="fr-CA"/>
        </w:rPr>
        <w:tab/>
      </w:r>
      <w:r w:rsidR="006A15B5" w:rsidRPr="003E0DDA">
        <w:rPr>
          <w:rFonts w:ascii="Arial" w:eastAsia="Arial" w:hAnsi="Arial" w:cs="Arial"/>
          <w:szCs w:val="23"/>
          <w:lang w:val="fr-CA"/>
        </w:rPr>
        <w:t>La liste de chaque Partie</w:t>
      </w:r>
      <w:r w:rsidR="00457325" w:rsidRPr="003E0DDA">
        <w:rPr>
          <w:rFonts w:ascii="Arial" w:eastAsia="Arial" w:hAnsi="Arial" w:cs="Arial"/>
          <w:szCs w:val="23"/>
          <w:lang w:val="fr-CA"/>
        </w:rPr>
        <w:t xml:space="preserve"> jointe</w:t>
      </w:r>
      <w:r w:rsidR="006A15B5" w:rsidRPr="003E0DDA">
        <w:rPr>
          <w:rFonts w:ascii="Arial" w:eastAsia="Arial" w:hAnsi="Arial" w:cs="Arial"/>
          <w:szCs w:val="23"/>
          <w:lang w:val="fr-CA"/>
        </w:rPr>
        <w:t xml:space="preserve"> à l’annexe II de la partie VII (Listes des Parties) énonce, conformément à l’article 900.2, les exceptions de chaque Partie concernant des secteurs, des sous-secteurs ou des activités particuliers pour lesquels elle peut maintenir des mesures existantes ou adopter de nouvelles mesures qui ne sont pas conformes à l’article 201 (Traitement non discriminatoire), à l’article 301 (Droit d’entrée et de sortie), à l’article 307 (Accès aux marchés - Services), à l’article 312 (Accès aux marchés - Investissement), à l’article 313 (Prescriptions de résultats) ou aux autres obligations précisées par une Partie.</w:t>
      </w:r>
    </w:p>
    <w:p w14:paraId="5E1B5793" w14:textId="77777777" w:rsidR="006A15B5" w:rsidRPr="003E0DDA" w:rsidRDefault="006A15B5" w:rsidP="0015303D">
      <w:pPr>
        <w:contextualSpacing/>
        <w:rPr>
          <w:rFonts w:ascii="Arial" w:eastAsia="Arial" w:hAnsi="Arial" w:cs="Arial"/>
          <w:szCs w:val="23"/>
          <w:lang w:val="fr-CA"/>
        </w:rPr>
      </w:pPr>
    </w:p>
    <w:p w14:paraId="59FB91D2" w14:textId="3F0585A1" w:rsidR="006A15B5" w:rsidRPr="009A780E" w:rsidRDefault="009832DD" w:rsidP="009A780E">
      <w:pPr>
        <w:rPr>
          <w:rFonts w:ascii="Arial" w:eastAsia="Arial" w:hAnsi="Arial" w:cs="Arial"/>
          <w:szCs w:val="23"/>
          <w:lang w:val="fr-CA"/>
        </w:rPr>
      </w:pPr>
      <w:r>
        <w:rPr>
          <w:rFonts w:ascii="Arial" w:eastAsia="Arial" w:hAnsi="Arial" w:cs="Arial"/>
          <w:szCs w:val="23"/>
          <w:lang w:val="fr-CA"/>
        </w:rPr>
        <w:t>3.</w:t>
      </w:r>
      <w:r>
        <w:rPr>
          <w:rFonts w:ascii="Arial" w:eastAsia="Arial" w:hAnsi="Arial" w:cs="Arial"/>
          <w:szCs w:val="23"/>
          <w:lang w:val="fr-CA"/>
        </w:rPr>
        <w:tab/>
      </w:r>
      <w:r w:rsidR="006A15B5" w:rsidRPr="009A780E">
        <w:rPr>
          <w:rFonts w:ascii="Arial" w:eastAsia="Arial" w:hAnsi="Arial" w:cs="Arial"/>
          <w:szCs w:val="23"/>
          <w:lang w:val="fr-CA"/>
        </w:rPr>
        <w:t>Chaque exception énonce les éléments suivants :</w:t>
      </w:r>
    </w:p>
    <w:p w14:paraId="231602F4" w14:textId="77777777" w:rsidR="006A15B5" w:rsidRPr="003E0DDA" w:rsidRDefault="006A15B5" w:rsidP="0015303D">
      <w:pPr>
        <w:spacing w:after="120"/>
        <w:ind w:left="720"/>
        <w:contextualSpacing/>
        <w:rPr>
          <w:rFonts w:ascii="Arial" w:eastAsia="Arial" w:hAnsi="Arial" w:cs="Arial"/>
          <w:szCs w:val="23"/>
          <w:lang w:val="fr-CA"/>
        </w:rPr>
      </w:pPr>
    </w:p>
    <w:p w14:paraId="1E7C0011" w14:textId="350092C9" w:rsidR="006A15B5" w:rsidRPr="003E0DDA" w:rsidRDefault="006A15B5" w:rsidP="006A15B5">
      <w:pPr>
        <w:numPr>
          <w:ilvl w:val="1"/>
          <w:numId w:val="57"/>
        </w:numPr>
        <w:ind w:hanging="720"/>
        <w:contextualSpacing/>
        <w:rPr>
          <w:rFonts w:ascii="Arial" w:eastAsia="Arial" w:hAnsi="Arial" w:cs="Arial"/>
          <w:szCs w:val="23"/>
          <w:lang w:val="fr-CA"/>
        </w:rPr>
      </w:pPr>
      <w:r w:rsidRPr="003E0DDA">
        <w:rPr>
          <w:rFonts w:ascii="Arial" w:eastAsia="Arial" w:hAnsi="Arial" w:cs="Arial"/>
          <w:szCs w:val="23"/>
          <w:lang w:val="fr-CA"/>
        </w:rPr>
        <w:t>« </w:t>
      </w:r>
      <w:r w:rsidRPr="003E0DDA">
        <w:rPr>
          <w:rFonts w:ascii="Arial" w:eastAsia="Arial" w:hAnsi="Arial" w:cs="Arial"/>
          <w:b/>
          <w:bCs/>
          <w:szCs w:val="23"/>
          <w:lang w:val="fr-CA"/>
        </w:rPr>
        <w:t>Secteur</w:t>
      </w:r>
      <w:r w:rsidRPr="003E0DDA">
        <w:rPr>
          <w:rFonts w:ascii="Arial" w:eastAsia="Arial" w:hAnsi="Arial" w:cs="Arial"/>
          <w:szCs w:val="23"/>
          <w:lang w:val="fr-CA"/>
        </w:rPr>
        <w:t> » renvoie au secteur général visé par l’exception;</w:t>
      </w:r>
    </w:p>
    <w:p w14:paraId="161B5336" w14:textId="77777777" w:rsidR="006A15B5" w:rsidRPr="003E0DDA" w:rsidRDefault="006A15B5" w:rsidP="0015303D">
      <w:pPr>
        <w:ind w:left="1304" w:hanging="629"/>
        <w:contextualSpacing/>
        <w:rPr>
          <w:rFonts w:ascii="Arial" w:eastAsia="Arial" w:hAnsi="Arial" w:cs="Arial"/>
          <w:szCs w:val="23"/>
          <w:lang w:val="fr-CA"/>
        </w:rPr>
      </w:pPr>
    </w:p>
    <w:p w14:paraId="3153F996" w14:textId="52801BF6" w:rsidR="006A15B5" w:rsidRPr="003E0DDA" w:rsidRDefault="006A15B5" w:rsidP="006A15B5">
      <w:pPr>
        <w:numPr>
          <w:ilvl w:val="1"/>
          <w:numId w:val="57"/>
        </w:numPr>
        <w:ind w:hanging="720"/>
        <w:contextualSpacing/>
        <w:rPr>
          <w:rFonts w:ascii="Arial" w:eastAsia="Arial" w:hAnsi="Arial" w:cs="Arial"/>
          <w:szCs w:val="23"/>
          <w:lang w:val="fr-CA"/>
        </w:rPr>
      </w:pPr>
      <w:r w:rsidRPr="003E0DDA">
        <w:rPr>
          <w:rFonts w:ascii="Arial" w:eastAsia="Arial" w:hAnsi="Arial" w:cs="Arial"/>
          <w:szCs w:val="23"/>
          <w:lang w:val="fr-CA"/>
        </w:rPr>
        <w:t>« </w:t>
      </w:r>
      <w:r w:rsidRPr="003E0DDA">
        <w:rPr>
          <w:rFonts w:ascii="Arial" w:eastAsia="Arial" w:hAnsi="Arial" w:cs="Arial"/>
          <w:b/>
          <w:bCs/>
          <w:szCs w:val="23"/>
          <w:lang w:val="fr-CA"/>
        </w:rPr>
        <w:t>Sous-secteur</w:t>
      </w:r>
      <w:r w:rsidRPr="003E0DDA">
        <w:rPr>
          <w:rFonts w:ascii="Arial" w:eastAsia="Arial" w:hAnsi="Arial" w:cs="Arial"/>
          <w:szCs w:val="23"/>
          <w:lang w:val="fr-CA"/>
        </w:rPr>
        <w:t> » renvoie au secteur particulier visé par l’exception;</w:t>
      </w:r>
    </w:p>
    <w:p w14:paraId="7D9AC774" w14:textId="77777777" w:rsidR="006A15B5" w:rsidRPr="003E0DDA" w:rsidRDefault="006A15B5" w:rsidP="006A15B5">
      <w:pPr>
        <w:ind w:left="1440" w:hanging="720"/>
        <w:contextualSpacing/>
        <w:rPr>
          <w:rFonts w:ascii="Arial" w:eastAsia="Arial" w:hAnsi="Arial" w:cs="Arial"/>
          <w:szCs w:val="23"/>
          <w:lang w:val="fr-CA"/>
        </w:rPr>
      </w:pPr>
    </w:p>
    <w:p w14:paraId="35E2B6C9" w14:textId="44F9E65C" w:rsidR="006A15B5" w:rsidRPr="003E0DDA" w:rsidRDefault="006A15B5" w:rsidP="006A15B5">
      <w:pPr>
        <w:numPr>
          <w:ilvl w:val="1"/>
          <w:numId w:val="57"/>
        </w:numPr>
        <w:ind w:hanging="720"/>
        <w:contextualSpacing/>
        <w:rPr>
          <w:rFonts w:ascii="Arial" w:eastAsia="Arial" w:hAnsi="Arial" w:cs="Arial"/>
          <w:szCs w:val="23"/>
          <w:lang w:val="fr-CA"/>
        </w:rPr>
      </w:pPr>
      <w:r w:rsidRPr="003E0DDA">
        <w:rPr>
          <w:rFonts w:ascii="Arial" w:eastAsia="Arial" w:hAnsi="Arial" w:cs="Arial"/>
          <w:szCs w:val="23"/>
          <w:lang w:val="fr-CA"/>
        </w:rPr>
        <w:t>« </w:t>
      </w:r>
      <w:r w:rsidRPr="003E0DDA">
        <w:rPr>
          <w:rFonts w:ascii="Arial" w:eastAsia="Arial" w:hAnsi="Arial" w:cs="Arial"/>
          <w:b/>
          <w:bCs/>
          <w:szCs w:val="23"/>
          <w:lang w:val="fr-CA"/>
        </w:rPr>
        <w:t>Classification de l’industrie</w:t>
      </w:r>
      <w:r w:rsidRPr="003E0DDA">
        <w:rPr>
          <w:rFonts w:ascii="Arial" w:eastAsia="Arial" w:hAnsi="Arial" w:cs="Arial"/>
          <w:szCs w:val="23"/>
          <w:lang w:val="fr-CA"/>
        </w:rPr>
        <w:t> » renvoie, s’il y a lieu, à l’activité visée par l’exception, selon son classement dans la CPC;</w:t>
      </w:r>
    </w:p>
    <w:p w14:paraId="558B0A6B" w14:textId="77777777" w:rsidR="006A15B5" w:rsidRPr="003E0DDA" w:rsidRDefault="006A15B5" w:rsidP="006A15B5">
      <w:pPr>
        <w:ind w:left="1440" w:hanging="720"/>
        <w:contextualSpacing/>
        <w:rPr>
          <w:rFonts w:ascii="Arial" w:eastAsia="Arial" w:hAnsi="Arial" w:cs="Arial"/>
          <w:szCs w:val="23"/>
          <w:lang w:val="fr-CA"/>
        </w:rPr>
      </w:pPr>
    </w:p>
    <w:p w14:paraId="521B9D10" w14:textId="6188BACA" w:rsidR="006A15B5" w:rsidRPr="003E0DDA" w:rsidRDefault="006A15B5" w:rsidP="006A15B5">
      <w:pPr>
        <w:numPr>
          <w:ilvl w:val="1"/>
          <w:numId w:val="57"/>
        </w:numPr>
        <w:ind w:hanging="720"/>
        <w:contextualSpacing/>
        <w:rPr>
          <w:rFonts w:ascii="Arial" w:eastAsia="Arial" w:hAnsi="Arial" w:cs="Arial"/>
          <w:szCs w:val="23"/>
          <w:lang w:val="fr-CA"/>
        </w:rPr>
      </w:pPr>
      <w:r w:rsidRPr="003E0DDA">
        <w:rPr>
          <w:rFonts w:ascii="Arial" w:eastAsia="Arial" w:hAnsi="Arial" w:cs="Arial"/>
          <w:szCs w:val="23"/>
          <w:lang w:val="fr-CA"/>
        </w:rPr>
        <w:t>« </w:t>
      </w:r>
      <w:r w:rsidRPr="003E0DDA">
        <w:rPr>
          <w:rFonts w:ascii="Arial" w:eastAsia="Arial" w:hAnsi="Arial" w:cs="Arial"/>
          <w:b/>
          <w:bCs/>
          <w:szCs w:val="23"/>
          <w:lang w:val="fr-CA"/>
        </w:rPr>
        <w:t>Type d’exception</w:t>
      </w:r>
      <w:r w:rsidRPr="003E0DDA">
        <w:rPr>
          <w:rFonts w:ascii="Arial" w:eastAsia="Arial" w:hAnsi="Arial" w:cs="Arial"/>
          <w:szCs w:val="23"/>
          <w:lang w:val="fr-CA"/>
        </w:rPr>
        <w:t> » précise les obligations mentionnées à l’article 900.1 ou à l’article 900.2 à l’égard desquelles une exception est inscrite;</w:t>
      </w:r>
    </w:p>
    <w:p w14:paraId="086541C3" w14:textId="77777777" w:rsidR="006A15B5" w:rsidRPr="003E0DDA" w:rsidRDefault="006A15B5" w:rsidP="006A15B5">
      <w:pPr>
        <w:ind w:left="1440" w:hanging="720"/>
        <w:contextualSpacing/>
        <w:rPr>
          <w:rFonts w:ascii="Arial" w:eastAsia="Arial" w:hAnsi="Arial" w:cs="Arial"/>
          <w:szCs w:val="23"/>
          <w:lang w:val="fr-CA"/>
        </w:rPr>
      </w:pPr>
    </w:p>
    <w:p w14:paraId="2F988C3D" w14:textId="2897C2EF" w:rsidR="006A15B5" w:rsidRPr="003E0DDA" w:rsidRDefault="006A15B5" w:rsidP="006A15B5">
      <w:pPr>
        <w:numPr>
          <w:ilvl w:val="1"/>
          <w:numId w:val="57"/>
        </w:numPr>
        <w:ind w:hanging="720"/>
        <w:contextualSpacing/>
        <w:rPr>
          <w:rFonts w:ascii="Arial" w:eastAsia="Arial" w:hAnsi="Arial" w:cs="Arial"/>
          <w:szCs w:val="23"/>
          <w:lang w:val="fr-CA"/>
        </w:rPr>
      </w:pPr>
      <w:r w:rsidRPr="003E0DDA">
        <w:rPr>
          <w:rFonts w:ascii="Arial" w:eastAsia="Arial" w:hAnsi="Arial" w:cs="Arial"/>
          <w:szCs w:val="23"/>
          <w:lang w:val="fr-CA"/>
        </w:rPr>
        <w:t>« </w:t>
      </w:r>
      <w:r w:rsidRPr="003E0DDA">
        <w:rPr>
          <w:rFonts w:ascii="Arial" w:eastAsia="Arial" w:hAnsi="Arial" w:cs="Arial"/>
          <w:b/>
          <w:bCs/>
          <w:szCs w:val="23"/>
          <w:lang w:val="fr-CA"/>
        </w:rPr>
        <w:t>Mesures</w:t>
      </w:r>
      <w:r w:rsidRPr="003E0DDA">
        <w:rPr>
          <w:rFonts w:ascii="Arial" w:eastAsia="Arial" w:hAnsi="Arial" w:cs="Arial"/>
          <w:szCs w:val="23"/>
          <w:lang w:val="fr-CA"/>
        </w:rPr>
        <w:t> » dans le cas de l’annexe I de la partie VII (Listes des Parties) précise les lois, les règlements ou les autres mesures (subordonnés, le cas échéant, à l’élément « Description »), à l’égard desquels l’exception est inscrite. Une mesure mentionnée sous l’élément « Mesures » désigne la mesure telle que modifiée, reconduite ou renouvelée à la date d’entrée en vigueur. Nonobstant l’article 900.1 ou la conformité de la mesure subordonnée avec les obligations à l’égard desquelles l’exception est inscrite, l’exception comprendra aussi toute mesure subordonnée pouvant être adoptée ou maintenue en application de la mesure énumérée, à condition que la mesure subordonnée soit conforme à la mesure énumérée;</w:t>
      </w:r>
    </w:p>
    <w:p w14:paraId="0A48D50F" w14:textId="77777777" w:rsidR="006A15B5" w:rsidRPr="003E0DDA" w:rsidRDefault="006A15B5" w:rsidP="006A15B5">
      <w:pPr>
        <w:ind w:left="1440" w:hanging="720"/>
        <w:contextualSpacing/>
        <w:rPr>
          <w:rFonts w:ascii="Arial" w:eastAsia="Arial" w:hAnsi="Arial" w:cs="Arial"/>
          <w:szCs w:val="23"/>
          <w:lang w:val="fr-CA"/>
        </w:rPr>
      </w:pPr>
    </w:p>
    <w:p w14:paraId="27224C36" w14:textId="1F044FF3" w:rsidR="006A15B5" w:rsidRPr="009A780E" w:rsidRDefault="006A15B5" w:rsidP="006A15B5">
      <w:pPr>
        <w:numPr>
          <w:ilvl w:val="1"/>
          <w:numId w:val="57"/>
        </w:numPr>
        <w:ind w:hanging="720"/>
        <w:contextualSpacing/>
        <w:rPr>
          <w:rFonts w:ascii="Arial" w:eastAsia="Arial" w:hAnsi="Arial" w:cs="Arial"/>
          <w:szCs w:val="23"/>
          <w:lang w:val="fr-CA"/>
        </w:rPr>
      </w:pPr>
      <w:r w:rsidRPr="003E0DDA">
        <w:rPr>
          <w:rFonts w:ascii="Arial" w:eastAsia="Arial" w:hAnsi="Arial" w:cs="Arial"/>
          <w:szCs w:val="23"/>
          <w:lang w:val="fr-CA"/>
        </w:rPr>
        <w:t>« </w:t>
      </w:r>
      <w:r w:rsidRPr="003E0DDA">
        <w:rPr>
          <w:rFonts w:ascii="Arial" w:eastAsia="Arial" w:hAnsi="Arial" w:cs="Arial"/>
          <w:b/>
          <w:bCs/>
          <w:szCs w:val="23"/>
          <w:lang w:val="fr-CA"/>
        </w:rPr>
        <w:t>Description</w:t>
      </w:r>
      <w:r w:rsidRPr="003E0DDA">
        <w:rPr>
          <w:rFonts w:ascii="Arial" w:eastAsia="Arial" w:hAnsi="Arial" w:cs="Arial"/>
          <w:szCs w:val="23"/>
          <w:lang w:val="fr-CA"/>
        </w:rPr>
        <w:t> » dans le cas de l’annexe I de la partie VII (Listes des Parties), énonce les aspects non conformes de la mesure à l’égard de laquelle l’exception est inscrite et, dans le cas de l’annexe II de la partie VII, énonce les secteurs, sous-secteurs ou activités visés par l’exception.</w:t>
      </w:r>
    </w:p>
    <w:p w14:paraId="6A341A18" w14:textId="77777777" w:rsidR="009832DD" w:rsidRPr="009A780E" w:rsidRDefault="009832DD" w:rsidP="009832DD">
      <w:pPr>
        <w:contextualSpacing/>
        <w:rPr>
          <w:rFonts w:ascii="Arial" w:eastAsia="Arial" w:hAnsi="Arial" w:cs="Arial"/>
          <w:szCs w:val="23"/>
          <w:lang w:val="fr-CA"/>
        </w:rPr>
      </w:pPr>
    </w:p>
    <w:p w14:paraId="1E02093A" w14:textId="2DD6A8EE" w:rsidR="009832DD" w:rsidRPr="009A780E" w:rsidRDefault="009832DD" w:rsidP="009A780E">
      <w:pPr>
        <w:widowControl w:val="0"/>
        <w:tabs>
          <w:tab w:val="left" w:pos="720"/>
          <w:tab w:val="left" w:pos="1440"/>
          <w:tab w:val="left" w:pos="2160"/>
          <w:tab w:val="left" w:pos="2880"/>
        </w:tabs>
        <w:autoSpaceDE w:val="0"/>
        <w:autoSpaceDN w:val="0"/>
        <w:adjustRightInd w:val="0"/>
        <w:rPr>
          <w:rFonts w:ascii="Arial" w:eastAsia="Arial" w:hAnsi="Arial" w:cs="Arial"/>
          <w:bCs/>
          <w:szCs w:val="23"/>
          <w:lang w:val="fr-CA"/>
        </w:rPr>
      </w:pPr>
      <w:r w:rsidRPr="009A780E">
        <w:rPr>
          <w:rFonts w:ascii="Arial" w:eastAsia="Arial" w:hAnsi="Arial" w:cs="Arial"/>
          <w:bCs/>
          <w:szCs w:val="23"/>
          <w:lang w:val="fr-CA"/>
        </w:rPr>
        <w:t>4.</w:t>
      </w:r>
      <w:r w:rsidRPr="009A780E">
        <w:rPr>
          <w:rFonts w:ascii="Arial" w:eastAsia="Arial" w:hAnsi="Arial" w:cs="Arial"/>
          <w:bCs/>
          <w:szCs w:val="23"/>
          <w:lang w:val="fr-CA"/>
        </w:rPr>
        <w:tab/>
      </w:r>
      <w:bookmarkStart w:id="85" w:name="lt_pId050"/>
      <w:r w:rsidRPr="009A780E">
        <w:rPr>
          <w:rFonts w:ascii="Arial" w:eastAsia="Times New Roman" w:hAnsi="Arial" w:cs="Arial"/>
          <w:szCs w:val="23"/>
          <w:lang w:val="fr-CA"/>
        </w:rPr>
        <w:t>Nonobstant le paragraphe 3 (c), pour les fins des exceptions des Parties en matière de cannabis</w:t>
      </w:r>
      <w:r w:rsidRPr="009A780E">
        <w:rPr>
          <w:rFonts w:ascii="Arial" w:eastAsia="Arial" w:hAnsi="Arial" w:cs="Arial"/>
          <w:bCs/>
          <w:szCs w:val="23"/>
          <w:lang w:val="fr-CA"/>
        </w:rPr>
        <w:t xml:space="preserve">, ou toute modification ultérieure de celles-ci, la liste suivante est la liste des codes se rapportant au cannabis qui ont été et sont utilisés exclusivement dans les </w:t>
      </w:r>
      <w:proofErr w:type="gramStart"/>
      <w:r w:rsidRPr="009A780E">
        <w:rPr>
          <w:rFonts w:ascii="Arial" w:eastAsia="Arial" w:hAnsi="Arial" w:cs="Arial"/>
          <w:bCs/>
          <w:szCs w:val="23"/>
          <w:lang w:val="fr-CA"/>
        </w:rPr>
        <w:t>éléments  «</w:t>
      </w:r>
      <w:proofErr w:type="gramEnd"/>
      <w:r w:rsidRPr="009A780E">
        <w:rPr>
          <w:rFonts w:ascii="Arial" w:eastAsia="Arial" w:hAnsi="Arial" w:cs="Arial"/>
          <w:bCs/>
          <w:szCs w:val="23"/>
          <w:lang w:val="fr-CA"/>
        </w:rPr>
        <w:t> Classification de l’industrie » et « Sous-secteur » :</w:t>
      </w:r>
      <w:bookmarkEnd w:id="85"/>
      <w:r w:rsidRPr="009A780E">
        <w:rPr>
          <w:rFonts w:ascii="Arial" w:eastAsia="Arial" w:hAnsi="Arial" w:cs="Arial"/>
          <w:bCs/>
          <w:szCs w:val="23"/>
          <w:lang w:val="fr-CA"/>
        </w:rPr>
        <w:t xml:space="preserve"> </w:t>
      </w:r>
    </w:p>
    <w:p w14:paraId="4F28C5DE" w14:textId="77777777" w:rsidR="009832DD" w:rsidRPr="009A780E" w:rsidRDefault="009832DD" w:rsidP="009832DD">
      <w:pPr>
        <w:ind w:left="851"/>
        <w:jc w:val="both"/>
        <w:rPr>
          <w:rFonts w:ascii="Arial" w:eastAsia="Arial" w:hAnsi="Arial" w:cs="Arial"/>
          <w:bCs/>
          <w:szCs w:val="23"/>
          <w:lang w:val="fr-CA"/>
        </w:rPr>
      </w:pPr>
    </w:p>
    <w:p w14:paraId="6A3BC0A5" w14:textId="77777777" w:rsidR="009832DD" w:rsidRPr="009A780E" w:rsidRDefault="009832DD" w:rsidP="009832DD">
      <w:pPr>
        <w:spacing w:after="160" w:line="259" w:lineRule="auto"/>
        <w:ind w:left="851"/>
        <w:rPr>
          <w:rFonts w:ascii="Arial" w:eastAsia="Arial" w:hAnsi="Arial" w:cs="Arial"/>
          <w:szCs w:val="23"/>
          <w:lang w:val="fr-CA"/>
        </w:rPr>
      </w:pPr>
      <w:bookmarkStart w:id="86" w:name="lt_pId051"/>
      <w:r w:rsidRPr="009A780E">
        <w:rPr>
          <w:rFonts w:ascii="Arial" w:eastAsia="Arial" w:hAnsi="Arial" w:cs="Arial"/>
          <w:b/>
          <w:szCs w:val="23"/>
          <w:lang w:val="fr-CA"/>
        </w:rPr>
        <w:lastRenderedPageBreak/>
        <w:t>A</w:t>
      </w:r>
      <w:r w:rsidRPr="009A780E">
        <w:rPr>
          <w:rFonts w:ascii="Arial" w:eastAsia="Arial" w:hAnsi="Arial" w:cs="Arial"/>
          <w:szCs w:val="23"/>
          <w:lang w:val="fr-CA"/>
        </w:rPr>
        <w:t xml:space="preserve"> – Cannabis.</w:t>
      </w:r>
      <w:bookmarkEnd w:id="86"/>
      <w:r w:rsidRPr="009A780E">
        <w:rPr>
          <w:rFonts w:ascii="Arial" w:eastAsia="Arial" w:hAnsi="Arial" w:cs="Arial"/>
          <w:szCs w:val="23"/>
          <w:lang w:val="fr-CA"/>
        </w:rPr>
        <w:t xml:space="preserve"> </w:t>
      </w:r>
    </w:p>
    <w:p w14:paraId="115A6278" w14:textId="77777777" w:rsidR="009832DD" w:rsidRPr="009A780E" w:rsidRDefault="009832DD" w:rsidP="009832DD">
      <w:pPr>
        <w:spacing w:after="160" w:line="259" w:lineRule="auto"/>
        <w:ind w:left="851"/>
        <w:rPr>
          <w:rFonts w:ascii="Arial" w:eastAsia="Arial" w:hAnsi="Arial" w:cs="Arial"/>
          <w:szCs w:val="23"/>
          <w:lang w:val="fr-CA"/>
        </w:rPr>
      </w:pPr>
      <w:bookmarkStart w:id="87" w:name="lt_pId052"/>
      <w:r w:rsidRPr="009A780E">
        <w:rPr>
          <w:rFonts w:ascii="Arial" w:eastAsia="Arial" w:hAnsi="Arial" w:cs="Arial"/>
          <w:b/>
          <w:szCs w:val="23"/>
          <w:lang w:val="fr-CA"/>
        </w:rPr>
        <w:t>B</w:t>
      </w:r>
      <w:r w:rsidRPr="009A780E">
        <w:rPr>
          <w:rFonts w:ascii="Arial" w:eastAsia="Arial" w:hAnsi="Arial" w:cs="Arial"/>
          <w:szCs w:val="23"/>
          <w:lang w:val="fr-CA"/>
        </w:rPr>
        <w:t xml:space="preserve"> – Services auxiliaires à la production de plantes de cannabis.</w:t>
      </w:r>
      <w:bookmarkEnd w:id="87"/>
      <w:r w:rsidRPr="009A780E">
        <w:rPr>
          <w:rFonts w:ascii="Arial" w:eastAsia="Arial" w:hAnsi="Arial" w:cs="Arial"/>
          <w:szCs w:val="23"/>
          <w:lang w:val="fr-CA"/>
        </w:rPr>
        <w:t xml:space="preserve"> </w:t>
      </w:r>
    </w:p>
    <w:p w14:paraId="538057FB" w14:textId="77777777" w:rsidR="009832DD" w:rsidRPr="009A780E" w:rsidRDefault="009832DD" w:rsidP="009832DD">
      <w:pPr>
        <w:spacing w:after="160" w:line="259" w:lineRule="auto"/>
        <w:ind w:left="851"/>
        <w:rPr>
          <w:rFonts w:ascii="Arial" w:eastAsia="Arial" w:hAnsi="Arial" w:cs="Arial"/>
          <w:szCs w:val="23"/>
          <w:lang w:val="fr-CA"/>
        </w:rPr>
      </w:pPr>
      <w:bookmarkStart w:id="88" w:name="lt_pId053"/>
      <w:r w:rsidRPr="009A780E">
        <w:rPr>
          <w:rFonts w:ascii="Arial" w:eastAsia="Arial" w:hAnsi="Arial" w:cs="Arial"/>
          <w:b/>
          <w:szCs w:val="23"/>
          <w:lang w:val="fr-CA"/>
        </w:rPr>
        <w:t xml:space="preserve">C </w:t>
      </w:r>
      <w:r w:rsidRPr="009A780E">
        <w:rPr>
          <w:rFonts w:ascii="Arial" w:eastAsia="Arial" w:hAnsi="Arial" w:cs="Arial"/>
          <w:szCs w:val="23"/>
          <w:lang w:val="fr-CA"/>
        </w:rPr>
        <w:t>– Fabrication du cannabis.</w:t>
      </w:r>
      <w:bookmarkEnd w:id="88"/>
      <w:r w:rsidRPr="009A780E">
        <w:rPr>
          <w:rFonts w:ascii="Arial" w:eastAsia="Arial" w:hAnsi="Arial" w:cs="Arial"/>
          <w:szCs w:val="23"/>
          <w:lang w:val="fr-CA"/>
        </w:rPr>
        <w:t xml:space="preserve"> </w:t>
      </w:r>
    </w:p>
    <w:p w14:paraId="7DBC0F79" w14:textId="77777777" w:rsidR="009832DD" w:rsidRPr="009A780E" w:rsidRDefault="009832DD" w:rsidP="009832DD">
      <w:pPr>
        <w:spacing w:after="160" w:line="259" w:lineRule="auto"/>
        <w:ind w:left="851"/>
        <w:rPr>
          <w:rFonts w:ascii="Arial" w:eastAsia="Arial" w:hAnsi="Arial" w:cs="Arial"/>
          <w:szCs w:val="23"/>
          <w:lang w:val="fr-CA"/>
        </w:rPr>
      </w:pPr>
      <w:bookmarkStart w:id="89" w:name="lt_pId054"/>
      <w:bookmarkStart w:id="90" w:name="_Hlk57195492"/>
      <w:r w:rsidRPr="009A780E">
        <w:rPr>
          <w:rFonts w:ascii="Arial" w:eastAsia="Arial" w:hAnsi="Arial" w:cs="Arial"/>
          <w:b/>
          <w:szCs w:val="23"/>
          <w:lang w:val="fr-CA"/>
        </w:rPr>
        <w:t>D</w:t>
      </w:r>
      <w:r w:rsidRPr="009A780E">
        <w:rPr>
          <w:rFonts w:ascii="Arial" w:eastAsia="Arial" w:hAnsi="Arial" w:cs="Arial"/>
          <w:szCs w:val="23"/>
          <w:lang w:val="fr-CA"/>
        </w:rPr>
        <w:t xml:space="preserve"> – Services de commerce de gros, y compris à forfait ou sous contrat.</w:t>
      </w:r>
      <w:bookmarkEnd w:id="89"/>
    </w:p>
    <w:p w14:paraId="32AA8640" w14:textId="77777777" w:rsidR="009832DD" w:rsidRPr="009A780E" w:rsidRDefault="009832DD" w:rsidP="009832DD">
      <w:pPr>
        <w:spacing w:after="160" w:line="259" w:lineRule="auto"/>
        <w:ind w:left="851"/>
        <w:rPr>
          <w:rFonts w:ascii="Arial" w:eastAsia="Arial" w:hAnsi="Arial" w:cs="Arial"/>
          <w:szCs w:val="23"/>
          <w:lang w:val="fr-CA"/>
        </w:rPr>
      </w:pPr>
      <w:bookmarkStart w:id="91" w:name="lt_pId055"/>
      <w:r w:rsidRPr="009A780E">
        <w:rPr>
          <w:rFonts w:ascii="Arial" w:eastAsia="Arial" w:hAnsi="Arial" w:cs="Arial"/>
          <w:b/>
          <w:szCs w:val="23"/>
          <w:lang w:val="fr-CA"/>
        </w:rPr>
        <w:t>E</w:t>
      </w:r>
      <w:r w:rsidRPr="009A780E">
        <w:rPr>
          <w:rFonts w:ascii="Arial" w:eastAsia="Arial" w:hAnsi="Arial" w:cs="Arial"/>
          <w:szCs w:val="23"/>
          <w:lang w:val="fr-CA"/>
        </w:rPr>
        <w:t xml:space="preserve"> – Services de détail, y compris à forfait ou sous contrat.</w:t>
      </w:r>
      <w:bookmarkEnd w:id="91"/>
    </w:p>
    <w:p w14:paraId="52ED114D" w14:textId="77777777" w:rsidR="009832DD" w:rsidRPr="009A780E" w:rsidRDefault="009832DD" w:rsidP="009832DD">
      <w:pPr>
        <w:spacing w:after="160" w:line="259" w:lineRule="auto"/>
        <w:ind w:left="851"/>
        <w:rPr>
          <w:rFonts w:ascii="Arial" w:eastAsia="Arial" w:hAnsi="Arial" w:cs="Arial"/>
          <w:szCs w:val="23"/>
          <w:lang w:val="fr-CA"/>
        </w:rPr>
      </w:pPr>
      <w:bookmarkStart w:id="92" w:name="lt_pId056"/>
      <w:r w:rsidRPr="009A780E">
        <w:rPr>
          <w:rFonts w:ascii="Arial" w:eastAsia="Arial" w:hAnsi="Arial" w:cs="Arial"/>
          <w:b/>
          <w:szCs w:val="23"/>
          <w:lang w:val="fr-CA"/>
        </w:rPr>
        <w:t>F</w:t>
      </w:r>
      <w:r w:rsidRPr="009A780E">
        <w:rPr>
          <w:rFonts w:ascii="Arial" w:eastAsia="Arial" w:hAnsi="Arial" w:cs="Arial"/>
          <w:szCs w:val="23"/>
          <w:lang w:val="fr-CA"/>
        </w:rPr>
        <w:t xml:space="preserve"> – Tous les autres services </w:t>
      </w:r>
      <w:r w:rsidRPr="009A780E">
        <w:rPr>
          <w:rFonts w:ascii="Arial" w:eastAsia="Times New Roman" w:hAnsi="Arial" w:cs="Arial"/>
          <w:szCs w:val="23"/>
          <w:lang w:val="fr-CA"/>
        </w:rPr>
        <w:t xml:space="preserve">en matière de </w:t>
      </w:r>
      <w:r w:rsidRPr="009A780E">
        <w:rPr>
          <w:rFonts w:ascii="Arial" w:eastAsia="Arial" w:hAnsi="Arial" w:cs="Arial"/>
          <w:szCs w:val="23"/>
          <w:lang w:val="fr-CA"/>
        </w:rPr>
        <w:t>cannabis qui ne sont pas visés par B, C, D et E.</w:t>
      </w:r>
      <w:bookmarkEnd w:id="92"/>
      <w:r w:rsidRPr="009A780E">
        <w:rPr>
          <w:rFonts w:ascii="Arial" w:eastAsia="Arial" w:hAnsi="Arial" w:cs="Arial"/>
          <w:szCs w:val="23"/>
          <w:lang w:val="fr-CA"/>
        </w:rPr>
        <w:t xml:space="preserve">  </w:t>
      </w:r>
    </w:p>
    <w:p w14:paraId="6BBD9ED2" w14:textId="77777777" w:rsidR="009832DD" w:rsidRPr="009A780E" w:rsidRDefault="009832DD" w:rsidP="009832DD">
      <w:pPr>
        <w:spacing w:after="160" w:line="259" w:lineRule="auto"/>
        <w:ind w:left="851"/>
        <w:rPr>
          <w:rFonts w:ascii="Arial" w:eastAsia="Arial" w:hAnsi="Arial" w:cs="Arial"/>
          <w:szCs w:val="23"/>
          <w:lang w:val="fr-CA"/>
        </w:rPr>
      </w:pPr>
      <w:bookmarkStart w:id="93" w:name="lt_pId057"/>
      <w:r w:rsidRPr="009A780E">
        <w:rPr>
          <w:rFonts w:ascii="Arial" w:eastAsia="Arial" w:hAnsi="Arial" w:cs="Arial"/>
          <w:b/>
          <w:szCs w:val="23"/>
          <w:lang w:val="fr-CA"/>
        </w:rPr>
        <w:t xml:space="preserve">G – </w:t>
      </w:r>
      <w:r w:rsidRPr="009A780E">
        <w:rPr>
          <w:rFonts w:ascii="Arial" w:eastAsia="Arial" w:hAnsi="Arial" w:cs="Arial"/>
          <w:szCs w:val="23"/>
          <w:lang w:val="fr-CA"/>
        </w:rPr>
        <w:t>Accessoires de cannabis</w:t>
      </w:r>
      <w:bookmarkEnd w:id="90"/>
      <w:bookmarkEnd w:id="93"/>
      <w:r w:rsidRPr="009A780E">
        <w:rPr>
          <w:rFonts w:ascii="Arial" w:eastAsia="Arial" w:hAnsi="Arial" w:cs="Arial"/>
          <w:szCs w:val="23"/>
          <w:lang w:val="fr-CA"/>
        </w:rPr>
        <w:t>.</w:t>
      </w:r>
    </w:p>
    <w:p w14:paraId="6482D50C" w14:textId="77777777" w:rsidR="009832DD" w:rsidRPr="009A780E" w:rsidRDefault="009832DD" w:rsidP="009832DD">
      <w:pPr>
        <w:widowControl w:val="0"/>
        <w:tabs>
          <w:tab w:val="left" w:pos="720"/>
          <w:tab w:val="left" w:pos="1440"/>
          <w:tab w:val="left" w:pos="2160"/>
          <w:tab w:val="left" w:pos="2880"/>
        </w:tabs>
        <w:autoSpaceDE w:val="0"/>
        <w:autoSpaceDN w:val="0"/>
        <w:adjustRightInd w:val="0"/>
        <w:spacing w:after="240"/>
        <w:ind w:left="850"/>
        <w:rPr>
          <w:rFonts w:ascii="Arial" w:eastAsia="Arial" w:hAnsi="Arial" w:cs="Arial"/>
          <w:bCs/>
          <w:szCs w:val="23"/>
          <w:lang w:val="fr-CA"/>
        </w:rPr>
      </w:pPr>
      <w:bookmarkStart w:id="94" w:name="lt_pId058"/>
      <w:r w:rsidRPr="009A780E">
        <w:rPr>
          <w:rFonts w:ascii="Arial" w:eastAsia="Arial" w:hAnsi="Arial" w:cs="Arial"/>
          <w:bCs/>
          <w:szCs w:val="23"/>
          <w:lang w:val="fr-CA"/>
        </w:rPr>
        <w:t>Aux fins de l’interprétation des exceptions des Parties</w:t>
      </w:r>
      <w:r w:rsidRPr="009A780E" w:rsidDel="00225690">
        <w:rPr>
          <w:rFonts w:ascii="Arial" w:eastAsia="Arial" w:hAnsi="Arial" w:cs="Arial"/>
          <w:bCs/>
          <w:szCs w:val="23"/>
          <w:lang w:val="fr-CA"/>
        </w:rPr>
        <w:t xml:space="preserve"> </w:t>
      </w:r>
      <w:r w:rsidRPr="009A780E">
        <w:rPr>
          <w:rFonts w:ascii="Arial" w:eastAsia="Arial" w:hAnsi="Arial" w:cs="Arial"/>
          <w:bCs/>
          <w:szCs w:val="23"/>
          <w:lang w:val="fr-CA"/>
        </w:rPr>
        <w:t xml:space="preserve">en matière de cannabis, l’intention des Parties est que la liste ci-dessus constitue une liste exhaustive de tous les codes relatifs au cannabis, nonobstant tout développement futur concernant la classification du cannabis ou </w:t>
      </w:r>
      <w:r w:rsidRPr="009A780E">
        <w:rPr>
          <w:rFonts w:ascii="Arial" w:eastAsia="Arial" w:hAnsi="Arial" w:cs="Arial"/>
          <w:szCs w:val="23"/>
          <w:lang w:val="fr-CA"/>
        </w:rPr>
        <w:t>des accessoires de cannabis dans</w:t>
      </w:r>
      <w:r w:rsidRPr="009A780E">
        <w:rPr>
          <w:rFonts w:ascii="Arial" w:eastAsia="Arial" w:hAnsi="Arial" w:cs="Arial"/>
          <w:bCs/>
          <w:szCs w:val="23"/>
          <w:lang w:val="fr-CA"/>
        </w:rPr>
        <w:t xml:space="preserve"> le Système harmonisé de désignation et de codification des marchandises. »</w:t>
      </w:r>
      <w:bookmarkEnd w:id="94"/>
    </w:p>
    <w:p w14:paraId="02D7191A" w14:textId="77777777" w:rsidR="009832DD" w:rsidRPr="003E0DDA" w:rsidRDefault="009832DD" w:rsidP="009A780E">
      <w:pPr>
        <w:contextualSpacing/>
        <w:rPr>
          <w:rFonts w:ascii="Arial" w:eastAsia="Arial" w:hAnsi="Arial" w:cs="Arial"/>
          <w:szCs w:val="23"/>
          <w:lang w:val="fr-CA"/>
        </w:rPr>
      </w:pPr>
    </w:p>
    <w:p w14:paraId="483CD038" w14:textId="56D7642A" w:rsidR="006A15B5" w:rsidRPr="003E0DDA" w:rsidRDefault="009832DD" w:rsidP="009A780E">
      <w:pPr>
        <w:contextualSpacing/>
        <w:rPr>
          <w:rFonts w:ascii="Arial" w:eastAsia="Arial" w:hAnsi="Arial" w:cs="Arial"/>
          <w:szCs w:val="23"/>
          <w:lang w:val="fr-CA"/>
        </w:rPr>
      </w:pPr>
      <w:r>
        <w:rPr>
          <w:rFonts w:ascii="Arial" w:eastAsia="Arial" w:hAnsi="Arial" w:cs="Arial"/>
          <w:szCs w:val="23"/>
          <w:lang w:val="fr-CA"/>
        </w:rPr>
        <w:t>5.</w:t>
      </w:r>
      <w:r>
        <w:rPr>
          <w:rFonts w:ascii="Arial" w:eastAsia="Arial" w:hAnsi="Arial" w:cs="Arial"/>
          <w:szCs w:val="23"/>
          <w:lang w:val="fr-CA"/>
        </w:rPr>
        <w:tab/>
      </w:r>
      <w:r w:rsidR="006A15B5" w:rsidRPr="003E0DDA">
        <w:rPr>
          <w:rFonts w:ascii="Arial" w:eastAsia="Arial" w:hAnsi="Arial" w:cs="Arial"/>
          <w:szCs w:val="23"/>
          <w:lang w:val="fr-CA"/>
        </w:rPr>
        <w:t>L’interprétation d’une exception tient compte de tous ses éléments et :</w:t>
      </w:r>
    </w:p>
    <w:p w14:paraId="600CC258" w14:textId="77777777" w:rsidR="006A15B5" w:rsidRPr="003E0DDA" w:rsidRDefault="006A15B5" w:rsidP="0015303D">
      <w:pPr>
        <w:ind w:left="1440"/>
        <w:contextualSpacing/>
        <w:rPr>
          <w:rFonts w:ascii="Arial" w:eastAsia="Arial" w:hAnsi="Arial" w:cs="Arial"/>
          <w:szCs w:val="23"/>
          <w:lang w:val="fr-CA"/>
        </w:rPr>
      </w:pPr>
    </w:p>
    <w:p w14:paraId="6488872D" w14:textId="07E78A3A" w:rsidR="006A15B5" w:rsidRPr="003E0DDA" w:rsidRDefault="006A15B5" w:rsidP="006A15B5">
      <w:pPr>
        <w:numPr>
          <w:ilvl w:val="1"/>
          <w:numId w:val="80"/>
        </w:numPr>
        <w:ind w:hanging="720"/>
        <w:contextualSpacing/>
        <w:rPr>
          <w:rFonts w:ascii="Arial" w:eastAsia="Arial" w:hAnsi="Arial" w:cs="Arial"/>
          <w:szCs w:val="23"/>
          <w:lang w:val="fr-CA"/>
        </w:rPr>
      </w:pPr>
      <w:proofErr w:type="gramStart"/>
      <w:r w:rsidRPr="003E0DDA">
        <w:rPr>
          <w:rFonts w:ascii="Arial" w:eastAsia="Arial" w:hAnsi="Arial" w:cs="Arial"/>
          <w:szCs w:val="23"/>
          <w:lang w:val="fr-CA"/>
        </w:rPr>
        <w:t>l’interprétation</w:t>
      </w:r>
      <w:proofErr w:type="gramEnd"/>
      <w:r w:rsidRPr="003E0DDA">
        <w:rPr>
          <w:rFonts w:ascii="Arial" w:eastAsia="Arial" w:hAnsi="Arial" w:cs="Arial"/>
          <w:szCs w:val="23"/>
          <w:lang w:val="fr-CA"/>
        </w:rPr>
        <w:t xml:space="preserve"> de l’exception se fait à la lumière des obligations pertinentes à l’égard desquelles l’exception est inscrite;</w:t>
      </w:r>
    </w:p>
    <w:p w14:paraId="64B6C80D" w14:textId="77777777" w:rsidR="006A15B5" w:rsidRPr="003E0DDA" w:rsidRDefault="006A15B5" w:rsidP="006A15B5">
      <w:pPr>
        <w:ind w:left="1440" w:hanging="720"/>
        <w:contextualSpacing/>
        <w:rPr>
          <w:rFonts w:ascii="Arial" w:eastAsia="Arial" w:hAnsi="Arial" w:cs="Arial"/>
          <w:szCs w:val="23"/>
          <w:lang w:val="fr-CA"/>
        </w:rPr>
      </w:pPr>
    </w:p>
    <w:p w14:paraId="53257A7B" w14:textId="3CDC3E78" w:rsidR="006A15B5" w:rsidRPr="003E0DDA" w:rsidRDefault="006A15B5" w:rsidP="006A15B5">
      <w:pPr>
        <w:numPr>
          <w:ilvl w:val="1"/>
          <w:numId w:val="80"/>
        </w:numPr>
        <w:ind w:hanging="720"/>
        <w:contextualSpacing/>
        <w:rPr>
          <w:rFonts w:ascii="Arial" w:eastAsia="Arial" w:hAnsi="Arial" w:cs="Arial"/>
          <w:szCs w:val="23"/>
          <w:lang w:val="fr-CA"/>
        </w:rPr>
      </w:pPr>
      <w:proofErr w:type="gramStart"/>
      <w:r w:rsidRPr="003E0DDA">
        <w:rPr>
          <w:rFonts w:ascii="Arial" w:eastAsia="Arial" w:hAnsi="Arial" w:cs="Arial"/>
          <w:szCs w:val="23"/>
          <w:lang w:val="fr-CA"/>
        </w:rPr>
        <w:t>dans</w:t>
      </w:r>
      <w:proofErr w:type="gramEnd"/>
      <w:r w:rsidRPr="003E0DDA">
        <w:rPr>
          <w:rFonts w:ascii="Arial" w:eastAsia="Arial" w:hAnsi="Arial" w:cs="Arial"/>
          <w:szCs w:val="23"/>
          <w:lang w:val="fr-CA"/>
        </w:rPr>
        <w:t xml:space="preserve"> le cas d’une exception à l’annexe I de la partie VII (Listes des Parties), l’élément « Mesures » l’emporte sur tous les autres éléments, à moins d’une incompatibilité si importante et matérielle entre l’élément « </w:t>
      </w:r>
      <w:r w:rsidRPr="003E0DDA">
        <w:rPr>
          <w:rFonts w:ascii="Arial" w:eastAsia="Arial" w:hAnsi="Arial" w:cs="Arial"/>
          <w:bCs/>
          <w:szCs w:val="23"/>
          <w:lang w:val="fr-CA"/>
        </w:rPr>
        <w:t>Mesures »</w:t>
      </w:r>
      <w:r w:rsidRPr="003E0DDA">
        <w:rPr>
          <w:rFonts w:ascii="Arial" w:eastAsia="Arial" w:hAnsi="Arial" w:cs="Arial"/>
          <w:szCs w:val="23"/>
          <w:lang w:val="fr-CA"/>
        </w:rPr>
        <w:t xml:space="preserve"> et les autres éléments pris dans leur ensemble qu’il ne serait pas raisonnable de conclure que l’élément « </w:t>
      </w:r>
      <w:r w:rsidRPr="003E0DDA">
        <w:rPr>
          <w:rFonts w:ascii="Arial" w:eastAsia="Arial" w:hAnsi="Arial" w:cs="Arial"/>
          <w:bCs/>
          <w:szCs w:val="23"/>
          <w:lang w:val="fr-CA"/>
        </w:rPr>
        <w:t>Mesures</w:t>
      </w:r>
      <w:r w:rsidRPr="003E0DDA">
        <w:rPr>
          <w:rFonts w:ascii="Arial" w:eastAsia="Arial" w:hAnsi="Arial" w:cs="Arial"/>
          <w:szCs w:val="23"/>
          <w:lang w:val="fr-CA"/>
        </w:rPr>
        <w:t> » devrait l’emporter, auquel cas les autres éléments l’emportent dans la mesure de l’incompatibilité;</w:t>
      </w:r>
    </w:p>
    <w:p w14:paraId="5FD89FC4" w14:textId="77777777" w:rsidR="006A15B5" w:rsidRPr="003E0DDA" w:rsidRDefault="006A15B5" w:rsidP="006A15B5">
      <w:pPr>
        <w:ind w:left="1440" w:hanging="720"/>
        <w:contextualSpacing/>
        <w:rPr>
          <w:rFonts w:ascii="Arial" w:eastAsia="Arial" w:hAnsi="Arial" w:cs="Arial"/>
          <w:szCs w:val="23"/>
          <w:lang w:val="fr-CA"/>
        </w:rPr>
      </w:pPr>
    </w:p>
    <w:p w14:paraId="14760F4D" w14:textId="2BC73856" w:rsidR="006A15B5" w:rsidRPr="003E0DDA" w:rsidRDefault="006A15B5" w:rsidP="006A15B5">
      <w:pPr>
        <w:numPr>
          <w:ilvl w:val="1"/>
          <w:numId w:val="80"/>
        </w:numPr>
        <w:ind w:hanging="720"/>
        <w:contextualSpacing/>
        <w:rPr>
          <w:rFonts w:ascii="Arial" w:eastAsia="Arial" w:hAnsi="Arial" w:cs="Arial"/>
          <w:szCs w:val="23"/>
          <w:lang w:val="fr-CA"/>
        </w:rPr>
      </w:pPr>
      <w:proofErr w:type="gramStart"/>
      <w:r w:rsidRPr="003E0DDA">
        <w:rPr>
          <w:rFonts w:ascii="Arial" w:eastAsia="Arial" w:hAnsi="Arial" w:cs="Arial"/>
          <w:szCs w:val="23"/>
          <w:lang w:val="fr-CA"/>
        </w:rPr>
        <w:t>dans</w:t>
      </w:r>
      <w:proofErr w:type="gramEnd"/>
      <w:r w:rsidRPr="003E0DDA">
        <w:rPr>
          <w:rFonts w:ascii="Arial" w:eastAsia="Arial" w:hAnsi="Arial" w:cs="Arial"/>
          <w:szCs w:val="23"/>
          <w:lang w:val="fr-CA"/>
        </w:rPr>
        <w:t xml:space="preserve"> le cas d’une exception à l’annexe II de la partie VII (Listes des Parties), l’élément « Description » l’emporte sur tous les autres éléments.</w:t>
      </w:r>
    </w:p>
    <w:p w14:paraId="1035C26F" w14:textId="77777777" w:rsidR="006A15B5" w:rsidRPr="003E0DDA" w:rsidRDefault="006A15B5" w:rsidP="0015303D">
      <w:pPr>
        <w:contextualSpacing/>
        <w:rPr>
          <w:rFonts w:ascii="Arial" w:eastAsia="Arial" w:hAnsi="Arial" w:cs="Arial"/>
          <w:szCs w:val="23"/>
          <w:lang w:val="fr-CA"/>
        </w:rPr>
      </w:pPr>
    </w:p>
    <w:p w14:paraId="7970DE68" w14:textId="4ED9E703" w:rsidR="006A15B5" w:rsidRPr="003E0DDA" w:rsidRDefault="009832DD" w:rsidP="009A780E">
      <w:pPr>
        <w:contextualSpacing/>
        <w:rPr>
          <w:rFonts w:ascii="Arial" w:eastAsia="Arial" w:hAnsi="Arial" w:cs="Arial"/>
          <w:szCs w:val="23"/>
          <w:lang w:val="fr-CA"/>
        </w:rPr>
      </w:pPr>
      <w:r>
        <w:rPr>
          <w:rFonts w:ascii="Arial" w:eastAsia="Arial" w:hAnsi="Arial" w:cs="Arial"/>
          <w:szCs w:val="23"/>
          <w:lang w:val="fr-CA"/>
        </w:rPr>
        <w:t>6.</w:t>
      </w:r>
      <w:r>
        <w:rPr>
          <w:rFonts w:ascii="Arial" w:eastAsia="Arial" w:hAnsi="Arial" w:cs="Arial"/>
          <w:szCs w:val="23"/>
          <w:lang w:val="fr-CA"/>
        </w:rPr>
        <w:tab/>
      </w:r>
      <w:r w:rsidR="006A15B5" w:rsidRPr="003E0DDA">
        <w:rPr>
          <w:rFonts w:ascii="Arial" w:eastAsia="Arial" w:hAnsi="Arial" w:cs="Arial"/>
          <w:szCs w:val="23"/>
          <w:lang w:val="fr-CA"/>
        </w:rPr>
        <w:t xml:space="preserve">Il est entendu que les exceptions énoncées dans les listes d’une Partie </w:t>
      </w:r>
      <w:r w:rsidR="00457325" w:rsidRPr="003E0DDA">
        <w:rPr>
          <w:rFonts w:ascii="Arial" w:eastAsia="Arial" w:hAnsi="Arial" w:cs="Arial"/>
          <w:szCs w:val="23"/>
          <w:lang w:val="fr-CA"/>
        </w:rPr>
        <w:t>jointe</w:t>
      </w:r>
      <w:r w:rsidR="0032411B" w:rsidRPr="003E0DDA">
        <w:rPr>
          <w:rFonts w:ascii="Arial" w:eastAsia="Arial" w:hAnsi="Arial" w:cs="Arial"/>
          <w:szCs w:val="23"/>
          <w:lang w:val="fr-CA"/>
        </w:rPr>
        <w:t>s</w:t>
      </w:r>
      <w:r w:rsidR="00457325" w:rsidRPr="003E0DDA">
        <w:rPr>
          <w:rFonts w:ascii="Arial" w:eastAsia="Arial" w:hAnsi="Arial" w:cs="Arial"/>
          <w:szCs w:val="23"/>
          <w:lang w:val="fr-CA"/>
        </w:rPr>
        <w:t xml:space="preserve"> </w:t>
      </w:r>
      <w:r w:rsidR="006A15B5" w:rsidRPr="003E0DDA">
        <w:rPr>
          <w:rFonts w:ascii="Arial" w:eastAsia="Arial" w:hAnsi="Arial" w:cs="Arial"/>
          <w:szCs w:val="23"/>
          <w:lang w:val="fr-CA"/>
        </w:rPr>
        <w:t>à la partie VII (Listes des Parties) ne limitent pas la capacité d’une Partie d’adopter ou de maintenir toute mesure conformément au chapitre Huit (Exceptions générales).</w:t>
      </w:r>
    </w:p>
    <w:p w14:paraId="18C53C56" w14:textId="77777777" w:rsidR="009832DD" w:rsidRDefault="009832DD">
      <w:pPr>
        <w:rPr>
          <w:rFonts w:eastAsia="Times New Roman" w:cstheme="minorHAnsi"/>
          <w:szCs w:val="23"/>
          <w:lang w:val="fr-CA"/>
        </w:rPr>
      </w:pPr>
    </w:p>
    <w:p w14:paraId="346659EB" w14:textId="0E7EAEDD" w:rsidR="009832DD" w:rsidRPr="009A780E" w:rsidRDefault="009832DD" w:rsidP="009832DD">
      <w:pPr>
        <w:widowControl w:val="0"/>
        <w:tabs>
          <w:tab w:val="left" w:pos="720"/>
          <w:tab w:val="left" w:pos="1440"/>
          <w:tab w:val="left" w:pos="2160"/>
          <w:tab w:val="left" w:pos="2880"/>
        </w:tabs>
        <w:autoSpaceDE w:val="0"/>
        <w:autoSpaceDN w:val="0"/>
        <w:adjustRightInd w:val="0"/>
        <w:ind w:left="720"/>
        <w:rPr>
          <w:rFonts w:ascii="Arial" w:eastAsia="Arial" w:hAnsi="Arial" w:cs="Arial"/>
          <w:b/>
          <w:bCs/>
          <w:szCs w:val="23"/>
          <w:lang w:val="fr-CA"/>
        </w:rPr>
      </w:pPr>
      <w:r w:rsidRPr="009A780E">
        <w:rPr>
          <w:rFonts w:ascii="Arial" w:eastAsia="Arial" w:hAnsi="Arial" w:cs="Arial"/>
          <w:b/>
          <w:bCs/>
          <w:szCs w:val="23"/>
          <w:lang w:val="fr-CA"/>
        </w:rPr>
        <w:t xml:space="preserve">Article 902 : </w:t>
      </w:r>
      <w:r w:rsidRPr="009A780E">
        <w:rPr>
          <w:rFonts w:ascii="Arial" w:eastAsia="Arial" w:hAnsi="Arial" w:cs="Arial"/>
          <w:b/>
          <w:bCs/>
          <w:szCs w:val="23"/>
          <w:lang w:val="fr-CA"/>
        </w:rPr>
        <w:tab/>
      </w:r>
      <w:r w:rsidRPr="009A780E">
        <w:rPr>
          <w:rFonts w:ascii="Arial" w:eastAsia="Arial" w:hAnsi="Arial" w:cs="Arial"/>
          <w:b/>
          <w:bCs/>
          <w:szCs w:val="23"/>
          <w:lang w:val="fr-CA"/>
        </w:rPr>
        <w:tab/>
        <w:t>Exceptions propres aux Parties en matière de cannabis</w:t>
      </w:r>
    </w:p>
    <w:p w14:paraId="55944CE2" w14:textId="77777777" w:rsidR="009832DD" w:rsidRPr="009A780E" w:rsidRDefault="009832DD" w:rsidP="009832DD">
      <w:pPr>
        <w:widowControl w:val="0"/>
        <w:tabs>
          <w:tab w:val="left" w:pos="720"/>
          <w:tab w:val="left" w:pos="1440"/>
          <w:tab w:val="left" w:pos="2160"/>
          <w:tab w:val="left" w:pos="2880"/>
        </w:tabs>
        <w:autoSpaceDE w:val="0"/>
        <w:autoSpaceDN w:val="0"/>
        <w:adjustRightInd w:val="0"/>
        <w:ind w:left="720"/>
        <w:rPr>
          <w:rFonts w:ascii="Arial" w:eastAsia="Arial" w:hAnsi="Arial" w:cs="Arial"/>
          <w:bCs/>
          <w:szCs w:val="23"/>
          <w:lang w:val="fr-CA"/>
        </w:rPr>
      </w:pPr>
    </w:p>
    <w:p w14:paraId="35566301" w14:textId="5EED7DE4" w:rsidR="009832DD" w:rsidRPr="009A780E" w:rsidRDefault="009832DD" w:rsidP="009A780E">
      <w:pPr>
        <w:widowControl w:val="0"/>
        <w:tabs>
          <w:tab w:val="left" w:pos="720"/>
          <w:tab w:val="left" w:pos="1440"/>
          <w:tab w:val="left" w:pos="2160"/>
          <w:tab w:val="left" w:pos="2880"/>
        </w:tabs>
        <w:autoSpaceDE w:val="0"/>
        <w:autoSpaceDN w:val="0"/>
        <w:adjustRightInd w:val="0"/>
        <w:spacing w:after="240"/>
        <w:rPr>
          <w:rFonts w:ascii="Arial" w:eastAsia="Arial" w:hAnsi="Arial" w:cs="Arial"/>
          <w:bCs/>
          <w:szCs w:val="23"/>
          <w:lang w:val="fr-CA"/>
        </w:rPr>
      </w:pPr>
      <w:bookmarkStart w:id="95" w:name="lt_pId065"/>
      <w:r w:rsidRPr="009A780E">
        <w:rPr>
          <w:rFonts w:ascii="Arial" w:eastAsia="Arial" w:hAnsi="Arial" w:cs="Arial"/>
          <w:bCs/>
          <w:szCs w:val="23"/>
          <w:lang w:val="fr-CA"/>
        </w:rPr>
        <w:t>1.</w:t>
      </w:r>
      <w:r w:rsidRPr="009A780E">
        <w:rPr>
          <w:rFonts w:ascii="Arial" w:eastAsia="Arial" w:hAnsi="Arial" w:cs="Arial"/>
          <w:bCs/>
          <w:szCs w:val="23"/>
          <w:lang w:val="fr-CA"/>
        </w:rPr>
        <w:tab/>
        <w:t>Nonobstant l’article 121</w:t>
      </w:r>
      <w:r w:rsidR="00C20778" w:rsidRPr="009A780E">
        <w:rPr>
          <w:rFonts w:ascii="Arial" w:eastAsia="Arial" w:hAnsi="Arial" w:cs="Arial"/>
          <w:bCs/>
          <w:szCs w:val="23"/>
          <w:lang w:val="fr-CA"/>
        </w:rPr>
        <w:t>2</w:t>
      </w:r>
      <w:r w:rsidRPr="009A780E">
        <w:rPr>
          <w:rFonts w:ascii="Arial" w:eastAsia="Arial" w:hAnsi="Arial" w:cs="Arial"/>
          <w:bCs/>
          <w:szCs w:val="23"/>
          <w:lang w:val="fr-CA"/>
        </w:rPr>
        <w:t xml:space="preserve"> (Modifications) et l’article 121</w:t>
      </w:r>
      <w:r w:rsidR="00C20778" w:rsidRPr="009A780E">
        <w:rPr>
          <w:rFonts w:ascii="Arial" w:eastAsia="Arial" w:hAnsi="Arial" w:cs="Arial"/>
          <w:bCs/>
          <w:szCs w:val="23"/>
          <w:lang w:val="fr-CA"/>
        </w:rPr>
        <w:t>3</w:t>
      </w:r>
      <w:r w:rsidRPr="009A780E">
        <w:rPr>
          <w:rFonts w:ascii="Arial" w:eastAsia="Arial" w:hAnsi="Arial" w:cs="Arial"/>
          <w:bCs/>
          <w:szCs w:val="23"/>
          <w:lang w:val="fr-CA"/>
        </w:rPr>
        <w:t xml:space="preserve"> (Modifications des exceptions propres aux Parties), si une modification à la </w:t>
      </w:r>
      <w:r w:rsidRPr="009A780E">
        <w:rPr>
          <w:rFonts w:ascii="Arial" w:eastAsia="Arial" w:hAnsi="Arial" w:cs="Arial"/>
          <w:bCs/>
          <w:i/>
          <w:szCs w:val="23"/>
          <w:lang w:val="fr-CA"/>
        </w:rPr>
        <w:t>Loi sur le cannabis</w:t>
      </w:r>
      <w:r w:rsidRPr="009A780E">
        <w:rPr>
          <w:rFonts w:ascii="Arial" w:eastAsia="Arial" w:hAnsi="Arial" w:cs="Arial"/>
          <w:bCs/>
          <w:szCs w:val="23"/>
          <w:lang w:val="fr-CA"/>
        </w:rPr>
        <w:t xml:space="preserve"> (Canada), à la </w:t>
      </w:r>
      <w:r w:rsidRPr="009A780E">
        <w:rPr>
          <w:rFonts w:ascii="Arial" w:eastAsia="Arial" w:hAnsi="Arial" w:cs="Arial"/>
          <w:bCs/>
          <w:i/>
          <w:szCs w:val="23"/>
          <w:lang w:val="fr-CA"/>
        </w:rPr>
        <w:t xml:space="preserve">Loi sur les aliments et drogues </w:t>
      </w:r>
      <w:r w:rsidRPr="009A780E">
        <w:rPr>
          <w:rFonts w:ascii="Arial" w:eastAsia="Arial" w:hAnsi="Arial" w:cs="Arial"/>
          <w:bCs/>
          <w:szCs w:val="23"/>
          <w:lang w:val="fr-CA"/>
        </w:rPr>
        <w:t>(Canada) ou à  un règlement d’application de ces lois donne lieu à un resserrement de la définition du terme  « cannabis » ou du terme  « accessoire de cannabis », comme défini au chapitre Treize, les Parties peuvent modifier leurs exceptions en matière de cannabis inscrites à la partie VII, à condition qu’un avis d’intention de modifier les exceptions d’une Partie en matière de cannabis soit remis au Secrétariat dans les 60 jours suivant l’entrée en vigueur de la définition fédérale révisée.</w:t>
      </w:r>
      <w:bookmarkEnd w:id="95"/>
    </w:p>
    <w:p w14:paraId="4286CB03" w14:textId="4E20DC3A" w:rsidR="006A15B5" w:rsidRPr="009A780E" w:rsidRDefault="009832DD" w:rsidP="009832DD">
      <w:pPr>
        <w:rPr>
          <w:rFonts w:eastAsia="Times New Roman" w:cstheme="minorHAnsi"/>
          <w:b/>
          <w:bCs/>
          <w:szCs w:val="23"/>
          <w:lang w:val="fr-CA"/>
        </w:rPr>
      </w:pPr>
      <w:r w:rsidRPr="009A780E">
        <w:rPr>
          <w:rFonts w:ascii="Arial" w:eastAsia="Arial" w:hAnsi="Arial" w:cs="Arial"/>
          <w:bCs/>
          <w:szCs w:val="23"/>
          <w:lang w:val="fr-CA"/>
        </w:rPr>
        <w:lastRenderedPageBreak/>
        <w:t>2.</w:t>
      </w:r>
      <w:r w:rsidRPr="009A780E">
        <w:rPr>
          <w:rFonts w:ascii="Arial" w:eastAsia="Arial" w:hAnsi="Arial" w:cs="Arial"/>
          <w:bCs/>
          <w:szCs w:val="23"/>
          <w:lang w:val="fr-CA"/>
        </w:rPr>
        <w:tab/>
      </w:r>
      <w:bookmarkStart w:id="96" w:name="lt_pId067"/>
      <w:r w:rsidRPr="009A780E">
        <w:rPr>
          <w:rFonts w:ascii="Arial" w:eastAsia="Arial" w:hAnsi="Arial" w:cs="Arial"/>
          <w:bCs/>
          <w:szCs w:val="23"/>
          <w:lang w:val="fr-CA"/>
        </w:rPr>
        <w:t>Une modification future ne doit pas diminuer la conformité de la Partie modificatrice à l’article 201 (Traitement non discriminatoire), à l’article 301 (Droit d’entrée et de sortie), à l’article 307 (Accès aux marchés – Services), à l’article 312 (Accès aux marchés – Investissement), à l’article 313 (Prescriptions de résultats), ou à toute autre obligation identifiée par la Partie modificatrice dans ses exceptions en matière de cannabis, dans la mesure où cette conformité existait immédiatement avant la modification de la définition fédérale du terme « cannabis » ou du terme « accessoire de cannabis ».</w:t>
      </w:r>
      <w:bookmarkEnd w:id="96"/>
      <w:r w:rsidR="006A15B5" w:rsidRPr="009A780E">
        <w:rPr>
          <w:rFonts w:eastAsia="Times New Roman" w:cstheme="minorHAnsi"/>
          <w:szCs w:val="23"/>
          <w:lang w:val="fr-CA"/>
        </w:rPr>
        <w:br w:type="page"/>
      </w:r>
    </w:p>
    <w:p w14:paraId="28B82D0B" w14:textId="77777777" w:rsidR="005A321B" w:rsidRPr="00B04E29" w:rsidRDefault="005A321B" w:rsidP="005A321B">
      <w:pPr>
        <w:pStyle w:val="Heading1"/>
        <w:jc w:val="center"/>
        <w:rPr>
          <w:sz w:val="24"/>
          <w:szCs w:val="24"/>
          <w:lang w:val="fr-CA"/>
        </w:rPr>
      </w:pPr>
      <w:bookmarkStart w:id="97" w:name="_Toc471907458"/>
      <w:bookmarkStart w:id="98" w:name="_Toc156311779"/>
      <w:r w:rsidRPr="00B04E29">
        <w:rPr>
          <w:sz w:val="24"/>
          <w:szCs w:val="24"/>
          <w:lang w:val="fr-CA"/>
        </w:rPr>
        <w:lastRenderedPageBreak/>
        <w:t>PARTIE V – DISPOSITIONS INSTITUTIONNELLES, ADMINISTRATIVES</w:t>
      </w:r>
      <w:bookmarkEnd w:id="97"/>
      <w:r w:rsidRPr="00B04E29">
        <w:rPr>
          <w:sz w:val="24"/>
          <w:szCs w:val="24"/>
          <w:lang w:val="fr-CA"/>
        </w:rPr>
        <w:t xml:space="preserve"> ET FINALES</w:t>
      </w:r>
      <w:bookmarkEnd w:id="98"/>
    </w:p>
    <w:p w14:paraId="3CA4D683" w14:textId="77777777" w:rsidR="005A321B" w:rsidRPr="00B04E29" w:rsidRDefault="005A321B" w:rsidP="005A321B">
      <w:pPr>
        <w:rPr>
          <w:rFonts w:ascii="Arial" w:eastAsia="Arial" w:hAnsi="Arial" w:cs="Arial"/>
          <w:szCs w:val="23"/>
          <w:lang w:val="fr-CA"/>
        </w:rPr>
      </w:pPr>
    </w:p>
    <w:p w14:paraId="1AC63F6D" w14:textId="3A1D2DDA" w:rsidR="005A321B" w:rsidRPr="00B04E29" w:rsidRDefault="005A321B" w:rsidP="005A321B">
      <w:pPr>
        <w:pStyle w:val="Heading2"/>
        <w:jc w:val="center"/>
        <w:rPr>
          <w:rFonts w:eastAsia="Times New Roman"/>
          <w:sz w:val="24"/>
          <w:szCs w:val="24"/>
          <w:lang w:val="fr-CA"/>
        </w:rPr>
      </w:pPr>
      <w:bookmarkStart w:id="99" w:name="_Toc471907459"/>
      <w:bookmarkStart w:id="100" w:name="_Toc156311780"/>
      <w:r w:rsidRPr="00B04E29">
        <w:rPr>
          <w:sz w:val="24"/>
          <w:szCs w:val="24"/>
          <w:lang w:val="fr-CA"/>
        </w:rPr>
        <w:t>Chapitre Dix – Règlement des différends</w:t>
      </w:r>
      <w:bookmarkEnd w:id="99"/>
      <w:bookmarkEnd w:id="100"/>
    </w:p>
    <w:p w14:paraId="427BF849" w14:textId="0E07E43F" w:rsidR="005A321B" w:rsidRPr="00B04E29" w:rsidRDefault="005A321B" w:rsidP="005A321B">
      <w:pPr>
        <w:jc w:val="center"/>
        <w:rPr>
          <w:rFonts w:ascii="Arial" w:eastAsia="Arial" w:hAnsi="Arial" w:cs="Arial"/>
          <w:b/>
          <w:szCs w:val="23"/>
          <w:lang w:val="fr-CA"/>
        </w:rPr>
      </w:pPr>
      <w:bookmarkStart w:id="101" w:name="_Toc357427517"/>
      <w:bookmarkStart w:id="102" w:name="_Toc470078997"/>
    </w:p>
    <w:p w14:paraId="5FCBF9EF" w14:textId="77777777" w:rsidR="005A321B" w:rsidRPr="00B04E29" w:rsidRDefault="005A321B" w:rsidP="005A321B">
      <w:pPr>
        <w:jc w:val="center"/>
        <w:rPr>
          <w:rFonts w:ascii="Arial" w:eastAsia="Arial" w:hAnsi="Arial" w:cs="Arial"/>
          <w:b/>
          <w:szCs w:val="23"/>
          <w:lang w:val="fr-CA"/>
        </w:rPr>
      </w:pPr>
    </w:p>
    <w:p w14:paraId="28F0F17F" w14:textId="77777777" w:rsidR="005A321B" w:rsidRPr="00B04E29" w:rsidRDefault="005A321B" w:rsidP="005A321B">
      <w:pPr>
        <w:jc w:val="center"/>
        <w:rPr>
          <w:rFonts w:ascii="Arial" w:eastAsia="Arial" w:hAnsi="Arial" w:cs="Arial"/>
          <w:b/>
          <w:szCs w:val="23"/>
          <w:lang w:val="fr-CA"/>
        </w:rPr>
      </w:pPr>
      <w:r w:rsidRPr="00B04E29">
        <w:rPr>
          <w:rFonts w:ascii="Arial" w:eastAsia="Arial" w:hAnsi="Arial" w:cs="Arial"/>
          <w:b/>
          <w:szCs w:val="23"/>
          <w:lang w:val="fr-CA"/>
        </w:rPr>
        <w:t xml:space="preserve">Article 1000 : </w:t>
      </w:r>
      <w:r w:rsidRPr="00B04E29">
        <w:rPr>
          <w:rFonts w:ascii="Arial" w:eastAsia="Arial" w:hAnsi="Arial" w:cs="Arial"/>
          <w:b/>
          <w:szCs w:val="23"/>
          <w:lang w:val="fr-CA"/>
        </w:rPr>
        <w:tab/>
        <w:t>Coopération</w:t>
      </w:r>
      <w:bookmarkEnd w:id="101"/>
      <w:bookmarkEnd w:id="102"/>
    </w:p>
    <w:p w14:paraId="3E6D5AF8" w14:textId="77777777" w:rsidR="005A321B" w:rsidRPr="00B04E29" w:rsidRDefault="005A321B" w:rsidP="005A321B">
      <w:pPr>
        <w:tabs>
          <w:tab w:val="left" w:pos="720"/>
          <w:tab w:val="left" w:pos="1440"/>
          <w:tab w:val="left" w:pos="2160"/>
          <w:tab w:val="left" w:pos="2880"/>
        </w:tabs>
        <w:autoSpaceDE w:val="0"/>
        <w:autoSpaceDN w:val="0"/>
        <w:adjustRightInd w:val="0"/>
        <w:rPr>
          <w:rFonts w:ascii="Arial" w:eastAsia="Times New Roman" w:hAnsi="Arial" w:cs="Arial"/>
          <w:b/>
          <w:szCs w:val="23"/>
          <w:u w:val="single"/>
          <w:lang w:val="fr-CA"/>
        </w:rPr>
      </w:pPr>
    </w:p>
    <w:p w14:paraId="0447C107"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Les Parties s’engagent à régler leurs différends dans un esprit de conciliation, de coopération et d’harmonie.</w:t>
      </w:r>
    </w:p>
    <w:p w14:paraId="4FC4D05B" w14:textId="77777777" w:rsidR="005A321B" w:rsidRPr="00B04E29" w:rsidRDefault="005A321B" w:rsidP="005A321B">
      <w:pPr>
        <w:autoSpaceDE w:val="0"/>
        <w:autoSpaceDN w:val="0"/>
        <w:adjustRightInd w:val="0"/>
        <w:rPr>
          <w:rFonts w:ascii="Arial" w:eastAsia="Times New Roman" w:hAnsi="Arial" w:cs="Arial"/>
          <w:szCs w:val="23"/>
          <w:lang w:val="fr-CA"/>
        </w:rPr>
      </w:pPr>
    </w:p>
    <w:p w14:paraId="4C7A1058" w14:textId="04D4E57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Les Parties font tout en leur pouvoir, par la coopération, par des consultations et par d’autres mécanismes de prévention et de règlement des différends à leur disposition, pour trouver une solution mutuellement satisfaisante à toute question susceptible d’affecter l’application du présent accord.</w:t>
      </w:r>
    </w:p>
    <w:p w14:paraId="01D1DF48" w14:textId="77777777" w:rsidR="005A321B" w:rsidRPr="00B04E29" w:rsidRDefault="005A321B" w:rsidP="005A321B">
      <w:pPr>
        <w:autoSpaceDE w:val="0"/>
        <w:autoSpaceDN w:val="0"/>
        <w:adjustRightInd w:val="0"/>
        <w:rPr>
          <w:rFonts w:ascii="Arial" w:eastAsia="Times New Roman" w:hAnsi="Arial" w:cs="Arial"/>
          <w:szCs w:val="23"/>
          <w:lang w:val="fr-CA"/>
        </w:rPr>
      </w:pPr>
    </w:p>
    <w:p w14:paraId="6B6F826E" w14:textId="2ADC99B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 xml:space="preserve">Les Parties mettent tout en œuvre pour éviter les procédures parallèles en ce qui concerne la même mesure. Si la multiplicité de procédures devait poser un problème, une Partie peut renvoyer la question devant le Comité pour qu’il fasse une recommandation. </w:t>
      </w:r>
    </w:p>
    <w:p w14:paraId="2FEB956C" w14:textId="77777777" w:rsidR="005A321B" w:rsidRPr="00B04E29" w:rsidRDefault="005A321B" w:rsidP="005A321B">
      <w:pPr>
        <w:jc w:val="center"/>
        <w:rPr>
          <w:rFonts w:ascii="Arial" w:eastAsia="Arial" w:hAnsi="Arial" w:cs="Arial"/>
          <w:b/>
          <w:szCs w:val="23"/>
          <w:lang w:val="fr-CA"/>
        </w:rPr>
      </w:pPr>
      <w:bookmarkStart w:id="103" w:name="_Toc357427518"/>
      <w:bookmarkStart w:id="104" w:name="_Toc470078998"/>
    </w:p>
    <w:p w14:paraId="7BD02A85" w14:textId="77777777" w:rsidR="005A321B" w:rsidRPr="00B04E29" w:rsidRDefault="005A321B" w:rsidP="005A321B">
      <w:pPr>
        <w:jc w:val="center"/>
        <w:rPr>
          <w:rFonts w:ascii="Arial" w:eastAsia="Arial" w:hAnsi="Arial" w:cs="Arial"/>
          <w:b/>
          <w:szCs w:val="23"/>
          <w:lang w:val="fr-CA"/>
        </w:rPr>
      </w:pPr>
      <w:r w:rsidRPr="00B04E29">
        <w:rPr>
          <w:rFonts w:ascii="Arial" w:eastAsia="Arial" w:hAnsi="Arial" w:cs="Arial"/>
          <w:b/>
          <w:szCs w:val="23"/>
          <w:lang w:val="fr-CA"/>
        </w:rPr>
        <w:t xml:space="preserve">Article 1001 : </w:t>
      </w:r>
      <w:r w:rsidRPr="00B04E29">
        <w:rPr>
          <w:rFonts w:ascii="Arial" w:eastAsia="Arial" w:hAnsi="Arial" w:cs="Arial"/>
          <w:b/>
          <w:szCs w:val="23"/>
          <w:lang w:val="fr-CA"/>
        </w:rPr>
        <w:tab/>
        <w:t>Application et mécanismes d’exécution</w:t>
      </w:r>
      <w:bookmarkEnd w:id="103"/>
      <w:bookmarkEnd w:id="104"/>
    </w:p>
    <w:p w14:paraId="7BFC2BCB" w14:textId="77777777" w:rsidR="005A321B" w:rsidRPr="00B04E29" w:rsidRDefault="005A321B" w:rsidP="005A321B">
      <w:pPr>
        <w:tabs>
          <w:tab w:val="left" w:pos="720"/>
          <w:tab w:val="left" w:pos="1440"/>
          <w:tab w:val="left" w:pos="2160"/>
          <w:tab w:val="left" w:pos="2880"/>
        </w:tabs>
        <w:autoSpaceDE w:val="0"/>
        <w:autoSpaceDN w:val="0"/>
        <w:adjustRightInd w:val="0"/>
        <w:rPr>
          <w:rFonts w:ascii="Arial" w:eastAsia="Times New Roman" w:hAnsi="Arial" w:cs="Arial"/>
          <w:b/>
          <w:szCs w:val="23"/>
          <w:u w:val="single"/>
          <w:lang w:val="fr-CA"/>
        </w:rPr>
      </w:pPr>
    </w:p>
    <w:p w14:paraId="14291824"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Le présent chapitre s’applique à la prévention et au règlement des différends entre des Parties, ou entre des Personnes et des Parties, en ce qui concerne l’interprétation ou l’application du présent accord.</w:t>
      </w:r>
    </w:p>
    <w:p w14:paraId="078FC744" w14:textId="77777777" w:rsidR="005A321B" w:rsidRPr="00B04E29" w:rsidRDefault="005A321B" w:rsidP="005A321B">
      <w:pPr>
        <w:autoSpaceDE w:val="0"/>
        <w:autoSpaceDN w:val="0"/>
        <w:adjustRightInd w:val="0"/>
        <w:rPr>
          <w:rFonts w:ascii="Arial" w:eastAsia="Times New Roman" w:hAnsi="Arial" w:cs="Arial"/>
          <w:szCs w:val="23"/>
          <w:lang w:val="fr-CA"/>
        </w:rPr>
      </w:pPr>
    </w:p>
    <w:p w14:paraId="31DC394C" w14:textId="5F3477A2" w:rsidR="005A321B" w:rsidRPr="00B04E29" w:rsidRDefault="005A321B" w:rsidP="005A321B">
      <w:pPr>
        <w:autoSpaceDE w:val="0"/>
        <w:autoSpaceDN w:val="0"/>
        <w:adjustRightInd w:val="0"/>
        <w:rPr>
          <w:rFonts w:ascii="Arial" w:eastAsia="Arial" w:hAnsi="Arial" w:cs="Arial"/>
          <w:szCs w:val="23"/>
          <w:lang w:val="fr-CA"/>
        </w:rPr>
      </w:pPr>
      <w:r w:rsidRPr="00B04E29">
        <w:rPr>
          <w:rFonts w:ascii="Arial" w:eastAsia="Arial" w:hAnsi="Arial" w:cs="Arial"/>
          <w:szCs w:val="23"/>
          <w:lang w:val="fr-CA"/>
        </w:rPr>
        <w:t>2.</w:t>
      </w:r>
      <w:r w:rsidRPr="00B04E29">
        <w:rPr>
          <w:rFonts w:ascii="Arial" w:eastAsia="Arial" w:hAnsi="Arial" w:cs="Arial"/>
          <w:szCs w:val="23"/>
          <w:lang w:val="fr-CA"/>
        </w:rPr>
        <w:tab/>
        <w:t>La partie B ne s’applique pas au chapitre Quatre (Notification, conciliation et coopération en matière de réglementation).</w:t>
      </w:r>
    </w:p>
    <w:p w14:paraId="688ED7EC" w14:textId="77777777" w:rsidR="005A321B" w:rsidRPr="00B04E29" w:rsidRDefault="005A321B" w:rsidP="005A321B">
      <w:pPr>
        <w:autoSpaceDE w:val="0"/>
        <w:autoSpaceDN w:val="0"/>
        <w:adjustRightInd w:val="0"/>
        <w:rPr>
          <w:rFonts w:ascii="Arial" w:eastAsia="Times New Roman" w:hAnsi="Arial" w:cs="Arial"/>
          <w:szCs w:val="23"/>
          <w:lang w:val="fr-CA"/>
        </w:rPr>
      </w:pPr>
    </w:p>
    <w:p w14:paraId="4AFE653B"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La partie B ne s’applique pas, selon le cas :</w:t>
      </w:r>
    </w:p>
    <w:p w14:paraId="1C7E62E0" w14:textId="77777777" w:rsidR="005A321B" w:rsidRPr="00B04E29" w:rsidRDefault="005A321B" w:rsidP="005A321B">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152" w:hanging="576"/>
        <w:rPr>
          <w:rFonts w:ascii="Arial" w:eastAsia="Times New Roman" w:hAnsi="Arial" w:cs="Arial"/>
          <w:szCs w:val="23"/>
          <w:lang w:val="fr-CA"/>
        </w:rPr>
      </w:pPr>
    </w:p>
    <w:p w14:paraId="37A3E811" w14:textId="77777777" w:rsidR="005A321B" w:rsidRPr="00B04E29" w:rsidRDefault="005A321B" w:rsidP="005A321B">
      <w:pPr>
        <w:numPr>
          <w:ilvl w:val="0"/>
          <w:numId w:val="189"/>
        </w:numPr>
        <w:autoSpaceDE w:val="0"/>
        <w:autoSpaceDN w:val="0"/>
        <w:adjustRightInd w:val="0"/>
        <w:ind w:left="1440"/>
        <w:rPr>
          <w:rFonts w:ascii="Arial" w:eastAsia="Times New Roman" w:hAnsi="Arial" w:cs="Arial"/>
          <w:szCs w:val="23"/>
          <w:lang w:val="fr-CA"/>
        </w:rPr>
      </w:pPr>
      <w:proofErr w:type="gramStart"/>
      <w:r w:rsidRPr="00B04E29">
        <w:rPr>
          <w:rFonts w:ascii="Arial" w:eastAsia="Times New Roman" w:hAnsi="Arial" w:cs="Arial"/>
          <w:szCs w:val="23"/>
          <w:lang w:val="fr-CA"/>
        </w:rPr>
        <w:t>à</w:t>
      </w:r>
      <w:proofErr w:type="gramEnd"/>
      <w:r w:rsidRPr="00B04E29">
        <w:rPr>
          <w:rFonts w:ascii="Arial" w:eastAsia="Times New Roman" w:hAnsi="Arial" w:cs="Arial"/>
          <w:szCs w:val="23"/>
          <w:lang w:val="fr-CA"/>
        </w:rPr>
        <w:t xml:space="preserve"> toute plainte visée par la portée de l’article 518 (Procédures de recours); </w:t>
      </w:r>
    </w:p>
    <w:p w14:paraId="260AB2F6"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03805898" w14:textId="7ADE7AB5" w:rsidR="005A321B" w:rsidRPr="00B04E29" w:rsidRDefault="005A321B" w:rsidP="005A321B">
      <w:pPr>
        <w:numPr>
          <w:ilvl w:val="0"/>
          <w:numId w:val="189"/>
        </w:numPr>
        <w:autoSpaceDE w:val="0"/>
        <w:autoSpaceDN w:val="0"/>
        <w:adjustRightInd w:val="0"/>
        <w:ind w:left="1440"/>
        <w:rPr>
          <w:rFonts w:ascii="Arial" w:eastAsia="Times New Roman" w:hAnsi="Arial" w:cs="Arial"/>
          <w:szCs w:val="23"/>
          <w:lang w:val="fr-CA"/>
        </w:rPr>
      </w:pPr>
      <w:proofErr w:type="gramStart"/>
      <w:r w:rsidRPr="00B04E29">
        <w:rPr>
          <w:rFonts w:ascii="Arial" w:eastAsia="Times New Roman" w:hAnsi="Arial" w:cs="Arial"/>
          <w:szCs w:val="23"/>
          <w:lang w:val="fr-CA"/>
        </w:rPr>
        <w:t>aux</w:t>
      </w:r>
      <w:proofErr w:type="gramEnd"/>
      <w:r w:rsidRPr="00B04E29">
        <w:rPr>
          <w:rFonts w:ascii="Arial" w:eastAsia="Times New Roman" w:hAnsi="Arial" w:cs="Arial"/>
          <w:szCs w:val="23"/>
          <w:lang w:val="fr-CA"/>
        </w:rPr>
        <w:t xml:space="preserve"> mesures adoptées ou maintenues par les administrations régionales, locales, de district et autres formes d’administration municipale d’une Partie.</w:t>
      </w:r>
    </w:p>
    <w:p w14:paraId="6DD36ECC" w14:textId="77777777" w:rsidR="005A321B" w:rsidRPr="00B04E29" w:rsidRDefault="005A321B" w:rsidP="005A321B">
      <w:pPr>
        <w:tabs>
          <w:tab w:val="left" w:pos="720"/>
          <w:tab w:val="left" w:pos="1440"/>
          <w:tab w:val="left" w:pos="2160"/>
          <w:tab w:val="left" w:pos="2880"/>
        </w:tabs>
        <w:autoSpaceDE w:val="0"/>
        <w:autoSpaceDN w:val="0"/>
        <w:adjustRightInd w:val="0"/>
        <w:rPr>
          <w:rFonts w:ascii="Arial" w:eastAsia="Times New Roman" w:hAnsi="Arial" w:cs="Arial"/>
          <w:szCs w:val="23"/>
          <w:lang w:val="fr-CA"/>
        </w:rPr>
      </w:pPr>
    </w:p>
    <w:p w14:paraId="634E6F0F" w14:textId="2874020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4.</w:t>
      </w:r>
      <w:r w:rsidRPr="00B04E29">
        <w:rPr>
          <w:rFonts w:ascii="Arial" w:eastAsia="Arial" w:hAnsi="Arial" w:cs="Arial"/>
          <w:szCs w:val="23"/>
          <w:lang w:val="fr-CA"/>
        </w:rPr>
        <w:tab/>
        <w:t>Dans les 18 mois de la date d’entrée en vigueur, chaque Partie prend les dispositions nécessaires pour :</w:t>
      </w:r>
    </w:p>
    <w:p w14:paraId="53078277" w14:textId="77777777" w:rsidR="005A321B" w:rsidRPr="00B04E29" w:rsidRDefault="005A321B" w:rsidP="005A321B">
      <w:pPr>
        <w:autoSpaceDE w:val="0"/>
        <w:autoSpaceDN w:val="0"/>
        <w:adjustRightInd w:val="0"/>
        <w:rPr>
          <w:rFonts w:ascii="Arial" w:eastAsia="Times New Roman" w:hAnsi="Arial" w:cs="Arial"/>
          <w:szCs w:val="23"/>
          <w:lang w:val="fr-CA"/>
        </w:rPr>
      </w:pPr>
    </w:p>
    <w:p w14:paraId="6224FE46" w14:textId="057DABF8"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qu’une ordonnance sur les dépens prévus au tarif rendue par un organe décisionnel à l’encontre d’une Partie puisse être exécutée de la même façon qu’une ordonnance contre le ministère public dans les tribunaux supérieurs de cette Partie;</w:t>
      </w:r>
    </w:p>
    <w:p w14:paraId="403BA49D"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4B26E510" w14:textId="413B0722"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qu’une ordonnance sur les dépens prévus au tarif rendue par un organe décisionnel à l’encontre d’une Personne d’une Partie puisse être exécutée de la même façon qu’une ordonnance dans les tribunaux supérieurs de la Partie;</w:t>
      </w:r>
    </w:p>
    <w:p w14:paraId="2E2E8256" w14:textId="77777777" w:rsidR="005A321B" w:rsidRPr="00B04E29" w:rsidRDefault="005A321B" w:rsidP="005A321B">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440" w:hanging="720"/>
        <w:rPr>
          <w:rFonts w:ascii="Arial" w:eastAsia="Times New Roman" w:hAnsi="Arial" w:cs="Arial"/>
          <w:szCs w:val="23"/>
          <w:lang w:val="fr-CA"/>
        </w:rPr>
      </w:pPr>
    </w:p>
    <w:p w14:paraId="494AE9D2" w14:textId="2152F818"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lastRenderedPageBreak/>
        <w:t>c)</w:t>
      </w:r>
      <w:r w:rsidRPr="00B04E29">
        <w:rPr>
          <w:rFonts w:ascii="Arial" w:eastAsia="Times New Roman" w:hAnsi="Arial" w:cs="Arial"/>
          <w:szCs w:val="23"/>
          <w:lang w:val="fr-CA"/>
        </w:rPr>
        <w:tab/>
        <w:t>qu’une ordonnance sur des sanctions pécuniaires, rendue par le groupe spécial de l’observation des décisions, puisse être exécutée :</w:t>
      </w:r>
    </w:p>
    <w:p w14:paraId="59F8E931" w14:textId="77777777" w:rsidR="005A321B" w:rsidRPr="00B04E29" w:rsidRDefault="005A321B" w:rsidP="005A321B">
      <w:pPr>
        <w:autoSpaceDE w:val="0"/>
        <w:autoSpaceDN w:val="0"/>
        <w:adjustRightInd w:val="0"/>
        <w:rPr>
          <w:rFonts w:ascii="Arial" w:eastAsia="Times New Roman" w:hAnsi="Arial" w:cs="Arial"/>
          <w:szCs w:val="23"/>
          <w:lang w:val="fr-CA"/>
        </w:rPr>
      </w:pPr>
    </w:p>
    <w:p w14:paraId="3D16D6B7" w14:textId="0704670C" w:rsidR="005A321B" w:rsidRPr="00B04E29" w:rsidRDefault="005A321B" w:rsidP="005A321B">
      <w:pPr>
        <w:keepNext/>
        <w:autoSpaceDE w:val="0"/>
        <w:autoSpaceDN w:val="0"/>
        <w:adjustRightInd w:val="0"/>
        <w:ind w:left="2160" w:hanging="720"/>
        <w:rPr>
          <w:rFonts w:ascii="Arial" w:eastAsia="Times New Roman" w:hAnsi="Arial" w:cs="Arial"/>
          <w:szCs w:val="23"/>
          <w:lang w:val="fr-CA"/>
        </w:rPr>
      </w:pPr>
      <w:r w:rsidRPr="00B04E29">
        <w:rPr>
          <w:rFonts w:ascii="Arial" w:eastAsia="Times New Roman" w:hAnsi="Arial" w:cs="Arial"/>
          <w:szCs w:val="23"/>
          <w:lang w:val="fr-CA"/>
        </w:rPr>
        <w:t xml:space="preserve">i) </w:t>
      </w:r>
      <w:r w:rsidRPr="00B04E29">
        <w:rPr>
          <w:rFonts w:ascii="Arial" w:eastAsia="Times New Roman" w:hAnsi="Arial" w:cs="Arial"/>
          <w:szCs w:val="23"/>
          <w:lang w:val="fr-CA"/>
        </w:rPr>
        <w:tab/>
        <w:t>soit de la même façon qu’une ordonnance contre le ministère public dans les tribunaux supérieurs de cette Partie,</w:t>
      </w:r>
    </w:p>
    <w:p w14:paraId="3038031F" w14:textId="77777777" w:rsidR="005A321B" w:rsidRPr="00B04E29" w:rsidRDefault="005A321B" w:rsidP="005A321B">
      <w:pPr>
        <w:keepNext/>
        <w:autoSpaceDE w:val="0"/>
        <w:autoSpaceDN w:val="0"/>
        <w:adjustRightInd w:val="0"/>
        <w:ind w:left="2160" w:hanging="720"/>
        <w:rPr>
          <w:rFonts w:ascii="Arial" w:eastAsia="Times New Roman" w:hAnsi="Arial" w:cs="Arial"/>
          <w:szCs w:val="23"/>
          <w:lang w:val="fr-CA"/>
        </w:rPr>
      </w:pPr>
    </w:p>
    <w:p w14:paraId="6FDC9187" w14:textId="3001D9FA" w:rsidR="005A321B" w:rsidRPr="00B04E29" w:rsidRDefault="005A321B" w:rsidP="005A321B">
      <w:pPr>
        <w:keepNext/>
        <w:autoSpaceDE w:val="0"/>
        <w:autoSpaceDN w:val="0"/>
        <w:adjustRightInd w:val="0"/>
        <w:ind w:left="2160" w:hanging="720"/>
        <w:rPr>
          <w:rFonts w:ascii="Arial" w:eastAsia="Times New Roman" w:hAnsi="Arial" w:cs="Arial"/>
          <w:szCs w:val="23"/>
          <w:lang w:val="fr-CA"/>
        </w:rPr>
      </w:pPr>
      <w:r w:rsidRPr="00B04E29">
        <w:rPr>
          <w:rFonts w:ascii="Arial" w:eastAsia="Times New Roman" w:hAnsi="Arial" w:cs="Arial"/>
          <w:szCs w:val="23"/>
          <w:lang w:val="fr-CA"/>
        </w:rPr>
        <w:t>ii)</w:t>
      </w:r>
      <w:r w:rsidRPr="00B04E29">
        <w:rPr>
          <w:rFonts w:ascii="Arial" w:eastAsia="Times New Roman" w:hAnsi="Arial" w:cs="Arial"/>
          <w:szCs w:val="23"/>
          <w:lang w:val="fr-CA"/>
        </w:rPr>
        <w:tab/>
        <w:t>soit par une lettre de crédit déposée auprès du Secrétariat dans la forme énoncée à l’annexe </w:t>
      </w:r>
      <w:proofErr w:type="gramStart"/>
      <w:r w:rsidRPr="00B04E29">
        <w:rPr>
          <w:rFonts w:ascii="Arial" w:eastAsia="Times New Roman" w:hAnsi="Arial" w:cs="Arial"/>
          <w:szCs w:val="23"/>
          <w:lang w:val="fr-CA"/>
        </w:rPr>
        <w:t>1001.4c)ii</w:t>
      </w:r>
      <w:proofErr w:type="gramEnd"/>
      <w:r w:rsidRPr="00B04E29">
        <w:rPr>
          <w:rFonts w:ascii="Arial" w:eastAsia="Times New Roman" w:hAnsi="Arial" w:cs="Arial"/>
          <w:szCs w:val="23"/>
          <w:lang w:val="fr-CA"/>
        </w:rPr>
        <w:t>).</w:t>
      </w:r>
    </w:p>
    <w:p w14:paraId="7BC7DD01" w14:textId="77777777" w:rsidR="005A321B" w:rsidRPr="00B04E29" w:rsidRDefault="005A321B" w:rsidP="005A321B">
      <w:pPr>
        <w:autoSpaceDE w:val="0"/>
        <w:autoSpaceDN w:val="0"/>
        <w:adjustRightInd w:val="0"/>
        <w:rPr>
          <w:rFonts w:ascii="Arial" w:eastAsia="Times New Roman" w:hAnsi="Arial" w:cs="Arial"/>
          <w:szCs w:val="23"/>
          <w:lang w:val="fr-CA"/>
        </w:rPr>
      </w:pPr>
    </w:p>
    <w:p w14:paraId="3D765E08" w14:textId="212B5DB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Chaque Partie donne notification au Secrétariat et aux autres Parties du mécanisme d’exécution qu’elle a mis en place conformément au paragraphe 4.</w:t>
      </w:r>
    </w:p>
    <w:p w14:paraId="01023DB0" w14:textId="77777777" w:rsidR="005A321B" w:rsidRPr="00B04E29" w:rsidRDefault="005A321B" w:rsidP="005A321B">
      <w:pPr>
        <w:autoSpaceDE w:val="0"/>
        <w:autoSpaceDN w:val="0"/>
        <w:adjustRightInd w:val="0"/>
        <w:rPr>
          <w:rFonts w:ascii="Arial" w:eastAsia="Times New Roman" w:hAnsi="Arial" w:cs="Arial"/>
          <w:szCs w:val="23"/>
          <w:lang w:val="fr-CA"/>
        </w:rPr>
      </w:pPr>
    </w:p>
    <w:p w14:paraId="1B339FBB" w14:textId="77777777" w:rsidR="009832DD" w:rsidRPr="009A780E" w:rsidRDefault="005A321B" w:rsidP="009832DD">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Après la date d’entrée en vigueur, le Secrétariat fait rapport tous les ans au Comité, en ce qui concerne les Parties qui n’ont pas déposé la notification prévue au paragraphe 5.</w:t>
      </w:r>
    </w:p>
    <w:p w14:paraId="78E41F34" w14:textId="77777777" w:rsidR="009832DD" w:rsidRPr="009A780E" w:rsidRDefault="009832DD" w:rsidP="009832DD">
      <w:pPr>
        <w:autoSpaceDE w:val="0"/>
        <w:autoSpaceDN w:val="0"/>
        <w:adjustRightInd w:val="0"/>
        <w:rPr>
          <w:rFonts w:ascii="Arial" w:eastAsia="Times New Roman" w:hAnsi="Arial" w:cs="Arial"/>
          <w:szCs w:val="23"/>
          <w:lang w:val="fr-CA"/>
        </w:rPr>
      </w:pPr>
    </w:p>
    <w:p w14:paraId="3F34909D" w14:textId="44014503" w:rsidR="009832DD" w:rsidRPr="009A780E" w:rsidRDefault="009832DD" w:rsidP="009A780E">
      <w:pPr>
        <w:autoSpaceDE w:val="0"/>
        <w:autoSpaceDN w:val="0"/>
        <w:adjustRightInd w:val="0"/>
        <w:rPr>
          <w:rFonts w:ascii="Arial" w:eastAsia="Times New Roman" w:hAnsi="Arial" w:cs="Arial"/>
          <w:szCs w:val="23"/>
          <w:lang w:val="fr-CA"/>
        </w:rPr>
      </w:pPr>
      <w:r w:rsidRPr="009A780E">
        <w:rPr>
          <w:rFonts w:ascii="Arial" w:eastAsia="Times New Roman" w:hAnsi="Arial" w:cs="Arial"/>
          <w:szCs w:val="23"/>
          <w:lang w:val="fr-CA"/>
        </w:rPr>
        <w:t>7.</w:t>
      </w:r>
      <w:r w:rsidRPr="009A780E">
        <w:rPr>
          <w:rFonts w:ascii="Arial" w:eastAsia="Times New Roman" w:hAnsi="Arial" w:cs="Arial"/>
          <w:szCs w:val="23"/>
          <w:lang w:val="fr-CA"/>
        </w:rPr>
        <w:tab/>
        <w:t>Si une Partie a inscrit une exception à l’égard de l’article 302 (Obstacles techniques au commerce) ou de l’article 303 (Mesures sanitaires et phytosanitaires) à l’annexe II de la partie VII au sujet d’une mesure en matière de cannabis ou d’accessoires de cannabis, cette Partie ou une Personne de cette Partie ne peut engager, en vertu du présent chapitre, des consultations ou des procédures, ou participer à celles-ci, en ce qui a trait à l’incompatibilité de toute mesure d’une autre Partie en matière de cannabis ou d’accessoires de cannabis avec l’article à l’égard duquel elle a inscrit une exception. </w:t>
      </w:r>
    </w:p>
    <w:p w14:paraId="5E9CA077" w14:textId="77777777" w:rsidR="009832DD" w:rsidRPr="009A780E" w:rsidRDefault="009832DD" w:rsidP="009832DD">
      <w:pPr>
        <w:autoSpaceDE w:val="0"/>
        <w:autoSpaceDN w:val="0"/>
        <w:ind w:left="720"/>
        <w:rPr>
          <w:rFonts w:ascii="Arial" w:eastAsia="Times New Roman" w:hAnsi="Arial" w:cs="Arial"/>
          <w:szCs w:val="23"/>
          <w:lang w:val="fr-CA"/>
        </w:rPr>
      </w:pPr>
    </w:p>
    <w:p w14:paraId="4E5436B1" w14:textId="60CCF9A8" w:rsidR="009832DD" w:rsidRPr="009A780E" w:rsidRDefault="009832DD" w:rsidP="009A780E">
      <w:pPr>
        <w:autoSpaceDE w:val="0"/>
        <w:autoSpaceDN w:val="0"/>
        <w:rPr>
          <w:rFonts w:ascii="Arial" w:eastAsia="Times New Roman" w:hAnsi="Arial" w:cs="Arial"/>
          <w:szCs w:val="23"/>
          <w:lang w:val="fr-CA"/>
        </w:rPr>
      </w:pPr>
      <w:r w:rsidRPr="009A780E">
        <w:rPr>
          <w:rFonts w:ascii="Arial" w:eastAsia="Times New Roman" w:hAnsi="Arial" w:cs="Arial"/>
          <w:color w:val="FF0000"/>
          <w:szCs w:val="23"/>
          <w:lang w:val="fr-CA"/>
        </w:rPr>
        <w:t>8.</w:t>
      </w:r>
      <w:r w:rsidRPr="009A780E">
        <w:rPr>
          <w:rFonts w:ascii="Arial" w:eastAsia="Times New Roman" w:hAnsi="Arial" w:cs="Arial"/>
          <w:color w:val="FF0000"/>
          <w:szCs w:val="23"/>
          <w:lang w:val="fr-CA"/>
        </w:rPr>
        <w:tab/>
      </w:r>
      <w:r w:rsidRPr="009A780E">
        <w:rPr>
          <w:rFonts w:ascii="Arial" w:eastAsia="Times New Roman" w:hAnsi="Arial" w:cs="Arial"/>
          <w:szCs w:val="23"/>
          <w:lang w:val="fr-CA"/>
        </w:rPr>
        <w:t>Nonobstant le paragraphe 7, une Partie ou une Personne de cette Partie assujettie à l’interdiction énoncée au paragraphe 7 peut participer, en vertu du présent chapitre, à des consultations ou à des procédures qui concernent l’incompatibilité d’une mesure d’une autre Partie en matière de cannabis ou d’accessoires de cannabis avec, parmi les obligations inscrites au présent accord, l’article à l’égard duquel la Partie visée par le paragraphe 7 a inscrit une exception, à condition que sa participation exclue toute référence à l’application de cet article.</w:t>
      </w:r>
      <w:r w:rsidRPr="009A780E">
        <w:rPr>
          <w:rFonts w:ascii="Arial" w:eastAsia="Times New Roman" w:hAnsi="Arial" w:cs="Arial"/>
          <w:color w:val="FF0000"/>
          <w:szCs w:val="23"/>
          <w:lang w:val="fr-CA"/>
        </w:rPr>
        <w:t xml:space="preserve"> </w:t>
      </w:r>
    </w:p>
    <w:p w14:paraId="0FC31393" w14:textId="77777777" w:rsidR="009832DD" w:rsidRPr="009A780E" w:rsidRDefault="009832DD" w:rsidP="009832DD">
      <w:pPr>
        <w:autoSpaceDE w:val="0"/>
        <w:autoSpaceDN w:val="0"/>
        <w:ind w:left="720"/>
        <w:rPr>
          <w:rFonts w:ascii="Arial" w:eastAsia="Times New Roman" w:hAnsi="Arial" w:cs="Arial"/>
          <w:szCs w:val="23"/>
          <w:lang w:val="fr-CA"/>
        </w:rPr>
      </w:pPr>
    </w:p>
    <w:p w14:paraId="0EAA7FFD" w14:textId="49D297C3" w:rsidR="009832DD" w:rsidRPr="00B04E29" w:rsidRDefault="009832DD" w:rsidP="009832DD">
      <w:pPr>
        <w:autoSpaceDE w:val="0"/>
        <w:autoSpaceDN w:val="0"/>
        <w:adjustRightInd w:val="0"/>
        <w:rPr>
          <w:rFonts w:ascii="Arial" w:eastAsia="Times New Roman" w:hAnsi="Arial" w:cs="Arial"/>
          <w:szCs w:val="23"/>
          <w:lang w:val="fr-CA"/>
        </w:rPr>
      </w:pPr>
      <w:r w:rsidRPr="009A780E">
        <w:rPr>
          <w:rFonts w:ascii="Arial" w:eastAsia="Times New Roman" w:hAnsi="Arial" w:cs="Arial"/>
          <w:szCs w:val="23"/>
          <w:lang w:val="fr-CA"/>
        </w:rPr>
        <w:t xml:space="preserve">9. </w:t>
      </w:r>
      <w:r w:rsidRPr="009A780E">
        <w:rPr>
          <w:rFonts w:ascii="Arial" w:eastAsia="Times New Roman" w:hAnsi="Arial" w:cs="Arial"/>
          <w:szCs w:val="23"/>
          <w:lang w:val="fr-CA"/>
        </w:rPr>
        <w:tab/>
        <w:t>Il est entendu que si une Personne est une Personne de plus d’une Partie au sens de l’article 1041 (Définitions), les paragraphes 7 et 8 s’appliquent uniquement à cette Personne si elle agit sous l’égide de la Partie assujettie à l’interdiction énoncée au paragraphe 7. </w:t>
      </w:r>
    </w:p>
    <w:p w14:paraId="3BAECBE1" w14:textId="77777777" w:rsidR="005A321B" w:rsidRPr="00B04E29" w:rsidRDefault="005A321B" w:rsidP="005A321B">
      <w:pPr>
        <w:autoSpaceDE w:val="0"/>
        <w:autoSpaceDN w:val="0"/>
        <w:adjustRightInd w:val="0"/>
        <w:rPr>
          <w:rFonts w:ascii="Arial" w:eastAsia="Times New Roman" w:hAnsi="Arial" w:cs="Arial"/>
          <w:szCs w:val="23"/>
          <w:lang w:val="fr-CA"/>
        </w:rPr>
      </w:pPr>
    </w:p>
    <w:p w14:paraId="3BD03A66" w14:textId="77777777" w:rsidR="005A321B" w:rsidRPr="00B04E29" w:rsidRDefault="005A321B" w:rsidP="005A321B">
      <w:pPr>
        <w:jc w:val="center"/>
        <w:rPr>
          <w:rFonts w:ascii="Arial" w:eastAsia="Arial" w:hAnsi="Arial" w:cs="Arial"/>
          <w:b/>
          <w:szCs w:val="23"/>
          <w:lang w:val="fr-CA"/>
        </w:rPr>
      </w:pPr>
      <w:bookmarkStart w:id="105" w:name="_Toc470078999"/>
      <w:r w:rsidRPr="00B04E29">
        <w:rPr>
          <w:rFonts w:ascii="Arial" w:eastAsia="Arial" w:hAnsi="Arial" w:cs="Arial"/>
          <w:b/>
          <w:szCs w:val="23"/>
          <w:lang w:val="fr-CA"/>
        </w:rPr>
        <w:t xml:space="preserve">Article 1002 : </w:t>
      </w:r>
      <w:r w:rsidRPr="00B04E29">
        <w:rPr>
          <w:rFonts w:ascii="Arial" w:eastAsia="Arial" w:hAnsi="Arial" w:cs="Arial"/>
          <w:b/>
          <w:szCs w:val="23"/>
          <w:lang w:val="fr-CA"/>
        </w:rPr>
        <w:tab/>
        <w:t>Examen futur de l’application</w:t>
      </w:r>
      <w:bookmarkEnd w:id="105"/>
    </w:p>
    <w:p w14:paraId="3E5D35B8" w14:textId="77777777" w:rsidR="005A321B" w:rsidRPr="00B04E29" w:rsidRDefault="005A321B" w:rsidP="005A321B">
      <w:pPr>
        <w:autoSpaceDE w:val="0"/>
        <w:autoSpaceDN w:val="0"/>
        <w:adjustRightInd w:val="0"/>
        <w:rPr>
          <w:rFonts w:ascii="Arial" w:eastAsia="Times New Roman" w:hAnsi="Arial" w:cs="Arial"/>
          <w:b/>
          <w:szCs w:val="23"/>
          <w:u w:val="single"/>
          <w:lang w:val="fr-CA"/>
        </w:rPr>
      </w:pPr>
    </w:p>
    <w:p w14:paraId="18E2A572" w14:textId="20AE8661" w:rsidR="005A321B" w:rsidRPr="00B04E29" w:rsidRDefault="005A321B" w:rsidP="00F52884">
      <w:pPr>
        <w:autoSpaceDE w:val="0"/>
        <w:autoSpaceDN w:val="0"/>
        <w:adjustRightInd w:val="0"/>
        <w:ind w:firstLine="708"/>
        <w:rPr>
          <w:rFonts w:ascii="Arial" w:eastAsia="Arial" w:hAnsi="Arial" w:cs="Arial"/>
          <w:szCs w:val="23"/>
          <w:lang w:val="fr-CA"/>
        </w:rPr>
      </w:pPr>
      <w:r w:rsidRPr="00B04E29">
        <w:rPr>
          <w:rFonts w:ascii="Arial" w:eastAsia="Arial" w:hAnsi="Arial" w:cs="Arial"/>
          <w:szCs w:val="23"/>
          <w:lang w:val="fr-CA"/>
        </w:rPr>
        <w:t xml:space="preserve">Les Parties, au cours de l’année qui suit la date d’entrée en vigueur, entreprennent un examen pour déterminer si la partie B devrait s’appliquer aux mesures adoptées ou maintenues par les administrations régionales, locales, de district et autres formes d’administration municipale d’une Partie. </w:t>
      </w:r>
    </w:p>
    <w:p w14:paraId="49F1B279" w14:textId="1730A492" w:rsidR="005A321B" w:rsidRPr="00B04E29" w:rsidRDefault="005A321B" w:rsidP="005A321B">
      <w:pPr>
        <w:autoSpaceDE w:val="0"/>
        <w:autoSpaceDN w:val="0"/>
        <w:adjustRightInd w:val="0"/>
        <w:rPr>
          <w:rFonts w:ascii="Arial" w:eastAsia="Times New Roman" w:hAnsi="Arial" w:cs="Arial"/>
          <w:szCs w:val="23"/>
          <w:lang w:val="fr-CA"/>
        </w:rPr>
      </w:pPr>
    </w:p>
    <w:p w14:paraId="402631CE" w14:textId="77777777" w:rsidR="00996A22" w:rsidRPr="00B04E29" w:rsidRDefault="00996A22" w:rsidP="005A321B">
      <w:pPr>
        <w:autoSpaceDE w:val="0"/>
        <w:autoSpaceDN w:val="0"/>
        <w:adjustRightInd w:val="0"/>
        <w:rPr>
          <w:rFonts w:ascii="Arial" w:eastAsia="Times New Roman" w:hAnsi="Arial" w:cs="Arial"/>
          <w:szCs w:val="23"/>
          <w:lang w:val="fr-CA"/>
        </w:rPr>
      </w:pPr>
    </w:p>
    <w:p w14:paraId="5AF533F2" w14:textId="77777777" w:rsidR="00996A22" w:rsidRPr="00B04E29" w:rsidRDefault="00996A22">
      <w:pPr>
        <w:rPr>
          <w:rFonts w:ascii="Arial" w:eastAsia="Arial" w:hAnsi="Arial" w:cs="Arial"/>
          <w:b/>
          <w:szCs w:val="23"/>
          <w:lang w:val="fr-CA"/>
        </w:rPr>
      </w:pPr>
      <w:bookmarkStart w:id="106" w:name="_Toc357427519"/>
      <w:bookmarkStart w:id="107" w:name="part_A"/>
      <w:bookmarkStart w:id="108" w:name="_Toc470079000"/>
      <w:r w:rsidRPr="00B04E29">
        <w:rPr>
          <w:rFonts w:ascii="Arial" w:eastAsia="Arial" w:hAnsi="Arial" w:cs="Arial"/>
          <w:b/>
          <w:szCs w:val="23"/>
          <w:lang w:val="fr-CA"/>
        </w:rPr>
        <w:br w:type="page"/>
      </w:r>
    </w:p>
    <w:p w14:paraId="58589E4D" w14:textId="7F372E9E" w:rsidR="005A321B" w:rsidRPr="00B04E29" w:rsidRDefault="005A321B" w:rsidP="005A321B">
      <w:pPr>
        <w:jc w:val="center"/>
        <w:rPr>
          <w:rFonts w:ascii="Arial" w:eastAsia="Arial" w:hAnsi="Arial" w:cs="Arial"/>
          <w:b/>
          <w:szCs w:val="23"/>
          <w:lang w:val="fr-CA"/>
        </w:rPr>
      </w:pPr>
      <w:r w:rsidRPr="00B04E29">
        <w:rPr>
          <w:rFonts w:ascii="Arial" w:eastAsia="Arial" w:hAnsi="Arial" w:cs="Arial"/>
          <w:b/>
          <w:szCs w:val="23"/>
          <w:lang w:val="fr-CA"/>
        </w:rPr>
        <w:lastRenderedPageBreak/>
        <w:t xml:space="preserve">PARTIE A : </w:t>
      </w:r>
      <w:r w:rsidR="00F00107" w:rsidRPr="00B04E29">
        <w:rPr>
          <w:rFonts w:ascii="Arial" w:eastAsia="Arial" w:hAnsi="Arial" w:cs="Arial"/>
          <w:b/>
          <w:szCs w:val="23"/>
          <w:lang w:val="fr-CA"/>
        </w:rPr>
        <w:tab/>
      </w:r>
      <w:r w:rsidRPr="00B04E29">
        <w:rPr>
          <w:rFonts w:ascii="Arial" w:eastAsia="Arial" w:hAnsi="Arial" w:cs="Arial"/>
          <w:b/>
          <w:szCs w:val="23"/>
          <w:lang w:val="fr-CA"/>
        </w:rPr>
        <w:t xml:space="preserve">Règlement des différends </w:t>
      </w:r>
      <w:bookmarkEnd w:id="106"/>
      <w:bookmarkEnd w:id="107"/>
      <w:r w:rsidRPr="00B04E29">
        <w:rPr>
          <w:rFonts w:ascii="Arial" w:eastAsia="Arial" w:hAnsi="Arial" w:cs="Arial"/>
          <w:b/>
          <w:szCs w:val="23"/>
          <w:lang w:val="fr-CA"/>
        </w:rPr>
        <w:t>entre gouvernements</w:t>
      </w:r>
      <w:bookmarkEnd w:id="108"/>
    </w:p>
    <w:p w14:paraId="5ABDE1B6" w14:textId="54003586" w:rsidR="005A321B" w:rsidRPr="00B04E29" w:rsidRDefault="005A321B" w:rsidP="005A321B">
      <w:pPr>
        <w:autoSpaceDE w:val="0"/>
        <w:autoSpaceDN w:val="0"/>
        <w:adjustRightInd w:val="0"/>
        <w:rPr>
          <w:rFonts w:ascii="Arial" w:eastAsia="Times New Roman" w:hAnsi="Arial" w:cs="Arial"/>
          <w:szCs w:val="23"/>
          <w:lang w:val="fr-CA"/>
        </w:rPr>
      </w:pPr>
    </w:p>
    <w:p w14:paraId="27122914" w14:textId="77777777" w:rsidR="00996A22" w:rsidRPr="00B04E29" w:rsidRDefault="00996A22" w:rsidP="005A321B">
      <w:pPr>
        <w:autoSpaceDE w:val="0"/>
        <w:autoSpaceDN w:val="0"/>
        <w:adjustRightInd w:val="0"/>
        <w:rPr>
          <w:rFonts w:ascii="Arial" w:eastAsia="Times New Roman" w:hAnsi="Arial" w:cs="Arial"/>
          <w:szCs w:val="23"/>
          <w:lang w:val="fr-CA"/>
        </w:rPr>
      </w:pPr>
    </w:p>
    <w:p w14:paraId="4188F8FB" w14:textId="77777777" w:rsidR="005A321B" w:rsidRPr="00B04E29" w:rsidRDefault="005A321B" w:rsidP="005A321B">
      <w:pPr>
        <w:jc w:val="center"/>
        <w:rPr>
          <w:rFonts w:ascii="Arial" w:eastAsia="Arial" w:hAnsi="Arial" w:cs="Arial"/>
          <w:b/>
          <w:szCs w:val="23"/>
          <w:lang w:val="fr-CA"/>
        </w:rPr>
      </w:pPr>
      <w:bookmarkStart w:id="109" w:name="_Toc357427520"/>
      <w:bookmarkStart w:id="110" w:name="_Toc470079001"/>
      <w:bookmarkStart w:id="111" w:name="article_1702_1"/>
      <w:r w:rsidRPr="00B04E29">
        <w:rPr>
          <w:rFonts w:ascii="Arial" w:eastAsia="Arial" w:hAnsi="Arial" w:cs="Arial"/>
          <w:b/>
          <w:szCs w:val="23"/>
          <w:lang w:val="fr-CA"/>
        </w:rPr>
        <w:t xml:space="preserve">Article 1003 : </w:t>
      </w:r>
      <w:r w:rsidRPr="00B04E29">
        <w:rPr>
          <w:rFonts w:ascii="Arial" w:eastAsia="Arial" w:hAnsi="Arial" w:cs="Arial"/>
          <w:b/>
          <w:szCs w:val="23"/>
          <w:lang w:val="fr-CA"/>
        </w:rPr>
        <w:tab/>
        <w:t>Consultations</w:t>
      </w:r>
      <w:bookmarkEnd w:id="109"/>
      <w:bookmarkEnd w:id="110"/>
    </w:p>
    <w:bookmarkEnd w:id="111"/>
    <w:p w14:paraId="3EC4844F" w14:textId="77777777" w:rsidR="005A321B" w:rsidRPr="00B04E29" w:rsidRDefault="005A321B" w:rsidP="005A321B">
      <w:pPr>
        <w:autoSpaceDE w:val="0"/>
        <w:autoSpaceDN w:val="0"/>
        <w:adjustRightInd w:val="0"/>
        <w:rPr>
          <w:rFonts w:ascii="Arial" w:eastAsia="Times New Roman" w:hAnsi="Arial" w:cs="Arial"/>
          <w:szCs w:val="23"/>
          <w:lang w:val="fr-CA"/>
        </w:rPr>
      </w:pPr>
    </w:p>
    <w:p w14:paraId="14149D59" w14:textId="6F6BBAE4"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La Partie qui estime qu’une mesure d’une autre Partie est ou serait incompatible avec les obligations de cette dernière au titre du présent accord peut demander des consultations avec l’autre Partie en remettant un avis écrit à cette Partie et, à la même date, aux autres Parties et au Secrétariat. L’avis précise la mesure effective ou le projet de mesure qui fait l’objet de la plainte, ainsi que les dispositions pertinentes du présent accord, et fournit un résumé de la plainte.</w:t>
      </w:r>
    </w:p>
    <w:p w14:paraId="75E52038" w14:textId="77777777" w:rsidR="005A321B" w:rsidRPr="00B04E29" w:rsidRDefault="005A321B" w:rsidP="005A321B">
      <w:pPr>
        <w:autoSpaceDE w:val="0"/>
        <w:autoSpaceDN w:val="0"/>
        <w:adjustRightInd w:val="0"/>
        <w:rPr>
          <w:rFonts w:ascii="Arial" w:eastAsia="Times New Roman" w:hAnsi="Arial" w:cs="Arial"/>
          <w:szCs w:val="23"/>
          <w:lang w:val="fr-CA"/>
        </w:rPr>
      </w:pPr>
    </w:p>
    <w:p w14:paraId="7211E9B8" w14:textId="462EC59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2.</w:t>
      </w:r>
      <w:r w:rsidRPr="00B04E29">
        <w:rPr>
          <w:rFonts w:ascii="Arial" w:eastAsia="Arial" w:hAnsi="Arial" w:cs="Arial"/>
          <w:szCs w:val="23"/>
          <w:lang w:val="fr-CA"/>
        </w:rPr>
        <w:tab/>
        <w:t>Une Partie ne peut pas demander la tenue de consultations au titre de la présente partie pour une question découlant des alinéas 320.1b) ou 320.1c) (Stimulants à éviter) si plus de deux années se sont écoulées depuis la date à laquelle cette Partie a, pour la première fois, pris ou aurait dû prendre connaissance d’un stimulant et su que la Partie avait subi un préjudice.</w:t>
      </w:r>
    </w:p>
    <w:p w14:paraId="34402EE8" w14:textId="77777777" w:rsidR="005A321B" w:rsidRPr="00B04E29" w:rsidRDefault="005A321B" w:rsidP="005A321B">
      <w:pPr>
        <w:autoSpaceDE w:val="0"/>
        <w:autoSpaceDN w:val="0"/>
        <w:adjustRightInd w:val="0"/>
        <w:ind w:left="1440" w:hanging="1440"/>
        <w:rPr>
          <w:rFonts w:ascii="Arial" w:eastAsia="Times New Roman" w:hAnsi="Arial" w:cs="Arial"/>
          <w:szCs w:val="23"/>
          <w:lang w:val="fr-CA"/>
        </w:rPr>
      </w:pPr>
    </w:p>
    <w:p w14:paraId="1D5445E3" w14:textId="4A6CBD50" w:rsidR="005A321B" w:rsidRPr="00B04E29" w:rsidRDefault="005A321B" w:rsidP="005A321B">
      <w:pPr>
        <w:autoSpaceDE w:val="0"/>
        <w:autoSpaceDN w:val="0"/>
        <w:adjustRightInd w:val="0"/>
        <w:rPr>
          <w:rFonts w:ascii="Arial" w:eastAsia="Times New Roman" w:hAnsi="Arial" w:cs="Arial"/>
          <w:bCs/>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Une Partie ne peut pas demander la tenue de consultations au titre du présent article en ce qui concerne une mesure faisant ou ayant fait l’objet d’une demande d’établissement d’un groupe spécial sous le régime de l’article 1004 tant que trois ans ne se sont pas écoulés après l’une des dates suivantes :</w:t>
      </w:r>
    </w:p>
    <w:p w14:paraId="4509D381" w14:textId="77777777" w:rsidR="005A321B" w:rsidRPr="00B04E29" w:rsidRDefault="005A321B" w:rsidP="005A321B">
      <w:pPr>
        <w:autoSpaceDE w:val="0"/>
        <w:autoSpaceDN w:val="0"/>
        <w:adjustRightInd w:val="0"/>
        <w:ind w:left="1440" w:hanging="720"/>
        <w:rPr>
          <w:rFonts w:ascii="Arial" w:eastAsia="Times New Roman" w:hAnsi="Arial" w:cs="Arial"/>
          <w:bCs/>
          <w:szCs w:val="23"/>
          <w:lang w:val="fr-CA"/>
        </w:rPr>
      </w:pPr>
    </w:p>
    <w:p w14:paraId="2503E4FD" w14:textId="48A77AE2"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la date à laquelle l’avis écrit concernant un règlement mutuellement satisfaisant relativement à cette mesure a été déposé auprès du Secrétariat, conformément à l’article 1010.3; </w:t>
      </w:r>
    </w:p>
    <w:p w14:paraId="217491AF"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10059CE7" w14:textId="5C21FB41"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 xml:space="preserve">la date du rapport concernant cette mesure, conformément à l’article 1008 sans qu’aucun appel n’ait été interjeté; </w:t>
      </w:r>
    </w:p>
    <w:p w14:paraId="4260F17B"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1C1CD1EE" w14:textId="7FCB3586"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la date à laquelle la décision définitive relativement à cette mesure a été rendue à la suite d’un appel interjeté en application de l’article 1009.1.</w:t>
      </w:r>
    </w:p>
    <w:p w14:paraId="18AE4D90" w14:textId="77777777" w:rsidR="005A321B" w:rsidRPr="00B04E29" w:rsidRDefault="005A321B" w:rsidP="005A321B">
      <w:pPr>
        <w:autoSpaceDE w:val="0"/>
        <w:autoSpaceDN w:val="0"/>
        <w:adjustRightInd w:val="0"/>
        <w:ind w:left="1152" w:hanging="576"/>
        <w:rPr>
          <w:rFonts w:ascii="Arial" w:eastAsia="Times New Roman" w:hAnsi="Arial" w:cs="Arial"/>
          <w:szCs w:val="23"/>
          <w:lang w:val="fr-CA"/>
        </w:rPr>
      </w:pPr>
    </w:p>
    <w:p w14:paraId="71E24655" w14:textId="0FE54C4C"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La Partie qui estime avoir, dans la question, un intérêt substantiel au sens de l’article 1004.11, peut participer aux consultations en remettant un avis écrit de son intention aux autres Parties et au Secrétariat, et ce, dans les 10 jours de la remise par la Partie initiatrice à la Partie qui répond d’une demande présentée en application du paragraphe 1.</w:t>
      </w:r>
    </w:p>
    <w:p w14:paraId="10B10D7D" w14:textId="77777777" w:rsidR="005A321B" w:rsidRPr="00B04E29" w:rsidRDefault="005A321B" w:rsidP="005A321B">
      <w:pPr>
        <w:autoSpaceDE w:val="0"/>
        <w:autoSpaceDN w:val="0"/>
        <w:adjustRightInd w:val="0"/>
        <w:rPr>
          <w:rFonts w:ascii="Arial" w:eastAsia="Times New Roman" w:hAnsi="Arial" w:cs="Arial"/>
          <w:szCs w:val="23"/>
          <w:lang w:val="fr-CA"/>
        </w:rPr>
      </w:pPr>
    </w:p>
    <w:p w14:paraId="735F2962" w14:textId="0175A11B"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La Partie initiatrice et la Partie qui répond peuvent, d’un commun accord, demander l’aide d’au moins un groupe de travail approprié en vue du règlement du différend. Une liste des groupes de travail est déposée par les Parties au Secrétariat.</w:t>
      </w:r>
    </w:p>
    <w:p w14:paraId="24C37E8D" w14:textId="77777777" w:rsidR="005A321B" w:rsidRPr="00B04E29" w:rsidRDefault="005A321B" w:rsidP="005A321B">
      <w:pPr>
        <w:autoSpaceDE w:val="0"/>
        <w:autoSpaceDN w:val="0"/>
        <w:adjustRightInd w:val="0"/>
        <w:rPr>
          <w:rFonts w:ascii="Arial" w:eastAsia="Times New Roman" w:hAnsi="Arial" w:cs="Arial"/>
          <w:szCs w:val="23"/>
          <w:u w:val="single"/>
          <w:lang w:val="fr-CA"/>
        </w:rPr>
      </w:pPr>
    </w:p>
    <w:p w14:paraId="7ADABB10" w14:textId="059212CC"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La demande d’aide présentée conformément au paragraphe 5 est remise par écrit à chacun des groupes de travail à qui les Parties demandent de l’aide, ainsi qu’aux participants aux consultations et au Secrétariat.</w:t>
      </w:r>
    </w:p>
    <w:p w14:paraId="34475ED5" w14:textId="77777777" w:rsidR="005A321B" w:rsidRPr="00B04E29" w:rsidRDefault="005A321B" w:rsidP="005A321B">
      <w:pPr>
        <w:autoSpaceDE w:val="0"/>
        <w:autoSpaceDN w:val="0"/>
        <w:adjustRightInd w:val="0"/>
        <w:rPr>
          <w:rFonts w:ascii="Arial" w:eastAsia="Times New Roman" w:hAnsi="Arial" w:cs="Arial"/>
          <w:szCs w:val="23"/>
          <w:lang w:val="fr-CA"/>
        </w:rPr>
      </w:pPr>
    </w:p>
    <w:p w14:paraId="310DDB56"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Le groupe de travail, en aidant les Parties conformément au paragraphe 5, examine le plus rapidement possible les questions dont il est saisi, en particulier celles qui concernent des denrées périssables.</w:t>
      </w:r>
    </w:p>
    <w:p w14:paraId="7BA4306E" w14:textId="77777777" w:rsidR="005A321B" w:rsidRPr="00B04E29" w:rsidRDefault="005A321B" w:rsidP="005A321B">
      <w:pPr>
        <w:autoSpaceDE w:val="0"/>
        <w:autoSpaceDN w:val="0"/>
        <w:adjustRightInd w:val="0"/>
        <w:rPr>
          <w:rFonts w:ascii="Arial" w:eastAsia="Times New Roman" w:hAnsi="Arial" w:cs="Arial"/>
          <w:szCs w:val="23"/>
          <w:lang w:val="fr-CA"/>
        </w:rPr>
      </w:pPr>
    </w:p>
    <w:p w14:paraId="64E2E305" w14:textId="4FE7C3A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8.</w:t>
      </w:r>
      <w:r w:rsidRPr="00B04E29">
        <w:rPr>
          <w:rFonts w:ascii="Arial" w:eastAsia="Times New Roman" w:hAnsi="Arial" w:cs="Arial"/>
          <w:szCs w:val="23"/>
          <w:lang w:val="fr-CA"/>
        </w:rPr>
        <w:tab/>
        <w:t>Si la question n’est pas réglée à la satisfaction de la Partie initiatrice et de la Partie qui répond dans les 60 jours de la remise par la Partie initiatrice à la Partie qui répond d’une demande présentée en application du paragraphe 1, la Partie initiatrice et la Partie qui répond peuvent, d’un commun accord, demander l’aide des ministres responsables ou des membres du Comité concernés dont l’aide serait utile en vue du règlement du différend.</w:t>
      </w:r>
    </w:p>
    <w:p w14:paraId="6F2C28C8" w14:textId="77777777" w:rsidR="005A321B" w:rsidRPr="00B04E29" w:rsidRDefault="005A321B" w:rsidP="005A321B">
      <w:pPr>
        <w:autoSpaceDE w:val="0"/>
        <w:autoSpaceDN w:val="0"/>
        <w:adjustRightInd w:val="0"/>
        <w:rPr>
          <w:rFonts w:ascii="Arial" w:eastAsia="Times New Roman" w:hAnsi="Arial" w:cs="Arial"/>
          <w:szCs w:val="23"/>
          <w:lang w:val="fr-CA"/>
        </w:rPr>
      </w:pPr>
    </w:p>
    <w:p w14:paraId="0C256510" w14:textId="5278F12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9.</w:t>
      </w:r>
      <w:r w:rsidRPr="00B04E29">
        <w:rPr>
          <w:rFonts w:ascii="Arial" w:eastAsia="Times New Roman" w:hAnsi="Arial" w:cs="Arial"/>
          <w:szCs w:val="23"/>
          <w:lang w:val="fr-CA"/>
        </w:rPr>
        <w:tab/>
        <w:t>La demande d’aide présentée par la Partie initiatrice et la Partie qui répond en application du paragraphe 8 est remise par écrit aux ministres ou membres du Comité, ainsi qu’aux participants aux consultations et au Secrétariat.</w:t>
      </w:r>
    </w:p>
    <w:p w14:paraId="11A2D994" w14:textId="77777777" w:rsidR="005A321B" w:rsidRPr="00B04E29" w:rsidRDefault="005A321B" w:rsidP="005A321B">
      <w:pPr>
        <w:autoSpaceDE w:val="0"/>
        <w:autoSpaceDN w:val="0"/>
        <w:adjustRightInd w:val="0"/>
        <w:rPr>
          <w:rFonts w:ascii="Arial" w:eastAsia="Times New Roman" w:hAnsi="Arial" w:cs="Arial"/>
          <w:szCs w:val="23"/>
          <w:lang w:val="fr-CA"/>
        </w:rPr>
      </w:pPr>
    </w:p>
    <w:p w14:paraId="2F81B02C" w14:textId="2ACA1516"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10.</w:t>
      </w:r>
      <w:r w:rsidRPr="00B04E29">
        <w:rPr>
          <w:rFonts w:ascii="Arial" w:eastAsia="Times New Roman" w:hAnsi="Arial" w:cs="Arial"/>
          <w:szCs w:val="23"/>
          <w:lang w:val="fr-CA"/>
        </w:rPr>
        <w:tab/>
        <w:t>Au moment d’apporter l’aide demandée en application du paragraphe 8, les ministres ou membres du Comité peuvent demander l’avis d’experts techniques, constituer d’autres groupes de travail ou organes d’enquête, faciliter le recours à des mécanismes de conciliation et de médiation, et à d’autres mécanismes règlement des différends, et formuler des recommandations.</w:t>
      </w:r>
    </w:p>
    <w:p w14:paraId="1D5064AC" w14:textId="77777777" w:rsidR="005A321B" w:rsidRPr="00B04E29" w:rsidRDefault="005A321B" w:rsidP="005A321B">
      <w:pPr>
        <w:autoSpaceDE w:val="0"/>
        <w:autoSpaceDN w:val="0"/>
        <w:adjustRightInd w:val="0"/>
        <w:rPr>
          <w:rFonts w:ascii="Arial" w:eastAsia="Times New Roman" w:hAnsi="Arial" w:cs="Arial"/>
          <w:szCs w:val="23"/>
          <w:lang w:val="fr-CA"/>
        </w:rPr>
      </w:pPr>
    </w:p>
    <w:p w14:paraId="3032E869" w14:textId="2597B18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11.</w:t>
      </w:r>
      <w:r w:rsidRPr="00B04E29">
        <w:rPr>
          <w:rFonts w:ascii="Arial" w:eastAsia="Times New Roman" w:hAnsi="Arial" w:cs="Arial"/>
          <w:szCs w:val="23"/>
          <w:lang w:val="fr-CA"/>
        </w:rPr>
        <w:tab/>
        <w:t>Les consultations sont confidentielles et ne sauraient porter atteinte aux droits des Parties aux consultations dans toute procédure.</w:t>
      </w:r>
    </w:p>
    <w:p w14:paraId="2C0ADA63" w14:textId="77777777" w:rsidR="005A321B" w:rsidRPr="00B04E29" w:rsidRDefault="005A321B" w:rsidP="005A321B">
      <w:pPr>
        <w:autoSpaceDE w:val="0"/>
        <w:autoSpaceDN w:val="0"/>
        <w:adjustRightInd w:val="0"/>
        <w:rPr>
          <w:rFonts w:ascii="Arial" w:eastAsia="Times New Roman" w:hAnsi="Arial" w:cs="Arial"/>
          <w:szCs w:val="23"/>
          <w:lang w:val="fr-CA"/>
        </w:rPr>
      </w:pPr>
    </w:p>
    <w:p w14:paraId="3768E46D" w14:textId="47834FC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12.</w:t>
      </w:r>
      <w:r w:rsidRPr="00B04E29">
        <w:rPr>
          <w:rFonts w:ascii="Arial" w:eastAsia="Times New Roman" w:hAnsi="Arial" w:cs="Arial"/>
          <w:szCs w:val="23"/>
          <w:lang w:val="fr-CA"/>
        </w:rPr>
        <w:tab/>
        <w:t>Les Parties aux consultations s’échangent tous les renseignements nécessaires à un examen approfondi des effets possibles de la mesure effective ou du projet de mesure ou de toute autre question susceptible d’affecter le fonctionnement du présent accord. Dans le cadre de ces échanges, les Parties aux consultations traitent les renseignements confidentiels recueillis de la même façon que le fait la Partie qui les fournit.</w:t>
      </w:r>
      <w:bookmarkStart w:id="112" w:name="_Toc357427521"/>
      <w:bookmarkStart w:id="113" w:name="article_1703"/>
    </w:p>
    <w:p w14:paraId="4E1008FB" w14:textId="77777777" w:rsidR="005A321B" w:rsidRPr="00B04E29" w:rsidRDefault="005A321B" w:rsidP="005A321B">
      <w:pPr>
        <w:jc w:val="center"/>
        <w:rPr>
          <w:rFonts w:ascii="Arial" w:eastAsia="Arial" w:hAnsi="Arial" w:cs="Arial"/>
          <w:b/>
          <w:szCs w:val="23"/>
          <w:lang w:val="fr-CA"/>
        </w:rPr>
      </w:pPr>
      <w:bookmarkStart w:id="114" w:name="_Toc470079002"/>
      <w:bookmarkEnd w:id="112"/>
      <w:bookmarkEnd w:id="113"/>
    </w:p>
    <w:p w14:paraId="583567CA" w14:textId="1398722B" w:rsidR="005A321B" w:rsidRPr="00B04E29" w:rsidRDefault="005A321B" w:rsidP="005A321B">
      <w:pPr>
        <w:keepNext/>
        <w:keepLines/>
        <w:jc w:val="center"/>
        <w:rPr>
          <w:rFonts w:ascii="Arial" w:eastAsia="Arial" w:hAnsi="Arial" w:cs="Arial"/>
          <w:b/>
          <w:szCs w:val="23"/>
          <w:lang w:val="fr-CA"/>
        </w:rPr>
      </w:pPr>
      <w:r w:rsidRPr="00B04E29">
        <w:rPr>
          <w:rFonts w:ascii="Arial" w:eastAsia="Arial" w:hAnsi="Arial" w:cs="Arial"/>
          <w:b/>
          <w:szCs w:val="23"/>
          <w:lang w:val="fr-CA"/>
        </w:rPr>
        <w:t xml:space="preserve">Article 1004 : </w:t>
      </w:r>
      <w:r w:rsidRPr="00B04E29">
        <w:rPr>
          <w:rFonts w:ascii="Arial" w:eastAsia="Arial" w:hAnsi="Arial" w:cs="Arial"/>
          <w:b/>
          <w:szCs w:val="23"/>
          <w:lang w:val="fr-CA"/>
        </w:rPr>
        <w:tab/>
        <w:t>Demande d’établissement d’un groupe spécial</w:t>
      </w:r>
      <w:bookmarkEnd w:id="114"/>
    </w:p>
    <w:p w14:paraId="13DB8BB9" w14:textId="77777777" w:rsidR="005A321B" w:rsidRPr="00B04E29" w:rsidRDefault="005A321B" w:rsidP="005A321B">
      <w:pPr>
        <w:keepNext/>
        <w:keepLines/>
        <w:autoSpaceDE w:val="0"/>
        <w:autoSpaceDN w:val="0"/>
        <w:adjustRightInd w:val="0"/>
        <w:rPr>
          <w:rFonts w:ascii="Arial" w:eastAsia="Times New Roman" w:hAnsi="Arial" w:cs="Arial"/>
          <w:szCs w:val="23"/>
          <w:lang w:val="fr-CA"/>
        </w:rPr>
      </w:pPr>
    </w:p>
    <w:p w14:paraId="688BFBCA" w14:textId="064099CD" w:rsidR="005A321B" w:rsidRPr="00B04E29" w:rsidRDefault="005A321B" w:rsidP="005A321B">
      <w:pPr>
        <w:keepNext/>
        <w:keepLines/>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Si la question en cause n’a pas été réglée à la satisfaction de la Partie initiatrice ou d’un participant aux consultations :</w:t>
      </w:r>
    </w:p>
    <w:p w14:paraId="5D476E71" w14:textId="77777777" w:rsidR="005A321B" w:rsidRPr="00B04E29" w:rsidRDefault="005A321B" w:rsidP="005A321B">
      <w:pPr>
        <w:autoSpaceDE w:val="0"/>
        <w:autoSpaceDN w:val="0"/>
        <w:adjustRightInd w:val="0"/>
        <w:rPr>
          <w:rFonts w:ascii="Arial" w:eastAsia="Times New Roman" w:hAnsi="Arial" w:cs="Arial"/>
          <w:szCs w:val="23"/>
          <w:lang w:val="fr-CA"/>
        </w:rPr>
      </w:pPr>
    </w:p>
    <w:p w14:paraId="1864BAC6" w14:textId="77590BA9"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soit la Partie initiatrice;</w:t>
      </w:r>
    </w:p>
    <w:p w14:paraId="6B5DE99C"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0CD801E8" w14:textId="2E214975"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soit le participant aux consultations;</w:t>
      </w:r>
    </w:p>
    <w:p w14:paraId="55CDDB0D"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55595D49"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 xml:space="preserve">soit la Partie initiatrice et le participant aux consultations, conjointement, </w:t>
      </w:r>
    </w:p>
    <w:p w14:paraId="605C9202" w14:textId="77777777" w:rsidR="005A321B" w:rsidRPr="00B04E29" w:rsidRDefault="005A321B" w:rsidP="005A321B">
      <w:pPr>
        <w:ind w:left="720"/>
        <w:contextualSpacing/>
        <w:rPr>
          <w:rFonts w:ascii="Arial" w:eastAsia="Times New Roman" w:hAnsi="Arial" w:cs="Arial"/>
          <w:szCs w:val="23"/>
          <w:lang w:val="fr-CA"/>
        </w:rPr>
      </w:pPr>
    </w:p>
    <w:p w14:paraId="5A5A446C" w14:textId="615E91BD" w:rsidR="005A321B" w:rsidRPr="00B04E29" w:rsidRDefault="005A321B" w:rsidP="005A321B">
      <w:pPr>
        <w:contextualSpacing/>
        <w:rPr>
          <w:rFonts w:ascii="Arial" w:eastAsia="Times New Roman" w:hAnsi="Arial" w:cs="Arial"/>
          <w:szCs w:val="23"/>
          <w:lang w:val="fr-CA"/>
        </w:rPr>
      </w:pPr>
      <w:proofErr w:type="gramStart"/>
      <w:r w:rsidRPr="00B04E29">
        <w:rPr>
          <w:rFonts w:ascii="Arial" w:eastAsia="Times New Roman" w:hAnsi="Arial" w:cs="Arial"/>
          <w:szCs w:val="23"/>
          <w:lang w:val="fr-CA"/>
        </w:rPr>
        <w:t>peuvent</w:t>
      </w:r>
      <w:proofErr w:type="gramEnd"/>
      <w:r w:rsidRPr="00B04E29">
        <w:rPr>
          <w:rFonts w:ascii="Arial" w:eastAsia="Times New Roman" w:hAnsi="Arial" w:cs="Arial"/>
          <w:szCs w:val="23"/>
          <w:lang w:val="fr-CA"/>
        </w:rPr>
        <w:t xml:space="preserve"> demander par écrit au Secrétariat, avec une copie au Comité, l’établissement d’un groupe spécial.  </w:t>
      </w:r>
    </w:p>
    <w:p w14:paraId="53FFBA13" w14:textId="77777777" w:rsidR="005A321B" w:rsidRPr="00B04E29" w:rsidRDefault="005A321B" w:rsidP="005A321B">
      <w:pPr>
        <w:contextualSpacing/>
        <w:rPr>
          <w:rFonts w:ascii="Arial" w:eastAsia="Times New Roman" w:hAnsi="Arial" w:cs="Arial"/>
          <w:szCs w:val="23"/>
          <w:lang w:val="fr-CA"/>
        </w:rPr>
      </w:pPr>
    </w:p>
    <w:p w14:paraId="149258C0" w14:textId="6E45827D" w:rsidR="005A321B" w:rsidRPr="00B04E29" w:rsidRDefault="005A321B" w:rsidP="005A321B">
      <w:pPr>
        <w:contextualSpacing/>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La demande d’établissement du groupe spécial ne peut pas être présentée avant que ne se soit écoulé un délai de 120 jours après la remise par la Partie initiatrice d’une demande de consultations à la Partie qui répond, conformément à l’article 1003.1, mais elle est présentée au plus tard trois ans après la remise de la demande de consultations. Si aucune demande d’établissement d’un groupe spécial n’a été faite dans les trois ans après la remise de la demande de consultations, la Partie initiatrice et les participants aux consultations sont réputés avoir renoncé à faire valoir la plainte.</w:t>
      </w:r>
    </w:p>
    <w:p w14:paraId="4D637C2A" w14:textId="77777777" w:rsidR="005A321B" w:rsidRPr="00B04E29" w:rsidRDefault="005A321B" w:rsidP="005A321B">
      <w:pPr>
        <w:autoSpaceDE w:val="0"/>
        <w:autoSpaceDN w:val="0"/>
        <w:adjustRightInd w:val="0"/>
        <w:rPr>
          <w:rFonts w:ascii="Arial" w:eastAsia="Times New Roman" w:hAnsi="Arial" w:cs="Arial"/>
          <w:szCs w:val="23"/>
          <w:lang w:val="fr-CA"/>
        </w:rPr>
      </w:pPr>
    </w:p>
    <w:p w14:paraId="7C9F3CDB" w14:textId="5E867B1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lastRenderedPageBreak/>
        <w:t>3.</w:t>
      </w:r>
      <w:r w:rsidRPr="00B04E29">
        <w:rPr>
          <w:rFonts w:ascii="Arial" w:eastAsia="Arial" w:hAnsi="Arial" w:cs="Arial"/>
          <w:szCs w:val="23"/>
          <w:lang w:val="fr-CA"/>
        </w:rPr>
        <w:tab/>
        <w:t xml:space="preserve">Dans le cas d’un différend découlant des alinéas 320.1b) ou 320.1c) (Stimulants interdits), une demande ne peut être présentée, sans le consentement de la Partie qui répond, si deux années se sont écoulées à compter de la date de remise d’une demande de consultations, par la Partie initiatrice à la Partie qui répond, conformément </w:t>
      </w:r>
      <w:r w:rsidR="001435E9" w:rsidRPr="00B04E29">
        <w:rPr>
          <w:rFonts w:ascii="Arial" w:eastAsia="Times New Roman" w:hAnsi="Arial" w:cs="Arial"/>
          <w:szCs w:val="23"/>
          <w:lang w:val="fr-CA"/>
        </w:rPr>
        <w:t>à</w:t>
      </w:r>
      <w:r w:rsidR="001435E9" w:rsidRPr="00B04E29" w:rsidDel="001435E9">
        <w:rPr>
          <w:rFonts w:ascii="Arial" w:eastAsia="Arial" w:hAnsi="Arial" w:cs="Arial"/>
          <w:szCs w:val="23"/>
          <w:lang w:val="fr-CA"/>
        </w:rPr>
        <w:t xml:space="preserve"> </w:t>
      </w:r>
      <w:r w:rsidRPr="00B04E29">
        <w:rPr>
          <w:rFonts w:ascii="Arial" w:eastAsia="Arial" w:hAnsi="Arial" w:cs="Arial"/>
          <w:szCs w:val="23"/>
          <w:lang w:val="fr-CA"/>
        </w:rPr>
        <w:t>l’article 1003.1.</w:t>
      </w:r>
    </w:p>
    <w:p w14:paraId="03EEA974" w14:textId="77777777" w:rsidR="005A321B" w:rsidRPr="00B04E29" w:rsidRDefault="005A321B" w:rsidP="005A321B">
      <w:pPr>
        <w:autoSpaceDE w:val="0"/>
        <w:autoSpaceDN w:val="0"/>
        <w:adjustRightInd w:val="0"/>
        <w:rPr>
          <w:rFonts w:ascii="Arial" w:eastAsia="Times New Roman" w:hAnsi="Arial" w:cs="Arial"/>
          <w:szCs w:val="23"/>
          <w:lang w:val="fr-CA"/>
        </w:rPr>
      </w:pPr>
    </w:p>
    <w:p w14:paraId="75E77F69" w14:textId="1902372B"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La demande d’établissement d’un groupe spécial :</w:t>
      </w:r>
    </w:p>
    <w:p w14:paraId="4D0FC8CB" w14:textId="77777777" w:rsidR="005A321B" w:rsidRPr="00B04E29" w:rsidRDefault="005A321B" w:rsidP="005A321B">
      <w:pPr>
        <w:autoSpaceDE w:val="0"/>
        <w:autoSpaceDN w:val="0"/>
        <w:adjustRightInd w:val="0"/>
        <w:rPr>
          <w:rFonts w:ascii="Arial" w:eastAsia="Times New Roman" w:hAnsi="Arial" w:cs="Arial"/>
          <w:szCs w:val="23"/>
          <w:lang w:val="fr-CA"/>
        </w:rPr>
      </w:pPr>
    </w:p>
    <w:p w14:paraId="7196F214" w14:textId="18E9391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précise la mesure effective ou le projet de mesure qui fait l’objet de la plainte;</w:t>
      </w:r>
    </w:p>
    <w:p w14:paraId="46D1DD68"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7C27A73C" w14:textId="463FE77E"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énumère les dispositions pertinentes du présent accord;</w:t>
      </w:r>
    </w:p>
    <w:p w14:paraId="18479B71"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0E22EE3C" w14:textId="5CED86A2"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fournit un résumé de la plainte;</w:t>
      </w:r>
    </w:p>
    <w:p w14:paraId="6D1A1F67"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1E33A7AF" w14:textId="1F52DC08"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explique comment la mesure a nui ou pourrait nuire au commerce, à l’investissement ou à la mobilité de la main-d’œuvre à l’intérieur du Canada;</w:t>
      </w:r>
    </w:p>
    <w:p w14:paraId="3EB4A264"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32C6AA8C" w14:textId="68762362"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e)</w:t>
      </w:r>
      <w:r w:rsidRPr="00B04E29">
        <w:rPr>
          <w:rFonts w:ascii="Arial" w:eastAsia="Times New Roman" w:hAnsi="Arial" w:cs="Arial"/>
          <w:szCs w:val="23"/>
          <w:lang w:val="fr-CA"/>
        </w:rPr>
        <w:tab/>
        <w:t>énonce le dommage qui est ou pourrait être causé, ou les avantages qui sont refusés ou pourraient l’être, par suite de la mesure effective ou du projet de mesure.</w:t>
      </w:r>
    </w:p>
    <w:p w14:paraId="0A899CFF" w14:textId="77777777" w:rsidR="005A321B" w:rsidRPr="00B04E29" w:rsidRDefault="005A321B" w:rsidP="005A321B">
      <w:pPr>
        <w:autoSpaceDE w:val="0"/>
        <w:autoSpaceDN w:val="0"/>
        <w:adjustRightInd w:val="0"/>
        <w:rPr>
          <w:rFonts w:ascii="Arial" w:eastAsia="Times New Roman" w:hAnsi="Arial" w:cs="Arial"/>
          <w:szCs w:val="23"/>
          <w:lang w:val="fr-CA"/>
        </w:rPr>
      </w:pPr>
    </w:p>
    <w:p w14:paraId="5C5897D6" w14:textId="668E03E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La Partie plaignante qui demande l’établissement d’un groupe spécial pour le compte d’une Personne est tenue, dès le début de l’audience du groupe spécial, de convaincre celui-ci qu’elle a un lien direct et substantiel avec cette Personne au sens des paragraphes 6, 7 ou 8. Si la Partie plaignante ne réussit pas à convaincre le groupe spécial, celui-ci rejette immédiatement la plainte pour cause d’absence d’intérêt pour agir.</w:t>
      </w:r>
    </w:p>
    <w:p w14:paraId="4DC5C53B" w14:textId="77777777" w:rsidR="005A321B" w:rsidRPr="00B04E29" w:rsidRDefault="005A321B" w:rsidP="005A321B">
      <w:pPr>
        <w:autoSpaceDE w:val="0"/>
        <w:autoSpaceDN w:val="0"/>
        <w:adjustRightInd w:val="0"/>
        <w:rPr>
          <w:rFonts w:ascii="Arial" w:eastAsia="Times New Roman" w:hAnsi="Arial" w:cs="Arial"/>
          <w:szCs w:val="23"/>
          <w:lang w:val="fr-CA"/>
        </w:rPr>
      </w:pPr>
    </w:p>
    <w:p w14:paraId="372C5621" w14:textId="7137D036"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Si la Partie plaignante est une Province, elle a un lien direct et substantiel avec une Personne si les conditions suivantes sont réunies :</w:t>
      </w:r>
    </w:p>
    <w:p w14:paraId="3AF106D5" w14:textId="77777777" w:rsidR="005A321B" w:rsidRPr="00B04E29" w:rsidRDefault="005A321B" w:rsidP="005A321B">
      <w:pPr>
        <w:autoSpaceDE w:val="0"/>
        <w:autoSpaceDN w:val="0"/>
        <w:adjustRightInd w:val="0"/>
        <w:rPr>
          <w:rFonts w:ascii="Arial" w:eastAsia="Times New Roman" w:hAnsi="Arial" w:cs="Arial"/>
          <w:szCs w:val="23"/>
          <w:lang w:val="fr-CA"/>
        </w:rPr>
      </w:pPr>
    </w:p>
    <w:p w14:paraId="4B9FE0DC" w14:textId="50BBEF9D"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la Personne réside ou fait des affaires sur son territoire;</w:t>
      </w:r>
    </w:p>
    <w:p w14:paraId="4F823CB3"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525F84A1" w14:textId="54E447BB"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la Personne a subi un dommage économique ou s’est vu refuser des avantages;</w:t>
      </w:r>
    </w:p>
    <w:p w14:paraId="356FFA04"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23D74A04" w14:textId="325144C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les conséquences de ce dommage économique ou du refus des avantages sont ressenties sur son territoire.</w:t>
      </w:r>
    </w:p>
    <w:p w14:paraId="153F37C6" w14:textId="77777777" w:rsidR="005A321B" w:rsidRPr="00B04E29" w:rsidRDefault="005A321B" w:rsidP="005A321B">
      <w:pPr>
        <w:autoSpaceDE w:val="0"/>
        <w:autoSpaceDN w:val="0"/>
        <w:adjustRightInd w:val="0"/>
        <w:ind w:left="1260" w:hanging="540"/>
        <w:rPr>
          <w:rFonts w:ascii="Arial" w:eastAsia="Times New Roman" w:hAnsi="Arial" w:cs="Arial"/>
          <w:szCs w:val="23"/>
          <w:lang w:val="fr-CA"/>
        </w:rPr>
      </w:pPr>
    </w:p>
    <w:p w14:paraId="354B62E0" w14:textId="0800B95C"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Pour ce qui est des différends relevant du chapitre Sept (Mobilité de la main-d’œuvre), une Partie a aussi un lien direct et substantiel avec une Personne si cette Personne est titulaire d’une autorisation d’exercer une profession ou un métier qui lui a été remise par cette Partie et si elle a subi un dommage économique ou s’est vu refuser des avantages.</w:t>
      </w:r>
    </w:p>
    <w:p w14:paraId="281CEAD7" w14:textId="77777777" w:rsidR="005A321B" w:rsidRPr="00B04E29" w:rsidRDefault="005A321B" w:rsidP="005A321B">
      <w:pPr>
        <w:autoSpaceDE w:val="0"/>
        <w:autoSpaceDN w:val="0"/>
        <w:adjustRightInd w:val="0"/>
        <w:rPr>
          <w:rFonts w:ascii="Arial" w:eastAsia="Times New Roman" w:hAnsi="Arial" w:cs="Arial"/>
          <w:szCs w:val="23"/>
          <w:lang w:val="fr-CA"/>
        </w:rPr>
      </w:pPr>
    </w:p>
    <w:p w14:paraId="786A0E2C" w14:textId="1ED3BD9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8.</w:t>
      </w:r>
      <w:r w:rsidRPr="00B04E29">
        <w:rPr>
          <w:rFonts w:ascii="Arial" w:eastAsia="Times New Roman" w:hAnsi="Arial" w:cs="Arial"/>
          <w:szCs w:val="23"/>
          <w:lang w:val="fr-CA"/>
        </w:rPr>
        <w:tab/>
        <w:t>Si la Partie plaignante est le gouvernement du Canada, elle a un lien direct et substantiel avec une Personne si cette Personne a subi un dommage économique ou s’est vu refuser des avantages, à la suite d’un traitement incompatible avec le présent accord, et ce :</w:t>
      </w:r>
    </w:p>
    <w:p w14:paraId="17AEA68C" w14:textId="77777777" w:rsidR="005A321B" w:rsidRPr="00B04E29" w:rsidRDefault="005A321B" w:rsidP="005A321B">
      <w:pPr>
        <w:autoSpaceDE w:val="0"/>
        <w:autoSpaceDN w:val="0"/>
        <w:adjustRightInd w:val="0"/>
        <w:rPr>
          <w:rFonts w:ascii="Arial" w:eastAsia="Times New Roman" w:hAnsi="Arial" w:cs="Arial"/>
          <w:szCs w:val="23"/>
          <w:lang w:val="fr-CA"/>
        </w:rPr>
      </w:pPr>
    </w:p>
    <w:p w14:paraId="22380661"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soit parce qu’elle est une entité constituée en vertu des lois fédérales;</w:t>
      </w:r>
    </w:p>
    <w:p w14:paraId="5A596F95"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341A97BF" w14:textId="3FE48F6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soit parce qu’elle exerce une activité qui constitue un ouvrage, une entreprise, un secteur d’activité ou un service relevant de l’autorité de réglementation du gouvernement du Canada.</w:t>
      </w:r>
    </w:p>
    <w:p w14:paraId="7B3C5472" w14:textId="77777777" w:rsidR="005A321B" w:rsidRPr="00B04E29" w:rsidRDefault="005A321B" w:rsidP="005A321B">
      <w:pPr>
        <w:autoSpaceDE w:val="0"/>
        <w:autoSpaceDN w:val="0"/>
        <w:adjustRightInd w:val="0"/>
        <w:rPr>
          <w:rFonts w:ascii="Arial" w:eastAsia="Times New Roman" w:hAnsi="Arial" w:cs="Arial"/>
          <w:szCs w:val="23"/>
          <w:lang w:val="fr-CA"/>
        </w:rPr>
      </w:pPr>
    </w:p>
    <w:p w14:paraId="5480A65A" w14:textId="4CA1545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9.</w:t>
      </w:r>
      <w:r w:rsidRPr="00B04E29">
        <w:rPr>
          <w:rFonts w:ascii="Arial" w:eastAsia="Times New Roman" w:hAnsi="Arial" w:cs="Arial"/>
          <w:szCs w:val="23"/>
          <w:lang w:val="fr-CA"/>
        </w:rPr>
        <w:tab/>
        <w:t>Une Partie qui a, dans la question faisant l’objet du différend, un intérêt substantiel au sens du paragraphe 11, a le droit de se joindre à des procédures à titre d’intervenant en remettant un avis écrit aux autres Parties et au Secrétariat dans les 15 jours qui suivent la date de la remise de la demande d’établissement du groupe spécial par la Partie plaignante au Secrétariat.</w:t>
      </w:r>
    </w:p>
    <w:p w14:paraId="667ABE28" w14:textId="77777777" w:rsidR="005A321B" w:rsidRPr="00B04E29" w:rsidRDefault="005A321B" w:rsidP="005A321B">
      <w:pPr>
        <w:autoSpaceDE w:val="0"/>
        <w:autoSpaceDN w:val="0"/>
        <w:adjustRightInd w:val="0"/>
        <w:rPr>
          <w:rFonts w:ascii="Arial" w:eastAsia="Times New Roman" w:hAnsi="Arial" w:cs="Arial"/>
          <w:szCs w:val="23"/>
          <w:lang w:val="fr-CA"/>
        </w:rPr>
      </w:pPr>
    </w:p>
    <w:p w14:paraId="0DDE0137" w14:textId="5AC1227A"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10.</w:t>
      </w:r>
      <w:r w:rsidRPr="00B04E29">
        <w:rPr>
          <w:rFonts w:ascii="Arial" w:eastAsia="Times New Roman" w:hAnsi="Arial" w:cs="Arial"/>
          <w:szCs w:val="23"/>
          <w:lang w:val="fr-CA"/>
        </w:rPr>
        <w:tab/>
        <w:t>Un participant aux consultations ayant ou non, dans la question faisant l’objet du différend, un intérêt substantiel au sens du paragraphe 11, a le droit d’être ajouté à une procédure à titre de Partie plaignante s’il remet aux autres Parties et au Secrétariat un avis écrit contenant les renseignements énoncés aux paragraphe 4, dans les 15 jours qui suivent la date de la remise de la demande d’établissement du groupe spécial par la Partie plaignante au Secrétariat. Une autre Partie ne peut être ajoutée à une procédure à titre de Partie plaignante que si elle y est autorisée par le groupe spécial.</w:t>
      </w:r>
    </w:p>
    <w:p w14:paraId="18E1580D" w14:textId="77777777" w:rsidR="005A321B" w:rsidRPr="00B04E29" w:rsidRDefault="005A321B" w:rsidP="005A321B">
      <w:pPr>
        <w:autoSpaceDE w:val="0"/>
        <w:autoSpaceDN w:val="0"/>
        <w:adjustRightInd w:val="0"/>
        <w:rPr>
          <w:rFonts w:ascii="Arial" w:eastAsia="Times New Roman" w:hAnsi="Arial" w:cs="Arial"/>
          <w:szCs w:val="23"/>
          <w:lang w:val="fr-CA"/>
        </w:rPr>
      </w:pPr>
    </w:p>
    <w:p w14:paraId="17FB9FA0"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11.</w:t>
      </w:r>
      <w:r w:rsidRPr="00B04E29">
        <w:rPr>
          <w:rFonts w:ascii="Arial" w:eastAsia="Times New Roman" w:hAnsi="Arial" w:cs="Arial"/>
          <w:szCs w:val="23"/>
          <w:lang w:val="fr-CA"/>
        </w:rPr>
        <w:tab/>
        <w:t>Une Partie a un intérêt substantiel dans la question faisant l’objet du différend dans l’un ou l’autre des cas suivants :</w:t>
      </w:r>
    </w:p>
    <w:p w14:paraId="2B2779BE" w14:textId="77777777" w:rsidR="005A321B" w:rsidRPr="00B04E29" w:rsidRDefault="005A321B" w:rsidP="005A321B">
      <w:pPr>
        <w:autoSpaceDE w:val="0"/>
        <w:autoSpaceDN w:val="0"/>
        <w:adjustRightInd w:val="0"/>
        <w:rPr>
          <w:rFonts w:ascii="Arial" w:eastAsia="Times New Roman" w:hAnsi="Arial" w:cs="Arial"/>
          <w:szCs w:val="23"/>
          <w:lang w:val="fr-CA"/>
        </w:rPr>
      </w:pPr>
    </w:p>
    <w:p w14:paraId="247645D7" w14:textId="3E5494A9"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la Partie maintient une mesure analogue à la mesure contestée;</w:t>
      </w:r>
    </w:p>
    <w:p w14:paraId="68621E72"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1736F759" w14:textId="6A5544E8"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 xml:space="preserve">la Partie est une Province et il y a, sur son territoire, un nombre suffisant de Personnes qui font des affaires qui sont ou seront affectées par la mesure </w:t>
      </w:r>
      <w:bookmarkStart w:id="115" w:name="_Toc357427522"/>
      <w:bookmarkStart w:id="116" w:name="article_1704"/>
      <w:r w:rsidRPr="00B04E29">
        <w:rPr>
          <w:rFonts w:ascii="Arial" w:eastAsia="Times New Roman" w:hAnsi="Arial" w:cs="Arial"/>
          <w:szCs w:val="23"/>
          <w:lang w:val="fr-CA"/>
        </w:rPr>
        <w:t>effective ou le projet de mesure en cause.</w:t>
      </w:r>
    </w:p>
    <w:p w14:paraId="32BBD571" w14:textId="77777777" w:rsidR="005A321B" w:rsidRPr="00B04E29" w:rsidRDefault="005A321B" w:rsidP="005A321B">
      <w:pPr>
        <w:autoSpaceDE w:val="0"/>
        <w:autoSpaceDN w:val="0"/>
        <w:adjustRightInd w:val="0"/>
        <w:rPr>
          <w:rFonts w:ascii="Arial" w:eastAsia="Times New Roman" w:hAnsi="Arial" w:cs="Arial"/>
          <w:szCs w:val="23"/>
          <w:lang w:val="fr-CA"/>
        </w:rPr>
      </w:pPr>
    </w:p>
    <w:p w14:paraId="6AF82E29" w14:textId="4238072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12.</w:t>
      </w:r>
      <w:r w:rsidRPr="00B04E29">
        <w:rPr>
          <w:rFonts w:ascii="Arial" w:eastAsia="Times New Roman" w:hAnsi="Arial" w:cs="Arial"/>
          <w:szCs w:val="23"/>
          <w:lang w:val="fr-CA"/>
        </w:rPr>
        <w:tab/>
        <w:t xml:space="preserve">Si le destinataire d’une plainte est d’avis que le différend concerne l’interprétation ou l’application de l’annexe 309 (Fournisseurs de services de </w:t>
      </w:r>
      <w:r w:rsidR="00E04F70" w:rsidRPr="00B04E29">
        <w:rPr>
          <w:rFonts w:ascii="Arial" w:eastAsia="Times New Roman" w:hAnsi="Arial" w:cs="Arial"/>
          <w:szCs w:val="23"/>
          <w:lang w:val="fr-CA"/>
        </w:rPr>
        <w:t xml:space="preserve">transport </w:t>
      </w:r>
      <w:r w:rsidRPr="00B04E29">
        <w:rPr>
          <w:rFonts w:ascii="Arial" w:eastAsia="Times New Roman" w:hAnsi="Arial" w:cs="Arial"/>
          <w:szCs w:val="23"/>
          <w:lang w:val="fr-CA"/>
        </w:rPr>
        <w:t>d’électricité et commerce de</w:t>
      </w:r>
      <w:r w:rsidR="00E04F70" w:rsidRPr="00B04E29">
        <w:rPr>
          <w:rFonts w:ascii="Arial" w:eastAsia="Times New Roman" w:hAnsi="Arial" w:cs="Arial"/>
          <w:szCs w:val="23"/>
          <w:lang w:val="fr-CA"/>
        </w:rPr>
        <w:t>s</w:t>
      </w:r>
      <w:r w:rsidRPr="00B04E29">
        <w:rPr>
          <w:rFonts w:ascii="Arial" w:eastAsia="Times New Roman" w:hAnsi="Arial" w:cs="Arial"/>
          <w:szCs w:val="23"/>
          <w:lang w:val="fr-CA"/>
        </w:rPr>
        <w:t xml:space="preserve"> services de </w:t>
      </w:r>
      <w:r w:rsidR="00E04F70" w:rsidRPr="00B04E29">
        <w:rPr>
          <w:rFonts w:ascii="Arial" w:eastAsia="Times New Roman" w:hAnsi="Arial" w:cs="Arial"/>
          <w:szCs w:val="23"/>
          <w:lang w:val="fr-CA"/>
        </w:rPr>
        <w:t xml:space="preserve">transport </w:t>
      </w:r>
      <w:r w:rsidRPr="00B04E29">
        <w:rPr>
          <w:rFonts w:ascii="Arial" w:eastAsia="Times New Roman" w:hAnsi="Arial" w:cs="Arial"/>
          <w:szCs w:val="23"/>
          <w:lang w:val="fr-CA"/>
        </w:rPr>
        <w:t>d’électricité) et que la Partie plaignante n’a pas précisément inscrit cette annexe comme l’une des dispositions pertinentes du présent accord dans sa demande visant à établir un groupe spécial, le destinataire de la plainte donne une notification à la Partie plaignante à l’égard de la pertinence de cette annexe pour le différend par la remise d’un avis écrit aux autres Parties et au Secrétariat dans les 10 jours suivant la date de remise par la Partie plaignante au Secrétariat de la demande d’établissement d’un groupe spécial.</w:t>
      </w:r>
    </w:p>
    <w:p w14:paraId="4E0FBA21" w14:textId="77777777" w:rsidR="005A321B" w:rsidRPr="00B04E29" w:rsidRDefault="005A321B" w:rsidP="005A321B">
      <w:pPr>
        <w:autoSpaceDE w:val="0"/>
        <w:autoSpaceDN w:val="0"/>
        <w:adjustRightInd w:val="0"/>
        <w:ind w:left="1152" w:hanging="576"/>
        <w:rPr>
          <w:rFonts w:ascii="Arial" w:eastAsia="Times New Roman" w:hAnsi="Arial" w:cs="Arial"/>
          <w:szCs w:val="23"/>
          <w:lang w:val="fr-CA"/>
        </w:rPr>
      </w:pPr>
    </w:p>
    <w:p w14:paraId="4C6458BB" w14:textId="7A784580" w:rsidR="005A321B" w:rsidRPr="00B04E29" w:rsidRDefault="005A321B" w:rsidP="005A321B">
      <w:pPr>
        <w:jc w:val="center"/>
        <w:rPr>
          <w:rFonts w:ascii="Arial" w:eastAsia="Arial" w:hAnsi="Arial" w:cs="Arial"/>
          <w:b/>
          <w:szCs w:val="23"/>
          <w:lang w:val="fr-CA"/>
        </w:rPr>
      </w:pPr>
      <w:bookmarkStart w:id="117" w:name="_Toc470079003"/>
      <w:r w:rsidRPr="00B04E29">
        <w:rPr>
          <w:rFonts w:ascii="Arial" w:eastAsia="Arial" w:hAnsi="Arial" w:cs="Arial"/>
          <w:b/>
          <w:szCs w:val="23"/>
          <w:lang w:val="fr-CA"/>
        </w:rPr>
        <w:t xml:space="preserve">Article 1005 : </w:t>
      </w:r>
      <w:r w:rsidRPr="00B04E29">
        <w:rPr>
          <w:rFonts w:ascii="Arial" w:eastAsia="Arial" w:hAnsi="Arial" w:cs="Arial"/>
          <w:b/>
          <w:szCs w:val="23"/>
          <w:lang w:val="fr-CA"/>
        </w:rPr>
        <w:tab/>
        <w:t>Établissement d’un organe décisionnel</w:t>
      </w:r>
      <w:bookmarkEnd w:id="115"/>
      <w:bookmarkEnd w:id="117"/>
    </w:p>
    <w:bookmarkEnd w:id="116"/>
    <w:p w14:paraId="40ACE87B" w14:textId="77777777" w:rsidR="005A321B" w:rsidRPr="00B04E29" w:rsidRDefault="005A321B" w:rsidP="005A321B">
      <w:pPr>
        <w:autoSpaceDE w:val="0"/>
        <w:autoSpaceDN w:val="0"/>
        <w:adjustRightInd w:val="0"/>
        <w:rPr>
          <w:rFonts w:ascii="Arial" w:eastAsia="Times New Roman" w:hAnsi="Arial" w:cs="Arial"/>
          <w:szCs w:val="23"/>
          <w:lang w:val="fr-CA"/>
        </w:rPr>
      </w:pPr>
    </w:p>
    <w:p w14:paraId="445F9BC3" w14:textId="7C818EE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 xml:space="preserve">Sous réserve de l’annexe 309 </w:t>
      </w:r>
      <w:r w:rsidRPr="00B04E29">
        <w:rPr>
          <w:rFonts w:ascii="Arial" w:eastAsia="Arial" w:hAnsi="Arial" w:cs="Arial"/>
          <w:szCs w:val="23"/>
          <w:lang w:val="fr-CA"/>
        </w:rPr>
        <w:t>(Fournisseurs de services de transport d’électricité et commerce des services de transport d’électricité) et s</w:t>
      </w:r>
      <w:r w:rsidRPr="00B04E29">
        <w:rPr>
          <w:rFonts w:ascii="Arial" w:eastAsia="Times New Roman" w:hAnsi="Arial" w:cs="Arial"/>
          <w:szCs w:val="23"/>
          <w:lang w:val="fr-CA"/>
        </w:rPr>
        <w:t xml:space="preserve">auf si elle est incompatible avec les dispositions du présent chapitre, ou comme il est autrement exigé par ces dernières, les organes décisionnels sont établis conformément au présent article et se composent de trois membres, sauf si les Parties au différend conviennent d’un groupe spécial composé d’un seul membre. </w:t>
      </w:r>
    </w:p>
    <w:p w14:paraId="22E762F4" w14:textId="77777777" w:rsidR="005A321B" w:rsidRPr="00B04E29" w:rsidRDefault="005A321B" w:rsidP="005A321B">
      <w:pPr>
        <w:autoSpaceDE w:val="0"/>
        <w:autoSpaceDN w:val="0"/>
        <w:adjustRightInd w:val="0"/>
        <w:rPr>
          <w:rFonts w:ascii="Arial" w:eastAsia="Times New Roman" w:hAnsi="Arial" w:cs="Arial"/>
          <w:szCs w:val="23"/>
          <w:lang w:val="fr-CA"/>
        </w:rPr>
      </w:pPr>
    </w:p>
    <w:p w14:paraId="21CBFFB0" w14:textId="73C20B7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 xml:space="preserve">Les Parties tiennent une liste d’individus qui remplissent les conditions d’admissibilité, conformément à l’annexe 1005.2, pour être membres d’un groupe spécial. Les Parties </w:t>
      </w:r>
      <w:r w:rsidRPr="00B04E29">
        <w:rPr>
          <w:rFonts w:ascii="Arial" w:eastAsia="Times New Roman" w:hAnsi="Arial" w:cs="Arial"/>
          <w:szCs w:val="23"/>
          <w:lang w:val="fr-CA"/>
        </w:rPr>
        <w:lastRenderedPageBreak/>
        <w:t>tiennent une liste d’individus qui remplissent les conditions d’admissibilité pour être membres d’un groupe spécial d’appel, conformément à l’annexe 1005.2.</w:t>
      </w:r>
    </w:p>
    <w:p w14:paraId="2A1CBCA2" w14:textId="77777777" w:rsidR="005A321B" w:rsidRPr="00B04E29" w:rsidRDefault="005A321B" w:rsidP="005A321B">
      <w:pPr>
        <w:autoSpaceDE w:val="0"/>
        <w:autoSpaceDN w:val="0"/>
        <w:adjustRightInd w:val="0"/>
        <w:rPr>
          <w:rFonts w:ascii="Arial" w:eastAsia="Times New Roman" w:hAnsi="Arial" w:cs="Arial"/>
          <w:szCs w:val="23"/>
          <w:lang w:val="fr-CA"/>
        </w:rPr>
      </w:pPr>
    </w:p>
    <w:p w14:paraId="2B7D6772" w14:textId="3586C49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Dans les 30 jours qui suivent la date de remise au Secrétariat de la demande d’établissement d’un organe décisionnel par la Partie plaignante, chacune des Parties au différend nomme un membre du groupe spécial parmi les individus inscrits sur la liste. Si les Parties ont convenu que l’organe décisionnel ne comprendra qu’un seul membre, elles doivent s’entendre, dans ce délai de 30 jours, pour nommer, parmi les individus inscrits sur la liste, un membre qui possède une expérience en droit administratif, sous le régime de la règle 4 de l’annexe 1005.2. Un avis de nomination est transmis au Secrétariat. Le Secrétariat notifie la nomination au membre du groupe spécial choisi, ainsi qu’aux autres Parties participantes.</w:t>
      </w:r>
    </w:p>
    <w:p w14:paraId="04F65D08" w14:textId="77777777" w:rsidR="005A321B" w:rsidRPr="00B04E29" w:rsidRDefault="005A321B" w:rsidP="005A321B">
      <w:pPr>
        <w:autoSpaceDE w:val="0"/>
        <w:autoSpaceDN w:val="0"/>
        <w:adjustRightInd w:val="0"/>
        <w:rPr>
          <w:rFonts w:ascii="Arial" w:eastAsia="Times New Roman" w:hAnsi="Arial" w:cs="Arial"/>
          <w:szCs w:val="23"/>
          <w:u w:val="single"/>
          <w:lang w:val="fr-CA"/>
        </w:rPr>
      </w:pPr>
    </w:p>
    <w:p w14:paraId="7A5B9C7F"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Si l’une des Parties au différend ne nomme aucun membre dans les 30 jours, ou si les Parties ont convenu que l’organe décisionnel ne comprendra qu’un seul membre et qu’elles ne réussissent pas à nommer un membre dans les 30 jours, le Secrétariat choisit le membre sur la liste par tirage au sort.</w:t>
      </w:r>
    </w:p>
    <w:p w14:paraId="278FB4DE" w14:textId="77777777" w:rsidR="005A321B" w:rsidRPr="00B04E29" w:rsidRDefault="005A321B" w:rsidP="005A321B">
      <w:pPr>
        <w:autoSpaceDE w:val="0"/>
        <w:autoSpaceDN w:val="0"/>
        <w:adjustRightInd w:val="0"/>
        <w:rPr>
          <w:rFonts w:ascii="Arial" w:eastAsia="Times New Roman" w:hAnsi="Arial" w:cs="Arial"/>
          <w:szCs w:val="23"/>
          <w:lang w:val="fr-CA"/>
        </w:rPr>
      </w:pPr>
    </w:p>
    <w:p w14:paraId="4F1A5E85" w14:textId="3F8EB94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 xml:space="preserve">Dans les 10 jours qui suivent la nomination du dernier d’entre eux, les membres d’un organe décisionnel ainsi nommés choisissent le président d’un organe décisionnel parmi les individus inscrits sur la liste. Si les membres sont incapables de s’entendre dans ce délai, le Secrétariat choisit le président, par tirage au sort, à partir de la liste.  </w:t>
      </w:r>
    </w:p>
    <w:p w14:paraId="41A90529" w14:textId="77777777" w:rsidR="005A321B" w:rsidRPr="00B04E29" w:rsidRDefault="005A321B" w:rsidP="005A321B">
      <w:pPr>
        <w:autoSpaceDE w:val="0"/>
        <w:autoSpaceDN w:val="0"/>
        <w:adjustRightInd w:val="0"/>
        <w:rPr>
          <w:rFonts w:ascii="Arial" w:eastAsia="Times New Roman" w:hAnsi="Arial" w:cs="Arial"/>
          <w:szCs w:val="23"/>
          <w:lang w:val="fr-CA"/>
        </w:rPr>
      </w:pPr>
    </w:p>
    <w:p w14:paraId="0C37BE81" w14:textId="5BAC544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Si aucun des membres nommés ou choisis conformément au présent article ne possède une expérience en droit administratif, sous le régime de la règle 4 de l’annexe 1005.2, les membres ou le Secrétariat, selon le cas, choisissent sur la liste un membre qui possède une expérience en droit administratif pour occuper le poste de président.</w:t>
      </w:r>
    </w:p>
    <w:p w14:paraId="51940EB7" w14:textId="77777777" w:rsidR="005A321B" w:rsidRPr="00B04E29" w:rsidRDefault="005A321B" w:rsidP="005A321B">
      <w:pPr>
        <w:autoSpaceDE w:val="0"/>
        <w:autoSpaceDN w:val="0"/>
        <w:adjustRightInd w:val="0"/>
        <w:rPr>
          <w:rFonts w:ascii="Arial" w:eastAsia="Times New Roman" w:hAnsi="Arial" w:cs="Arial"/>
          <w:szCs w:val="23"/>
          <w:lang w:val="fr-CA"/>
        </w:rPr>
      </w:pPr>
    </w:p>
    <w:p w14:paraId="380550A2" w14:textId="6BFE740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 xml:space="preserve">Le président choisi conformément aux procédures stipulées aux paragraphes 5 ou 6, selon le cas, est bilingue (français et anglais) si l’une des Parties au différend en fait la demande. </w:t>
      </w:r>
    </w:p>
    <w:p w14:paraId="3EF31BA3" w14:textId="77777777" w:rsidR="005A321B" w:rsidRPr="00B04E29" w:rsidRDefault="005A321B" w:rsidP="005A321B">
      <w:pPr>
        <w:autoSpaceDE w:val="0"/>
        <w:autoSpaceDN w:val="0"/>
        <w:adjustRightInd w:val="0"/>
        <w:rPr>
          <w:rFonts w:ascii="Arial" w:eastAsia="Times New Roman" w:hAnsi="Arial" w:cs="Arial"/>
          <w:szCs w:val="23"/>
          <w:lang w:val="fr-CA"/>
        </w:rPr>
      </w:pPr>
    </w:p>
    <w:p w14:paraId="0F780C51" w14:textId="28A3F55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8.</w:t>
      </w:r>
      <w:r w:rsidRPr="00B04E29">
        <w:rPr>
          <w:rFonts w:ascii="Arial" w:eastAsia="Times New Roman" w:hAnsi="Arial" w:cs="Arial"/>
          <w:szCs w:val="23"/>
          <w:lang w:val="fr-CA"/>
        </w:rPr>
        <w:tab/>
        <w:t>Sauf convention contraire des Parties au différend, les membres ou le Secrétariat, selon le cas, ne nomment pas ou ne choisissent pas à titre de président d’un organe décisionnel un individu qui a été inscrit sur la liste par l’une des Parties au différend ou qui est un résident de la Province d’une des Parties au différend.</w:t>
      </w:r>
    </w:p>
    <w:p w14:paraId="0B7D3993" w14:textId="77777777" w:rsidR="005A321B" w:rsidRPr="00B04E29" w:rsidRDefault="005A321B" w:rsidP="005A321B">
      <w:pPr>
        <w:autoSpaceDE w:val="0"/>
        <w:autoSpaceDN w:val="0"/>
        <w:adjustRightInd w:val="0"/>
        <w:rPr>
          <w:rFonts w:ascii="Arial" w:eastAsia="Times New Roman" w:hAnsi="Arial" w:cs="Arial"/>
          <w:szCs w:val="23"/>
          <w:lang w:val="fr-CA"/>
        </w:rPr>
      </w:pPr>
    </w:p>
    <w:p w14:paraId="5E166E14" w14:textId="068D18C2" w:rsidR="005A321B" w:rsidRPr="00B04E29" w:rsidRDefault="005A321B" w:rsidP="005A321B">
      <w:pPr>
        <w:autoSpaceDE w:val="0"/>
        <w:autoSpaceDN w:val="0"/>
        <w:adjustRightInd w:val="0"/>
        <w:rPr>
          <w:rFonts w:ascii="Arial" w:eastAsia="Arial" w:hAnsi="Arial" w:cs="Arial"/>
          <w:szCs w:val="23"/>
          <w:lang w:val="fr-CA"/>
        </w:rPr>
      </w:pPr>
      <w:r w:rsidRPr="00B04E29">
        <w:rPr>
          <w:rFonts w:ascii="Arial" w:eastAsia="Arial" w:hAnsi="Arial" w:cs="Arial"/>
          <w:szCs w:val="23"/>
          <w:lang w:val="fr-CA"/>
        </w:rPr>
        <w:t>9.</w:t>
      </w:r>
      <w:r w:rsidRPr="00B04E29">
        <w:rPr>
          <w:rFonts w:ascii="Arial" w:eastAsia="Arial" w:hAnsi="Arial" w:cs="Arial"/>
          <w:szCs w:val="23"/>
          <w:lang w:val="fr-CA"/>
        </w:rPr>
        <w:tab/>
        <w:t>L’organe décisionnel est établi à la date de sélection du président sous le régime des paragraphes 5 ou 6. Le Secrétariat notifie l’établissement d’un organe décisionnel aux Parties participantes et au Comité.</w:t>
      </w:r>
    </w:p>
    <w:p w14:paraId="1D89DF84" w14:textId="77777777" w:rsidR="005A321B" w:rsidRPr="00B04E29" w:rsidRDefault="005A321B" w:rsidP="005A321B">
      <w:pPr>
        <w:autoSpaceDE w:val="0"/>
        <w:autoSpaceDN w:val="0"/>
        <w:adjustRightInd w:val="0"/>
        <w:rPr>
          <w:rFonts w:ascii="Arial" w:eastAsia="Arial" w:hAnsi="Arial" w:cs="Arial"/>
          <w:szCs w:val="23"/>
          <w:lang w:val="fr-CA"/>
        </w:rPr>
      </w:pPr>
    </w:p>
    <w:p w14:paraId="64106DC7" w14:textId="77777777" w:rsidR="005A321B" w:rsidRPr="00B04E29" w:rsidRDefault="005A321B" w:rsidP="005A321B">
      <w:pPr>
        <w:jc w:val="center"/>
        <w:rPr>
          <w:rFonts w:ascii="Arial" w:eastAsia="Arial" w:hAnsi="Arial" w:cs="Arial"/>
          <w:b/>
          <w:szCs w:val="23"/>
          <w:lang w:val="fr-CA"/>
        </w:rPr>
      </w:pPr>
      <w:bookmarkStart w:id="118" w:name="_Toc357427523"/>
      <w:bookmarkStart w:id="119" w:name="_Toc470079004"/>
      <w:r w:rsidRPr="00B04E29">
        <w:rPr>
          <w:rFonts w:ascii="Arial" w:eastAsia="Arial" w:hAnsi="Arial" w:cs="Arial"/>
          <w:b/>
          <w:szCs w:val="23"/>
          <w:lang w:val="fr-CA"/>
        </w:rPr>
        <w:t xml:space="preserve">Article 1006 : </w:t>
      </w:r>
      <w:r w:rsidRPr="00B04E29">
        <w:rPr>
          <w:rFonts w:ascii="Arial" w:eastAsia="Arial" w:hAnsi="Arial" w:cs="Arial"/>
          <w:b/>
          <w:szCs w:val="23"/>
          <w:lang w:val="fr-CA"/>
        </w:rPr>
        <w:tab/>
        <w:t>Mandat</w:t>
      </w:r>
      <w:bookmarkEnd w:id="118"/>
      <w:bookmarkEnd w:id="119"/>
    </w:p>
    <w:p w14:paraId="65506234" w14:textId="77777777" w:rsidR="005A321B" w:rsidRPr="00B04E29" w:rsidRDefault="005A321B" w:rsidP="005A321B">
      <w:pPr>
        <w:autoSpaceDE w:val="0"/>
        <w:autoSpaceDN w:val="0"/>
        <w:adjustRightInd w:val="0"/>
        <w:rPr>
          <w:rFonts w:ascii="Arial" w:eastAsia="Times New Roman" w:hAnsi="Arial" w:cs="Arial"/>
          <w:szCs w:val="23"/>
          <w:lang w:val="fr-CA"/>
        </w:rPr>
      </w:pPr>
    </w:p>
    <w:p w14:paraId="57D448D8" w14:textId="4C3ECD06"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ab/>
        <w:t xml:space="preserve">Sauf indication contraire ou convention contraire entre les Parties au différend, l’organe décisionnel a pour mandat d’examiner la question de savoir si la mesure effective, le projet de mesure ou toute autre question en cause, est ou serait </w:t>
      </w:r>
      <w:bookmarkStart w:id="120" w:name="_Toc357427524"/>
      <w:bookmarkStart w:id="121" w:name="article_1705"/>
      <w:r w:rsidRPr="00B04E29">
        <w:rPr>
          <w:rFonts w:ascii="Arial" w:eastAsia="Times New Roman" w:hAnsi="Arial" w:cs="Arial"/>
          <w:szCs w:val="23"/>
          <w:lang w:val="fr-CA"/>
        </w:rPr>
        <w:t>incompatible avec le présent accord.</w:t>
      </w:r>
    </w:p>
    <w:p w14:paraId="05FB6C26" w14:textId="77777777" w:rsidR="005A321B" w:rsidRPr="00B04E29" w:rsidRDefault="005A321B" w:rsidP="005A321B">
      <w:pPr>
        <w:autoSpaceDE w:val="0"/>
        <w:autoSpaceDN w:val="0"/>
        <w:adjustRightInd w:val="0"/>
        <w:rPr>
          <w:rFonts w:ascii="Arial" w:eastAsia="Times New Roman" w:hAnsi="Arial" w:cs="Arial"/>
          <w:szCs w:val="23"/>
          <w:lang w:val="fr-CA"/>
        </w:rPr>
      </w:pPr>
    </w:p>
    <w:p w14:paraId="1970B3F1" w14:textId="77777777" w:rsidR="005A321B" w:rsidRPr="00B04E29" w:rsidRDefault="005A321B" w:rsidP="005A321B">
      <w:pPr>
        <w:jc w:val="center"/>
        <w:rPr>
          <w:rFonts w:ascii="Arial" w:eastAsia="Arial" w:hAnsi="Arial" w:cs="Arial"/>
          <w:b/>
          <w:szCs w:val="23"/>
          <w:lang w:val="fr-CA"/>
        </w:rPr>
      </w:pPr>
      <w:bookmarkStart w:id="122" w:name="_Toc470079005"/>
      <w:r w:rsidRPr="00B04E29">
        <w:rPr>
          <w:rFonts w:ascii="Arial" w:eastAsia="Arial" w:hAnsi="Arial" w:cs="Arial"/>
          <w:b/>
          <w:szCs w:val="23"/>
          <w:lang w:val="fr-CA"/>
        </w:rPr>
        <w:lastRenderedPageBreak/>
        <w:t xml:space="preserve">Article 1007 : </w:t>
      </w:r>
      <w:r w:rsidRPr="00B04E29">
        <w:rPr>
          <w:rFonts w:ascii="Arial" w:eastAsia="Arial" w:hAnsi="Arial" w:cs="Arial"/>
          <w:b/>
          <w:szCs w:val="23"/>
          <w:lang w:val="fr-CA"/>
        </w:rPr>
        <w:tab/>
        <w:t>Règles de procédure de l’organe décisionnel</w:t>
      </w:r>
      <w:bookmarkEnd w:id="120"/>
      <w:bookmarkEnd w:id="122"/>
    </w:p>
    <w:bookmarkEnd w:id="121"/>
    <w:p w14:paraId="13B3D8A1" w14:textId="77777777" w:rsidR="005A321B" w:rsidRPr="00B04E29" w:rsidRDefault="005A321B" w:rsidP="005A321B">
      <w:pPr>
        <w:autoSpaceDE w:val="0"/>
        <w:autoSpaceDN w:val="0"/>
        <w:adjustRightInd w:val="0"/>
        <w:rPr>
          <w:rFonts w:ascii="Arial" w:eastAsia="Times New Roman" w:hAnsi="Arial" w:cs="Arial"/>
          <w:szCs w:val="23"/>
          <w:lang w:val="fr-CA"/>
        </w:rPr>
      </w:pPr>
    </w:p>
    <w:p w14:paraId="758A552D" w14:textId="7AB528C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Les Règles de procédure des groupes spéciaux, des groupes spéciaux de l’observation des décisions et des groupes spéciaux d’appel prévues à l’annexe 1007.1 et 1024.1 s’appliquent aux procédures au titre de la présente partie, sauf modification par un organe décisionnel, au besoin.</w:t>
      </w:r>
    </w:p>
    <w:p w14:paraId="56F2A47F" w14:textId="77777777" w:rsidR="005A321B" w:rsidRPr="00B04E29" w:rsidRDefault="005A321B" w:rsidP="005A321B">
      <w:pPr>
        <w:autoSpaceDE w:val="0"/>
        <w:autoSpaceDN w:val="0"/>
        <w:adjustRightInd w:val="0"/>
        <w:rPr>
          <w:rFonts w:ascii="Arial" w:eastAsia="Times New Roman" w:hAnsi="Arial" w:cs="Arial"/>
          <w:szCs w:val="23"/>
          <w:lang w:val="fr-CA"/>
        </w:rPr>
      </w:pPr>
    </w:p>
    <w:p w14:paraId="359D6D6F" w14:textId="228EDF9C"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L’organe décisionnel peut obtenir de toute Personne ou de tout organisme les renseignements et conseils spécialisés qu’il juge appropriés, à condition que les Parties participantes y consentent, et sous réserve des modalités et conditions qui suivent et des autres modalités convenues par les Parties participantes :</w:t>
      </w:r>
    </w:p>
    <w:p w14:paraId="737C183C" w14:textId="77777777" w:rsidR="005A321B" w:rsidRPr="00B04E29" w:rsidRDefault="005A321B" w:rsidP="005A321B">
      <w:pPr>
        <w:autoSpaceDE w:val="0"/>
        <w:autoSpaceDN w:val="0"/>
        <w:adjustRightInd w:val="0"/>
        <w:rPr>
          <w:rFonts w:ascii="Arial" w:eastAsia="Times New Roman" w:hAnsi="Arial" w:cs="Arial"/>
          <w:szCs w:val="23"/>
          <w:lang w:val="fr-CA"/>
        </w:rPr>
      </w:pPr>
    </w:p>
    <w:p w14:paraId="7ABA98A0" w14:textId="0204FF0A"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si une question de procédure est soulevée, l’organe décisionnel cherche d’abord à obtenir l’avis des Parties participantes. L’organe décisionnel, si la question de procédure n’est pas réglée à sa satisfaction, peut </w:t>
      </w:r>
      <w:proofErr w:type="gramStart"/>
      <w:r w:rsidRPr="00B04E29">
        <w:rPr>
          <w:rFonts w:ascii="Arial" w:eastAsia="Times New Roman" w:hAnsi="Arial" w:cs="Arial"/>
          <w:szCs w:val="23"/>
          <w:lang w:val="fr-CA"/>
        </w:rPr>
        <w:t>demander à ce</w:t>
      </w:r>
      <w:proofErr w:type="gramEnd"/>
      <w:r w:rsidRPr="00B04E29">
        <w:rPr>
          <w:rFonts w:ascii="Arial" w:eastAsia="Times New Roman" w:hAnsi="Arial" w:cs="Arial"/>
          <w:szCs w:val="23"/>
          <w:lang w:val="fr-CA"/>
        </w:rPr>
        <w:t xml:space="preserve"> que le Secrétariat obtienne un avis juridique indépendant sur la question de procédure;</w:t>
      </w:r>
    </w:p>
    <w:p w14:paraId="637E2271"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78FC2DAD" w14:textId="35FD6AD4"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la demande visée à l’alinéa a) est présentée par écrit au Secrétariat, avec</w:t>
      </w:r>
      <w:r w:rsidR="001435E9" w:rsidRPr="00B04E29">
        <w:rPr>
          <w:rFonts w:ascii="Arial" w:eastAsia="Times New Roman" w:hAnsi="Arial" w:cs="Arial"/>
          <w:szCs w:val="23"/>
          <w:lang w:val="fr-CA"/>
        </w:rPr>
        <w:t xml:space="preserve"> </w:t>
      </w:r>
      <w:r w:rsidRPr="00B04E29">
        <w:rPr>
          <w:rFonts w:ascii="Arial" w:eastAsia="Times New Roman" w:hAnsi="Arial" w:cs="Arial"/>
          <w:szCs w:val="23"/>
          <w:lang w:val="fr-CA"/>
        </w:rPr>
        <w:t>copies aux Parties participantes et elle fait état de la question de procédure pour laquelle un avis est demandé. Le Secrétariat retient les services d’un avocat compétent et transmet immédiatement l’avis juridique obtenu de ce dernier à l’organe décisionnel, avec copies aux Parties participantes.</w:t>
      </w:r>
    </w:p>
    <w:p w14:paraId="7D7143E0" w14:textId="77777777" w:rsidR="005A321B" w:rsidRPr="00B04E29" w:rsidRDefault="005A321B" w:rsidP="005A321B">
      <w:pPr>
        <w:autoSpaceDE w:val="0"/>
        <w:autoSpaceDN w:val="0"/>
        <w:adjustRightInd w:val="0"/>
        <w:rPr>
          <w:rFonts w:ascii="Arial" w:eastAsia="Times New Roman" w:hAnsi="Arial" w:cs="Arial"/>
          <w:szCs w:val="23"/>
          <w:highlight w:val="yellow"/>
          <w:lang w:val="fr-CA"/>
        </w:rPr>
      </w:pPr>
    </w:p>
    <w:p w14:paraId="7D45D64B" w14:textId="27E3C7D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Dans la mesure où les circonstances et l’équité le permettent, toutes les procédures devant un organe décisionnel se déroulent sans formalisme et avec célérité.</w:t>
      </w:r>
    </w:p>
    <w:p w14:paraId="7B3AE711" w14:textId="77777777" w:rsidR="005A321B" w:rsidRPr="00B04E29" w:rsidRDefault="005A321B" w:rsidP="005A321B">
      <w:pPr>
        <w:autoSpaceDE w:val="0"/>
        <w:autoSpaceDN w:val="0"/>
        <w:adjustRightInd w:val="0"/>
        <w:rPr>
          <w:rFonts w:ascii="Arial" w:eastAsia="Times New Roman" w:hAnsi="Arial" w:cs="Arial"/>
          <w:szCs w:val="23"/>
          <w:lang w:val="fr-CA"/>
        </w:rPr>
      </w:pPr>
    </w:p>
    <w:p w14:paraId="1DBF5FB4" w14:textId="7F9A4B2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4.</w:t>
      </w:r>
      <w:r w:rsidRPr="00B04E29">
        <w:rPr>
          <w:rFonts w:ascii="Arial" w:eastAsia="Arial" w:hAnsi="Arial" w:cs="Arial"/>
          <w:szCs w:val="23"/>
          <w:lang w:val="fr-CA"/>
        </w:rPr>
        <w:tab/>
        <w:t>Sous réserve de l’article 203.3 (Transparence) et de l’article 517.2 (Divulgation de renseignements) et de tous les privilèges, protections ou exigences prévus par la loi, les Parties au différend se communiquent les renseignements en leur possession qui sont pertinents aux points en litige, et fournissent des copies aux autres Parties participantes, de façon à faire en sorte que les points en litige entre elles soient dûment présentés et entendus par l’organe décisionnel. Ce faisant, les Parties au différend et les Parties participantes traitent tout renseignement confidentiel reçu de la même façon que le fait la Partie au différend qui le fournit.</w:t>
      </w:r>
    </w:p>
    <w:p w14:paraId="51C73EDA" w14:textId="77777777" w:rsidR="005A321B" w:rsidRPr="00B04E29" w:rsidRDefault="005A321B" w:rsidP="005A321B">
      <w:pPr>
        <w:autoSpaceDE w:val="0"/>
        <w:autoSpaceDN w:val="0"/>
        <w:adjustRightInd w:val="0"/>
        <w:rPr>
          <w:rFonts w:ascii="Arial" w:eastAsia="Times New Roman" w:hAnsi="Arial" w:cs="Arial"/>
          <w:szCs w:val="23"/>
          <w:lang w:val="fr-CA"/>
        </w:rPr>
      </w:pPr>
    </w:p>
    <w:p w14:paraId="709CF6BD" w14:textId="77777777" w:rsidR="005A321B" w:rsidRPr="00B04E29" w:rsidRDefault="005A321B" w:rsidP="005A321B">
      <w:pPr>
        <w:jc w:val="center"/>
        <w:rPr>
          <w:rFonts w:ascii="Arial" w:eastAsia="Arial" w:hAnsi="Arial" w:cs="Arial"/>
          <w:b/>
          <w:szCs w:val="23"/>
          <w:lang w:val="fr-CA"/>
        </w:rPr>
      </w:pPr>
      <w:bookmarkStart w:id="123" w:name="_Toc357427525"/>
      <w:bookmarkStart w:id="124" w:name="_Toc470079006"/>
      <w:bookmarkStart w:id="125" w:name="article_1706"/>
      <w:r w:rsidRPr="00B04E29">
        <w:rPr>
          <w:rFonts w:ascii="Arial" w:eastAsia="Arial" w:hAnsi="Arial" w:cs="Arial"/>
          <w:b/>
          <w:szCs w:val="23"/>
          <w:lang w:val="fr-CA"/>
        </w:rPr>
        <w:t xml:space="preserve">Article 1008 : </w:t>
      </w:r>
      <w:r w:rsidRPr="00B04E29">
        <w:rPr>
          <w:rFonts w:ascii="Arial" w:eastAsia="Arial" w:hAnsi="Arial" w:cs="Arial"/>
          <w:b/>
          <w:szCs w:val="23"/>
          <w:lang w:val="fr-CA"/>
        </w:rPr>
        <w:tab/>
        <w:t>Rapport du groupe spécial</w:t>
      </w:r>
      <w:bookmarkEnd w:id="123"/>
      <w:bookmarkEnd w:id="124"/>
    </w:p>
    <w:bookmarkEnd w:id="125"/>
    <w:p w14:paraId="50B292E4" w14:textId="77777777" w:rsidR="005A321B" w:rsidRPr="00B04E29" w:rsidRDefault="005A321B" w:rsidP="005A321B">
      <w:pPr>
        <w:autoSpaceDE w:val="0"/>
        <w:autoSpaceDN w:val="0"/>
        <w:adjustRightInd w:val="0"/>
        <w:rPr>
          <w:rFonts w:ascii="Arial" w:eastAsia="Times New Roman" w:hAnsi="Arial" w:cs="Arial"/>
          <w:szCs w:val="23"/>
          <w:lang w:val="fr-CA"/>
        </w:rPr>
      </w:pPr>
    </w:p>
    <w:p w14:paraId="6DBA13C3" w14:textId="037BE729"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Le groupe spécial présente le rapport fondé sur les observations des Parties participantes et sur tout autre élément de preuve reçu au cours de la procédure.</w:t>
      </w:r>
    </w:p>
    <w:p w14:paraId="1694FF00" w14:textId="77777777" w:rsidR="005A321B" w:rsidRPr="00B04E29" w:rsidRDefault="005A321B" w:rsidP="005A321B">
      <w:pPr>
        <w:autoSpaceDE w:val="0"/>
        <w:autoSpaceDN w:val="0"/>
        <w:adjustRightInd w:val="0"/>
        <w:rPr>
          <w:rFonts w:ascii="Arial" w:eastAsia="Times New Roman" w:hAnsi="Arial" w:cs="Arial"/>
          <w:szCs w:val="23"/>
          <w:lang w:val="fr-CA"/>
        </w:rPr>
      </w:pPr>
    </w:p>
    <w:p w14:paraId="6D0770D9" w14:textId="62E0D099"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Si le groupe spécial ne peut présenter le rapport dans le délai stipulé à la règle 52 de l’annexe 1007.1 et 1024.1, il ne perd pas compétence et informe les Parties participantes par écrit des motifs du retard, ainsi que de la date approximative à laquelle il présentera le rapport.</w:t>
      </w:r>
    </w:p>
    <w:p w14:paraId="51812A78" w14:textId="77777777" w:rsidR="005A321B" w:rsidRPr="00B04E29" w:rsidRDefault="005A321B" w:rsidP="005A321B">
      <w:pPr>
        <w:autoSpaceDE w:val="0"/>
        <w:autoSpaceDN w:val="0"/>
        <w:adjustRightInd w:val="0"/>
        <w:rPr>
          <w:rFonts w:ascii="Arial" w:eastAsia="Times New Roman" w:hAnsi="Arial" w:cs="Arial"/>
          <w:szCs w:val="23"/>
          <w:lang w:val="fr-CA"/>
        </w:rPr>
      </w:pPr>
    </w:p>
    <w:p w14:paraId="63471E53" w14:textId="435FC71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r>
      <w:r w:rsidR="00457325" w:rsidRPr="00B04E29">
        <w:rPr>
          <w:rFonts w:ascii="Arial" w:eastAsia="Times New Roman" w:hAnsi="Arial" w:cs="Arial"/>
          <w:szCs w:val="23"/>
          <w:lang w:val="fr-CA"/>
        </w:rPr>
        <w:t xml:space="preserve">Le </w:t>
      </w:r>
      <w:r w:rsidRPr="00B04E29">
        <w:rPr>
          <w:rFonts w:ascii="Arial" w:eastAsia="Times New Roman" w:hAnsi="Arial" w:cs="Arial"/>
          <w:szCs w:val="23"/>
          <w:lang w:val="fr-CA"/>
        </w:rPr>
        <w:t>rapport contient :</w:t>
      </w:r>
    </w:p>
    <w:p w14:paraId="3A634319" w14:textId="77777777" w:rsidR="005A321B" w:rsidRPr="00B04E29" w:rsidRDefault="005A321B" w:rsidP="005A321B">
      <w:pPr>
        <w:autoSpaceDE w:val="0"/>
        <w:autoSpaceDN w:val="0"/>
        <w:adjustRightInd w:val="0"/>
        <w:rPr>
          <w:rFonts w:ascii="Arial" w:eastAsia="Times New Roman" w:hAnsi="Arial" w:cs="Arial"/>
          <w:szCs w:val="23"/>
          <w:lang w:val="fr-CA"/>
        </w:rPr>
      </w:pPr>
    </w:p>
    <w:p w14:paraId="0D11F3F8" w14:textId="3CFBD411"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les conclusions de fait;</w:t>
      </w:r>
    </w:p>
    <w:p w14:paraId="04C93B6D"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36F97F44" w14:textId="21CE1D7B"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la détermination, motifs à l’appui, quant à savoir si la mesure en cause est ou serait incompatible avec le présent accord;</w:t>
      </w:r>
    </w:p>
    <w:p w14:paraId="1C943629"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7CEE904B" w14:textId="450C01E3"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 xml:space="preserve">si une détermination affirmative a été rendue suivant l’alinéa b), une détermination, motifs à l’appui, quant à savoir si la mesure nuit ou nuirait au commerce, à l’investissement ou à la mobilité de la main-d’œuvre à l’intérieur du Canada et cause ou causerait un dommage ou un refus des avantages; </w:t>
      </w:r>
    </w:p>
    <w:p w14:paraId="67227F6F"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317FBEA2" w14:textId="3F996F66"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 xml:space="preserve">si une Partie au différend en fait la demande, des recommandations visant à faciliter le règlement du différend; </w:t>
      </w:r>
    </w:p>
    <w:p w14:paraId="0CC1299E"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696640ED" w14:textId="3142D1B5"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e)</w:t>
      </w:r>
      <w:r w:rsidRPr="00B04E29">
        <w:rPr>
          <w:rFonts w:ascii="Arial" w:eastAsia="Times New Roman" w:hAnsi="Arial" w:cs="Arial"/>
          <w:szCs w:val="23"/>
          <w:lang w:val="fr-CA"/>
        </w:rPr>
        <w:tab/>
        <w:t>s’il y a lieu, et à la discrétion du groupe spécial, une stipulation du délai imparti dans lequel le destinataire de la plainte est tenu de se conformer au présent accord;</w:t>
      </w:r>
    </w:p>
    <w:p w14:paraId="12D5BC96"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2CB07CF7" w14:textId="6B73C925"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f)</w:t>
      </w:r>
      <w:r w:rsidRPr="00B04E29">
        <w:rPr>
          <w:rFonts w:ascii="Arial" w:eastAsia="Times New Roman" w:hAnsi="Arial" w:cs="Arial"/>
          <w:szCs w:val="23"/>
          <w:lang w:val="fr-CA"/>
        </w:rPr>
        <w:tab/>
        <w:t>une détermination sur la répartition des coûts opérationnels comme il est prévu à l’annexe 1040.</w:t>
      </w:r>
    </w:p>
    <w:p w14:paraId="09B6EB99" w14:textId="77777777" w:rsidR="005A321B" w:rsidRPr="00B04E29" w:rsidRDefault="005A321B" w:rsidP="005A321B">
      <w:pPr>
        <w:autoSpaceDE w:val="0"/>
        <w:autoSpaceDN w:val="0"/>
        <w:adjustRightInd w:val="0"/>
        <w:rPr>
          <w:rFonts w:ascii="Arial" w:eastAsia="Times New Roman" w:hAnsi="Arial" w:cs="Arial"/>
          <w:szCs w:val="23"/>
          <w:lang w:val="fr-CA"/>
        </w:rPr>
      </w:pPr>
    </w:p>
    <w:p w14:paraId="4978F438" w14:textId="7E62434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 xml:space="preserve">Le groupe spécial demeure compétent pour évaluer une ordonnance sur les coûts après qu’il a présenté le rapport, et il peut, à la demande de l’une des Parties au différend ou de son propre chef, rendre une ordonnance sur les coûts. </w:t>
      </w:r>
    </w:p>
    <w:p w14:paraId="403DE58E" w14:textId="77777777" w:rsidR="005A321B" w:rsidRPr="00B04E29" w:rsidRDefault="005A321B" w:rsidP="005A321B">
      <w:pPr>
        <w:autoSpaceDE w:val="0"/>
        <w:autoSpaceDN w:val="0"/>
        <w:adjustRightInd w:val="0"/>
        <w:rPr>
          <w:rFonts w:ascii="Arial" w:eastAsia="Times New Roman" w:hAnsi="Arial" w:cs="Arial"/>
          <w:szCs w:val="23"/>
          <w:lang w:val="fr-CA"/>
        </w:rPr>
      </w:pPr>
    </w:p>
    <w:p w14:paraId="219C50EE"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Dans les 10 jours qui suivent la réception du rapport, la Partie participante peut, sur remise d’un avis au président du groupe spécial, au Secrétariat et aux autres Parties participantes, demander au groupe spécial, selon le cas :</w:t>
      </w:r>
    </w:p>
    <w:p w14:paraId="04D973DC" w14:textId="77777777" w:rsidR="005A321B" w:rsidRPr="00B04E29" w:rsidRDefault="005A321B" w:rsidP="005A321B">
      <w:pPr>
        <w:autoSpaceDE w:val="0"/>
        <w:autoSpaceDN w:val="0"/>
        <w:adjustRightInd w:val="0"/>
        <w:rPr>
          <w:rFonts w:ascii="Arial" w:eastAsia="Times New Roman" w:hAnsi="Arial" w:cs="Arial"/>
          <w:szCs w:val="23"/>
          <w:u w:val="single"/>
          <w:lang w:val="fr-CA"/>
        </w:rPr>
      </w:pPr>
    </w:p>
    <w:p w14:paraId="253E77A5" w14:textId="1FF0CC01"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d’éclaircir un ou plusieurs points du rapport, auquel cas le groupe spécial, dans les 15 jours qui suivent la réception de l’avis, fournit des éclaircissements;</w:t>
      </w:r>
    </w:p>
    <w:p w14:paraId="6880BBAC"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2DACA14F" w14:textId="67CAF2FB"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de corriger, dans le rapport, toute erreur de calcul ou de traduction, toute erreur d’écritures ou typographique, ou toute erreur de nature semblable, auquel cas le groupe spécial peut, dans les 15 jours qui suivent la réception de l’avis, apporter les corrections qu’il estime opportunes.</w:t>
      </w:r>
    </w:p>
    <w:p w14:paraId="0811A1CE" w14:textId="77777777" w:rsidR="005A321B" w:rsidRPr="00B04E29" w:rsidRDefault="005A321B" w:rsidP="005A321B">
      <w:pPr>
        <w:jc w:val="center"/>
        <w:rPr>
          <w:rFonts w:ascii="Arial" w:eastAsia="Arial" w:hAnsi="Arial" w:cs="Arial"/>
          <w:b/>
          <w:szCs w:val="23"/>
          <w:lang w:val="fr-CA"/>
        </w:rPr>
      </w:pPr>
      <w:bookmarkStart w:id="126" w:name="_Toc357427526"/>
      <w:bookmarkStart w:id="127" w:name="article_1706_1"/>
    </w:p>
    <w:p w14:paraId="277910E3" w14:textId="77777777" w:rsidR="005A321B" w:rsidRPr="00B04E29" w:rsidRDefault="005A321B" w:rsidP="005A321B">
      <w:pPr>
        <w:jc w:val="center"/>
        <w:rPr>
          <w:rFonts w:ascii="Arial" w:eastAsia="Arial" w:hAnsi="Arial" w:cs="Arial"/>
          <w:b/>
          <w:szCs w:val="23"/>
          <w:lang w:val="fr-CA"/>
        </w:rPr>
      </w:pPr>
      <w:bookmarkStart w:id="128" w:name="_Toc470079007"/>
      <w:r w:rsidRPr="00B04E29">
        <w:rPr>
          <w:rFonts w:ascii="Arial" w:eastAsia="Arial" w:hAnsi="Arial" w:cs="Arial"/>
          <w:b/>
          <w:szCs w:val="23"/>
          <w:lang w:val="fr-CA"/>
        </w:rPr>
        <w:t xml:space="preserve">Article 1009 : </w:t>
      </w:r>
      <w:r w:rsidRPr="00B04E29">
        <w:rPr>
          <w:rFonts w:ascii="Arial" w:eastAsia="Arial" w:hAnsi="Arial" w:cs="Arial"/>
          <w:b/>
          <w:szCs w:val="23"/>
          <w:lang w:val="fr-CA"/>
        </w:rPr>
        <w:tab/>
        <w:t>Groupe spécial d’appel : Compétence et processus</w:t>
      </w:r>
      <w:bookmarkEnd w:id="126"/>
      <w:bookmarkEnd w:id="128"/>
    </w:p>
    <w:bookmarkEnd w:id="127"/>
    <w:p w14:paraId="6A899F04" w14:textId="77777777" w:rsidR="005A321B" w:rsidRPr="00B04E29" w:rsidRDefault="005A321B" w:rsidP="005A321B">
      <w:pPr>
        <w:autoSpaceDE w:val="0"/>
        <w:autoSpaceDN w:val="0"/>
        <w:adjustRightInd w:val="0"/>
        <w:rPr>
          <w:rFonts w:ascii="Arial" w:eastAsia="Times New Roman" w:hAnsi="Arial" w:cs="Arial"/>
          <w:szCs w:val="23"/>
          <w:lang w:val="fr-CA"/>
        </w:rPr>
      </w:pPr>
    </w:p>
    <w:p w14:paraId="3CA65264" w14:textId="1CF1211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 xml:space="preserve">Une Partie au différend peut interjeter appel du rapport devant un groupe spécial d’appel aux motifs que le groupe spécial a commis une erreur de droit, n’a pas observé un principe de justice naturelle ou a excédé sa compétence ou refusé de l’exercer. Un intervenant ne peut pas interjeter appel de ce rapport. </w:t>
      </w:r>
    </w:p>
    <w:p w14:paraId="53B39C6B" w14:textId="77777777" w:rsidR="005A321B" w:rsidRPr="00B04E29" w:rsidRDefault="005A321B" w:rsidP="005A321B">
      <w:pPr>
        <w:autoSpaceDE w:val="0"/>
        <w:autoSpaceDN w:val="0"/>
        <w:adjustRightInd w:val="0"/>
        <w:ind w:left="1440" w:hanging="1440"/>
        <w:rPr>
          <w:rFonts w:ascii="Arial" w:eastAsia="Times New Roman" w:hAnsi="Arial" w:cs="Arial"/>
          <w:szCs w:val="23"/>
          <w:lang w:val="fr-CA"/>
        </w:rPr>
      </w:pPr>
    </w:p>
    <w:p w14:paraId="2C84A9C3" w14:textId="692D5CF8"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 xml:space="preserve">Si une Partie au différend donne un avis d’appel, comme il est prévu à l’annexe 1007.1 et 1024.1, un groupe spécial d’appel est établi conformément à l’article 1006, </w:t>
      </w:r>
      <w:proofErr w:type="gramStart"/>
      <w:r w:rsidRPr="00B04E29">
        <w:rPr>
          <w:rFonts w:ascii="Arial" w:eastAsia="Times New Roman" w:hAnsi="Arial" w:cs="Arial"/>
          <w:szCs w:val="23"/>
          <w:lang w:val="fr-CA"/>
        </w:rPr>
        <w:t>sauf que</w:t>
      </w:r>
      <w:proofErr w:type="gramEnd"/>
      <w:r w:rsidRPr="00B04E29">
        <w:rPr>
          <w:rFonts w:ascii="Arial" w:eastAsia="Times New Roman" w:hAnsi="Arial" w:cs="Arial"/>
          <w:szCs w:val="23"/>
          <w:lang w:val="fr-CA"/>
        </w:rPr>
        <w:t xml:space="preserve"> les membres du groupe spécial d’appel sont choisis sur la liste des membres du groupe spécial d’appel établie conformément à l’article 1005.2 et à l’annexe 1005.2 et, nonobstant </w:t>
      </w:r>
      <w:r w:rsidRPr="00B04E29">
        <w:rPr>
          <w:rFonts w:ascii="Arial" w:eastAsia="Arial" w:hAnsi="Arial" w:cs="Arial"/>
          <w:szCs w:val="23"/>
          <w:lang w:val="fr-CA"/>
        </w:rPr>
        <w:t>l’article</w:t>
      </w:r>
      <w:r w:rsidRPr="00B04E29">
        <w:rPr>
          <w:rFonts w:ascii="Arial" w:eastAsia="Times New Roman" w:hAnsi="Arial" w:cs="Arial"/>
          <w:szCs w:val="23"/>
          <w:lang w:val="fr-CA"/>
        </w:rPr>
        <w:t xml:space="preserve"> 1005.1 et </w:t>
      </w:r>
      <w:r w:rsidRPr="00B04E29">
        <w:rPr>
          <w:rFonts w:ascii="Arial" w:eastAsia="Arial" w:hAnsi="Arial" w:cs="Arial"/>
          <w:szCs w:val="23"/>
          <w:lang w:val="fr-CA"/>
        </w:rPr>
        <w:t>l’article </w:t>
      </w:r>
      <w:r w:rsidRPr="00B04E29">
        <w:rPr>
          <w:rFonts w:ascii="Arial" w:eastAsia="Times New Roman" w:hAnsi="Arial" w:cs="Arial"/>
          <w:szCs w:val="23"/>
          <w:lang w:val="fr-CA"/>
        </w:rPr>
        <w:t>1005.3, est composé de trois membres.</w:t>
      </w:r>
    </w:p>
    <w:p w14:paraId="78715F19" w14:textId="77777777" w:rsidR="005A321B" w:rsidRPr="00B04E29" w:rsidRDefault="005A321B" w:rsidP="005A321B">
      <w:pPr>
        <w:autoSpaceDE w:val="0"/>
        <w:autoSpaceDN w:val="0"/>
        <w:adjustRightInd w:val="0"/>
        <w:rPr>
          <w:rFonts w:ascii="Arial" w:eastAsia="Times New Roman" w:hAnsi="Arial" w:cs="Arial"/>
          <w:i/>
          <w:szCs w:val="23"/>
          <w:lang w:val="fr-CA"/>
        </w:rPr>
      </w:pPr>
    </w:p>
    <w:p w14:paraId="305A4A4E" w14:textId="0C548E3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 xml:space="preserve">Sur réception par le Secrétariat d’un avis d’appel, toute exigence qu’un destinataire de la plainte se conforme au présent accord dans un délai stipulé, ou paie des coûts opérationnels, est suspendue jusqu’à la fin de l’audition de l’appel et de toute nouvelle audience devant le groupe spécial pouvant être requise. </w:t>
      </w:r>
    </w:p>
    <w:p w14:paraId="12E14E82" w14:textId="77777777" w:rsidR="005A321B" w:rsidRPr="00B04E29" w:rsidRDefault="005A321B" w:rsidP="005A321B">
      <w:pPr>
        <w:autoSpaceDE w:val="0"/>
        <w:autoSpaceDN w:val="0"/>
        <w:adjustRightInd w:val="0"/>
        <w:rPr>
          <w:rFonts w:ascii="Arial" w:eastAsia="Times New Roman" w:hAnsi="Arial" w:cs="Arial"/>
          <w:szCs w:val="23"/>
          <w:lang w:val="fr-CA"/>
        </w:rPr>
      </w:pPr>
    </w:p>
    <w:p w14:paraId="688D7F3B" w14:textId="35B1B53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Le groupe spécial d’appel présente un rapport d’appel qui, motifs à l’appui :</w:t>
      </w:r>
    </w:p>
    <w:p w14:paraId="1756E882" w14:textId="77777777" w:rsidR="005A321B" w:rsidRPr="00B04E29" w:rsidRDefault="005A321B" w:rsidP="005A321B">
      <w:pPr>
        <w:autoSpaceDE w:val="0"/>
        <w:autoSpaceDN w:val="0"/>
        <w:adjustRightInd w:val="0"/>
        <w:ind w:firstLine="720"/>
        <w:rPr>
          <w:rFonts w:ascii="Arial" w:eastAsia="Times New Roman" w:hAnsi="Arial" w:cs="Arial"/>
          <w:szCs w:val="23"/>
          <w:lang w:val="fr-CA"/>
        </w:rPr>
      </w:pPr>
    </w:p>
    <w:p w14:paraId="7C22702E" w14:textId="52EE6523"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peut confirmer, modifier, annuler ou remplacer le rapport, en tout ou partie, ou renvoyer l’affaire devant le groupe spécial afin qu’il tienne une nouvelle audience;</w:t>
      </w:r>
    </w:p>
    <w:p w14:paraId="50369450"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58E4A7CA" w14:textId="17D54BD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inclut une ordonnance sur les coûts opérationnels conformément à l’annexe 1040 et peut inclure, à la discrétion du groupe spécial, une ordonnance sur les dépens prévus au tarif, conformément à l’annexe 1040.</w:t>
      </w:r>
    </w:p>
    <w:p w14:paraId="5705CB58" w14:textId="77777777" w:rsidR="005A321B" w:rsidRPr="00B04E29" w:rsidRDefault="005A321B" w:rsidP="005A321B">
      <w:pPr>
        <w:autoSpaceDE w:val="0"/>
        <w:autoSpaceDN w:val="0"/>
        <w:adjustRightInd w:val="0"/>
        <w:rPr>
          <w:rFonts w:ascii="Arial" w:eastAsia="Times New Roman" w:hAnsi="Arial" w:cs="Arial"/>
          <w:szCs w:val="23"/>
          <w:lang w:val="fr-CA"/>
        </w:rPr>
      </w:pPr>
    </w:p>
    <w:p w14:paraId="1456DC71" w14:textId="71A2A7F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 xml:space="preserve">Le groupe spécial d’appel, s’il ne peut présenter le rapport d’appel dans le délai prévu à la règle 65 de l’annexe 1007.1 et 1024.1, ne perd pas compétence et informe les Parties participantes par écrit des motifs du retard, ainsi que de la date approximative à laquelle il présentera le rapport d’appel. </w:t>
      </w:r>
    </w:p>
    <w:p w14:paraId="63539CFC" w14:textId="77777777" w:rsidR="005A321B" w:rsidRPr="00B04E29" w:rsidRDefault="005A321B" w:rsidP="005A321B">
      <w:pPr>
        <w:autoSpaceDE w:val="0"/>
        <w:autoSpaceDN w:val="0"/>
        <w:adjustRightInd w:val="0"/>
        <w:rPr>
          <w:rFonts w:ascii="Arial" w:eastAsia="Times New Roman" w:hAnsi="Arial" w:cs="Arial"/>
          <w:szCs w:val="23"/>
          <w:lang w:val="fr-CA"/>
        </w:rPr>
      </w:pPr>
    </w:p>
    <w:p w14:paraId="19BA69C2" w14:textId="5109AB1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 xml:space="preserve">Le groupe spécial d’appel demeure compétent pour évaluer une ordonnance sur les coûts après qu’il a présenté le rapport d’appel et il peut, à la demande de l’une des Parties au différend, ou de son propre chef, rendre une ordonnance sur les coûts. </w:t>
      </w:r>
    </w:p>
    <w:p w14:paraId="1F77F4C5" w14:textId="77777777" w:rsidR="005A321B" w:rsidRPr="00B04E29" w:rsidRDefault="005A321B" w:rsidP="005A321B">
      <w:pPr>
        <w:autoSpaceDE w:val="0"/>
        <w:autoSpaceDN w:val="0"/>
        <w:adjustRightInd w:val="0"/>
        <w:ind w:left="567" w:hanging="567"/>
        <w:rPr>
          <w:rFonts w:ascii="Arial" w:eastAsia="Times New Roman" w:hAnsi="Arial" w:cs="Arial"/>
          <w:strike/>
          <w:szCs w:val="23"/>
          <w:lang w:val="fr-CA"/>
        </w:rPr>
      </w:pPr>
    </w:p>
    <w:p w14:paraId="57F5F35F" w14:textId="1AA11469"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 xml:space="preserve">Si une question n’est pas renvoyée pour une nouvelle audience, le rapport d’appel est réputé être le rapport aux fins de la détermination de la conformité sous le régime des articles 1010.9 à 1010.14 ou des questions visées à l’article 1027, avec toutes les parties du rapport qui n’ont pas été remplacées par le rapport d’appel. </w:t>
      </w:r>
    </w:p>
    <w:p w14:paraId="11865A22" w14:textId="77777777" w:rsidR="005A321B" w:rsidRPr="00B04E29" w:rsidRDefault="005A321B" w:rsidP="005A321B">
      <w:pPr>
        <w:autoSpaceDE w:val="0"/>
        <w:autoSpaceDN w:val="0"/>
        <w:adjustRightInd w:val="0"/>
        <w:rPr>
          <w:rFonts w:ascii="Arial" w:eastAsia="Times New Roman" w:hAnsi="Arial" w:cs="Arial"/>
          <w:szCs w:val="23"/>
          <w:lang w:val="fr-CA"/>
        </w:rPr>
      </w:pPr>
    </w:p>
    <w:p w14:paraId="6A3C7CED" w14:textId="6C3E374B"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8.</w:t>
      </w:r>
      <w:r w:rsidRPr="00B04E29">
        <w:rPr>
          <w:rFonts w:ascii="Arial" w:eastAsia="Times New Roman" w:hAnsi="Arial" w:cs="Arial"/>
          <w:szCs w:val="23"/>
          <w:lang w:val="fr-CA"/>
        </w:rPr>
        <w:tab/>
        <w:t xml:space="preserve">Si le groupe spécial d’appel renvoie la question devant le groupe spécial pour une nouvelle audience, le Secrétariat, en consultation avec les Parties participantes, fixe une date en vue de convoquer à nouveau le groupe spécial d’appel sans délai. </w:t>
      </w:r>
    </w:p>
    <w:p w14:paraId="2D91813E" w14:textId="77777777" w:rsidR="005A321B" w:rsidRPr="00B04E29" w:rsidRDefault="005A321B" w:rsidP="005A321B">
      <w:pPr>
        <w:autoSpaceDE w:val="0"/>
        <w:autoSpaceDN w:val="0"/>
        <w:adjustRightInd w:val="0"/>
        <w:ind w:left="1440"/>
        <w:rPr>
          <w:rFonts w:ascii="Arial" w:eastAsia="Times New Roman" w:hAnsi="Arial" w:cs="Arial"/>
          <w:szCs w:val="23"/>
          <w:lang w:val="fr-CA"/>
        </w:rPr>
      </w:pPr>
    </w:p>
    <w:p w14:paraId="4217E5A4"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9.</w:t>
      </w:r>
      <w:r w:rsidRPr="00B04E29">
        <w:rPr>
          <w:rFonts w:ascii="Arial" w:eastAsia="Times New Roman" w:hAnsi="Arial" w:cs="Arial"/>
          <w:szCs w:val="23"/>
          <w:lang w:val="fr-CA"/>
        </w:rPr>
        <w:tab/>
        <w:t>Dans les 10 jours qui suivent la réception du rapport d’appel, une Partie au différend peut, sur remise d’un avis au Secrétariat et aux autres Parties au différend, demander au groupe spécial d’appel, selon le cas :</w:t>
      </w:r>
    </w:p>
    <w:p w14:paraId="29D18E4F" w14:textId="77777777" w:rsidR="005A321B" w:rsidRPr="00B04E29" w:rsidRDefault="005A321B" w:rsidP="005A321B">
      <w:pPr>
        <w:autoSpaceDE w:val="0"/>
        <w:autoSpaceDN w:val="0"/>
        <w:adjustRightInd w:val="0"/>
        <w:rPr>
          <w:rFonts w:ascii="Arial" w:eastAsia="Times New Roman" w:hAnsi="Arial" w:cs="Arial"/>
          <w:szCs w:val="23"/>
          <w:lang w:val="fr-CA"/>
        </w:rPr>
      </w:pPr>
    </w:p>
    <w:p w14:paraId="674D3C59" w14:textId="206D78F5"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d’éclaircir un ou plusieurs points du rapport d’appel, auquel cas le groupe spécial d’appel, dans les 15 jours qui suivent la réception de l’avis, fournit les éclaircissements; </w:t>
      </w:r>
    </w:p>
    <w:p w14:paraId="1910FF65"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3C229019" w14:textId="2398E07E"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de corriger, dans le rapport d’appel, toute erreur de calcul ou de traduction, toute erreur d’écritures ou typographique, ou toute erreur de nature semblable, auquel cas le groupe spécial d’appel peut, dans les 15 jours qui suivent la réception de l’avis, apporter les corrections qu’il estime opportunes.</w:t>
      </w:r>
    </w:p>
    <w:p w14:paraId="14FED0B9" w14:textId="77777777" w:rsidR="005A321B" w:rsidRPr="00B04E29" w:rsidRDefault="005A321B" w:rsidP="005A321B">
      <w:pPr>
        <w:autoSpaceDE w:val="0"/>
        <w:autoSpaceDN w:val="0"/>
        <w:adjustRightInd w:val="0"/>
        <w:ind w:left="1260" w:hanging="540"/>
        <w:rPr>
          <w:rFonts w:ascii="Arial" w:eastAsia="Times New Roman" w:hAnsi="Arial" w:cs="Arial"/>
          <w:szCs w:val="23"/>
          <w:lang w:val="fr-CA"/>
        </w:rPr>
      </w:pPr>
    </w:p>
    <w:p w14:paraId="0E9A012F" w14:textId="3AE90895" w:rsidR="005A321B" w:rsidRPr="00B04E29" w:rsidRDefault="005A321B" w:rsidP="005A321B">
      <w:pPr>
        <w:jc w:val="center"/>
        <w:rPr>
          <w:rFonts w:ascii="Arial" w:eastAsia="Arial" w:hAnsi="Arial" w:cs="Arial"/>
          <w:b/>
          <w:szCs w:val="23"/>
          <w:lang w:val="fr-CA"/>
        </w:rPr>
      </w:pPr>
      <w:bookmarkStart w:id="129" w:name="_Toc357427527"/>
      <w:bookmarkStart w:id="130" w:name="_Toc470079008"/>
      <w:bookmarkStart w:id="131" w:name="article_1707"/>
      <w:r w:rsidRPr="00B04E29">
        <w:rPr>
          <w:rFonts w:ascii="Arial" w:eastAsia="Arial" w:hAnsi="Arial" w:cs="Arial"/>
          <w:b/>
          <w:szCs w:val="23"/>
          <w:lang w:val="fr-CA"/>
        </w:rPr>
        <w:lastRenderedPageBreak/>
        <w:t xml:space="preserve">Article 1010 : </w:t>
      </w:r>
      <w:r w:rsidRPr="00B04E29">
        <w:rPr>
          <w:rFonts w:ascii="Arial" w:eastAsia="Arial" w:hAnsi="Arial" w:cs="Arial"/>
          <w:b/>
          <w:szCs w:val="23"/>
          <w:lang w:val="fr-CA"/>
        </w:rPr>
        <w:tab/>
        <w:t>Règlement mutuellement satisfaisant, confirmation de la conformité et demande d’établissement d’un groupe spécial de l’observation des décisions</w:t>
      </w:r>
      <w:bookmarkEnd w:id="129"/>
      <w:bookmarkEnd w:id="130"/>
    </w:p>
    <w:bookmarkEnd w:id="131"/>
    <w:p w14:paraId="452C0F7D" w14:textId="77777777" w:rsidR="005A321B" w:rsidRPr="00B04E29" w:rsidRDefault="005A321B" w:rsidP="005A321B">
      <w:pPr>
        <w:autoSpaceDE w:val="0"/>
        <w:autoSpaceDN w:val="0"/>
        <w:adjustRightInd w:val="0"/>
        <w:ind w:left="2160" w:hanging="2160"/>
        <w:rPr>
          <w:rFonts w:ascii="Arial" w:eastAsia="Times New Roman" w:hAnsi="Arial" w:cs="Arial"/>
          <w:szCs w:val="23"/>
          <w:lang w:val="fr-CA"/>
        </w:rPr>
      </w:pPr>
    </w:p>
    <w:p w14:paraId="465AF6B7"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 xml:space="preserve">Les Parties conviennent qu’il est à l’avantage de toutes les Parties de régler promptement les différends.  </w:t>
      </w:r>
    </w:p>
    <w:p w14:paraId="2AB7AF30" w14:textId="77777777" w:rsidR="005A321B" w:rsidRPr="00B04E29" w:rsidRDefault="005A321B" w:rsidP="005A321B">
      <w:pPr>
        <w:autoSpaceDE w:val="0"/>
        <w:autoSpaceDN w:val="0"/>
        <w:adjustRightInd w:val="0"/>
        <w:rPr>
          <w:rFonts w:ascii="Arial" w:eastAsia="Times New Roman" w:hAnsi="Arial" w:cs="Arial"/>
          <w:szCs w:val="23"/>
          <w:lang w:val="fr-CA"/>
        </w:rPr>
      </w:pPr>
    </w:p>
    <w:p w14:paraId="63C87CB5"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Autant que possible, le différend est réglé en supprimant, en modifiant ou en n’appliquant pas la mesure qui est ou serait incompatible avec le présent accord.</w:t>
      </w:r>
    </w:p>
    <w:p w14:paraId="1D651568" w14:textId="77777777" w:rsidR="005A321B" w:rsidRPr="00B04E29" w:rsidRDefault="005A321B" w:rsidP="005A321B">
      <w:pPr>
        <w:autoSpaceDE w:val="0"/>
        <w:autoSpaceDN w:val="0"/>
        <w:adjustRightInd w:val="0"/>
        <w:rPr>
          <w:rFonts w:ascii="Arial" w:eastAsia="Times New Roman" w:hAnsi="Arial" w:cs="Arial"/>
          <w:szCs w:val="23"/>
          <w:lang w:val="fr-CA"/>
        </w:rPr>
      </w:pPr>
    </w:p>
    <w:p w14:paraId="49F2EE9A" w14:textId="4C669EB8"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 xml:space="preserve">Si les Parties au différend règlent le différend à l’une ou l’autre des étapes d’une procédure, un avis écrit du règlement est transmis aux autres Parties et au Secrétariat. Sur réception de l’avis par le Secrétariat, il est mis fin à la procédure. </w:t>
      </w:r>
    </w:p>
    <w:p w14:paraId="07B87027" w14:textId="77777777" w:rsidR="005A321B" w:rsidRPr="00B04E29" w:rsidRDefault="005A321B" w:rsidP="005A321B">
      <w:pPr>
        <w:autoSpaceDE w:val="0"/>
        <w:autoSpaceDN w:val="0"/>
        <w:adjustRightInd w:val="0"/>
        <w:rPr>
          <w:rFonts w:ascii="Arial" w:eastAsia="Times New Roman" w:hAnsi="Arial" w:cs="Arial"/>
          <w:szCs w:val="23"/>
          <w:lang w:val="fr-CA"/>
        </w:rPr>
      </w:pPr>
    </w:p>
    <w:p w14:paraId="49B3325A" w14:textId="2AE8987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Les procédures peuvent être suspendues, soit à la demande des Parties au différend, soit par ordonnance de l’organe décisionnel, en vue de poursuivre ou de reprendre des consultations ou de négocier un règlement mutuellement satisfaisant.</w:t>
      </w:r>
    </w:p>
    <w:p w14:paraId="7A9F8AA5" w14:textId="77777777" w:rsidR="005A321B" w:rsidRPr="00B04E29" w:rsidRDefault="005A321B" w:rsidP="005A321B">
      <w:pPr>
        <w:autoSpaceDE w:val="0"/>
        <w:autoSpaceDN w:val="0"/>
        <w:adjustRightInd w:val="0"/>
        <w:rPr>
          <w:rFonts w:ascii="Arial" w:eastAsia="Times New Roman" w:hAnsi="Arial" w:cs="Arial"/>
          <w:szCs w:val="23"/>
          <w:lang w:val="fr-CA"/>
        </w:rPr>
      </w:pPr>
    </w:p>
    <w:p w14:paraId="5596E7FB" w14:textId="382D84C4"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Si une procédure a été suspendue conformément au paragraphe 4, et qu’aucune Partie au différend n’a présenté de demande en vue de mettre fin à la suspension dans les 36 mois de la date de la suspension, la plainte à l’origine de la procédure est réputée avoir été retirée, et il est mis fin à la procédure.</w:t>
      </w:r>
    </w:p>
    <w:p w14:paraId="194E74C2" w14:textId="77777777" w:rsidR="005A321B" w:rsidRPr="00B04E29" w:rsidRDefault="005A321B" w:rsidP="005A321B">
      <w:pPr>
        <w:autoSpaceDE w:val="0"/>
        <w:autoSpaceDN w:val="0"/>
        <w:adjustRightInd w:val="0"/>
        <w:rPr>
          <w:rFonts w:ascii="Arial" w:eastAsia="Times New Roman" w:hAnsi="Arial" w:cs="Arial"/>
          <w:szCs w:val="23"/>
          <w:lang w:val="fr-CA"/>
        </w:rPr>
      </w:pPr>
    </w:p>
    <w:p w14:paraId="71E1F184" w14:textId="6D069374"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Si un groupe spécial a établi dans un rapport que la mesure est incompatible avec le présent accord, le destinataire de la plainte peut aviser la Partie plaignante qu’il s’est conformé au présent accord en ce qui concerne les questions traitées dans le rapport. L’avis est donné par écrit, comprend une description de la façon selon laquelle le destinataire de la plainte s’est conformé au présent accord et est remis à la Partie plaignante, aux autres Parties participantes et au Secrétariat.</w:t>
      </w:r>
    </w:p>
    <w:p w14:paraId="03FB5A41" w14:textId="77777777" w:rsidR="005A321B" w:rsidRPr="00B04E29" w:rsidRDefault="005A321B" w:rsidP="005A321B">
      <w:pPr>
        <w:autoSpaceDE w:val="0"/>
        <w:autoSpaceDN w:val="0"/>
        <w:adjustRightInd w:val="0"/>
        <w:rPr>
          <w:rFonts w:ascii="Arial" w:eastAsia="Times New Roman" w:hAnsi="Arial" w:cs="Arial"/>
          <w:szCs w:val="23"/>
          <w:lang w:val="fr-CA"/>
        </w:rPr>
      </w:pPr>
    </w:p>
    <w:p w14:paraId="5CC2287C"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 xml:space="preserve">Une Partie plaignante peut contester l’avis remis conformément au paragraphe 6 dans les 30 jours qui suivent sa remise. La contestation est faite par écrit, comprend une description des motifs de la contestation et est remise au destinataire de la plainte, aux autres Parties participantes et au Secrétariat. </w:t>
      </w:r>
    </w:p>
    <w:p w14:paraId="1F97F1B8" w14:textId="77777777" w:rsidR="005A321B" w:rsidRPr="00B04E29" w:rsidRDefault="005A321B" w:rsidP="005A321B">
      <w:pPr>
        <w:autoSpaceDE w:val="0"/>
        <w:autoSpaceDN w:val="0"/>
        <w:adjustRightInd w:val="0"/>
        <w:rPr>
          <w:rFonts w:ascii="Arial" w:eastAsia="Times New Roman" w:hAnsi="Arial" w:cs="Arial"/>
          <w:szCs w:val="23"/>
          <w:lang w:val="fr-CA"/>
        </w:rPr>
      </w:pPr>
    </w:p>
    <w:p w14:paraId="2320DD10" w14:textId="3053C4EC"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8.</w:t>
      </w:r>
      <w:r w:rsidRPr="00B04E29">
        <w:rPr>
          <w:rFonts w:ascii="Arial" w:eastAsia="Times New Roman" w:hAnsi="Arial" w:cs="Arial"/>
          <w:szCs w:val="23"/>
          <w:lang w:val="fr-CA"/>
        </w:rPr>
        <w:tab/>
        <w:t>Si aucune contestation n’a été présentée conformément au paragraphe 7, le destinataire de la plainte qui donne un avis conformément au paragraphe 6 est réputé s’être conformé au présent accord en ce qui concerne les questions traitées dans le rapport.</w:t>
      </w:r>
    </w:p>
    <w:p w14:paraId="3ECD71A6" w14:textId="77777777" w:rsidR="005A321B" w:rsidRPr="00B04E29" w:rsidRDefault="005A321B" w:rsidP="005A321B">
      <w:pPr>
        <w:autoSpaceDE w:val="0"/>
        <w:autoSpaceDN w:val="0"/>
        <w:adjustRightInd w:val="0"/>
        <w:rPr>
          <w:rFonts w:ascii="Arial" w:eastAsia="Times New Roman" w:hAnsi="Arial" w:cs="Arial"/>
          <w:szCs w:val="23"/>
          <w:lang w:val="fr-CA"/>
        </w:rPr>
      </w:pPr>
    </w:p>
    <w:p w14:paraId="6A8DC80A" w14:textId="5AAC74C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9.</w:t>
      </w:r>
      <w:r w:rsidRPr="00B04E29">
        <w:rPr>
          <w:rFonts w:ascii="Arial" w:eastAsia="Times New Roman" w:hAnsi="Arial" w:cs="Arial"/>
          <w:szCs w:val="23"/>
          <w:lang w:val="fr-CA"/>
        </w:rPr>
        <w:tab/>
        <w:t>Un an après la présentation d’un rapport ou, s’il y a lieu, dans une autre période de mise en œuvre stipulée par le groupe spécial dans le rapport, une Partie au différend peut demander au Secrétariat de convoquer à nouveau le groupe spécial à titre de groupe spécial de l’observation des décisions pour qu’il rendre une détermination quant à savoir si le destinataire de la plainte s’est conformé au présent accord en ce qui concerne les questions traitées dans le rapport.</w:t>
      </w:r>
    </w:p>
    <w:p w14:paraId="5C40268F" w14:textId="77777777" w:rsidR="005A321B" w:rsidRPr="00B04E29" w:rsidRDefault="005A321B" w:rsidP="005A321B">
      <w:pPr>
        <w:autoSpaceDE w:val="0"/>
        <w:autoSpaceDN w:val="0"/>
        <w:adjustRightInd w:val="0"/>
        <w:rPr>
          <w:rFonts w:ascii="Arial" w:eastAsia="Times New Roman" w:hAnsi="Arial" w:cs="Arial"/>
          <w:szCs w:val="23"/>
          <w:lang w:val="fr-CA"/>
        </w:rPr>
      </w:pPr>
    </w:p>
    <w:p w14:paraId="2414309D" w14:textId="2354FF2A"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10.</w:t>
      </w:r>
      <w:r w:rsidRPr="00B04E29">
        <w:rPr>
          <w:rFonts w:ascii="Arial" w:eastAsia="Times New Roman" w:hAnsi="Arial" w:cs="Arial"/>
          <w:szCs w:val="23"/>
          <w:lang w:val="fr-CA"/>
        </w:rPr>
        <w:tab/>
        <w:t>Nonobstant le paragraphe 9, un destinataire de la plainte peut demander l’établissement d’un groupe spécial de l’observation des décisions immédiatement lorsqu’il reçoit de la Partie plaignante une contestation effectuée conformément au paragraphe 7.</w:t>
      </w:r>
    </w:p>
    <w:p w14:paraId="3599C9C2" w14:textId="77777777" w:rsidR="005A321B" w:rsidRPr="00B04E29" w:rsidRDefault="005A321B" w:rsidP="005A321B">
      <w:pPr>
        <w:autoSpaceDE w:val="0"/>
        <w:autoSpaceDN w:val="0"/>
        <w:adjustRightInd w:val="0"/>
        <w:rPr>
          <w:rFonts w:ascii="Arial" w:eastAsia="Times New Roman" w:hAnsi="Arial" w:cs="Arial"/>
          <w:szCs w:val="23"/>
          <w:lang w:val="fr-CA"/>
        </w:rPr>
      </w:pPr>
    </w:p>
    <w:p w14:paraId="67DDDF55"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11.</w:t>
      </w:r>
      <w:r w:rsidRPr="00B04E29">
        <w:rPr>
          <w:rFonts w:ascii="Arial" w:eastAsia="Times New Roman" w:hAnsi="Arial" w:cs="Arial"/>
          <w:szCs w:val="23"/>
          <w:lang w:val="fr-CA"/>
        </w:rPr>
        <w:tab/>
        <w:t>Le groupe spécial de l’observation des décisions présente un rapport sur la conformité contenant :</w:t>
      </w:r>
    </w:p>
    <w:p w14:paraId="45CDA123" w14:textId="77777777" w:rsidR="005A321B" w:rsidRPr="00B04E29" w:rsidRDefault="005A321B" w:rsidP="005A321B">
      <w:pPr>
        <w:autoSpaceDE w:val="0"/>
        <w:autoSpaceDN w:val="0"/>
        <w:adjustRightInd w:val="0"/>
        <w:rPr>
          <w:rFonts w:ascii="Arial" w:eastAsia="Times New Roman" w:hAnsi="Arial" w:cs="Arial"/>
          <w:szCs w:val="23"/>
          <w:lang w:val="fr-CA"/>
        </w:rPr>
      </w:pPr>
    </w:p>
    <w:p w14:paraId="7CAB8CB5" w14:textId="03B3C499"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une détermination quant à savoir si, en ce qui concerne la question faisant l’objet du différend, le destinataire de la plainte s’est conformé au présent accord;</w:t>
      </w:r>
    </w:p>
    <w:p w14:paraId="5C420984"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6C740044"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 xml:space="preserve">s’il est décidé qu’il ne s’est pas conformé au présent accord, une ordonnance sur les sanctions pécuniaires rendue conformément à l’article 1011, et, advenant qu’il y ait plusieurs Parties plaignantes, le montant des sanctions pécuniaires à payer à chacune d’elles par le destinataire de la plainte; </w:t>
      </w:r>
    </w:p>
    <w:p w14:paraId="393B1F73"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2C32443D"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à la discrétion du groupe spécial de l’observation des décisions, une ordonnance répartissant les coûts opérationnels, comme le prévoit l’annexe 1040;</w:t>
      </w:r>
    </w:p>
    <w:p w14:paraId="1F709A40"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3DDA44AB"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si une ordonnance sur les sanctions pécuniaires a été rendue, une ordonnance, selon le cas :</w:t>
      </w:r>
    </w:p>
    <w:p w14:paraId="79892F88" w14:textId="77777777" w:rsidR="005A321B" w:rsidRPr="00B04E29" w:rsidRDefault="005A321B" w:rsidP="005A321B">
      <w:pPr>
        <w:autoSpaceDE w:val="0"/>
        <w:autoSpaceDN w:val="0"/>
        <w:adjustRightInd w:val="0"/>
        <w:ind w:left="720"/>
        <w:rPr>
          <w:rFonts w:ascii="Arial" w:eastAsia="Times New Roman" w:hAnsi="Arial" w:cs="Arial"/>
          <w:szCs w:val="23"/>
          <w:lang w:val="fr-CA"/>
        </w:rPr>
      </w:pPr>
      <w:r w:rsidRPr="00B04E29">
        <w:rPr>
          <w:rFonts w:ascii="Arial" w:eastAsia="Times New Roman" w:hAnsi="Arial" w:cs="Arial"/>
          <w:szCs w:val="23"/>
          <w:lang w:val="fr-CA"/>
        </w:rPr>
        <w:t xml:space="preserve"> </w:t>
      </w:r>
    </w:p>
    <w:p w14:paraId="1EF16553" w14:textId="2289E492" w:rsidR="005A321B" w:rsidRPr="00B04E29" w:rsidRDefault="005A321B" w:rsidP="005A321B">
      <w:pPr>
        <w:autoSpaceDE w:val="0"/>
        <w:autoSpaceDN w:val="0"/>
        <w:adjustRightInd w:val="0"/>
        <w:ind w:left="2160" w:hanging="720"/>
        <w:rPr>
          <w:rFonts w:ascii="Arial" w:eastAsia="Times New Roman" w:hAnsi="Arial" w:cs="Arial"/>
          <w:szCs w:val="23"/>
          <w:lang w:val="fr-CA"/>
        </w:rPr>
      </w:pPr>
      <w:r w:rsidRPr="00B04E29">
        <w:rPr>
          <w:rFonts w:ascii="Arial" w:eastAsia="Times New Roman" w:hAnsi="Arial" w:cs="Arial"/>
          <w:szCs w:val="23"/>
          <w:lang w:val="fr-CA"/>
        </w:rPr>
        <w:t>i)</w:t>
      </w:r>
      <w:r w:rsidRPr="00B04E29">
        <w:rPr>
          <w:rFonts w:ascii="Arial" w:eastAsia="Times New Roman" w:hAnsi="Arial" w:cs="Arial"/>
          <w:szCs w:val="23"/>
          <w:lang w:val="fr-CA"/>
        </w:rPr>
        <w:tab/>
        <w:t>qui est exécutoire de la même façon qu’une ordonnance contre le ministère public dans les tribunaux supérieurs de la Partie contre laquelle l’ordonnance est rendue;</w:t>
      </w:r>
    </w:p>
    <w:p w14:paraId="2DC8F0CD" w14:textId="77777777" w:rsidR="005A321B" w:rsidRPr="00B04E29" w:rsidRDefault="005A321B" w:rsidP="005A321B">
      <w:pPr>
        <w:autoSpaceDE w:val="0"/>
        <w:autoSpaceDN w:val="0"/>
        <w:adjustRightInd w:val="0"/>
        <w:ind w:left="2160" w:hanging="720"/>
        <w:rPr>
          <w:rFonts w:ascii="Arial" w:eastAsia="Times New Roman" w:hAnsi="Arial" w:cs="Arial"/>
          <w:szCs w:val="23"/>
          <w:lang w:val="fr-CA"/>
        </w:rPr>
      </w:pPr>
    </w:p>
    <w:p w14:paraId="10CAC589" w14:textId="35026E54" w:rsidR="005A321B" w:rsidRPr="00B04E29" w:rsidRDefault="005A321B" w:rsidP="005A321B">
      <w:pPr>
        <w:autoSpaceDE w:val="0"/>
        <w:autoSpaceDN w:val="0"/>
        <w:adjustRightInd w:val="0"/>
        <w:ind w:left="2160" w:hanging="720"/>
        <w:rPr>
          <w:rFonts w:ascii="Arial" w:eastAsia="Times New Roman" w:hAnsi="Arial" w:cs="Arial"/>
          <w:szCs w:val="23"/>
          <w:lang w:val="fr-CA"/>
        </w:rPr>
      </w:pPr>
      <w:r w:rsidRPr="00B04E29">
        <w:rPr>
          <w:rFonts w:ascii="Arial" w:eastAsia="Times New Roman" w:hAnsi="Arial" w:cs="Arial"/>
          <w:szCs w:val="23"/>
          <w:lang w:val="fr-CA"/>
        </w:rPr>
        <w:t>ii)</w:t>
      </w:r>
      <w:r w:rsidRPr="00B04E29">
        <w:rPr>
          <w:rFonts w:ascii="Arial" w:eastAsia="Times New Roman" w:hAnsi="Arial" w:cs="Arial"/>
          <w:szCs w:val="23"/>
          <w:lang w:val="fr-CA"/>
        </w:rPr>
        <w:tab/>
        <w:t xml:space="preserve">le Secrétariat invoquera lorsqu’il demandera, conformément à la règle 19 de l’annexe 1007.1 et 1024.1, le paiement par l’institution financière qui a émis une lettre de crédit au nom de la Partie à l’encontre de laquelle l’ordonnance est rendue. </w:t>
      </w:r>
    </w:p>
    <w:p w14:paraId="4E08E32C" w14:textId="77777777" w:rsidR="005A321B" w:rsidRPr="00B04E29" w:rsidRDefault="005A321B" w:rsidP="005A321B">
      <w:pPr>
        <w:autoSpaceDE w:val="0"/>
        <w:autoSpaceDN w:val="0"/>
        <w:adjustRightInd w:val="0"/>
        <w:ind w:left="1440"/>
        <w:rPr>
          <w:rFonts w:ascii="Arial" w:eastAsia="Times New Roman" w:hAnsi="Arial" w:cs="Arial"/>
          <w:szCs w:val="23"/>
          <w:lang w:val="fr-CA"/>
        </w:rPr>
      </w:pPr>
    </w:p>
    <w:p w14:paraId="45FFF6FC" w14:textId="08D33B03"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12.</w:t>
      </w:r>
      <w:r w:rsidRPr="00B04E29">
        <w:rPr>
          <w:rFonts w:ascii="Arial" w:eastAsia="Times New Roman" w:hAnsi="Arial" w:cs="Arial"/>
          <w:szCs w:val="23"/>
          <w:lang w:val="fr-CA"/>
        </w:rPr>
        <w:tab/>
        <w:t>Le groupe spécial de l’observation des décisions demeure compétent pour évaluer une ordonnance sur les coûts après qu’il a présenté le rapport sur la conformité et il peut, à la demande d’une Partie au différend ou de son propre chef, rendre une ordonnance sur les coûts.</w:t>
      </w:r>
    </w:p>
    <w:p w14:paraId="07B2FFE3" w14:textId="77777777" w:rsidR="005A321B" w:rsidRPr="00B04E29" w:rsidRDefault="005A321B" w:rsidP="005A321B">
      <w:pPr>
        <w:autoSpaceDE w:val="0"/>
        <w:autoSpaceDN w:val="0"/>
        <w:adjustRightInd w:val="0"/>
        <w:rPr>
          <w:rFonts w:ascii="Arial" w:eastAsia="Times New Roman" w:hAnsi="Arial" w:cs="Arial"/>
          <w:szCs w:val="23"/>
          <w:lang w:val="fr-CA"/>
        </w:rPr>
      </w:pPr>
    </w:p>
    <w:p w14:paraId="790F4EE0"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13.</w:t>
      </w:r>
      <w:r w:rsidRPr="00B04E29">
        <w:rPr>
          <w:rFonts w:ascii="Arial" w:eastAsia="Times New Roman" w:hAnsi="Arial" w:cs="Arial"/>
          <w:szCs w:val="23"/>
          <w:lang w:val="fr-CA"/>
        </w:rPr>
        <w:tab/>
        <w:t>Dans les 10 jours qui suivent la réception du rapport sur la conformité, une Partie au différend peut, après avis au président du groupe spécial de l’observation des décisions, au Secrétariat et aux autres Parties au différend, demander au groupe spécial de l’observation des décisions, selon le cas :</w:t>
      </w:r>
    </w:p>
    <w:p w14:paraId="5B51D60B" w14:textId="77777777" w:rsidR="005A321B" w:rsidRPr="00B04E29" w:rsidRDefault="005A321B" w:rsidP="005A321B">
      <w:pPr>
        <w:autoSpaceDE w:val="0"/>
        <w:autoSpaceDN w:val="0"/>
        <w:adjustRightInd w:val="0"/>
        <w:rPr>
          <w:rFonts w:ascii="Arial" w:eastAsia="Times New Roman" w:hAnsi="Arial" w:cs="Arial"/>
          <w:szCs w:val="23"/>
          <w:lang w:val="fr-CA"/>
        </w:rPr>
      </w:pPr>
    </w:p>
    <w:p w14:paraId="6D8D48C6" w14:textId="507C4C31"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d’éclaircir un ou plusieurs points de son rapport sur la conformité, auquel cas le groupe spécial de l’observation des décisions, dans les 15 jours qui suivent la réception de l’avis, fournit les éclaircissements; </w:t>
      </w:r>
    </w:p>
    <w:p w14:paraId="602DB988"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55337BEF" w14:textId="1D185FDC"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de corriger, dans son rapport sur la conformité, toute erreur de calcul ou de traduction, toute erreur d’écritures ou typographique, ou toute erreur de nature semblable, auquel cas le groupe spécial de l’observation des décisions peut, dans les 15 jours qui suivent la réception de l’avis, apporter les corrections qu’il juge appropriées.</w:t>
      </w:r>
    </w:p>
    <w:p w14:paraId="33265E63" w14:textId="77777777" w:rsidR="005A321B" w:rsidRPr="00B04E29" w:rsidRDefault="005A321B" w:rsidP="005A321B">
      <w:pPr>
        <w:autoSpaceDE w:val="0"/>
        <w:autoSpaceDN w:val="0"/>
        <w:adjustRightInd w:val="0"/>
        <w:rPr>
          <w:rFonts w:ascii="Arial" w:eastAsia="Times New Roman" w:hAnsi="Arial" w:cs="Arial"/>
          <w:szCs w:val="23"/>
          <w:lang w:val="fr-CA"/>
        </w:rPr>
      </w:pPr>
    </w:p>
    <w:p w14:paraId="61FFB848" w14:textId="250D814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lastRenderedPageBreak/>
        <w:t>14.</w:t>
      </w:r>
      <w:r w:rsidRPr="00B04E29">
        <w:rPr>
          <w:rFonts w:ascii="Arial" w:eastAsia="Times New Roman" w:hAnsi="Arial" w:cs="Arial"/>
          <w:szCs w:val="23"/>
          <w:lang w:val="fr-CA"/>
        </w:rPr>
        <w:tab/>
        <w:t xml:space="preserve">Si le groupe spécial de l’observation des décisions ne peut présenter le rapport sur la conformité dans le délai prévu à la règle 70 de l’annexe 1007.1 et 1024.1, il ne perd pas compétence et informe les Parties participantes par écrit des motifs du retard, ainsi que de la date approximative à laquelle il rendra le rapport sur la conformité. </w:t>
      </w:r>
    </w:p>
    <w:p w14:paraId="2A4D8477" w14:textId="77777777" w:rsidR="005A321B" w:rsidRPr="00B04E29" w:rsidRDefault="005A321B" w:rsidP="005A321B">
      <w:pPr>
        <w:autoSpaceDE w:val="0"/>
        <w:autoSpaceDN w:val="0"/>
        <w:adjustRightInd w:val="0"/>
        <w:rPr>
          <w:rFonts w:ascii="Arial" w:eastAsia="Times New Roman" w:hAnsi="Arial" w:cs="Arial"/>
          <w:szCs w:val="23"/>
          <w:lang w:val="fr-CA"/>
        </w:rPr>
      </w:pPr>
    </w:p>
    <w:p w14:paraId="7ADF88B1" w14:textId="77777777" w:rsidR="005A321B" w:rsidRPr="00B04E29" w:rsidRDefault="005A321B" w:rsidP="005A321B">
      <w:pPr>
        <w:jc w:val="center"/>
        <w:rPr>
          <w:rFonts w:ascii="Arial" w:eastAsia="Arial" w:hAnsi="Arial" w:cs="Arial"/>
          <w:b/>
          <w:szCs w:val="23"/>
          <w:lang w:val="fr-CA"/>
        </w:rPr>
      </w:pPr>
      <w:bookmarkStart w:id="132" w:name="_Toc357427528"/>
      <w:bookmarkStart w:id="133" w:name="_Toc470079009"/>
      <w:bookmarkStart w:id="134" w:name="article_1707_1"/>
      <w:r w:rsidRPr="00B04E29">
        <w:rPr>
          <w:rFonts w:ascii="Arial" w:eastAsia="Arial" w:hAnsi="Arial" w:cs="Arial"/>
          <w:b/>
          <w:szCs w:val="23"/>
          <w:lang w:val="fr-CA"/>
        </w:rPr>
        <w:t xml:space="preserve">Article 1011 : </w:t>
      </w:r>
      <w:r w:rsidRPr="00B04E29">
        <w:rPr>
          <w:rFonts w:ascii="Arial" w:eastAsia="Arial" w:hAnsi="Arial" w:cs="Arial"/>
          <w:b/>
          <w:szCs w:val="23"/>
          <w:lang w:val="fr-CA"/>
        </w:rPr>
        <w:tab/>
        <w:t>Sanction pécuniaire</w:t>
      </w:r>
      <w:bookmarkEnd w:id="132"/>
      <w:bookmarkEnd w:id="133"/>
    </w:p>
    <w:bookmarkEnd w:id="134"/>
    <w:p w14:paraId="6C8BE8BB" w14:textId="77777777" w:rsidR="005A321B" w:rsidRPr="00B04E29" w:rsidRDefault="005A321B" w:rsidP="005A321B">
      <w:pPr>
        <w:autoSpaceDE w:val="0"/>
        <w:autoSpaceDN w:val="0"/>
        <w:adjustRightInd w:val="0"/>
        <w:rPr>
          <w:rFonts w:ascii="Arial" w:eastAsia="Times New Roman" w:hAnsi="Arial" w:cs="Arial"/>
          <w:szCs w:val="23"/>
          <w:lang w:val="fr-CA"/>
        </w:rPr>
      </w:pPr>
    </w:p>
    <w:p w14:paraId="4E6C46A4" w14:textId="149A7BA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Pour établir le montant d’une sanction pécuniaire, le groupe spécial de l’observation des décisions est guidé par l’objectif principal d’une sanction pécuniaire, à savoir encourager la conformité au présent accord.</w:t>
      </w:r>
      <w:r w:rsidRPr="00B04E29">
        <w:rPr>
          <w:rFonts w:ascii="Arial" w:eastAsia="Times New Roman" w:hAnsi="Arial" w:cs="Arial"/>
          <w:b/>
          <w:bCs/>
          <w:szCs w:val="23"/>
          <w:lang w:val="fr-CA"/>
        </w:rPr>
        <w:t xml:space="preserve"> </w:t>
      </w:r>
      <w:r w:rsidRPr="00B04E29">
        <w:rPr>
          <w:rFonts w:ascii="Arial" w:eastAsia="Times New Roman" w:hAnsi="Arial" w:cs="Arial"/>
          <w:szCs w:val="23"/>
          <w:lang w:val="fr-CA"/>
        </w:rPr>
        <w:t>Il tient compte des facteurs suivants :</w:t>
      </w:r>
    </w:p>
    <w:p w14:paraId="2ADEF365" w14:textId="77777777" w:rsidR="005A321B" w:rsidRPr="00B04E29" w:rsidRDefault="005A321B" w:rsidP="005A321B">
      <w:pPr>
        <w:autoSpaceDE w:val="0"/>
        <w:autoSpaceDN w:val="0"/>
        <w:adjustRightInd w:val="0"/>
        <w:rPr>
          <w:rFonts w:ascii="Arial" w:eastAsia="Times New Roman" w:hAnsi="Arial" w:cs="Arial"/>
          <w:szCs w:val="23"/>
          <w:lang w:val="fr-CA"/>
        </w:rPr>
      </w:pPr>
    </w:p>
    <w:p w14:paraId="462C4029" w14:textId="05874BE1"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la gravité de l’incompatibilité avec les obligations du destinataire de la plainte au titre du présent accord; </w:t>
      </w:r>
    </w:p>
    <w:p w14:paraId="2AA62FE6"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44885D93" w14:textId="3276BAC6"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l’ampleur de l’incidence de l’incompatibilité sur le marché;</w:t>
      </w:r>
    </w:p>
    <w:p w14:paraId="3E7AB422"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045D4D21" w14:textId="0FE81513"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 xml:space="preserve">le fait de savoir si le destinataire de la plainte a antérieurement été déclaré en défaut de se conformer au présent accord par un organe décisionnel, que la plainte ait été réglée ou non; </w:t>
      </w:r>
    </w:p>
    <w:p w14:paraId="0A649720"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50065993"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les efforts déployés, de bonne foi, par le destinataire de la plainte afin de se conformer au présent accord pour les questions traitées dans le rapport en cause devant le groupe spécial de l’observation des décisions;</w:t>
      </w:r>
    </w:p>
    <w:p w14:paraId="1EA74A06"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12CF980E"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e)</w:t>
      </w:r>
      <w:r w:rsidRPr="00B04E29">
        <w:rPr>
          <w:rFonts w:ascii="Arial" w:eastAsia="Times New Roman" w:hAnsi="Arial" w:cs="Arial"/>
          <w:szCs w:val="23"/>
          <w:lang w:val="fr-CA"/>
        </w:rPr>
        <w:tab/>
        <w:t>tout autre facteur qu’il estime pertinent.</w:t>
      </w:r>
    </w:p>
    <w:p w14:paraId="41091CB0" w14:textId="77777777" w:rsidR="005A321B" w:rsidRPr="00B04E29" w:rsidRDefault="005A321B" w:rsidP="005A321B">
      <w:pPr>
        <w:autoSpaceDE w:val="0"/>
        <w:autoSpaceDN w:val="0"/>
        <w:adjustRightInd w:val="0"/>
        <w:rPr>
          <w:rFonts w:ascii="Arial" w:eastAsia="Times New Roman" w:hAnsi="Arial" w:cs="Arial"/>
          <w:szCs w:val="23"/>
          <w:lang w:val="fr-CA"/>
        </w:rPr>
      </w:pPr>
    </w:p>
    <w:p w14:paraId="159E7058" w14:textId="073339C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Nonobstant toute disposition contraire dans la présente partie, le montant d’une sanction pécuniaire ordonnée à l’encontre du destinataire de la plainte n’excède pas le montant maximal énoncé à l’annexe 1011.2 et 1028.2 en ce qui concerne cette Partie. S’il y a deux ou plusieurs Parties plaignantes à une procédure, la sanction pécuniaire est répartie entre elles dans les proportions que fixe le groupe spécial de l’observation des décisions.</w:t>
      </w:r>
    </w:p>
    <w:p w14:paraId="7A48A2BA" w14:textId="77777777" w:rsidR="005A321B" w:rsidRPr="00B04E29" w:rsidRDefault="005A321B" w:rsidP="005A321B">
      <w:pPr>
        <w:autoSpaceDE w:val="0"/>
        <w:autoSpaceDN w:val="0"/>
        <w:adjustRightInd w:val="0"/>
        <w:rPr>
          <w:rFonts w:ascii="Arial" w:eastAsia="Times New Roman" w:hAnsi="Arial" w:cs="Arial"/>
          <w:szCs w:val="23"/>
          <w:lang w:val="fr-CA"/>
        </w:rPr>
      </w:pPr>
      <w:bookmarkStart w:id="135" w:name="article_1707_2"/>
    </w:p>
    <w:p w14:paraId="4F97B3B4" w14:textId="77777777" w:rsidR="005A321B" w:rsidRPr="00B04E29" w:rsidRDefault="005A321B" w:rsidP="005A321B">
      <w:pPr>
        <w:jc w:val="center"/>
        <w:rPr>
          <w:rFonts w:ascii="Arial" w:eastAsia="Arial" w:hAnsi="Arial" w:cs="Arial"/>
          <w:b/>
          <w:szCs w:val="23"/>
          <w:lang w:val="fr-CA"/>
        </w:rPr>
      </w:pPr>
      <w:bookmarkStart w:id="136" w:name="_Toc357427529"/>
      <w:bookmarkStart w:id="137" w:name="_Toc470079010"/>
      <w:r w:rsidRPr="00B04E29">
        <w:rPr>
          <w:rFonts w:ascii="Arial" w:eastAsia="Arial" w:hAnsi="Arial" w:cs="Arial"/>
          <w:b/>
          <w:szCs w:val="23"/>
          <w:lang w:val="fr-CA"/>
        </w:rPr>
        <w:t xml:space="preserve">Article 1012 : </w:t>
      </w:r>
      <w:r w:rsidRPr="00B04E29">
        <w:rPr>
          <w:rFonts w:ascii="Arial" w:eastAsia="Arial" w:hAnsi="Arial" w:cs="Arial"/>
          <w:b/>
          <w:szCs w:val="23"/>
          <w:lang w:val="fr-CA"/>
        </w:rPr>
        <w:tab/>
        <w:t>Exécution des ordonnances relatives aux sanctions pécuniaires et aux dépens prévus au tarif</w:t>
      </w:r>
      <w:bookmarkEnd w:id="136"/>
      <w:bookmarkEnd w:id="137"/>
    </w:p>
    <w:bookmarkEnd w:id="135"/>
    <w:p w14:paraId="09D5DD3B" w14:textId="77777777" w:rsidR="005A321B" w:rsidRPr="00B04E29" w:rsidRDefault="005A321B" w:rsidP="005A321B">
      <w:pPr>
        <w:autoSpaceDE w:val="0"/>
        <w:autoSpaceDN w:val="0"/>
        <w:adjustRightInd w:val="0"/>
        <w:rPr>
          <w:rFonts w:ascii="Arial" w:eastAsia="Times New Roman" w:hAnsi="Arial" w:cs="Arial"/>
          <w:szCs w:val="23"/>
          <w:lang w:val="fr-CA"/>
        </w:rPr>
      </w:pPr>
    </w:p>
    <w:p w14:paraId="6C94D5EE" w14:textId="7A24E23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Si un groupe spécial de l’observation des décisions a rendu une ordonnance sur les sanctions pécuniaires conformément à l’article 1010.11, celles-ci sont exigibles immédiatement. Le destinataire de la plainte paie à la Partie plaignante la somme stipulée dans l’ordonnance comme étant payable par le destinataire de la plainte à la Partie plaignante et il confirme par écrit au Secrétariat qu’il a fait le paiement.</w:t>
      </w:r>
    </w:p>
    <w:p w14:paraId="24DFFFD4" w14:textId="77777777" w:rsidR="005A321B" w:rsidRPr="00B04E29" w:rsidRDefault="005A321B" w:rsidP="005A321B">
      <w:pPr>
        <w:autoSpaceDE w:val="0"/>
        <w:autoSpaceDN w:val="0"/>
        <w:adjustRightInd w:val="0"/>
        <w:rPr>
          <w:rFonts w:ascii="Arial" w:eastAsia="Times New Roman" w:hAnsi="Arial" w:cs="Arial"/>
          <w:szCs w:val="23"/>
          <w:lang w:val="fr-CA"/>
        </w:rPr>
      </w:pPr>
    </w:p>
    <w:p w14:paraId="40661EF0" w14:textId="57A10279" w:rsidR="005A321B" w:rsidRPr="00B04E29" w:rsidRDefault="005A321B" w:rsidP="005A321B">
      <w:pPr>
        <w:autoSpaceDE w:val="0"/>
        <w:autoSpaceDN w:val="0"/>
        <w:adjustRightInd w:val="0"/>
        <w:rPr>
          <w:rFonts w:ascii="Arial" w:eastAsia="Times New Roman" w:hAnsi="Arial" w:cs="Arial"/>
          <w:iCs/>
          <w:szCs w:val="23"/>
          <w:lang w:val="fr-CA"/>
        </w:rPr>
      </w:pPr>
      <w:r w:rsidRPr="00B04E29">
        <w:rPr>
          <w:rFonts w:ascii="Arial" w:eastAsia="Arial" w:hAnsi="Arial" w:cs="Arial"/>
          <w:szCs w:val="23"/>
          <w:lang w:val="fr-CA"/>
        </w:rPr>
        <w:t>2.</w:t>
      </w:r>
      <w:r w:rsidRPr="00B04E29">
        <w:rPr>
          <w:rFonts w:ascii="Arial" w:eastAsia="Arial" w:hAnsi="Arial" w:cs="Arial"/>
          <w:szCs w:val="23"/>
          <w:lang w:val="fr-CA"/>
        </w:rPr>
        <w:tab/>
        <w:t>Si le destinataire de la plainte est une Partie qui a mis en œuvre le mécanisme d’exécution relatif aux sanctions pécuniaires cité au sous-alinéa </w:t>
      </w:r>
      <w:proofErr w:type="gramStart"/>
      <w:r w:rsidRPr="00B04E29">
        <w:rPr>
          <w:rFonts w:ascii="Arial" w:eastAsia="Arial" w:hAnsi="Arial" w:cs="Arial"/>
          <w:szCs w:val="23"/>
          <w:lang w:val="fr-CA"/>
        </w:rPr>
        <w:t>1001.4c)i</w:t>
      </w:r>
      <w:proofErr w:type="gramEnd"/>
      <w:r w:rsidRPr="00B04E29">
        <w:rPr>
          <w:rFonts w:ascii="Arial" w:eastAsia="Arial" w:hAnsi="Arial" w:cs="Arial"/>
          <w:szCs w:val="23"/>
          <w:lang w:val="fr-CA"/>
        </w:rPr>
        <w:t>), la Partie plaignante en faveur de laquelle une sanction pécuniaire a été ordonnée :</w:t>
      </w:r>
    </w:p>
    <w:p w14:paraId="28BDBC7F" w14:textId="77777777" w:rsidR="005A321B" w:rsidRPr="00B04E29" w:rsidRDefault="005A321B" w:rsidP="005A321B">
      <w:pPr>
        <w:autoSpaceDE w:val="0"/>
        <w:autoSpaceDN w:val="0"/>
        <w:adjustRightInd w:val="0"/>
        <w:rPr>
          <w:rFonts w:ascii="Arial" w:eastAsia="Times New Roman" w:hAnsi="Arial" w:cs="Arial"/>
          <w:iCs/>
          <w:szCs w:val="23"/>
          <w:lang w:val="fr-CA"/>
        </w:rPr>
      </w:pPr>
    </w:p>
    <w:p w14:paraId="11F52FC7" w14:textId="588661CC"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peut prendre dans les moindres délais un moyen comme l’enregistrement, le dépôt ou autre moyen exigé par la loi ou la pratique administrative du destinataire de la plainte, afin de commencer le processus d’exécution de la </w:t>
      </w:r>
      <w:r w:rsidRPr="00B04E29">
        <w:rPr>
          <w:rFonts w:ascii="Arial" w:eastAsia="Times New Roman" w:hAnsi="Arial" w:cs="Arial"/>
          <w:szCs w:val="23"/>
          <w:lang w:val="fr-CA"/>
        </w:rPr>
        <w:lastRenderedPageBreak/>
        <w:t>sanction pécuniaire de la même façon qu’une ordonnance contre le ministère public dans les tribunaux supérieurs de la Partie;</w:t>
      </w:r>
    </w:p>
    <w:p w14:paraId="06369E64"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78672589" w14:textId="5CF7E639"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avise immédiatement le destinataire de la plainte que ce moyen a été pris,</w:t>
      </w:r>
    </w:p>
    <w:p w14:paraId="2817F65A" w14:textId="77777777" w:rsidR="005A321B" w:rsidRPr="00B04E29" w:rsidRDefault="005A321B" w:rsidP="005A321B">
      <w:pPr>
        <w:autoSpaceDE w:val="0"/>
        <w:autoSpaceDN w:val="0"/>
        <w:adjustRightInd w:val="0"/>
        <w:ind w:left="1260" w:hanging="540"/>
        <w:rPr>
          <w:rFonts w:ascii="Arial" w:eastAsia="Times New Roman" w:hAnsi="Arial" w:cs="Arial"/>
          <w:iCs/>
          <w:szCs w:val="23"/>
          <w:lang w:val="fr-CA"/>
        </w:rPr>
      </w:pPr>
    </w:p>
    <w:p w14:paraId="3A529EA8" w14:textId="40A30352" w:rsidR="005A321B" w:rsidRPr="00B04E29" w:rsidRDefault="005A321B" w:rsidP="005A321B">
      <w:pPr>
        <w:autoSpaceDE w:val="0"/>
        <w:autoSpaceDN w:val="0"/>
        <w:adjustRightInd w:val="0"/>
        <w:rPr>
          <w:rFonts w:ascii="Arial" w:eastAsia="Times New Roman" w:hAnsi="Arial" w:cs="Arial"/>
          <w:iCs/>
          <w:szCs w:val="23"/>
          <w:lang w:val="fr-CA"/>
        </w:rPr>
      </w:pPr>
      <w:proofErr w:type="gramStart"/>
      <w:r w:rsidRPr="00B04E29">
        <w:rPr>
          <w:rFonts w:ascii="Arial" w:eastAsia="Times New Roman" w:hAnsi="Arial" w:cs="Arial"/>
          <w:szCs w:val="23"/>
          <w:lang w:val="fr-CA"/>
        </w:rPr>
        <w:t>mais</w:t>
      </w:r>
      <w:proofErr w:type="gramEnd"/>
      <w:r w:rsidRPr="00B04E29">
        <w:rPr>
          <w:rFonts w:ascii="Arial" w:eastAsia="Times New Roman" w:hAnsi="Arial" w:cs="Arial"/>
          <w:szCs w:val="23"/>
          <w:lang w:val="fr-CA"/>
        </w:rPr>
        <w:t xml:space="preserve"> la Partie ne peut prendre un autre moyen pour faire exécuter l’ordonnance qu’une fois écoulé un délai de 60 jours après la date de l’ordonnance, à moins que le destinataire de la plainte n’y consente.</w:t>
      </w:r>
    </w:p>
    <w:p w14:paraId="0E9D6335" w14:textId="48C32580" w:rsidR="005A321B" w:rsidRPr="00B04E29" w:rsidRDefault="005A321B" w:rsidP="005A321B">
      <w:pPr>
        <w:autoSpaceDE w:val="0"/>
        <w:autoSpaceDN w:val="0"/>
        <w:adjustRightInd w:val="0"/>
        <w:rPr>
          <w:rFonts w:ascii="Arial" w:eastAsia="Times New Roman" w:hAnsi="Arial" w:cs="Arial"/>
          <w:iCs/>
          <w:szCs w:val="23"/>
          <w:lang w:val="fr-CA"/>
        </w:rPr>
      </w:pPr>
    </w:p>
    <w:p w14:paraId="46F3A95E" w14:textId="02F4CD1F"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Si le destinataire de la plainte qui a déposé une lettre de crédit auprès du Secrétariat n’a pas payé une sanction pécuniaire dans les 60 jours de la présentation du rapport sur la conformité, le Secrétariat en exige le paiement conformément à la règle 19 de l’annexe 1007.1 et 1024.1.</w:t>
      </w:r>
    </w:p>
    <w:p w14:paraId="0CB54F12" w14:textId="77777777" w:rsidR="005A321B" w:rsidRPr="00B04E29" w:rsidRDefault="005A321B" w:rsidP="005A321B">
      <w:pPr>
        <w:autoSpaceDE w:val="0"/>
        <w:autoSpaceDN w:val="0"/>
        <w:adjustRightInd w:val="0"/>
        <w:rPr>
          <w:rFonts w:ascii="Arial" w:eastAsia="Times New Roman" w:hAnsi="Arial" w:cs="Arial"/>
          <w:szCs w:val="23"/>
          <w:lang w:val="fr-CA"/>
        </w:rPr>
      </w:pPr>
    </w:p>
    <w:p w14:paraId="22A729CD" w14:textId="105757E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4.</w:t>
      </w:r>
      <w:r w:rsidRPr="00B04E29">
        <w:rPr>
          <w:rFonts w:ascii="Arial" w:eastAsia="Arial" w:hAnsi="Arial" w:cs="Arial"/>
          <w:szCs w:val="23"/>
          <w:lang w:val="fr-CA"/>
        </w:rPr>
        <w:tab/>
        <w:t xml:space="preserve">Dans les 20 jours qui suivent la réception d’un avis, conformément à </w:t>
      </w:r>
      <w:r w:rsidRPr="00B04E29">
        <w:rPr>
          <w:rFonts w:ascii="Arial" w:eastAsia="Times New Roman" w:hAnsi="Arial" w:cs="Arial"/>
          <w:szCs w:val="23"/>
          <w:lang w:val="fr-CA"/>
        </w:rPr>
        <w:t>la règle 19 de l’annexe 1007.1 et 1024.1</w:t>
      </w:r>
      <w:r w:rsidRPr="00B04E29">
        <w:rPr>
          <w:rFonts w:ascii="Arial" w:eastAsia="Arial" w:hAnsi="Arial" w:cs="Arial"/>
          <w:szCs w:val="23"/>
          <w:lang w:val="fr-CA"/>
        </w:rPr>
        <w:t xml:space="preserve">, selon lequel un prélèvement a été fait sur sa lettre de crédit, le destinataire de la plainte réapprovisionne sa lettre de crédit et dépose auprès du Secrétariat une confirmation écrite, signée par l’institution financière du destinataire de la plainte et adressée au Secrétariat, selon laquelle la lettre de crédit a été réapprovisionnée avec la somme exigée </w:t>
      </w:r>
      <w:r w:rsidRPr="00B04E29">
        <w:rPr>
          <w:rFonts w:ascii="Arial" w:eastAsia="Times New Roman" w:hAnsi="Arial" w:cs="Arial"/>
          <w:szCs w:val="23"/>
          <w:lang w:val="fr-CA"/>
        </w:rPr>
        <w:t>à l’annexe</w:t>
      </w:r>
      <w:r w:rsidRPr="00B04E29">
        <w:rPr>
          <w:rFonts w:ascii="Arial" w:eastAsia="Arial" w:hAnsi="Arial" w:cs="Arial"/>
          <w:szCs w:val="23"/>
          <w:lang w:val="fr-CA"/>
        </w:rPr>
        <w:t> 1011.2 et 1028.2.</w:t>
      </w:r>
    </w:p>
    <w:p w14:paraId="01FB6329" w14:textId="77777777" w:rsidR="005A321B" w:rsidRPr="00B04E29" w:rsidRDefault="005A321B" w:rsidP="005A321B">
      <w:pPr>
        <w:autoSpaceDE w:val="0"/>
        <w:autoSpaceDN w:val="0"/>
        <w:adjustRightInd w:val="0"/>
        <w:rPr>
          <w:rFonts w:ascii="Arial" w:eastAsia="Times New Roman" w:hAnsi="Arial" w:cs="Arial"/>
          <w:szCs w:val="23"/>
          <w:lang w:val="fr-CA"/>
        </w:rPr>
      </w:pPr>
    </w:p>
    <w:p w14:paraId="2417CC86" w14:textId="2EED9BF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5.</w:t>
      </w:r>
      <w:r w:rsidRPr="00B04E29">
        <w:rPr>
          <w:rFonts w:ascii="Arial" w:eastAsia="Arial" w:hAnsi="Arial" w:cs="Arial"/>
          <w:szCs w:val="23"/>
          <w:lang w:val="fr-CA"/>
        </w:rPr>
        <w:tab/>
        <w:t>Une Partie ayant déposé une lettre de crédit, à moins qu’elle n’ait confirmé au Secrétariat et aux autres Parties qu’elle a pris les dispositions nécessaires à l’exécution des sanctions pécuniaires, conformément au sous-alinéa </w:t>
      </w:r>
      <w:proofErr w:type="gramStart"/>
      <w:r w:rsidRPr="00B04E29">
        <w:rPr>
          <w:rFonts w:ascii="Arial" w:eastAsia="Arial" w:hAnsi="Arial" w:cs="Arial"/>
          <w:szCs w:val="23"/>
          <w:lang w:val="fr-CA"/>
        </w:rPr>
        <w:t>1001.4c)i</w:t>
      </w:r>
      <w:proofErr w:type="gramEnd"/>
      <w:r w:rsidRPr="00B04E29">
        <w:rPr>
          <w:rFonts w:ascii="Arial" w:eastAsia="Arial" w:hAnsi="Arial" w:cs="Arial"/>
          <w:szCs w:val="23"/>
          <w:lang w:val="fr-CA"/>
        </w:rPr>
        <w:t xml:space="preserve">), dépose, au plus tard 60 jours avant l’expiration de sa lettre de crédit, une nouvelle lettre de crédit qui prend effet à l’expiration de l’ancienne lettre de crédit.  </w:t>
      </w:r>
    </w:p>
    <w:p w14:paraId="400E061A" w14:textId="77777777" w:rsidR="005A321B" w:rsidRPr="00B04E29" w:rsidRDefault="005A321B" w:rsidP="005A321B">
      <w:pPr>
        <w:autoSpaceDE w:val="0"/>
        <w:autoSpaceDN w:val="0"/>
        <w:adjustRightInd w:val="0"/>
        <w:rPr>
          <w:rFonts w:ascii="Arial" w:eastAsia="Times New Roman" w:hAnsi="Arial" w:cs="Arial"/>
          <w:szCs w:val="23"/>
          <w:lang w:val="fr-CA"/>
        </w:rPr>
      </w:pPr>
    </w:p>
    <w:p w14:paraId="750CE09E" w14:textId="7EEA2B4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Si un groupe spécial d’appel a rendu une ordonnance sur les dépens prévus au tarif, ceux-ci sont exigibles immédiatement. La Partie contre laquelle l’ordonnance a été rendue paie la somme stipulée dans l’ordonnance à la Partie en faveur de laquelle l’ordonnance a été rendue et confirme par écrit au Secrétariat qu’elle a fait le paiement.</w:t>
      </w:r>
    </w:p>
    <w:p w14:paraId="0A12110D" w14:textId="77777777" w:rsidR="005A321B" w:rsidRPr="00B04E29" w:rsidRDefault="005A321B" w:rsidP="005A321B">
      <w:pPr>
        <w:autoSpaceDE w:val="0"/>
        <w:autoSpaceDN w:val="0"/>
        <w:adjustRightInd w:val="0"/>
        <w:rPr>
          <w:rFonts w:ascii="Arial" w:eastAsia="Times New Roman" w:hAnsi="Arial" w:cs="Arial"/>
          <w:szCs w:val="23"/>
          <w:lang w:val="fr-CA"/>
        </w:rPr>
      </w:pPr>
    </w:p>
    <w:p w14:paraId="7224D8BE" w14:textId="77777777" w:rsidR="005A321B" w:rsidRPr="00B04E29" w:rsidRDefault="005A321B" w:rsidP="005A321B">
      <w:pPr>
        <w:autoSpaceDE w:val="0"/>
        <w:autoSpaceDN w:val="0"/>
        <w:adjustRightInd w:val="0"/>
        <w:rPr>
          <w:rFonts w:ascii="Arial" w:eastAsia="Times New Roman" w:hAnsi="Arial" w:cs="Arial"/>
          <w:iCs/>
          <w:szCs w:val="23"/>
          <w:lang w:val="fr-CA"/>
        </w:rPr>
      </w:pPr>
      <w:r w:rsidRPr="00B04E29">
        <w:rPr>
          <w:rFonts w:ascii="Arial" w:eastAsia="Arial" w:hAnsi="Arial" w:cs="Arial"/>
          <w:szCs w:val="23"/>
          <w:lang w:val="fr-CA"/>
        </w:rPr>
        <w:t>7.</w:t>
      </w:r>
      <w:r w:rsidRPr="00B04E29">
        <w:rPr>
          <w:rFonts w:ascii="Arial" w:eastAsia="Arial" w:hAnsi="Arial" w:cs="Arial"/>
          <w:szCs w:val="23"/>
          <w:lang w:val="fr-CA"/>
        </w:rPr>
        <w:tab/>
        <w:t>Si la Partie contre laquelle une ordonnance sur les dépens prévus au tarif a été rendue est une Partie qui a mis en œuvre le mécanisme d’exécution sur les dépens prévus au tarif cité à l’alinéa 1001.4a), la Partie en faveur de laquelle l’ordonnance a été rendue :</w:t>
      </w:r>
    </w:p>
    <w:p w14:paraId="0A9BD3A2" w14:textId="77777777" w:rsidR="005A321B" w:rsidRPr="00B04E29" w:rsidRDefault="005A321B" w:rsidP="005A321B">
      <w:pPr>
        <w:autoSpaceDE w:val="0"/>
        <w:autoSpaceDN w:val="0"/>
        <w:adjustRightInd w:val="0"/>
        <w:ind w:left="720"/>
        <w:rPr>
          <w:rFonts w:ascii="Arial" w:eastAsia="Times New Roman" w:hAnsi="Arial" w:cs="Arial"/>
          <w:iCs/>
          <w:szCs w:val="23"/>
          <w:lang w:val="fr-CA"/>
        </w:rPr>
      </w:pPr>
    </w:p>
    <w:p w14:paraId="1712A2D4" w14:textId="24CC6CB1"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peut prendre dans les moindres délais</w:t>
      </w:r>
      <w:r w:rsidRPr="00B04E29" w:rsidDel="002D50ED">
        <w:rPr>
          <w:rFonts w:ascii="Arial" w:eastAsia="Times New Roman" w:hAnsi="Arial" w:cs="Arial"/>
          <w:szCs w:val="23"/>
          <w:lang w:val="fr-CA"/>
        </w:rPr>
        <w:t xml:space="preserve"> </w:t>
      </w:r>
      <w:r w:rsidRPr="00B04E29">
        <w:rPr>
          <w:rFonts w:ascii="Arial" w:eastAsia="Times New Roman" w:hAnsi="Arial" w:cs="Arial"/>
          <w:szCs w:val="23"/>
          <w:lang w:val="fr-CA"/>
        </w:rPr>
        <w:t>un moyen comme l’enregistrement, le dépôt ou autre moyen exigé par la loi ou la pratique administrative de la Partie contre laquelle l’ordonnance a été rendue, afin de commencer le processus d’exécution de l’ordonnance de la même façon qu’une ordonnance contre le ministère public dans les tribunaux supérieurs de la Partie;</w:t>
      </w:r>
    </w:p>
    <w:p w14:paraId="40FD629A"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53BC81A4" w14:textId="167BEC58"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avise immédiatement la Partie contre laquelle l’ordonnance a été rendue que ce moyen a été pris,</w:t>
      </w:r>
    </w:p>
    <w:p w14:paraId="01C6464D" w14:textId="77777777" w:rsidR="005A321B" w:rsidRPr="00B04E29" w:rsidRDefault="005A321B" w:rsidP="005A321B">
      <w:pPr>
        <w:autoSpaceDE w:val="0"/>
        <w:autoSpaceDN w:val="0"/>
        <w:adjustRightInd w:val="0"/>
        <w:ind w:left="1260" w:hanging="540"/>
        <w:rPr>
          <w:rFonts w:ascii="Arial" w:eastAsia="Times New Roman" w:hAnsi="Arial" w:cs="Arial"/>
          <w:iCs/>
          <w:szCs w:val="23"/>
          <w:lang w:val="fr-CA"/>
        </w:rPr>
      </w:pPr>
    </w:p>
    <w:p w14:paraId="2E83A3A8" w14:textId="61F860FE" w:rsidR="005A321B" w:rsidRPr="00B04E29" w:rsidRDefault="005A321B" w:rsidP="005A321B">
      <w:pPr>
        <w:autoSpaceDE w:val="0"/>
        <w:autoSpaceDN w:val="0"/>
        <w:adjustRightInd w:val="0"/>
        <w:rPr>
          <w:rFonts w:ascii="Arial" w:eastAsia="Times New Roman" w:hAnsi="Arial" w:cs="Arial"/>
          <w:iCs/>
          <w:szCs w:val="23"/>
          <w:lang w:val="fr-CA"/>
        </w:rPr>
      </w:pPr>
      <w:proofErr w:type="gramStart"/>
      <w:r w:rsidRPr="00B04E29">
        <w:rPr>
          <w:rFonts w:ascii="Arial" w:eastAsia="Times New Roman" w:hAnsi="Arial" w:cs="Arial"/>
          <w:szCs w:val="23"/>
          <w:lang w:val="fr-CA"/>
        </w:rPr>
        <w:t>mais</w:t>
      </w:r>
      <w:proofErr w:type="gramEnd"/>
      <w:r w:rsidRPr="00B04E29">
        <w:rPr>
          <w:rFonts w:ascii="Arial" w:eastAsia="Times New Roman" w:hAnsi="Arial" w:cs="Arial"/>
          <w:szCs w:val="23"/>
          <w:lang w:val="fr-CA"/>
        </w:rPr>
        <w:t xml:space="preserve"> ne peut prendre un autre moyen pour faire exécuter l’ordonnance qu’une fois écoulé un délai de 60 jours après la date de l’ordonnance, sauf avec le consentement de la Partie à l’encontre de laquelle l’ordonnance a été rendue.</w:t>
      </w:r>
    </w:p>
    <w:p w14:paraId="0B2A39E8" w14:textId="77777777" w:rsidR="005A321B" w:rsidRPr="00B04E29" w:rsidRDefault="005A321B" w:rsidP="005A321B">
      <w:pPr>
        <w:autoSpaceDE w:val="0"/>
        <w:autoSpaceDN w:val="0"/>
        <w:adjustRightInd w:val="0"/>
        <w:rPr>
          <w:rFonts w:ascii="Arial" w:eastAsia="Times New Roman" w:hAnsi="Arial" w:cs="Arial"/>
          <w:b/>
          <w:bCs/>
          <w:szCs w:val="23"/>
          <w:lang w:val="fr-CA"/>
        </w:rPr>
      </w:pPr>
    </w:p>
    <w:p w14:paraId="6DFC238A" w14:textId="77777777" w:rsidR="005A321B" w:rsidRPr="00B04E29" w:rsidRDefault="005A321B" w:rsidP="005A321B">
      <w:pPr>
        <w:jc w:val="center"/>
        <w:rPr>
          <w:rFonts w:ascii="Arial" w:eastAsia="Arial" w:hAnsi="Arial" w:cs="Arial"/>
          <w:b/>
          <w:szCs w:val="23"/>
          <w:lang w:val="fr-CA"/>
        </w:rPr>
      </w:pPr>
      <w:bookmarkStart w:id="138" w:name="_Toc357427530"/>
      <w:bookmarkStart w:id="139" w:name="_Toc470079011"/>
      <w:bookmarkStart w:id="140" w:name="article_1709"/>
      <w:r w:rsidRPr="00B04E29">
        <w:rPr>
          <w:rFonts w:ascii="Arial" w:eastAsia="Arial" w:hAnsi="Arial" w:cs="Arial"/>
          <w:b/>
          <w:szCs w:val="23"/>
          <w:lang w:val="fr-CA"/>
        </w:rPr>
        <w:lastRenderedPageBreak/>
        <w:t xml:space="preserve">Article 1013 : </w:t>
      </w:r>
      <w:r w:rsidRPr="00B04E29">
        <w:rPr>
          <w:rFonts w:ascii="Arial" w:eastAsia="Arial" w:hAnsi="Arial" w:cs="Arial"/>
          <w:b/>
          <w:szCs w:val="23"/>
          <w:lang w:val="fr-CA"/>
        </w:rPr>
        <w:tab/>
        <w:t>Absence de mise en œuvre – mesures de rétorsion</w:t>
      </w:r>
      <w:bookmarkEnd w:id="138"/>
      <w:bookmarkEnd w:id="139"/>
    </w:p>
    <w:bookmarkEnd w:id="140"/>
    <w:p w14:paraId="7CEC500D" w14:textId="77777777" w:rsidR="005A321B" w:rsidRPr="00B04E29" w:rsidRDefault="005A321B" w:rsidP="005A321B">
      <w:pPr>
        <w:autoSpaceDE w:val="0"/>
        <w:autoSpaceDN w:val="0"/>
        <w:adjustRightInd w:val="0"/>
        <w:rPr>
          <w:rFonts w:ascii="Arial" w:eastAsia="Times New Roman" w:hAnsi="Arial" w:cs="Arial"/>
          <w:szCs w:val="23"/>
          <w:lang w:val="fr-CA"/>
        </w:rPr>
      </w:pPr>
    </w:p>
    <w:p w14:paraId="10C80AB9" w14:textId="24CE01A4"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Si, dans le rapport, le groupe spécial a constaté qu’une mesure effective est incompatible avec le présent accord et que la question n’a pas été réglée dans un délai d’un an après la date à laquelle le groupe spécial a présenté le rapport ou, si le groupe spécial a stipulé une autre période de mise en œuvre, à la fin de cette autre période, la Partie plaignante peut demander par écrit la tenue d’une réunion du Comité.</w:t>
      </w:r>
    </w:p>
    <w:p w14:paraId="65500265" w14:textId="77777777" w:rsidR="005A321B" w:rsidRPr="00B04E29" w:rsidRDefault="005A321B" w:rsidP="005A321B">
      <w:pPr>
        <w:autoSpaceDE w:val="0"/>
        <w:autoSpaceDN w:val="0"/>
        <w:adjustRightInd w:val="0"/>
        <w:rPr>
          <w:rFonts w:ascii="Arial" w:eastAsia="Times New Roman" w:hAnsi="Arial" w:cs="Arial"/>
          <w:szCs w:val="23"/>
          <w:lang w:val="fr-CA"/>
        </w:rPr>
      </w:pPr>
    </w:p>
    <w:p w14:paraId="4978B675" w14:textId="3E4E8B5A"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Le Comité, ou l’un de ses sous-comités, se réunit dans les 30 jours qui suivent la date de la remise de la demande de réunion pour discuter avec la Partie plaignante de la possibilité de prendre des mesures de rétorsion à l’endroit du destinataire de la plainte.</w:t>
      </w:r>
    </w:p>
    <w:p w14:paraId="36FC7135" w14:textId="77777777" w:rsidR="005A321B" w:rsidRPr="00B04E29" w:rsidRDefault="005A321B" w:rsidP="005A321B">
      <w:pPr>
        <w:autoSpaceDE w:val="0"/>
        <w:autoSpaceDN w:val="0"/>
        <w:adjustRightInd w:val="0"/>
        <w:rPr>
          <w:rFonts w:ascii="Arial" w:eastAsia="Times New Roman" w:hAnsi="Arial" w:cs="Arial"/>
          <w:szCs w:val="23"/>
          <w:lang w:val="fr-CA"/>
        </w:rPr>
      </w:pPr>
    </w:p>
    <w:p w14:paraId="0D8FDBC5" w14:textId="75F6988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À condition d’avoir examiné la question avec le Comité, conformément au paragraphe 2, la Partie plaignante peut, jusqu’à un règlement mutuellement satisfaisant du différend, suspendre des avantages ayant un effet équivalent, ou, si une suspension pose des difficultés d’ordre pratique, prendre contre le destinataire de la plainte des mesures de rétorsion ayant un effet équivalent.</w:t>
      </w:r>
    </w:p>
    <w:p w14:paraId="62EEBC0D" w14:textId="77777777" w:rsidR="005A321B" w:rsidRPr="00B04E29" w:rsidRDefault="005A321B" w:rsidP="005A321B">
      <w:pPr>
        <w:autoSpaceDE w:val="0"/>
        <w:autoSpaceDN w:val="0"/>
        <w:adjustRightInd w:val="0"/>
        <w:rPr>
          <w:rFonts w:ascii="Arial" w:eastAsia="Times New Roman" w:hAnsi="Arial" w:cs="Arial"/>
          <w:szCs w:val="23"/>
          <w:lang w:val="fr-CA"/>
        </w:rPr>
      </w:pPr>
    </w:p>
    <w:p w14:paraId="7BB1345B" w14:textId="104582E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Afin de déterminer les avantages qui doivent être suspendus ou les mesures de rétorsion qui doivent être prises, la Partie plaignante :</w:t>
      </w:r>
    </w:p>
    <w:p w14:paraId="58328E01" w14:textId="77777777" w:rsidR="005A321B" w:rsidRPr="00B04E29" w:rsidRDefault="005A321B" w:rsidP="005A321B">
      <w:pPr>
        <w:autoSpaceDE w:val="0"/>
        <w:autoSpaceDN w:val="0"/>
        <w:adjustRightInd w:val="0"/>
        <w:rPr>
          <w:rFonts w:ascii="Arial" w:eastAsia="Times New Roman" w:hAnsi="Arial" w:cs="Arial"/>
          <w:szCs w:val="23"/>
          <w:lang w:val="fr-CA"/>
        </w:rPr>
      </w:pPr>
    </w:p>
    <w:p w14:paraId="267E9B73" w14:textId="74DF7AF6"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suspend des avantages ou prend des mesures de rétorsion dans le même secteur que la mesure jugée incompatible avec le présent accord;</w:t>
      </w:r>
    </w:p>
    <w:p w14:paraId="621E5182"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4029D40C" w14:textId="655595C4" w:rsidR="005A321B" w:rsidRPr="00B04E29" w:rsidRDefault="005A321B" w:rsidP="005A321B">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seulement dans les cas où la suspension de tels avantages ou la prise de telles mesures poserait des difficultés d’ordre pratique ou serait inefficace, suspend des avantages ou prend des mesures de rétorsion dans d’autres secteurs visés par le présent accord.</w:t>
      </w:r>
    </w:p>
    <w:p w14:paraId="1FB8B8D0" w14:textId="77777777" w:rsidR="005A321B" w:rsidRPr="00B04E29" w:rsidRDefault="005A321B" w:rsidP="005A321B">
      <w:pPr>
        <w:autoSpaceDE w:val="0"/>
        <w:autoSpaceDN w:val="0"/>
        <w:adjustRightInd w:val="0"/>
        <w:ind w:left="1152" w:hanging="576"/>
        <w:rPr>
          <w:rFonts w:ascii="Arial" w:eastAsia="Times New Roman" w:hAnsi="Arial" w:cs="Arial"/>
          <w:szCs w:val="23"/>
          <w:lang w:val="fr-CA"/>
        </w:rPr>
      </w:pPr>
    </w:p>
    <w:p w14:paraId="0C96BEFC" w14:textId="7955E7CB"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 xml:space="preserve">Sur demande écrite de l’une ou l’autre des Parties au différend, remise aux autres Parties et au Secrétariat, avec copie au Comité, le Comité réunit, dans les 30 jours qui suivent la date de la remise de la demande au Secrétariat, un groupe spécial, composé si possible des membres originaux, pour décider si la suspension des avantages ou la prise de mesures de rétorsion par la Partie plaignante conformément au paragraphe 3, est manifestement excessive.  </w:t>
      </w:r>
    </w:p>
    <w:p w14:paraId="0E297E99" w14:textId="77777777" w:rsidR="005A321B" w:rsidRPr="00B04E29" w:rsidRDefault="005A321B" w:rsidP="005A321B">
      <w:pPr>
        <w:autoSpaceDE w:val="0"/>
        <w:autoSpaceDN w:val="0"/>
        <w:adjustRightInd w:val="0"/>
        <w:rPr>
          <w:rFonts w:ascii="Arial" w:eastAsia="Times New Roman" w:hAnsi="Arial" w:cs="Arial"/>
          <w:szCs w:val="23"/>
          <w:lang w:val="fr-CA"/>
        </w:rPr>
      </w:pPr>
    </w:p>
    <w:p w14:paraId="68EA7E22"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Toute suspension d’avantages ou prise de mesures de rétorsion conformément au paragraphe 3 est temporaire et ne s’applique que jusqu’à ce que le destinataire de la plainte ait modifié la mesure incompatible, l’ait éliminée ou ait pris d’autres moyens pour régler le différend.</w:t>
      </w:r>
    </w:p>
    <w:p w14:paraId="06F5D44B" w14:textId="77777777" w:rsidR="005A321B" w:rsidRPr="00B04E29" w:rsidRDefault="005A321B" w:rsidP="005A321B">
      <w:pPr>
        <w:autoSpaceDE w:val="0"/>
        <w:autoSpaceDN w:val="0"/>
        <w:adjustRightInd w:val="0"/>
        <w:rPr>
          <w:rFonts w:ascii="Arial" w:eastAsia="Times New Roman" w:hAnsi="Arial" w:cs="Arial"/>
          <w:szCs w:val="23"/>
          <w:lang w:val="fr-CA"/>
        </w:rPr>
      </w:pPr>
    </w:p>
    <w:p w14:paraId="1FDDF0FA" w14:textId="72D9B0F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 xml:space="preserve">Sur demande écrite de l’une ou l’autre des Parties au différend, remise aux autres Parties et au Secrétariat, avec copie au Comité, le Comité réunit, dans les 30 jours qui suivent la date de la remise de la demande au Secrétariat, un groupe spécial, composé si possible des membres originaux, pour décider si les moyens pris par le destinataire de la plainte en vue de régler le différend sont suffisants ou satisfaisants.  </w:t>
      </w:r>
    </w:p>
    <w:p w14:paraId="20727559" w14:textId="77777777" w:rsidR="005A321B" w:rsidRPr="00B04E29" w:rsidRDefault="005A321B" w:rsidP="005A321B">
      <w:pPr>
        <w:autoSpaceDE w:val="0"/>
        <w:autoSpaceDN w:val="0"/>
        <w:adjustRightInd w:val="0"/>
        <w:rPr>
          <w:rFonts w:ascii="Arial" w:eastAsia="Times New Roman" w:hAnsi="Arial" w:cs="Arial"/>
          <w:szCs w:val="23"/>
          <w:lang w:val="fr-CA"/>
        </w:rPr>
      </w:pPr>
    </w:p>
    <w:p w14:paraId="620C9898" w14:textId="2467C1D6"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lastRenderedPageBreak/>
        <w:t>8.</w:t>
      </w:r>
      <w:r w:rsidRPr="00B04E29">
        <w:rPr>
          <w:rFonts w:ascii="Arial" w:eastAsia="Times New Roman" w:hAnsi="Arial" w:cs="Arial"/>
          <w:szCs w:val="23"/>
          <w:lang w:val="fr-CA"/>
        </w:rPr>
        <w:tab/>
        <w:t>Si le groupe spécial détermine que les moyens pris par le destinataire de la plainte pour régler le différend sont suffisants ou satisfaisants, la Partie plaignante met fin à la suspension des avantages ou aux mesures de rétorsion.</w:t>
      </w:r>
    </w:p>
    <w:p w14:paraId="1846E114" w14:textId="77777777" w:rsidR="005A321B" w:rsidRPr="00B04E29" w:rsidRDefault="005A321B" w:rsidP="005A321B">
      <w:pPr>
        <w:autoSpaceDE w:val="0"/>
        <w:autoSpaceDN w:val="0"/>
        <w:adjustRightInd w:val="0"/>
        <w:rPr>
          <w:rFonts w:ascii="Arial" w:eastAsia="Times New Roman" w:hAnsi="Arial" w:cs="Arial"/>
          <w:szCs w:val="23"/>
          <w:lang w:val="fr-CA"/>
        </w:rPr>
      </w:pPr>
    </w:p>
    <w:p w14:paraId="72357848"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9.</w:t>
      </w:r>
      <w:r w:rsidRPr="00B04E29">
        <w:rPr>
          <w:rFonts w:ascii="Arial" w:eastAsia="Times New Roman" w:hAnsi="Arial" w:cs="Arial"/>
          <w:szCs w:val="23"/>
          <w:lang w:val="fr-CA"/>
        </w:rPr>
        <w:tab/>
        <w:t>Les paragraphes 1 à 8 s’appliquent à un intervenant, qui a participé à la procédure du groupe spécial et qui, de l’avis du groupe spécial initial, a subi un préjudice en raison de la mesure incompatible.</w:t>
      </w:r>
    </w:p>
    <w:p w14:paraId="08544EF5" w14:textId="77777777" w:rsidR="005A321B" w:rsidRPr="00B04E29" w:rsidRDefault="005A321B" w:rsidP="005A321B">
      <w:pPr>
        <w:autoSpaceDE w:val="0"/>
        <w:autoSpaceDN w:val="0"/>
        <w:adjustRightInd w:val="0"/>
        <w:rPr>
          <w:rFonts w:ascii="Arial" w:eastAsia="Times New Roman" w:hAnsi="Arial" w:cs="Arial"/>
          <w:szCs w:val="23"/>
          <w:lang w:val="fr-CA"/>
        </w:rPr>
      </w:pPr>
    </w:p>
    <w:p w14:paraId="2565B697"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10.</w:t>
      </w:r>
      <w:r w:rsidRPr="00B04E29">
        <w:rPr>
          <w:rFonts w:ascii="Arial" w:eastAsia="Arial" w:hAnsi="Arial" w:cs="Arial"/>
          <w:szCs w:val="23"/>
          <w:lang w:val="fr-CA"/>
        </w:rPr>
        <w:tab/>
        <w:t>Il est entendu ce qui suit, compte tenu de l’article 1200 (</w:t>
      </w:r>
      <w:r w:rsidRPr="00B04E29">
        <w:rPr>
          <w:rFonts w:ascii="Arial" w:eastAsia="Arial" w:hAnsi="Arial" w:cs="Arial"/>
          <w:iCs/>
          <w:szCs w:val="23"/>
          <w:lang w:val="fr-CA"/>
        </w:rPr>
        <w:t>Réaffirmation des pouvoirs et responsabilités constitutionnels</w:t>
      </w:r>
      <w:r w:rsidRPr="00B04E29">
        <w:rPr>
          <w:rFonts w:ascii="Arial" w:eastAsia="Arial" w:hAnsi="Arial" w:cs="Arial"/>
          <w:szCs w:val="23"/>
          <w:lang w:val="fr-CA"/>
        </w:rPr>
        <w:t>) :</w:t>
      </w:r>
    </w:p>
    <w:p w14:paraId="4A1A916D" w14:textId="77777777" w:rsidR="005A321B" w:rsidRPr="00B04E29" w:rsidRDefault="005A321B" w:rsidP="005A321B">
      <w:pPr>
        <w:autoSpaceDE w:val="0"/>
        <w:autoSpaceDN w:val="0"/>
        <w:adjustRightInd w:val="0"/>
        <w:rPr>
          <w:rFonts w:ascii="Arial" w:eastAsia="Times New Roman" w:hAnsi="Arial" w:cs="Arial"/>
          <w:szCs w:val="23"/>
          <w:lang w:val="fr-CA"/>
        </w:rPr>
      </w:pPr>
    </w:p>
    <w:p w14:paraId="7849E2E1"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le présent article n’autorise pas une Partie à prendre des mesures de rétorsion incompatibles avec la Constitution du Canada;</w:t>
      </w:r>
    </w:p>
    <w:p w14:paraId="4591BB3D"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02C8E36A" w14:textId="3B84062F"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une Partie ne peut être empêchée de contester, devant un tribunal compétent, une mesure de rétorsion qui, selon elle, est incompatible avec la Constitution du Canada.</w:t>
      </w:r>
    </w:p>
    <w:p w14:paraId="6FC8FB39"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 </w:t>
      </w:r>
    </w:p>
    <w:p w14:paraId="0C5AAFE0" w14:textId="57985789"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11.</w:t>
      </w:r>
      <w:r w:rsidRPr="00B04E29">
        <w:rPr>
          <w:rFonts w:ascii="Arial" w:eastAsia="Times New Roman" w:hAnsi="Arial" w:cs="Arial"/>
          <w:szCs w:val="23"/>
          <w:lang w:val="fr-CA"/>
        </w:rPr>
        <w:tab/>
        <w:t>Si un groupe spécial a été établi conformément à l’article 1010.9 à l’égard du rapport cité au paragraphe 1, aucun groupe spécial distinct n’est établi en application paragraphes 5 ou 7.</w:t>
      </w:r>
    </w:p>
    <w:p w14:paraId="0E19D9A7" w14:textId="77777777" w:rsidR="005A321B" w:rsidRPr="00B04E29" w:rsidRDefault="005A321B" w:rsidP="005A321B">
      <w:pPr>
        <w:autoSpaceDE w:val="0"/>
        <w:autoSpaceDN w:val="0"/>
        <w:adjustRightInd w:val="0"/>
        <w:rPr>
          <w:rFonts w:ascii="Arial" w:eastAsia="Times New Roman" w:hAnsi="Arial" w:cs="Arial"/>
          <w:szCs w:val="23"/>
          <w:lang w:val="fr-CA"/>
        </w:rPr>
      </w:pPr>
    </w:p>
    <w:p w14:paraId="10BF94C4" w14:textId="4EFD1EC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12.</w:t>
      </w:r>
      <w:r w:rsidRPr="00B04E29">
        <w:rPr>
          <w:rFonts w:ascii="Arial" w:eastAsia="Times New Roman" w:hAnsi="Arial" w:cs="Arial"/>
          <w:szCs w:val="23"/>
          <w:lang w:val="fr-CA"/>
        </w:rPr>
        <w:tab/>
        <w:t xml:space="preserve">Un groupe spécial de l’observation des décisions qui a été établi conformément à l’article 1010.9 a la compétence d’un groupe spécial établi en application des paragraphes 5 ou 7. </w:t>
      </w:r>
    </w:p>
    <w:p w14:paraId="20BAE66B" w14:textId="77777777" w:rsidR="005A321B" w:rsidRPr="00B04E29" w:rsidRDefault="005A321B" w:rsidP="005A321B">
      <w:pPr>
        <w:rPr>
          <w:rFonts w:ascii="Arial" w:eastAsia="Arial" w:hAnsi="Arial" w:cs="Arial"/>
          <w:szCs w:val="23"/>
          <w:lang w:val="fr-CA"/>
        </w:rPr>
      </w:pPr>
      <w:bookmarkStart w:id="141" w:name="_Toc357427531"/>
    </w:p>
    <w:p w14:paraId="3D2647BA" w14:textId="77777777" w:rsidR="005A321B" w:rsidRPr="00B04E29" w:rsidRDefault="005A321B" w:rsidP="005A321B">
      <w:pPr>
        <w:rPr>
          <w:rFonts w:ascii="Arial" w:eastAsia="Arial" w:hAnsi="Arial" w:cs="Arial"/>
          <w:szCs w:val="23"/>
          <w:lang w:val="fr-CA"/>
        </w:rPr>
      </w:pPr>
    </w:p>
    <w:p w14:paraId="274ED06D" w14:textId="77777777" w:rsidR="00C319A1" w:rsidRPr="00B04E29" w:rsidRDefault="00C319A1">
      <w:pPr>
        <w:rPr>
          <w:rFonts w:ascii="Arial" w:eastAsia="Arial" w:hAnsi="Arial" w:cs="Arial"/>
          <w:b/>
          <w:szCs w:val="23"/>
          <w:lang w:val="fr-CA"/>
        </w:rPr>
      </w:pPr>
      <w:bookmarkStart w:id="142" w:name="_Toc470079012"/>
      <w:r w:rsidRPr="00B04E29">
        <w:rPr>
          <w:rFonts w:ascii="Arial" w:eastAsia="Arial" w:hAnsi="Arial" w:cs="Arial"/>
          <w:b/>
          <w:szCs w:val="23"/>
          <w:lang w:val="fr-CA"/>
        </w:rPr>
        <w:br w:type="page"/>
      </w:r>
    </w:p>
    <w:p w14:paraId="009A6E89" w14:textId="5F91A5BB" w:rsidR="005A321B" w:rsidRPr="00B04E29" w:rsidRDefault="005A321B" w:rsidP="005A321B">
      <w:pPr>
        <w:keepNext/>
        <w:keepLines/>
        <w:jc w:val="center"/>
        <w:rPr>
          <w:rFonts w:ascii="Arial" w:eastAsia="Arial" w:hAnsi="Arial" w:cs="Arial"/>
          <w:b/>
          <w:szCs w:val="23"/>
          <w:lang w:val="fr-CA"/>
        </w:rPr>
      </w:pPr>
      <w:r w:rsidRPr="00B04E29">
        <w:rPr>
          <w:rFonts w:ascii="Arial" w:eastAsia="Arial" w:hAnsi="Arial" w:cs="Arial"/>
          <w:b/>
          <w:szCs w:val="23"/>
          <w:lang w:val="fr-CA"/>
        </w:rPr>
        <w:lastRenderedPageBreak/>
        <w:t xml:space="preserve">PARTIE B : </w:t>
      </w:r>
      <w:r w:rsidR="00F00107" w:rsidRPr="00B04E29">
        <w:rPr>
          <w:rFonts w:ascii="Arial" w:eastAsia="Arial" w:hAnsi="Arial" w:cs="Arial"/>
          <w:b/>
          <w:szCs w:val="23"/>
          <w:lang w:val="fr-CA"/>
        </w:rPr>
        <w:tab/>
      </w:r>
      <w:r w:rsidRPr="00B04E29">
        <w:rPr>
          <w:rFonts w:ascii="Arial" w:eastAsia="Arial" w:hAnsi="Arial" w:cs="Arial"/>
          <w:b/>
          <w:szCs w:val="23"/>
          <w:lang w:val="fr-CA"/>
        </w:rPr>
        <w:t>Règlement des différends entre une Personne et un gouvernement</w:t>
      </w:r>
      <w:bookmarkEnd w:id="141"/>
      <w:bookmarkEnd w:id="142"/>
    </w:p>
    <w:p w14:paraId="3F8F2794" w14:textId="2AB43094" w:rsidR="005A321B" w:rsidRPr="00B04E29" w:rsidRDefault="005A321B" w:rsidP="005A321B">
      <w:pPr>
        <w:keepNext/>
        <w:keepLines/>
        <w:autoSpaceDE w:val="0"/>
        <w:autoSpaceDN w:val="0"/>
        <w:adjustRightInd w:val="0"/>
        <w:rPr>
          <w:rFonts w:ascii="Arial" w:eastAsia="Times New Roman" w:hAnsi="Arial" w:cs="Arial"/>
          <w:b/>
          <w:szCs w:val="23"/>
          <w:u w:val="single"/>
          <w:lang w:val="fr-CA"/>
        </w:rPr>
      </w:pPr>
    </w:p>
    <w:p w14:paraId="5DB85B6E" w14:textId="77777777" w:rsidR="00C319A1" w:rsidRPr="00B04E29" w:rsidRDefault="00C319A1" w:rsidP="005A321B">
      <w:pPr>
        <w:keepNext/>
        <w:keepLines/>
        <w:autoSpaceDE w:val="0"/>
        <w:autoSpaceDN w:val="0"/>
        <w:adjustRightInd w:val="0"/>
        <w:rPr>
          <w:rFonts w:ascii="Arial" w:eastAsia="Times New Roman" w:hAnsi="Arial" w:cs="Arial"/>
          <w:b/>
          <w:szCs w:val="23"/>
          <w:u w:val="single"/>
          <w:lang w:val="fr-CA"/>
        </w:rPr>
      </w:pPr>
    </w:p>
    <w:p w14:paraId="71EE403D" w14:textId="77777777" w:rsidR="005A321B" w:rsidRPr="00B04E29" w:rsidRDefault="005A321B" w:rsidP="005A321B">
      <w:pPr>
        <w:keepNext/>
        <w:keepLines/>
        <w:jc w:val="center"/>
        <w:rPr>
          <w:rFonts w:ascii="Arial" w:eastAsia="Arial" w:hAnsi="Arial" w:cs="Arial"/>
          <w:b/>
          <w:szCs w:val="23"/>
          <w:lang w:val="fr-CA"/>
        </w:rPr>
      </w:pPr>
      <w:bookmarkStart w:id="143" w:name="_Toc357427532"/>
      <w:bookmarkStart w:id="144" w:name="_Toc470079013"/>
      <w:r w:rsidRPr="00B04E29">
        <w:rPr>
          <w:rFonts w:ascii="Arial" w:eastAsia="Arial" w:hAnsi="Arial" w:cs="Arial"/>
          <w:b/>
          <w:szCs w:val="23"/>
          <w:lang w:val="fr-CA"/>
        </w:rPr>
        <w:t xml:space="preserve">Article 1014 : </w:t>
      </w:r>
      <w:r w:rsidRPr="00B04E29">
        <w:rPr>
          <w:rFonts w:ascii="Arial" w:eastAsia="Arial" w:hAnsi="Arial" w:cs="Arial"/>
          <w:b/>
          <w:szCs w:val="23"/>
          <w:lang w:val="fr-CA"/>
        </w:rPr>
        <w:tab/>
        <w:t>Différends préexistants</w:t>
      </w:r>
      <w:bookmarkEnd w:id="143"/>
      <w:bookmarkEnd w:id="144"/>
    </w:p>
    <w:p w14:paraId="5C2369E8" w14:textId="77777777" w:rsidR="005A321B" w:rsidRPr="00B04E29" w:rsidRDefault="005A321B" w:rsidP="005A321B">
      <w:pPr>
        <w:keepNext/>
        <w:keepLines/>
        <w:autoSpaceDE w:val="0"/>
        <w:autoSpaceDN w:val="0"/>
        <w:adjustRightInd w:val="0"/>
        <w:rPr>
          <w:rFonts w:ascii="Arial" w:eastAsia="Times New Roman" w:hAnsi="Arial" w:cs="Arial"/>
          <w:b/>
          <w:szCs w:val="23"/>
          <w:u w:val="single"/>
          <w:lang w:val="fr-CA"/>
        </w:rPr>
      </w:pPr>
    </w:p>
    <w:p w14:paraId="55A2CBF6" w14:textId="53F010D4" w:rsidR="005A321B" w:rsidRPr="00B04E29" w:rsidRDefault="005A321B" w:rsidP="005A321B">
      <w:pPr>
        <w:keepNext/>
        <w:keepLines/>
        <w:contextualSpacing/>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Si, avant la date d’entrée en vigueur, une personne plaignante dans un différend préexistant a demandé que soient engagées des procédures conformément à l’article 1712(1) (Procédures engagées par un gouvernement pour le compte de personnes) ou de l’article 1713(1) (Procédures engagées par des personnes) de l’Accord sur le commerce intérieur, les procédures dans le différend préexistant sont menés conformément aux dispositions de l’Accord sur le commerce intérieur</w:t>
      </w:r>
      <w:r w:rsidRPr="00B04E29">
        <w:rPr>
          <w:rFonts w:ascii="Arial" w:eastAsia="Times New Roman" w:hAnsi="Arial" w:cs="Arial"/>
          <w:i/>
          <w:szCs w:val="23"/>
          <w:lang w:val="fr-CA"/>
        </w:rPr>
        <w:t xml:space="preserve"> </w:t>
      </w:r>
      <w:r w:rsidRPr="00B04E29">
        <w:rPr>
          <w:rFonts w:ascii="Arial" w:eastAsia="Times New Roman" w:hAnsi="Arial" w:cs="Arial"/>
          <w:szCs w:val="23"/>
          <w:lang w:val="fr-CA"/>
        </w:rPr>
        <w:t xml:space="preserve">jusqu’à la conclusion du différend. </w:t>
      </w:r>
    </w:p>
    <w:p w14:paraId="61777EAC" w14:textId="77777777" w:rsidR="005A321B" w:rsidRPr="00B04E29" w:rsidRDefault="005A321B" w:rsidP="005A321B">
      <w:pPr>
        <w:autoSpaceDE w:val="0"/>
        <w:autoSpaceDN w:val="0"/>
        <w:adjustRightInd w:val="0"/>
        <w:rPr>
          <w:rFonts w:ascii="Arial" w:eastAsia="Times New Roman" w:hAnsi="Arial" w:cs="Arial"/>
          <w:szCs w:val="23"/>
          <w:lang w:val="fr-CA"/>
        </w:rPr>
      </w:pPr>
    </w:p>
    <w:p w14:paraId="40437250" w14:textId="1C6E61E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il est entendu que l’organe décisionnel établi en application de l’article 1717 (Constitution d’un organe décisionnel), de l’article 1720 (Groupe spécial d’appel : Compétence et processus) ou de l’article 1721 (Règlement mutuellement satisfaisant, confirmation de la conformité et demande de constitution d’un groupe spécial de l’observation des décisions) de l’Accord sur le commerce intérieur</w:t>
      </w:r>
      <w:r w:rsidRPr="00B04E29">
        <w:rPr>
          <w:rFonts w:ascii="Arial" w:eastAsia="Times New Roman" w:hAnsi="Arial" w:cs="Arial"/>
          <w:i/>
          <w:szCs w:val="23"/>
          <w:lang w:val="fr-CA"/>
        </w:rPr>
        <w:t xml:space="preserve"> </w:t>
      </w:r>
      <w:r w:rsidRPr="00B04E29">
        <w:rPr>
          <w:rFonts w:ascii="Arial" w:eastAsia="Times New Roman" w:hAnsi="Arial" w:cs="Arial"/>
          <w:szCs w:val="23"/>
          <w:lang w:val="fr-CA"/>
        </w:rPr>
        <w:t>pour le différend préexistant tranche la question conformément aux dispositions de l’Accord sur le commerce intérieur.</w:t>
      </w:r>
    </w:p>
    <w:p w14:paraId="76853B21" w14:textId="77777777" w:rsidR="005A321B" w:rsidRPr="00B04E29" w:rsidRDefault="005A321B" w:rsidP="005A321B">
      <w:pPr>
        <w:autoSpaceDE w:val="0"/>
        <w:autoSpaceDN w:val="0"/>
        <w:adjustRightInd w:val="0"/>
        <w:rPr>
          <w:rFonts w:ascii="Arial" w:eastAsia="Times New Roman" w:hAnsi="Arial" w:cs="Arial"/>
          <w:szCs w:val="23"/>
          <w:lang w:val="fr-CA"/>
        </w:rPr>
      </w:pPr>
    </w:p>
    <w:p w14:paraId="703A598C" w14:textId="5AAC354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Les procédures énoncées au chapitre Dix-sept et à l’annexe 1705(1) et 1718(1) (Règles de procédure des groupes spéciaux, des groupes spéciaux de l’observation des décisions et des groupes spéciaux d’appel) de l’Accord sur le commerce intérieur</w:t>
      </w:r>
      <w:r w:rsidRPr="00B04E29">
        <w:rPr>
          <w:rFonts w:ascii="Arial" w:eastAsia="Times New Roman" w:hAnsi="Arial" w:cs="Arial"/>
          <w:i/>
          <w:szCs w:val="23"/>
          <w:lang w:val="fr-CA"/>
        </w:rPr>
        <w:t xml:space="preserve"> </w:t>
      </w:r>
      <w:r w:rsidRPr="00B04E29">
        <w:rPr>
          <w:rFonts w:ascii="Arial" w:eastAsia="Times New Roman" w:hAnsi="Arial" w:cs="Arial"/>
          <w:szCs w:val="23"/>
          <w:lang w:val="fr-CA"/>
        </w:rPr>
        <w:t>continuent de s’appliquer au différend préexistant jusqu’à la conclusion du différend.</w:t>
      </w:r>
    </w:p>
    <w:p w14:paraId="098A33BE" w14:textId="77777777" w:rsidR="005A321B" w:rsidRPr="00B04E29" w:rsidRDefault="005A321B" w:rsidP="005A321B">
      <w:pPr>
        <w:autoSpaceDE w:val="0"/>
        <w:autoSpaceDN w:val="0"/>
        <w:adjustRightInd w:val="0"/>
        <w:rPr>
          <w:rFonts w:ascii="Arial" w:eastAsia="Times New Roman" w:hAnsi="Arial" w:cs="Arial"/>
          <w:szCs w:val="23"/>
          <w:lang w:val="fr-CA"/>
        </w:rPr>
      </w:pPr>
    </w:p>
    <w:p w14:paraId="15EFB873" w14:textId="795822C4"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Si une Partie plaignante n’a pas demandé que soient engagées des procédures conformément à l’article 1712(1) (Procédures engagées par un gouvernement pour le compte de personnes) ou à l’article 1713(1) (Procédures engagées par des personnes) de l’Accord sur le commerce intérieur</w:t>
      </w:r>
      <w:r w:rsidRPr="00B04E29">
        <w:rPr>
          <w:rFonts w:ascii="Arial" w:eastAsia="Times New Roman" w:hAnsi="Arial" w:cs="Arial"/>
          <w:i/>
          <w:szCs w:val="23"/>
          <w:lang w:val="fr-CA"/>
        </w:rPr>
        <w:t xml:space="preserve"> </w:t>
      </w:r>
      <w:r w:rsidRPr="00B04E29">
        <w:rPr>
          <w:rFonts w:ascii="Arial" w:eastAsia="Times New Roman" w:hAnsi="Arial" w:cs="Arial"/>
          <w:szCs w:val="23"/>
          <w:lang w:val="fr-CA"/>
        </w:rPr>
        <w:t xml:space="preserve">avant la date d’entrée en vigueur, la résolution du différend peut seulement être faite par les procédures établies au présent chapitre. </w:t>
      </w:r>
    </w:p>
    <w:p w14:paraId="2883BEA3" w14:textId="77777777" w:rsidR="005A321B" w:rsidRPr="00B04E29" w:rsidRDefault="005A321B" w:rsidP="005A321B">
      <w:pPr>
        <w:autoSpaceDE w:val="0"/>
        <w:autoSpaceDN w:val="0"/>
        <w:adjustRightInd w:val="0"/>
        <w:rPr>
          <w:rFonts w:ascii="Arial" w:eastAsia="Times New Roman" w:hAnsi="Arial" w:cs="Arial"/>
          <w:szCs w:val="23"/>
          <w:lang w:val="fr-CA"/>
        </w:rPr>
      </w:pPr>
    </w:p>
    <w:p w14:paraId="61354928" w14:textId="77777777" w:rsidR="005A321B" w:rsidRPr="00B04E29" w:rsidRDefault="005A321B" w:rsidP="005A321B">
      <w:pPr>
        <w:jc w:val="center"/>
        <w:rPr>
          <w:rFonts w:ascii="Arial" w:eastAsia="Arial" w:hAnsi="Arial" w:cs="Arial"/>
          <w:b/>
          <w:szCs w:val="23"/>
          <w:lang w:val="fr-CA"/>
        </w:rPr>
      </w:pPr>
      <w:bookmarkStart w:id="145" w:name="_Toc357427534"/>
      <w:bookmarkStart w:id="146" w:name="_Toc470079014"/>
      <w:r w:rsidRPr="00B04E29">
        <w:rPr>
          <w:rFonts w:ascii="Arial" w:eastAsia="Arial" w:hAnsi="Arial" w:cs="Arial"/>
          <w:b/>
          <w:szCs w:val="23"/>
          <w:lang w:val="fr-CA"/>
        </w:rPr>
        <w:t xml:space="preserve">Article 1015 : </w:t>
      </w:r>
      <w:r w:rsidRPr="00B04E29">
        <w:rPr>
          <w:rFonts w:ascii="Arial" w:eastAsia="Arial" w:hAnsi="Arial" w:cs="Arial"/>
          <w:b/>
          <w:szCs w:val="23"/>
          <w:lang w:val="fr-CA"/>
        </w:rPr>
        <w:tab/>
        <w:t>Procédures engagées par un gouvernement pour le compte de Personnes</w:t>
      </w:r>
      <w:bookmarkEnd w:id="145"/>
      <w:bookmarkEnd w:id="146"/>
    </w:p>
    <w:p w14:paraId="54446A7B" w14:textId="77777777" w:rsidR="005A321B" w:rsidRPr="00B04E29" w:rsidRDefault="005A321B" w:rsidP="005A321B">
      <w:pPr>
        <w:autoSpaceDE w:val="0"/>
        <w:autoSpaceDN w:val="0"/>
        <w:adjustRightInd w:val="0"/>
        <w:rPr>
          <w:rFonts w:ascii="Arial" w:eastAsia="Times New Roman" w:hAnsi="Arial" w:cs="Arial"/>
          <w:b/>
          <w:szCs w:val="23"/>
          <w:u w:val="single"/>
          <w:lang w:val="fr-CA"/>
        </w:rPr>
      </w:pPr>
    </w:p>
    <w:p w14:paraId="5FB5E08D" w14:textId="7ABF9B1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 xml:space="preserve">Une Personne d’une Partie peut demander </w:t>
      </w:r>
      <w:r w:rsidR="00126685" w:rsidRPr="00B04E29">
        <w:rPr>
          <w:rFonts w:ascii="Arial" w:eastAsia="Times New Roman" w:hAnsi="Arial" w:cs="Arial"/>
          <w:szCs w:val="23"/>
          <w:lang w:val="fr-CA"/>
        </w:rPr>
        <w:t xml:space="preserve">que la </w:t>
      </w:r>
      <w:r w:rsidRPr="00B04E29">
        <w:rPr>
          <w:rFonts w:ascii="Arial" w:eastAsia="Times New Roman" w:hAnsi="Arial" w:cs="Arial"/>
          <w:szCs w:val="23"/>
          <w:lang w:val="fr-CA"/>
        </w:rPr>
        <w:t xml:space="preserve">Partie engage pour le compte de cette Personne, des procédures au titre de la partie A concernant la mesure effective d’une autre Partie. </w:t>
      </w:r>
    </w:p>
    <w:p w14:paraId="5F746254" w14:textId="77777777" w:rsidR="005A321B" w:rsidRPr="00B04E29" w:rsidRDefault="005A321B" w:rsidP="005A321B">
      <w:pPr>
        <w:autoSpaceDE w:val="0"/>
        <w:autoSpaceDN w:val="0"/>
        <w:adjustRightInd w:val="0"/>
        <w:rPr>
          <w:rFonts w:ascii="Arial" w:eastAsia="Times New Roman" w:hAnsi="Arial" w:cs="Arial"/>
          <w:szCs w:val="23"/>
          <w:lang w:val="fr-CA"/>
        </w:rPr>
      </w:pPr>
    </w:p>
    <w:p w14:paraId="0EED19F1" w14:textId="6A8C64F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Cette demande est présentée par écrit et :</w:t>
      </w:r>
    </w:p>
    <w:p w14:paraId="3908FBD5" w14:textId="77777777" w:rsidR="005A321B" w:rsidRPr="00B04E29" w:rsidRDefault="005A321B" w:rsidP="005A321B">
      <w:pPr>
        <w:autoSpaceDE w:val="0"/>
        <w:autoSpaceDN w:val="0"/>
        <w:adjustRightInd w:val="0"/>
        <w:rPr>
          <w:rFonts w:ascii="Arial" w:eastAsia="Times New Roman" w:hAnsi="Arial" w:cs="Arial"/>
          <w:szCs w:val="23"/>
          <w:lang w:val="fr-CA"/>
        </w:rPr>
      </w:pPr>
    </w:p>
    <w:p w14:paraId="28B1E695" w14:textId="27092D7F"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précise la mesure effective qui fait l’objet de la plainte;</w:t>
      </w:r>
    </w:p>
    <w:p w14:paraId="4BE7B18D"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12935CBF" w14:textId="2623209A"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 xml:space="preserve">énumère les dispositions pertinentes du présent accord; </w:t>
      </w:r>
    </w:p>
    <w:p w14:paraId="3A59BBCB"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1F861B43" w14:textId="0BBCD3A7"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fournit un résumé de la plainte;</w:t>
      </w:r>
    </w:p>
    <w:p w14:paraId="76D09BE0" w14:textId="77777777" w:rsidR="005A321B" w:rsidRPr="00B04E29" w:rsidRDefault="005A321B" w:rsidP="005A321B">
      <w:pPr>
        <w:autoSpaceDE w:val="0"/>
        <w:autoSpaceDN w:val="0"/>
        <w:adjustRightInd w:val="0"/>
        <w:ind w:left="1304" w:hanging="629"/>
        <w:rPr>
          <w:rFonts w:ascii="Arial" w:eastAsia="Times New Roman" w:hAnsi="Arial" w:cs="Arial"/>
          <w:szCs w:val="23"/>
          <w:lang w:val="fr-CA"/>
        </w:rPr>
      </w:pPr>
    </w:p>
    <w:p w14:paraId="3BF8C59B" w14:textId="66106B1B"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fournit une description des recours administratifs exercés ou des dispositions prises, le cas échéant, pour chercher à régler le différend, ainsi que leurs dates, leur issue et leur état actuel;</w:t>
      </w:r>
    </w:p>
    <w:p w14:paraId="51C18E12"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09741C50" w14:textId="1EE9E8EA"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e)</w:t>
      </w:r>
      <w:r w:rsidRPr="00B04E29">
        <w:rPr>
          <w:rFonts w:ascii="Arial" w:eastAsia="Times New Roman" w:hAnsi="Arial" w:cs="Arial"/>
          <w:szCs w:val="23"/>
          <w:lang w:val="fr-CA"/>
        </w:rPr>
        <w:tab/>
        <w:t>explique comment la mesure a nui au commerce, à l’investissement ou à la mobilité de la main-d’œuvre à intérieur du Canada;</w:t>
      </w:r>
    </w:p>
    <w:p w14:paraId="466EDF63"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267CA6E4" w14:textId="2B7964FC"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f)</w:t>
      </w:r>
      <w:r w:rsidRPr="00B04E29">
        <w:rPr>
          <w:rFonts w:ascii="Arial" w:eastAsia="Times New Roman" w:hAnsi="Arial" w:cs="Arial"/>
          <w:szCs w:val="23"/>
          <w:lang w:val="fr-CA"/>
        </w:rPr>
        <w:tab/>
        <w:t>énonce le dommage réel ou le refus des avantages résultant de l’application de la mesure.</w:t>
      </w:r>
    </w:p>
    <w:p w14:paraId="171B4F13" w14:textId="77777777" w:rsidR="005A321B" w:rsidRPr="00B04E29" w:rsidRDefault="005A321B" w:rsidP="005A321B">
      <w:pPr>
        <w:autoSpaceDE w:val="0"/>
        <w:autoSpaceDN w:val="0"/>
        <w:adjustRightInd w:val="0"/>
        <w:rPr>
          <w:rFonts w:ascii="Arial" w:eastAsia="Times New Roman" w:hAnsi="Arial" w:cs="Arial"/>
          <w:szCs w:val="23"/>
          <w:lang w:val="fr-CA"/>
        </w:rPr>
      </w:pPr>
    </w:p>
    <w:p w14:paraId="0DB54201" w14:textId="45E7675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Avant de décider d’engager des procédures pour le compte de cette Personne, la Partie peut exiger d’elle qu’elle épuise tous les recours administratifs dont elle dispose en remettant un avis écrit dans un délai de 30 jours après la date de la remise de la demande de la Personne. Si, après avoir épuisé tous les recours administratifs dont elle dispose, la Personne souhaite toujours que la Partie engage des procédures pour son compte, au titre de la partie A, elle peut en refaire la demande en application des paragraphes 1 et 2 en remettant un nouvel avis écrit à la Partie.</w:t>
      </w:r>
    </w:p>
    <w:p w14:paraId="7DB1D961" w14:textId="77777777" w:rsidR="005A321B" w:rsidRPr="00B04E29" w:rsidRDefault="005A321B" w:rsidP="005A321B">
      <w:pPr>
        <w:autoSpaceDE w:val="0"/>
        <w:autoSpaceDN w:val="0"/>
        <w:adjustRightInd w:val="0"/>
        <w:rPr>
          <w:rFonts w:ascii="Arial" w:eastAsia="Times New Roman" w:hAnsi="Arial" w:cs="Arial"/>
          <w:szCs w:val="23"/>
          <w:lang w:val="fr-CA"/>
        </w:rPr>
      </w:pPr>
    </w:p>
    <w:p w14:paraId="2AED6735" w14:textId="5975378C"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 xml:space="preserve">La Partie décide d’engager ou non des procédures pour le compte de la Personne : </w:t>
      </w:r>
    </w:p>
    <w:p w14:paraId="709D3797" w14:textId="77777777" w:rsidR="005A321B" w:rsidRPr="00B04E29" w:rsidRDefault="005A321B" w:rsidP="005A321B">
      <w:pPr>
        <w:autoSpaceDE w:val="0"/>
        <w:autoSpaceDN w:val="0"/>
        <w:adjustRightInd w:val="0"/>
        <w:rPr>
          <w:rFonts w:ascii="Arial" w:eastAsia="Times New Roman" w:hAnsi="Arial" w:cs="Arial"/>
          <w:szCs w:val="23"/>
          <w:lang w:val="fr-CA"/>
        </w:rPr>
      </w:pPr>
    </w:p>
    <w:p w14:paraId="5A6A85CE" w14:textId="00E0CAC2"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 xml:space="preserve">a) </w:t>
      </w:r>
      <w:r w:rsidRPr="00B04E29">
        <w:rPr>
          <w:rFonts w:ascii="Arial" w:eastAsia="Times New Roman" w:hAnsi="Arial" w:cs="Arial"/>
          <w:szCs w:val="23"/>
          <w:lang w:val="fr-CA"/>
        </w:rPr>
        <w:tab/>
        <w:t>soit dans un délai de 30 jours après la date de la remise de la demande de la Personne, si aucun avis n’a été donné à la Personne en application du paragraphe 3,</w:t>
      </w:r>
    </w:p>
    <w:p w14:paraId="439C03AE"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53460DDD" w14:textId="4ACF203C"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 xml:space="preserve">b) </w:t>
      </w:r>
      <w:r w:rsidRPr="00B04E29">
        <w:rPr>
          <w:rFonts w:ascii="Arial" w:eastAsia="Times New Roman" w:hAnsi="Arial" w:cs="Arial"/>
          <w:szCs w:val="23"/>
          <w:lang w:val="fr-CA"/>
        </w:rPr>
        <w:tab/>
        <w:t>soit dans un délai de 30 jours après la date de la remise à la Partie de l’avis de la Personne visant à refaire une demande, en application du paragraphe 3,</w:t>
      </w:r>
    </w:p>
    <w:p w14:paraId="418EC774" w14:textId="77777777" w:rsidR="005A321B" w:rsidRPr="00B04E29" w:rsidRDefault="005A321B" w:rsidP="005A321B">
      <w:pPr>
        <w:autoSpaceDE w:val="0"/>
        <w:autoSpaceDN w:val="0"/>
        <w:adjustRightInd w:val="0"/>
        <w:ind w:left="1440" w:hanging="720"/>
        <w:rPr>
          <w:rFonts w:ascii="Arial" w:eastAsia="Times New Roman" w:hAnsi="Arial" w:cs="Arial"/>
          <w:szCs w:val="23"/>
          <w:lang w:val="fr-CA"/>
        </w:rPr>
      </w:pPr>
    </w:p>
    <w:p w14:paraId="1D8683C3" w14:textId="6D0F969E" w:rsidR="005A321B" w:rsidRPr="00B04E29" w:rsidRDefault="005A321B" w:rsidP="005A321B">
      <w:pPr>
        <w:autoSpaceDE w:val="0"/>
        <w:autoSpaceDN w:val="0"/>
        <w:adjustRightInd w:val="0"/>
        <w:rPr>
          <w:rFonts w:ascii="Arial" w:eastAsia="Times New Roman" w:hAnsi="Arial" w:cs="Arial"/>
          <w:szCs w:val="23"/>
          <w:lang w:val="fr-CA"/>
        </w:rPr>
      </w:pPr>
      <w:proofErr w:type="gramStart"/>
      <w:r w:rsidRPr="00B04E29">
        <w:rPr>
          <w:rFonts w:ascii="Arial" w:eastAsia="Times New Roman" w:hAnsi="Arial" w:cs="Arial"/>
          <w:szCs w:val="23"/>
          <w:lang w:val="fr-CA"/>
        </w:rPr>
        <w:t>et</w:t>
      </w:r>
      <w:proofErr w:type="gramEnd"/>
      <w:r w:rsidRPr="00B04E29">
        <w:rPr>
          <w:rFonts w:ascii="Arial" w:eastAsia="Times New Roman" w:hAnsi="Arial" w:cs="Arial"/>
          <w:szCs w:val="23"/>
          <w:lang w:val="fr-CA"/>
        </w:rPr>
        <w:t xml:space="preserve"> elle donne à la Personne, au cours de cette période, un  avis écrit de la décision. Si la Partie décide de ne pas engager de procédures, l’avis comporte les motifs de la décision. L’absence de remise de l’avis à la Personne dans le délai de 30 jours est réputée constituer l’avis que la Partie a décidé de ne pas engager de procédures pour l’application de l’alinéa 1016.1a).</w:t>
      </w:r>
    </w:p>
    <w:p w14:paraId="4C79826A" w14:textId="77777777" w:rsidR="005A321B" w:rsidRPr="00B04E29" w:rsidRDefault="005A321B" w:rsidP="005A321B">
      <w:pPr>
        <w:autoSpaceDE w:val="0"/>
        <w:autoSpaceDN w:val="0"/>
        <w:adjustRightInd w:val="0"/>
        <w:rPr>
          <w:rFonts w:ascii="Arial" w:eastAsia="Times New Roman" w:hAnsi="Arial" w:cs="Arial"/>
          <w:szCs w:val="23"/>
          <w:lang w:val="fr-CA"/>
        </w:rPr>
      </w:pPr>
    </w:p>
    <w:p w14:paraId="6C8D0DA6" w14:textId="79D0A54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La Partie qui décide d’engager les procédures demande la tenue de consultations, conformément à l’article 1003, dans les 10 jours qui suivent la remise de l’avis informant la Personne de cette décision et, par la suite, l’affaire est réglée conformément à la partie A.</w:t>
      </w:r>
    </w:p>
    <w:p w14:paraId="7A517DC8" w14:textId="77777777" w:rsidR="005A321B" w:rsidRPr="00B04E29" w:rsidRDefault="005A321B" w:rsidP="005A321B">
      <w:pPr>
        <w:autoSpaceDE w:val="0"/>
        <w:autoSpaceDN w:val="0"/>
        <w:adjustRightInd w:val="0"/>
        <w:rPr>
          <w:rFonts w:ascii="Arial" w:eastAsia="Times New Roman" w:hAnsi="Arial" w:cs="Arial"/>
          <w:szCs w:val="23"/>
          <w:lang w:val="fr-CA"/>
        </w:rPr>
      </w:pPr>
    </w:p>
    <w:p w14:paraId="235351D3" w14:textId="2ECF00D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Si la Partie initiatrice, pour le compte d’une Personne, choisit de ne pas demander l’établissement d’un groupe spécial en application de l’article 1004.1, elle donne un avis écrit à la Personne dans un délai de 120 jours après la remise d’une demande de consultations, conformément à l’article 1003.1, en indiquant les motifs de la décision. L’absence de remise de l’avis à la Personne dans ce délai est réputée constituer l’avis que la Partie initiatrice a choisi de ne pas demander l’établissement d’un groupe spécial pour l’application de l’alinéa 1016.1b).</w:t>
      </w:r>
    </w:p>
    <w:p w14:paraId="4E76E258" w14:textId="77777777" w:rsidR="005A321B" w:rsidRPr="00B04E29" w:rsidRDefault="005A321B" w:rsidP="005A321B">
      <w:pPr>
        <w:autoSpaceDE w:val="0"/>
        <w:autoSpaceDN w:val="0"/>
        <w:adjustRightInd w:val="0"/>
        <w:rPr>
          <w:rFonts w:ascii="Arial" w:eastAsia="Times New Roman" w:hAnsi="Arial" w:cs="Arial"/>
          <w:szCs w:val="23"/>
          <w:lang w:val="fr-CA"/>
        </w:rPr>
      </w:pPr>
    </w:p>
    <w:p w14:paraId="41D629E1" w14:textId="77777777" w:rsidR="005A321B" w:rsidRPr="00B04E29" w:rsidRDefault="005A321B" w:rsidP="005A321B">
      <w:pPr>
        <w:keepNext/>
        <w:keepLines/>
        <w:jc w:val="center"/>
        <w:rPr>
          <w:rFonts w:ascii="Arial" w:eastAsia="Arial" w:hAnsi="Arial" w:cs="Arial"/>
          <w:b/>
          <w:szCs w:val="23"/>
          <w:lang w:val="fr-CA"/>
        </w:rPr>
      </w:pPr>
      <w:bookmarkStart w:id="147" w:name="_Toc357427535"/>
      <w:bookmarkStart w:id="148" w:name="_Toc470079015"/>
      <w:r w:rsidRPr="00B04E29">
        <w:rPr>
          <w:rFonts w:ascii="Arial" w:eastAsia="Arial" w:hAnsi="Arial" w:cs="Arial"/>
          <w:b/>
          <w:szCs w:val="23"/>
          <w:lang w:val="fr-CA"/>
        </w:rPr>
        <w:t xml:space="preserve">Article 1016 : </w:t>
      </w:r>
      <w:r w:rsidRPr="00B04E29">
        <w:rPr>
          <w:rFonts w:ascii="Arial" w:eastAsia="Arial" w:hAnsi="Arial" w:cs="Arial"/>
          <w:b/>
          <w:szCs w:val="23"/>
          <w:lang w:val="fr-CA"/>
        </w:rPr>
        <w:tab/>
        <w:t>Procédures engagées par des Personnes</w:t>
      </w:r>
      <w:bookmarkEnd w:id="147"/>
      <w:bookmarkEnd w:id="148"/>
    </w:p>
    <w:p w14:paraId="50116365" w14:textId="77777777" w:rsidR="005A321B" w:rsidRPr="00B04E29" w:rsidRDefault="005A321B" w:rsidP="005A321B">
      <w:pPr>
        <w:keepNext/>
        <w:keepLines/>
        <w:autoSpaceDE w:val="0"/>
        <w:autoSpaceDN w:val="0"/>
        <w:adjustRightInd w:val="0"/>
        <w:rPr>
          <w:rFonts w:ascii="Arial" w:eastAsia="Times New Roman" w:hAnsi="Arial" w:cs="Arial"/>
          <w:b/>
          <w:szCs w:val="23"/>
          <w:u w:val="single"/>
          <w:lang w:val="fr-CA"/>
        </w:rPr>
      </w:pPr>
    </w:p>
    <w:p w14:paraId="461EFE8B" w14:textId="6BE3BEE0" w:rsidR="005A321B" w:rsidRPr="00B04E29" w:rsidRDefault="005A321B" w:rsidP="005A321B">
      <w:pPr>
        <w:keepNext/>
        <w:keepLines/>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Sous réserve des paragraphes 4 et 5 et des articles </w:t>
      </w:r>
      <w:r w:rsidR="007619C2" w:rsidRPr="009A780E">
        <w:rPr>
          <w:rFonts w:ascii="Arial" w:eastAsia="Times New Roman" w:hAnsi="Arial" w:cs="Arial"/>
          <w:szCs w:val="23"/>
          <w:lang w:val="fr-CA"/>
        </w:rPr>
        <w:t xml:space="preserve">1001.2, 1001.3 et </w:t>
      </w:r>
      <w:proofErr w:type="gramStart"/>
      <w:r w:rsidR="007619C2" w:rsidRPr="009A780E">
        <w:rPr>
          <w:rFonts w:ascii="Arial" w:eastAsia="Times New Roman" w:hAnsi="Arial" w:cs="Arial"/>
          <w:szCs w:val="23"/>
          <w:lang w:val="fr-CA"/>
        </w:rPr>
        <w:t>1001.7 </w:t>
      </w:r>
      <w:r w:rsidRPr="00B04E29">
        <w:rPr>
          <w:rFonts w:ascii="Arial" w:eastAsia="Times New Roman" w:hAnsi="Arial" w:cs="Arial"/>
          <w:szCs w:val="23"/>
          <w:lang w:val="fr-CA"/>
        </w:rPr>
        <w:t>,</w:t>
      </w:r>
      <w:proofErr w:type="gramEnd"/>
      <w:r w:rsidRPr="00B04E29">
        <w:rPr>
          <w:rFonts w:ascii="Arial" w:eastAsia="Times New Roman" w:hAnsi="Arial" w:cs="Arial"/>
          <w:szCs w:val="23"/>
          <w:lang w:val="fr-CA"/>
        </w:rPr>
        <w:t xml:space="preserve"> une Personne d’une Partie peut demander que des procédures soient engagées relativement aux questions autres que celles visées au chapitre Cinq (Marchés publics) dans un délai de 60 jours après la réception, réelle ou réputée, de l’un ou l’autre des avis suivants :</w:t>
      </w:r>
    </w:p>
    <w:p w14:paraId="2E180712" w14:textId="77777777" w:rsidR="005A321B" w:rsidRPr="00B04E29" w:rsidRDefault="005A321B" w:rsidP="005A321B">
      <w:pPr>
        <w:autoSpaceDE w:val="0"/>
        <w:autoSpaceDN w:val="0"/>
        <w:adjustRightInd w:val="0"/>
        <w:rPr>
          <w:rFonts w:ascii="Arial" w:eastAsia="Times New Roman" w:hAnsi="Arial" w:cs="Arial"/>
          <w:szCs w:val="23"/>
          <w:lang w:val="fr-CA"/>
        </w:rPr>
      </w:pPr>
    </w:p>
    <w:p w14:paraId="6AD3F895" w14:textId="49B4F184"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lastRenderedPageBreak/>
        <w:t>a)</w:t>
      </w:r>
      <w:r w:rsidRPr="00B04E29">
        <w:rPr>
          <w:rFonts w:ascii="Arial" w:eastAsia="Times New Roman" w:hAnsi="Arial" w:cs="Arial"/>
          <w:szCs w:val="23"/>
          <w:lang w:val="fr-CA"/>
        </w:rPr>
        <w:tab/>
        <w:t>en application de l’article 1015.4, un avis lui indiquant qu’une Partie n’engagera pas de procédures pour son compte;</w:t>
      </w:r>
    </w:p>
    <w:p w14:paraId="60F44B10"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16F0840D" w14:textId="12C46998"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en application de l’article 1015.6, un avis lui indiquant qu’une Partie ne demandera pas l’établissement d’un groupe spécial.</w:t>
      </w:r>
    </w:p>
    <w:p w14:paraId="24069508" w14:textId="77777777" w:rsidR="005A321B" w:rsidRPr="00B04E29" w:rsidRDefault="005A321B" w:rsidP="005A321B">
      <w:pPr>
        <w:autoSpaceDE w:val="0"/>
        <w:autoSpaceDN w:val="0"/>
        <w:adjustRightInd w:val="0"/>
        <w:rPr>
          <w:rFonts w:ascii="Arial" w:eastAsia="Times New Roman" w:hAnsi="Arial" w:cs="Arial"/>
          <w:szCs w:val="23"/>
          <w:lang w:val="fr-CA"/>
        </w:rPr>
      </w:pPr>
    </w:p>
    <w:p w14:paraId="2B901120" w14:textId="144E95F6"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La Personne qui demande que soient engagées des procédures fait cette demande par écrit à la Partie de la Personne, à la Partie visée par la plainte et au Secrétariat. Les documents suivants sont joints à la demande :</w:t>
      </w:r>
    </w:p>
    <w:p w14:paraId="50EDBB76" w14:textId="77777777" w:rsidR="005A321B" w:rsidRPr="00B04E29" w:rsidRDefault="005A321B" w:rsidP="005A321B">
      <w:pPr>
        <w:autoSpaceDE w:val="0"/>
        <w:autoSpaceDN w:val="0"/>
        <w:adjustRightInd w:val="0"/>
        <w:rPr>
          <w:rFonts w:ascii="Arial" w:eastAsia="Times New Roman" w:hAnsi="Arial" w:cs="Arial"/>
          <w:szCs w:val="23"/>
          <w:lang w:val="fr-CA"/>
        </w:rPr>
      </w:pPr>
    </w:p>
    <w:p w14:paraId="4B3D789B" w14:textId="25DBBEF5"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l’avis de refus remis à la Personne ou, si l’avis n’a pas été remis, une déclaration de la Personne selon laquelle elle n’a reçu aucun avis de refus; </w:t>
      </w:r>
    </w:p>
    <w:p w14:paraId="1048AAE1"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4ED021AD" w14:textId="7A398681"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un résumé du différend avec copie de la demande initiale de la Personne, conformément à l’article 1015;</w:t>
      </w:r>
    </w:p>
    <w:p w14:paraId="21A8BC92"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6156F4E5" w14:textId="0BEA0A56"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au besoin, une renonciation fournie par la Personne, conformément au paragraphe 6;</w:t>
      </w:r>
    </w:p>
    <w:p w14:paraId="5FFDD672"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2818CAC7"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 xml:space="preserve">la formule de reconnaissance et de consentement dont il est fait mention au paragraphe 3. </w:t>
      </w:r>
    </w:p>
    <w:p w14:paraId="5A27F554" w14:textId="77777777" w:rsidR="005A321B" w:rsidRPr="00B04E29" w:rsidRDefault="005A321B" w:rsidP="005A321B">
      <w:pPr>
        <w:autoSpaceDE w:val="0"/>
        <w:autoSpaceDN w:val="0"/>
        <w:adjustRightInd w:val="0"/>
        <w:rPr>
          <w:rFonts w:ascii="Arial" w:eastAsia="Times New Roman" w:hAnsi="Arial" w:cs="Arial"/>
          <w:szCs w:val="23"/>
          <w:lang w:val="fr-CA"/>
        </w:rPr>
      </w:pPr>
    </w:p>
    <w:p w14:paraId="49FB8AD4" w14:textId="2C9B484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Une formule de reconnaissance et de consentement signée est jointe à la demande visant à engager des procédures, selon un format convenu entre les Parties et rendue disponible au Secrétariat. Dans cette formule, la Personne reconnaît qu’elle doit collaborer, payer les dépens et fournir un cautionnement pour les dépens, si un organe décisionnel le lui ordonne, et elle consent au processus énoncé au présent chapitre.</w:t>
      </w:r>
    </w:p>
    <w:p w14:paraId="5209D5C2" w14:textId="77777777" w:rsidR="005A321B" w:rsidRPr="00B04E29" w:rsidRDefault="005A321B" w:rsidP="005A321B">
      <w:pPr>
        <w:autoSpaceDE w:val="0"/>
        <w:autoSpaceDN w:val="0"/>
        <w:adjustRightInd w:val="0"/>
        <w:rPr>
          <w:rFonts w:ascii="Arial" w:eastAsia="Times New Roman" w:hAnsi="Arial" w:cs="Arial"/>
          <w:szCs w:val="23"/>
          <w:lang w:val="fr-CA"/>
        </w:rPr>
      </w:pPr>
    </w:p>
    <w:p w14:paraId="5E5A5F26" w14:textId="7711F699"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Une Personne n’a pas le droit d’engager de procédures en application du paragraphe 1 dans l’une ou l’autre des situations suivantes :</w:t>
      </w:r>
    </w:p>
    <w:p w14:paraId="4C010F51" w14:textId="77777777" w:rsidR="005A321B" w:rsidRPr="00B04E29" w:rsidRDefault="005A321B" w:rsidP="005A321B">
      <w:pPr>
        <w:autoSpaceDE w:val="0"/>
        <w:autoSpaceDN w:val="0"/>
        <w:adjustRightInd w:val="0"/>
        <w:rPr>
          <w:rFonts w:ascii="Arial" w:eastAsia="Times New Roman" w:hAnsi="Arial" w:cs="Arial"/>
          <w:szCs w:val="23"/>
          <w:lang w:val="fr-CA"/>
        </w:rPr>
      </w:pPr>
    </w:p>
    <w:p w14:paraId="5FB58073" w14:textId="072E4160"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si plus de deux années se sont écoulées depuis la date à laquelle la Personne a pris ou aurait dû prendre connaissance de la mesure qu’elle prétend incompatible et de la perte ou des dommages qu’elle a subis, ou des avantages qui lui ont été refusés, et qu’aucun avis n’a été remis à la Personne, conformément l’article 1015.3;</w:t>
      </w:r>
    </w:p>
    <w:p w14:paraId="510D9671"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11513EA7" w14:textId="148EA1AC"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si un avis a été donné à la Personne, conformément à l’article 1015.3 et que plus de deux années se sont écoulées depuis la date à laquelle la Personne a épuisé tous les recours administratifs dont elle dispose.</w:t>
      </w:r>
    </w:p>
    <w:p w14:paraId="74DD38B9" w14:textId="77777777" w:rsidR="005A321B" w:rsidRPr="00B04E29" w:rsidRDefault="005A321B" w:rsidP="005A321B">
      <w:pPr>
        <w:autoSpaceDE w:val="0"/>
        <w:autoSpaceDN w:val="0"/>
        <w:adjustRightInd w:val="0"/>
        <w:rPr>
          <w:rFonts w:ascii="Arial" w:eastAsia="Times New Roman" w:hAnsi="Arial" w:cs="Arial"/>
          <w:szCs w:val="23"/>
          <w:lang w:val="fr-CA"/>
        </w:rPr>
      </w:pPr>
    </w:p>
    <w:p w14:paraId="65D609EA" w14:textId="34146968"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 xml:space="preserve">Une Personne n’a pas le droit d’engager de procédures en application du présent article en ce qui concerne une mesure qui fait ou a fait l’objet d’une demande d’établissement d’un groupe spécial sous le régime </w:t>
      </w:r>
      <w:r w:rsidRPr="00B04E29">
        <w:rPr>
          <w:rFonts w:ascii="Arial" w:eastAsia="Arial" w:hAnsi="Arial" w:cs="Arial"/>
          <w:szCs w:val="23"/>
          <w:lang w:val="fr-CA"/>
        </w:rPr>
        <w:t>de l’article </w:t>
      </w:r>
      <w:r w:rsidRPr="00B04E29">
        <w:rPr>
          <w:rFonts w:ascii="Arial" w:eastAsia="Times New Roman" w:hAnsi="Arial" w:cs="Arial"/>
          <w:szCs w:val="23"/>
          <w:lang w:val="fr-CA"/>
        </w:rPr>
        <w:t xml:space="preserve">1004 ou </w:t>
      </w:r>
      <w:r w:rsidRPr="00B04E29">
        <w:rPr>
          <w:rFonts w:ascii="Arial" w:eastAsia="Arial" w:hAnsi="Arial" w:cs="Arial"/>
          <w:szCs w:val="23"/>
          <w:lang w:val="fr-CA"/>
        </w:rPr>
        <w:t>de l’article </w:t>
      </w:r>
      <w:r w:rsidRPr="00B04E29">
        <w:rPr>
          <w:rFonts w:ascii="Arial" w:eastAsia="Times New Roman" w:hAnsi="Arial" w:cs="Arial"/>
          <w:szCs w:val="23"/>
          <w:lang w:val="fr-CA"/>
        </w:rPr>
        <w:t>1018, tant que trois ans ne se sont pas écoulés après l’une des dates suivantes :</w:t>
      </w:r>
    </w:p>
    <w:p w14:paraId="5F4747D3" w14:textId="77777777" w:rsidR="005A321B" w:rsidRPr="00B04E29" w:rsidRDefault="005A321B" w:rsidP="005A321B">
      <w:pPr>
        <w:autoSpaceDE w:val="0"/>
        <w:autoSpaceDN w:val="0"/>
        <w:adjustRightInd w:val="0"/>
        <w:rPr>
          <w:rFonts w:ascii="Arial" w:eastAsia="Times New Roman" w:hAnsi="Arial" w:cs="Arial"/>
          <w:szCs w:val="23"/>
          <w:lang w:val="fr-CA"/>
        </w:rPr>
      </w:pPr>
    </w:p>
    <w:p w14:paraId="4C9B401F" w14:textId="0E1C8796"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la date à laquelle l’avis écrit concernant un règlement mutuellement satisfaisant relativement à cette mesure a été déposé auprès du Secrétariat, conformément à l’article 1010.3 ou à l’article 1027.3;</w:t>
      </w:r>
    </w:p>
    <w:p w14:paraId="7AF7B043"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0B31F3BA" w14:textId="2606D780"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la date du rapport concernant cette mesure présenté en application de l’article 1008 ou de l’article 1025, sans qu’aucun appel n’ait été interjeté;</w:t>
      </w:r>
    </w:p>
    <w:p w14:paraId="165FE3F1"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77B83EF5" w14:textId="06CD4061"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la date à laquelle la décision définitive relativement à cette mesure a été rendue à la suite d’un appel interjeté conformément à l’article 1009.1 ou à l’article 1026.1.</w:t>
      </w:r>
    </w:p>
    <w:p w14:paraId="725435DC" w14:textId="77777777" w:rsidR="005A321B" w:rsidRPr="00B04E29" w:rsidRDefault="005A321B" w:rsidP="005A321B">
      <w:pPr>
        <w:autoSpaceDE w:val="0"/>
        <w:autoSpaceDN w:val="0"/>
        <w:adjustRightInd w:val="0"/>
        <w:rPr>
          <w:rFonts w:ascii="Arial" w:eastAsia="Times New Roman" w:hAnsi="Arial" w:cs="Arial"/>
          <w:szCs w:val="23"/>
          <w:lang w:val="fr-CA"/>
        </w:rPr>
      </w:pPr>
    </w:p>
    <w:p w14:paraId="23A338AD" w14:textId="098B221E"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Une Partie ou le destinataire de la plainte peut accepter de renoncer à tout délai prévu au présent article et permettre à une Personne d’engager des procédures, si la Personne se voit interdire d’engager de telles procédures conformément aux paragraphes 4 ou 5. Toute renonciation faite en application du présent paragraphe est faite par écrit et transmise à la Personne qui veut présenter, ou qui a présenté, une demande en application du paragraphe 2. Une copie de cette renonciation est transmise au Secrétariat et à la Partie de la Personne.</w:t>
      </w:r>
    </w:p>
    <w:p w14:paraId="47C21326" w14:textId="77777777" w:rsidR="005A321B" w:rsidRPr="00B04E29" w:rsidRDefault="005A321B" w:rsidP="005A321B">
      <w:pPr>
        <w:jc w:val="center"/>
        <w:rPr>
          <w:rFonts w:ascii="Arial" w:eastAsia="Arial" w:hAnsi="Arial" w:cs="Arial"/>
          <w:b/>
          <w:szCs w:val="23"/>
          <w:lang w:val="fr-CA"/>
        </w:rPr>
      </w:pPr>
      <w:bookmarkStart w:id="149" w:name="_Toc357427537"/>
      <w:bookmarkStart w:id="150" w:name="_Toc470079016"/>
    </w:p>
    <w:p w14:paraId="7B656B86" w14:textId="77777777" w:rsidR="005A321B" w:rsidRPr="00B04E29" w:rsidRDefault="005A321B" w:rsidP="005A321B">
      <w:pPr>
        <w:jc w:val="center"/>
        <w:rPr>
          <w:rFonts w:ascii="Arial" w:eastAsia="Arial" w:hAnsi="Arial" w:cs="Arial"/>
          <w:b/>
          <w:szCs w:val="23"/>
          <w:lang w:val="fr-CA"/>
        </w:rPr>
      </w:pPr>
      <w:r w:rsidRPr="00B04E29">
        <w:rPr>
          <w:rFonts w:ascii="Arial" w:eastAsia="Arial" w:hAnsi="Arial" w:cs="Arial"/>
          <w:b/>
          <w:szCs w:val="23"/>
          <w:lang w:val="fr-CA"/>
        </w:rPr>
        <w:t xml:space="preserve">Article 1017 : </w:t>
      </w:r>
      <w:r w:rsidRPr="00B04E29">
        <w:rPr>
          <w:rFonts w:ascii="Arial" w:eastAsia="Arial" w:hAnsi="Arial" w:cs="Arial"/>
          <w:b/>
          <w:szCs w:val="23"/>
          <w:lang w:val="fr-CA"/>
        </w:rPr>
        <w:tab/>
        <w:t>Consultations</w:t>
      </w:r>
      <w:bookmarkEnd w:id="149"/>
      <w:bookmarkEnd w:id="150"/>
    </w:p>
    <w:p w14:paraId="7CDAE1E5" w14:textId="77777777" w:rsidR="005A321B" w:rsidRPr="00B04E29" w:rsidRDefault="005A321B" w:rsidP="005A321B">
      <w:pPr>
        <w:autoSpaceDE w:val="0"/>
        <w:autoSpaceDN w:val="0"/>
        <w:adjustRightInd w:val="0"/>
        <w:rPr>
          <w:rFonts w:ascii="Arial" w:eastAsia="Times New Roman" w:hAnsi="Arial" w:cs="Arial"/>
          <w:szCs w:val="23"/>
          <w:lang w:val="fr-CA"/>
        </w:rPr>
      </w:pPr>
    </w:p>
    <w:p w14:paraId="741915E2" w14:textId="45708F4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La Personne qui a engagé des procédures peut demander la tenue de consultations avec le destinataire de la plainte relativement à la plainte, en remettant un avis écrit au destinataire de la plainte dans les 60 jours après en avoir fait la demande en application de l’article 1016.1 et, le même jour, aux autres Parties, ainsi qu’au Secrétariat. L’avis fait état de la mesure effective qui fait l’objet de la plainte, des dispositions pertinentes du présent accord et d’un résumé de la plainte.</w:t>
      </w:r>
    </w:p>
    <w:p w14:paraId="01697D82" w14:textId="77777777" w:rsidR="005A321B" w:rsidRPr="00B04E29" w:rsidRDefault="005A321B" w:rsidP="005A321B">
      <w:pPr>
        <w:autoSpaceDE w:val="0"/>
        <w:autoSpaceDN w:val="0"/>
        <w:adjustRightInd w:val="0"/>
        <w:rPr>
          <w:rFonts w:ascii="Arial" w:eastAsia="Times New Roman" w:hAnsi="Arial" w:cs="Arial"/>
          <w:szCs w:val="23"/>
          <w:lang w:val="fr-CA"/>
        </w:rPr>
      </w:pPr>
    </w:p>
    <w:p w14:paraId="4700A830" w14:textId="13398ACA" w:rsidR="005A321B" w:rsidRPr="00B04E29" w:rsidRDefault="005A321B" w:rsidP="005A321B">
      <w:pPr>
        <w:autoSpaceDE w:val="0"/>
        <w:autoSpaceDN w:val="0"/>
        <w:adjustRightInd w:val="0"/>
        <w:rPr>
          <w:rFonts w:ascii="Arial" w:eastAsia="Times New Roman" w:hAnsi="Arial" w:cs="Arial"/>
          <w:bCs/>
          <w:szCs w:val="23"/>
          <w:lang w:val="fr-CA"/>
        </w:rPr>
      </w:pPr>
      <w:r w:rsidRPr="00B04E29">
        <w:rPr>
          <w:rFonts w:ascii="Arial" w:eastAsia="Arial" w:hAnsi="Arial" w:cs="Arial"/>
          <w:szCs w:val="23"/>
          <w:lang w:val="fr-CA"/>
        </w:rPr>
        <w:t>2.</w:t>
      </w:r>
      <w:r w:rsidRPr="00B04E29">
        <w:rPr>
          <w:rFonts w:ascii="Arial" w:eastAsia="Arial" w:hAnsi="Arial" w:cs="Arial"/>
          <w:szCs w:val="23"/>
          <w:lang w:val="fr-CA"/>
        </w:rPr>
        <w:tab/>
        <w:t>Une Personne ne peut demander la tenue de consultations en application du présent article en ce qui concerne une mesure qui fait ou a fait l’objet d’une demande d’établissement d’un groupe spécial, conformément à l’article 1018 tant que trois ans ne se sont pas écoulés après l’une des dates suivantes :</w:t>
      </w:r>
    </w:p>
    <w:p w14:paraId="7F41099C" w14:textId="77777777" w:rsidR="005A321B" w:rsidRPr="00B04E29" w:rsidRDefault="005A321B" w:rsidP="005A321B">
      <w:pPr>
        <w:autoSpaceDE w:val="0"/>
        <w:autoSpaceDN w:val="0"/>
        <w:adjustRightInd w:val="0"/>
        <w:ind w:left="1440" w:hanging="720"/>
        <w:rPr>
          <w:rFonts w:ascii="Arial" w:eastAsia="Times New Roman" w:hAnsi="Arial" w:cs="Arial"/>
          <w:bCs/>
          <w:szCs w:val="23"/>
          <w:lang w:val="fr-CA"/>
        </w:rPr>
      </w:pPr>
    </w:p>
    <w:p w14:paraId="7D1A989C"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 xml:space="preserve">la date à laquelle l’avis écrit concernant un règlement mutuellement satisfaisant relativement à cette mesure a été déposé auprès du Secrétariat, conformément à l’article 1027.3; </w:t>
      </w:r>
    </w:p>
    <w:p w14:paraId="005D8B17"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1FADB2EC"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 xml:space="preserve">la date de présentation du rapport concernant cette mesure, conformément à l’article 1025, sans qu’aucun appel n’ait été interjeté; </w:t>
      </w:r>
    </w:p>
    <w:p w14:paraId="65B5B8BD"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077D0AF2" w14:textId="66161FA8"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la date à laquelle la décision définitive relativement à cette mesure a été rendue à la suite d’un appel interjeté en application de l’article 1026.1.</w:t>
      </w:r>
    </w:p>
    <w:p w14:paraId="6319A90C" w14:textId="77777777" w:rsidR="005A321B" w:rsidRPr="00B04E29" w:rsidRDefault="005A321B" w:rsidP="005A321B">
      <w:pPr>
        <w:autoSpaceDE w:val="0"/>
        <w:autoSpaceDN w:val="0"/>
        <w:adjustRightInd w:val="0"/>
        <w:rPr>
          <w:rFonts w:ascii="Arial" w:eastAsia="Times New Roman" w:hAnsi="Arial" w:cs="Arial"/>
          <w:szCs w:val="23"/>
          <w:lang w:val="fr-CA"/>
        </w:rPr>
      </w:pPr>
    </w:p>
    <w:p w14:paraId="6A7727F8"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La Personne qui ne demande pas de consultations conformément au paragraphe 1 est réputée avoir renoncé à la demande présentée par la Personne conformément à l’article 1016.2.</w:t>
      </w:r>
    </w:p>
    <w:p w14:paraId="78454389" w14:textId="77777777" w:rsidR="005A321B" w:rsidRPr="00B04E29" w:rsidRDefault="005A321B" w:rsidP="005A321B">
      <w:pPr>
        <w:autoSpaceDE w:val="0"/>
        <w:autoSpaceDN w:val="0"/>
        <w:adjustRightInd w:val="0"/>
        <w:rPr>
          <w:rFonts w:ascii="Arial" w:eastAsia="Times New Roman" w:hAnsi="Arial" w:cs="Arial"/>
          <w:szCs w:val="23"/>
          <w:lang w:val="fr-CA"/>
        </w:rPr>
      </w:pPr>
    </w:p>
    <w:p w14:paraId="143CD4EF" w14:textId="741C2CEA"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La Partie qui estime avoir, dans la question, un intérêt substantiel au sens de l’article 1023.3, peut participer aux consultations en remettant un avis écrit de son intention à la Personne qui a demandé la tenue de consultations, ainsi qu’aux autres Parties et au Secrétariat, et ce, dans les 10 jours de la remise, par la Personne d’une demande présentée en application du paragraphe 1.</w:t>
      </w:r>
    </w:p>
    <w:p w14:paraId="7CC19988" w14:textId="77777777" w:rsidR="005A321B" w:rsidRPr="00B04E29" w:rsidRDefault="005A321B" w:rsidP="005A321B">
      <w:pPr>
        <w:autoSpaceDE w:val="0"/>
        <w:autoSpaceDN w:val="0"/>
        <w:adjustRightInd w:val="0"/>
        <w:rPr>
          <w:rFonts w:ascii="Arial" w:eastAsia="Times New Roman" w:hAnsi="Arial" w:cs="Arial"/>
          <w:szCs w:val="23"/>
          <w:lang w:val="fr-CA"/>
        </w:rPr>
      </w:pPr>
    </w:p>
    <w:p w14:paraId="2A2BE5E7" w14:textId="50AA8CA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La Personne et le destinataire de la plainte peuvent, d’un commun accord, demander en vue du règlement du différend l’aide d’au moins un groupe de travail approprié, choisi dans la liste des groupes de travail déposée au Secrétariat par les Parties.</w:t>
      </w:r>
    </w:p>
    <w:p w14:paraId="711F8D2E" w14:textId="77777777" w:rsidR="005A321B" w:rsidRPr="00B04E29" w:rsidRDefault="005A321B" w:rsidP="005A321B">
      <w:pPr>
        <w:autoSpaceDE w:val="0"/>
        <w:autoSpaceDN w:val="0"/>
        <w:adjustRightInd w:val="0"/>
        <w:rPr>
          <w:rFonts w:ascii="Arial" w:eastAsia="Times New Roman" w:hAnsi="Arial" w:cs="Arial"/>
          <w:szCs w:val="23"/>
          <w:lang w:val="fr-CA"/>
        </w:rPr>
      </w:pPr>
    </w:p>
    <w:p w14:paraId="62781BBD" w14:textId="6C07B59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La demande d’aide présentée conformément au paragraphe 5 est remise par écrit à chacun des groupes de travail à qui les Parties demandent de l’aide, ainsi qu’aux participants aux consultations et au Secrétariat.</w:t>
      </w:r>
    </w:p>
    <w:p w14:paraId="34CD0F95" w14:textId="77777777" w:rsidR="005A321B" w:rsidRPr="00B04E29" w:rsidRDefault="005A321B" w:rsidP="005A321B">
      <w:pPr>
        <w:autoSpaceDE w:val="0"/>
        <w:autoSpaceDN w:val="0"/>
        <w:adjustRightInd w:val="0"/>
        <w:rPr>
          <w:rFonts w:ascii="Arial" w:eastAsia="Times New Roman" w:hAnsi="Arial" w:cs="Arial"/>
          <w:szCs w:val="23"/>
          <w:lang w:val="fr-CA"/>
        </w:rPr>
      </w:pPr>
    </w:p>
    <w:p w14:paraId="39DB8C83"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Le groupe de travail, en aidant les Parties conformément au paragraphe 6, examine le plus rapidement possible les questions dont il est saisi, en particulier celles qui concernent des denrées périssables.</w:t>
      </w:r>
    </w:p>
    <w:p w14:paraId="36AA5F13" w14:textId="77777777" w:rsidR="005A321B" w:rsidRPr="00B04E29" w:rsidRDefault="005A321B" w:rsidP="005A321B">
      <w:pPr>
        <w:autoSpaceDE w:val="0"/>
        <w:autoSpaceDN w:val="0"/>
        <w:adjustRightInd w:val="0"/>
        <w:rPr>
          <w:rFonts w:ascii="Arial" w:eastAsia="Times New Roman" w:hAnsi="Arial" w:cs="Arial"/>
          <w:szCs w:val="23"/>
          <w:lang w:val="fr-CA"/>
        </w:rPr>
      </w:pPr>
    </w:p>
    <w:p w14:paraId="410E1B71" w14:textId="7ECD5F7A"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8.</w:t>
      </w:r>
      <w:r w:rsidRPr="00B04E29">
        <w:rPr>
          <w:rFonts w:ascii="Arial" w:eastAsia="Times New Roman" w:hAnsi="Arial" w:cs="Arial"/>
          <w:szCs w:val="23"/>
          <w:lang w:val="fr-CA"/>
        </w:rPr>
        <w:tab/>
        <w:t xml:space="preserve">Si la question n’est pas réglée à la satisfaction de la Personne et du destinataire de la plainte dans les 60 jours de la remise par la Personne d’une demande présentée en application du paragraphe 1, la Personne et le destinataire de la plainte peuvent, d’un commun accord, demander l’aide des ministres responsables ou des membres du Comité concernés dont l’aide serait utile en vue du règlement du différend. </w:t>
      </w:r>
    </w:p>
    <w:p w14:paraId="553F9916" w14:textId="77777777" w:rsidR="005A321B" w:rsidRPr="00B04E29" w:rsidRDefault="005A321B" w:rsidP="005A321B">
      <w:pPr>
        <w:autoSpaceDE w:val="0"/>
        <w:autoSpaceDN w:val="0"/>
        <w:adjustRightInd w:val="0"/>
        <w:rPr>
          <w:rFonts w:ascii="Arial" w:eastAsia="Times New Roman" w:hAnsi="Arial" w:cs="Arial"/>
          <w:szCs w:val="23"/>
          <w:lang w:val="fr-CA"/>
        </w:rPr>
      </w:pPr>
    </w:p>
    <w:p w14:paraId="03E0D56F" w14:textId="27D4C96D"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9.</w:t>
      </w:r>
      <w:r w:rsidRPr="00B04E29">
        <w:rPr>
          <w:rFonts w:ascii="Arial" w:eastAsia="Times New Roman" w:hAnsi="Arial" w:cs="Arial"/>
          <w:szCs w:val="23"/>
          <w:lang w:val="fr-CA"/>
        </w:rPr>
        <w:tab/>
        <w:t>La demande d’aide présentée conformément au paragraphe 8 est remise par écrit à ces ministres ou membres du Comité, ainsi qu’aux participants aux consultations et au Secrétariat.</w:t>
      </w:r>
    </w:p>
    <w:p w14:paraId="6368C123" w14:textId="77777777" w:rsidR="005A321B" w:rsidRPr="00B04E29" w:rsidRDefault="005A321B" w:rsidP="005A321B">
      <w:pPr>
        <w:autoSpaceDE w:val="0"/>
        <w:autoSpaceDN w:val="0"/>
        <w:adjustRightInd w:val="0"/>
        <w:rPr>
          <w:rFonts w:ascii="Arial" w:eastAsia="Times New Roman" w:hAnsi="Arial" w:cs="Arial"/>
          <w:szCs w:val="23"/>
          <w:lang w:val="fr-CA"/>
        </w:rPr>
      </w:pPr>
    </w:p>
    <w:p w14:paraId="44C6564C" w14:textId="79584E0B"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10.</w:t>
      </w:r>
      <w:r w:rsidRPr="00B04E29">
        <w:rPr>
          <w:rFonts w:ascii="Arial" w:eastAsia="Times New Roman" w:hAnsi="Arial" w:cs="Arial"/>
          <w:szCs w:val="23"/>
          <w:lang w:val="fr-CA"/>
        </w:rPr>
        <w:tab/>
        <w:t>Au moment d’apporter l’aide demandée en application du paragraphe 8, les ministres ou membres du Comité peuvent demander l’avis d’experts techniques, constituer d’autres groupes de travail ou organes d’enquête, faciliter le recours à des mécanismes de conciliation et de médiation, et à d’autres mécanismes de règlement des différends, et formuler des recommandations.</w:t>
      </w:r>
    </w:p>
    <w:p w14:paraId="07E981BF" w14:textId="77777777" w:rsidR="005A321B" w:rsidRPr="00B04E29" w:rsidRDefault="005A321B" w:rsidP="005A321B">
      <w:pPr>
        <w:autoSpaceDE w:val="0"/>
        <w:autoSpaceDN w:val="0"/>
        <w:adjustRightInd w:val="0"/>
        <w:rPr>
          <w:rFonts w:ascii="Arial" w:eastAsia="Times New Roman" w:hAnsi="Arial" w:cs="Arial"/>
          <w:szCs w:val="23"/>
          <w:lang w:val="fr-CA"/>
        </w:rPr>
      </w:pPr>
    </w:p>
    <w:p w14:paraId="24233196" w14:textId="3BFEA16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11.</w:t>
      </w:r>
      <w:r w:rsidRPr="00B04E29">
        <w:rPr>
          <w:rFonts w:ascii="Arial" w:eastAsia="Times New Roman" w:hAnsi="Arial" w:cs="Arial"/>
          <w:szCs w:val="23"/>
          <w:lang w:val="fr-CA"/>
        </w:rPr>
        <w:tab/>
        <w:t>Les consultations sont confidentielles et ne sauraient porter atteinte aux droits de la Personne, du destinataire de la plainte et des participants aux consultations dans toute procédure.</w:t>
      </w:r>
    </w:p>
    <w:p w14:paraId="75321FFB" w14:textId="77777777" w:rsidR="005A321B" w:rsidRPr="00B04E29" w:rsidRDefault="005A321B" w:rsidP="005A321B">
      <w:pPr>
        <w:autoSpaceDE w:val="0"/>
        <w:autoSpaceDN w:val="0"/>
        <w:adjustRightInd w:val="0"/>
        <w:rPr>
          <w:rFonts w:ascii="Arial" w:eastAsia="Times New Roman" w:hAnsi="Arial" w:cs="Arial"/>
          <w:szCs w:val="23"/>
          <w:lang w:val="fr-CA"/>
        </w:rPr>
      </w:pPr>
    </w:p>
    <w:p w14:paraId="1F01CDE2"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12.</w:t>
      </w:r>
      <w:r w:rsidRPr="00B04E29">
        <w:rPr>
          <w:rFonts w:ascii="Arial" w:eastAsia="Times New Roman" w:hAnsi="Arial" w:cs="Arial"/>
          <w:szCs w:val="23"/>
          <w:lang w:val="fr-CA"/>
        </w:rPr>
        <w:tab/>
        <w:t xml:space="preserve">La Personne, le destinataire de la plainte et les participants aux consultations s’échangent tous les renseignements nécessaires à un examen approfondi des effets possibles de la mesure ou de toute autre question susceptible d’affecter l’application du présent accord. La Personne, le destinataire de la plainte et les participants aux consultations traitent les renseignements confidentiels obtenus dans le cadre de ces échanges de la même façon que la personne ou la Partie qui les fournit </w:t>
      </w:r>
      <w:proofErr w:type="gramStart"/>
      <w:r w:rsidRPr="00B04E29">
        <w:rPr>
          <w:rFonts w:ascii="Arial" w:eastAsia="Times New Roman" w:hAnsi="Arial" w:cs="Arial"/>
          <w:szCs w:val="23"/>
          <w:lang w:val="fr-CA"/>
        </w:rPr>
        <w:t>les traite</w:t>
      </w:r>
      <w:proofErr w:type="gramEnd"/>
      <w:r w:rsidRPr="00B04E29">
        <w:rPr>
          <w:rFonts w:ascii="Arial" w:eastAsia="Times New Roman" w:hAnsi="Arial" w:cs="Arial"/>
          <w:szCs w:val="23"/>
          <w:lang w:val="fr-CA"/>
        </w:rPr>
        <w:t>.</w:t>
      </w:r>
    </w:p>
    <w:p w14:paraId="23440795" w14:textId="77777777" w:rsidR="005A321B" w:rsidRPr="00B04E29" w:rsidRDefault="005A321B" w:rsidP="005A321B">
      <w:pPr>
        <w:autoSpaceDE w:val="0"/>
        <w:autoSpaceDN w:val="0"/>
        <w:adjustRightInd w:val="0"/>
        <w:rPr>
          <w:rFonts w:ascii="Arial" w:eastAsia="Times New Roman" w:hAnsi="Arial" w:cs="Arial"/>
          <w:szCs w:val="23"/>
          <w:lang w:val="fr-CA"/>
        </w:rPr>
      </w:pPr>
    </w:p>
    <w:p w14:paraId="03E3A69D" w14:textId="7777777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13.</w:t>
      </w:r>
      <w:r w:rsidRPr="00B04E29">
        <w:rPr>
          <w:rFonts w:ascii="Arial" w:eastAsia="Times New Roman" w:hAnsi="Arial" w:cs="Arial"/>
          <w:szCs w:val="23"/>
          <w:lang w:val="fr-CA"/>
        </w:rPr>
        <w:tab/>
        <w:t>Si la Personne et le destinataire de la plainte en conviennent, ils peuvent procéder directement conformément à l’article 1018, auquel cas le présent article ne s’applique pas.</w:t>
      </w:r>
    </w:p>
    <w:p w14:paraId="4F7B9373" w14:textId="77777777" w:rsidR="005A321B" w:rsidRPr="00B04E29" w:rsidRDefault="005A321B" w:rsidP="005A321B">
      <w:pPr>
        <w:keepNext/>
        <w:keepLines/>
        <w:jc w:val="center"/>
        <w:rPr>
          <w:rFonts w:ascii="Arial" w:eastAsia="Arial" w:hAnsi="Arial" w:cs="Arial"/>
          <w:b/>
          <w:szCs w:val="23"/>
          <w:lang w:val="fr-CA"/>
        </w:rPr>
      </w:pPr>
      <w:bookmarkStart w:id="151" w:name="_Toc357427538"/>
      <w:bookmarkStart w:id="152" w:name="_Toc470079017"/>
    </w:p>
    <w:p w14:paraId="52D48861" w14:textId="3281A782" w:rsidR="005A321B" w:rsidRPr="00B04E29" w:rsidRDefault="005A321B" w:rsidP="005A321B">
      <w:pPr>
        <w:keepNext/>
        <w:keepLines/>
        <w:jc w:val="center"/>
        <w:rPr>
          <w:rFonts w:ascii="Arial" w:eastAsia="Arial" w:hAnsi="Arial" w:cs="Arial"/>
          <w:b/>
          <w:i/>
          <w:szCs w:val="23"/>
          <w:lang w:val="fr-CA"/>
        </w:rPr>
      </w:pPr>
      <w:r w:rsidRPr="00B04E29">
        <w:rPr>
          <w:rFonts w:ascii="Arial" w:eastAsia="Arial" w:hAnsi="Arial" w:cs="Arial"/>
          <w:b/>
          <w:szCs w:val="23"/>
          <w:lang w:val="fr-CA"/>
        </w:rPr>
        <w:t xml:space="preserve">Article 1018 : </w:t>
      </w:r>
      <w:r w:rsidRPr="00B04E29">
        <w:rPr>
          <w:rFonts w:ascii="Arial" w:eastAsia="Arial" w:hAnsi="Arial" w:cs="Arial"/>
          <w:b/>
          <w:szCs w:val="23"/>
          <w:lang w:val="fr-CA"/>
        </w:rPr>
        <w:tab/>
        <w:t>Demande d’établissement d’un groupe spécial</w:t>
      </w:r>
      <w:bookmarkEnd w:id="151"/>
      <w:bookmarkEnd w:id="152"/>
    </w:p>
    <w:p w14:paraId="3E80D6C4" w14:textId="77777777" w:rsidR="005A321B" w:rsidRPr="00B04E29" w:rsidRDefault="005A321B" w:rsidP="005A321B">
      <w:pPr>
        <w:keepNext/>
        <w:keepLines/>
        <w:contextualSpacing/>
        <w:rPr>
          <w:rFonts w:ascii="Arial" w:eastAsia="Times New Roman" w:hAnsi="Arial" w:cs="Arial"/>
          <w:szCs w:val="23"/>
          <w:lang w:val="fr-CA"/>
        </w:rPr>
      </w:pPr>
    </w:p>
    <w:p w14:paraId="6FBBFBC3" w14:textId="50C183E2" w:rsidR="005A321B" w:rsidRPr="00B04E29" w:rsidRDefault="005A321B" w:rsidP="005A321B">
      <w:pPr>
        <w:keepNext/>
        <w:keepLines/>
        <w:contextualSpacing/>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Si la question en cause n’a pas été réglée à sa satisfaction, la Personne peut faire auprès du Secrétariat une demande écrite d’établissement d’un groupe spécial, avec copie au Comité. Une demande d’établissement d’un groupe spécial n’est pas présentée avant qu’un délai de 120 jours ne se soit écoulé après que la Personne a remis une demande de consultations au destinataire de la plainte qui respecte l’article 1017.1, mais au plus tard 180 jours après la remise de la demande de consultations. Si une demande d’établissement d’un groupe spécial n’a pas été présentée dans les 180 jours de la remise d’une demande de consultations, la Personne est réputée avoir renoncé à faire valoir la plainte.</w:t>
      </w:r>
    </w:p>
    <w:p w14:paraId="19B64A86" w14:textId="77777777" w:rsidR="005A321B" w:rsidRPr="00B04E29" w:rsidRDefault="005A321B" w:rsidP="005A321B">
      <w:pPr>
        <w:autoSpaceDE w:val="0"/>
        <w:autoSpaceDN w:val="0"/>
        <w:adjustRightInd w:val="0"/>
        <w:rPr>
          <w:rFonts w:ascii="Arial" w:eastAsia="Times New Roman" w:hAnsi="Arial" w:cs="Arial"/>
          <w:szCs w:val="23"/>
          <w:lang w:val="fr-CA"/>
        </w:rPr>
      </w:pPr>
    </w:p>
    <w:p w14:paraId="0155B2B4" w14:textId="2D28CA54"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2.</w:t>
      </w:r>
      <w:r w:rsidRPr="00B04E29">
        <w:rPr>
          <w:rFonts w:ascii="Arial" w:eastAsia="Times New Roman" w:hAnsi="Arial" w:cs="Arial"/>
          <w:szCs w:val="23"/>
          <w:lang w:val="fr-CA"/>
        </w:rPr>
        <w:tab/>
        <w:t>Si la Personne et le destinataire de la plainte ont convenu de procéder directement conformément à l’article 1017.13, la Personne et le destinataire de la plainte peuvent dans les moindres délais</w:t>
      </w:r>
      <w:r w:rsidRPr="00B04E29" w:rsidDel="002D50ED">
        <w:rPr>
          <w:rFonts w:ascii="Arial" w:eastAsia="Times New Roman" w:hAnsi="Arial" w:cs="Arial"/>
          <w:szCs w:val="23"/>
          <w:lang w:val="fr-CA"/>
        </w:rPr>
        <w:t xml:space="preserve"> </w:t>
      </w:r>
      <w:r w:rsidRPr="00B04E29">
        <w:rPr>
          <w:rFonts w:ascii="Arial" w:eastAsia="Times New Roman" w:hAnsi="Arial" w:cs="Arial"/>
          <w:szCs w:val="23"/>
          <w:lang w:val="fr-CA"/>
        </w:rPr>
        <w:t>après avoir conclu l’accord, faire auprès du Secrétariat une demande écrite d’établissement d’un groupe spécial, avec copie au Comité.</w:t>
      </w:r>
    </w:p>
    <w:p w14:paraId="4FB54376" w14:textId="77777777" w:rsidR="005A321B" w:rsidRPr="00B04E29" w:rsidRDefault="005A321B" w:rsidP="005A321B">
      <w:pPr>
        <w:autoSpaceDE w:val="0"/>
        <w:autoSpaceDN w:val="0"/>
        <w:adjustRightInd w:val="0"/>
        <w:rPr>
          <w:rFonts w:ascii="Arial" w:eastAsia="Times New Roman" w:hAnsi="Arial" w:cs="Arial"/>
          <w:szCs w:val="23"/>
          <w:lang w:val="fr-CA"/>
        </w:rPr>
      </w:pPr>
    </w:p>
    <w:p w14:paraId="77E9D5D0" w14:textId="001E35E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La demande d’établissement d’un groupe spécial :</w:t>
      </w:r>
    </w:p>
    <w:p w14:paraId="60BC90F6" w14:textId="77777777" w:rsidR="005A321B" w:rsidRPr="00B04E29" w:rsidRDefault="005A321B" w:rsidP="005A321B">
      <w:pPr>
        <w:autoSpaceDE w:val="0"/>
        <w:autoSpaceDN w:val="0"/>
        <w:adjustRightInd w:val="0"/>
        <w:rPr>
          <w:rFonts w:ascii="Arial" w:eastAsia="Times New Roman" w:hAnsi="Arial" w:cs="Arial"/>
          <w:szCs w:val="23"/>
          <w:lang w:val="fr-CA"/>
        </w:rPr>
      </w:pPr>
    </w:p>
    <w:p w14:paraId="3D1205B5" w14:textId="2205DAE6"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a)</w:t>
      </w:r>
      <w:r w:rsidRPr="00B04E29">
        <w:rPr>
          <w:rFonts w:ascii="Arial" w:eastAsia="Times New Roman" w:hAnsi="Arial" w:cs="Arial"/>
          <w:szCs w:val="23"/>
          <w:lang w:val="fr-CA"/>
        </w:rPr>
        <w:tab/>
        <w:t>précise la mesure effective qui fait l’objet de la plainte;</w:t>
      </w:r>
    </w:p>
    <w:p w14:paraId="7771D082"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645910AC" w14:textId="55AB5B15"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b)</w:t>
      </w:r>
      <w:r w:rsidRPr="00B04E29">
        <w:rPr>
          <w:rFonts w:ascii="Arial" w:eastAsia="Times New Roman" w:hAnsi="Arial" w:cs="Arial"/>
          <w:szCs w:val="23"/>
          <w:lang w:val="fr-CA"/>
        </w:rPr>
        <w:tab/>
        <w:t>énumère les dispositions pertinentes du présent accord;</w:t>
      </w:r>
    </w:p>
    <w:p w14:paraId="47E183A8"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31849076" w14:textId="7D08A62A"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c)</w:t>
      </w:r>
      <w:r w:rsidRPr="00B04E29">
        <w:rPr>
          <w:rFonts w:ascii="Arial" w:eastAsia="Times New Roman" w:hAnsi="Arial" w:cs="Arial"/>
          <w:szCs w:val="23"/>
          <w:lang w:val="fr-CA"/>
        </w:rPr>
        <w:tab/>
        <w:t>fournit un résumé de la plainte;</w:t>
      </w:r>
    </w:p>
    <w:p w14:paraId="45A6BCD5"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28A71989" w14:textId="4FDB927E"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d)</w:t>
      </w:r>
      <w:r w:rsidRPr="00B04E29">
        <w:rPr>
          <w:rFonts w:ascii="Arial" w:eastAsia="Times New Roman" w:hAnsi="Arial" w:cs="Arial"/>
          <w:szCs w:val="23"/>
          <w:lang w:val="fr-CA"/>
        </w:rPr>
        <w:tab/>
        <w:t>explique comment la mesure a nui au commerce, à l’investissement ou à la mobilité de la main-d’œuvre à l’intérieur du Canada;</w:t>
      </w:r>
    </w:p>
    <w:p w14:paraId="2D8B74A9"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5A0753B4" w14:textId="4545751F" w:rsidR="005A321B" w:rsidRPr="00B04E29" w:rsidRDefault="005A321B" w:rsidP="007131DD">
      <w:pPr>
        <w:autoSpaceDE w:val="0"/>
        <w:autoSpaceDN w:val="0"/>
        <w:adjustRightInd w:val="0"/>
        <w:ind w:left="1440" w:hanging="720"/>
        <w:rPr>
          <w:rFonts w:ascii="Arial" w:eastAsia="Times New Roman" w:hAnsi="Arial" w:cs="Arial"/>
          <w:szCs w:val="23"/>
          <w:lang w:val="fr-CA"/>
        </w:rPr>
      </w:pPr>
      <w:r w:rsidRPr="00B04E29">
        <w:rPr>
          <w:rFonts w:ascii="Arial" w:eastAsia="Times New Roman" w:hAnsi="Arial" w:cs="Arial"/>
          <w:szCs w:val="23"/>
          <w:lang w:val="fr-CA"/>
        </w:rPr>
        <w:t>e)</w:t>
      </w:r>
      <w:r w:rsidRPr="00B04E29">
        <w:rPr>
          <w:rFonts w:ascii="Arial" w:eastAsia="Times New Roman" w:hAnsi="Arial" w:cs="Arial"/>
          <w:szCs w:val="23"/>
          <w:lang w:val="fr-CA"/>
        </w:rPr>
        <w:tab/>
        <w:t>énonce le dommage ou le refus des avantages résultant de l’application de la mesure.</w:t>
      </w:r>
    </w:p>
    <w:p w14:paraId="66231833" w14:textId="77777777" w:rsidR="005A321B" w:rsidRPr="00B04E29" w:rsidRDefault="005A321B" w:rsidP="005A321B">
      <w:pPr>
        <w:rPr>
          <w:rFonts w:ascii="Arial" w:eastAsia="Arial" w:hAnsi="Arial" w:cs="Arial"/>
          <w:szCs w:val="23"/>
          <w:lang w:val="fr-CA"/>
        </w:rPr>
      </w:pPr>
    </w:p>
    <w:p w14:paraId="6B64475F" w14:textId="3D54FE13" w:rsidR="005A321B" w:rsidRPr="00B04E29" w:rsidRDefault="005A321B" w:rsidP="005A321B">
      <w:pPr>
        <w:rPr>
          <w:rFonts w:ascii="Arial" w:eastAsia="Arial" w:hAnsi="Arial" w:cs="Arial"/>
          <w:szCs w:val="23"/>
          <w:lang w:val="fr-CA"/>
        </w:rPr>
      </w:pPr>
      <w:r w:rsidRPr="00B04E29">
        <w:rPr>
          <w:rFonts w:ascii="Arial" w:eastAsia="Arial" w:hAnsi="Arial" w:cs="Arial"/>
          <w:szCs w:val="23"/>
          <w:lang w:val="fr-CA"/>
        </w:rPr>
        <w:t>4.</w:t>
      </w:r>
      <w:r w:rsidRPr="00B04E29">
        <w:rPr>
          <w:rFonts w:ascii="Arial" w:eastAsia="Arial" w:hAnsi="Arial" w:cs="Arial"/>
          <w:szCs w:val="23"/>
          <w:lang w:val="fr-CA"/>
        </w:rPr>
        <w:tab/>
        <w:t>Si le destinataire de la plainte est d’avis que le différend concerne l’interprétation ou l’application de l’annexe 309 (</w:t>
      </w:r>
      <w:r w:rsidRPr="00B04E29">
        <w:rPr>
          <w:rFonts w:ascii="Arial" w:eastAsia="Arial" w:hAnsi="Arial" w:cs="Arial"/>
          <w:bCs/>
          <w:szCs w:val="23"/>
          <w:lang w:val="fr-CA"/>
        </w:rPr>
        <w:t xml:space="preserve">Fournisseurs de services de </w:t>
      </w:r>
      <w:r w:rsidR="00E04F70" w:rsidRPr="00B04E29">
        <w:rPr>
          <w:rFonts w:ascii="Arial" w:eastAsia="Arial" w:hAnsi="Arial" w:cs="Arial"/>
          <w:bCs/>
          <w:szCs w:val="23"/>
          <w:lang w:val="fr-CA"/>
        </w:rPr>
        <w:t xml:space="preserve">transport </w:t>
      </w:r>
      <w:r w:rsidRPr="00B04E29">
        <w:rPr>
          <w:rFonts w:ascii="Arial" w:eastAsia="Arial" w:hAnsi="Arial" w:cs="Arial"/>
          <w:bCs/>
          <w:szCs w:val="23"/>
          <w:lang w:val="fr-CA"/>
        </w:rPr>
        <w:t>d’électricité et commerce de</w:t>
      </w:r>
      <w:r w:rsidR="00E04F70" w:rsidRPr="00B04E29">
        <w:rPr>
          <w:rFonts w:ascii="Arial" w:eastAsia="Arial" w:hAnsi="Arial" w:cs="Arial"/>
          <w:bCs/>
          <w:szCs w:val="23"/>
          <w:lang w:val="fr-CA"/>
        </w:rPr>
        <w:t>s</w:t>
      </w:r>
      <w:r w:rsidRPr="00B04E29">
        <w:rPr>
          <w:rFonts w:ascii="Arial" w:eastAsia="Arial" w:hAnsi="Arial" w:cs="Arial"/>
          <w:bCs/>
          <w:szCs w:val="23"/>
          <w:lang w:val="fr-CA"/>
        </w:rPr>
        <w:t xml:space="preserve"> services de </w:t>
      </w:r>
      <w:r w:rsidR="00E04F70" w:rsidRPr="00B04E29">
        <w:rPr>
          <w:rFonts w:ascii="Arial" w:eastAsia="Arial" w:hAnsi="Arial" w:cs="Arial"/>
          <w:bCs/>
          <w:szCs w:val="23"/>
          <w:lang w:val="fr-CA"/>
        </w:rPr>
        <w:t xml:space="preserve">transport </w:t>
      </w:r>
      <w:r w:rsidRPr="00B04E29">
        <w:rPr>
          <w:rFonts w:ascii="Arial" w:eastAsia="Arial" w:hAnsi="Arial" w:cs="Arial"/>
          <w:bCs/>
          <w:szCs w:val="23"/>
          <w:lang w:val="fr-CA"/>
        </w:rPr>
        <w:t>d’électricité</w:t>
      </w:r>
      <w:r w:rsidRPr="00B04E29">
        <w:rPr>
          <w:rFonts w:ascii="Arial" w:eastAsia="Arial" w:hAnsi="Arial" w:cs="Arial"/>
          <w:szCs w:val="23"/>
          <w:lang w:val="fr-CA"/>
        </w:rPr>
        <w:t>) et que la personne plaignante n’a pas fait figurer de façon spécifique cette annexe comme une des dispositions pertinentes du présent accord dans sa demande d’établissement d’un groupe spécial, le destinataire de la plainte notifie au Secrétariat le caractère pertinent de cette annexe pour le différend par la remise d’un avis écrit au Secrétariat avec copie du Comité, dans les 10 jours suivant la date de remise par la personne plaignante au Secrétariat de la demande d’établissement d’un groupe spécial.</w:t>
      </w:r>
    </w:p>
    <w:p w14:paraId="01130878" w14:textId="77777777" w:rsidR="005A321B" w:rsidRPr="00B04E29" w:rsidRDefault="005A321B" w:rsidP="005A321B">
      <w:pPr>
        <w:rPr>
          <w:rFonts w:ascii="Arial" w:eastAsia="Arial" w:hAnsi="Arial" w:cs="Arial"/>
          <w:szCs w:val="23"/>
          <w:lang w:val="fr-CA"/>
        </w:rPr>
      </w:pPr>
    </w:p>
    <w:p w14:paraId="523887EF" w14:textId="00A3F4C6" w:rsidR="005A321B" w:rsidRPr="00B04E29" w:rsidRDefault="005A321B" w:rsidP="005A321B">
      <w:pPr>
        <w:jc w:val="center"/>
        <w:rPr>
          <w:rFonts w:ascii="Arial" w:eastAsia="Arial" w:hAnsi="Arial" w:cs="Arial"/>
          <w:b/>
          <w:szCs w:val="23"/>
          <w:lang w:val="fr-CA"/>
        </w:rPr>
      </w:pPr>
      <w:bookmarkStart w:id="153" w:name="_Toc470079018"/>
      <w:r w:rsidRPr="00B04E29">
        <w:rPr>
          <w:rFonts w:ascii="Arial" w:eastAsia="Arial" w:hAnsi="Arial" w:cs="Arial"/>
          <w:b/>
          <w:szCs w:val="23"/>
          <w:lang w:val="fr-CA"/>
        </w:rPr>
        <w:t xml:space="preserve">Article 1019 : </w:t>
      </w:r>
      <w:r w:rsidRPr="00B04E29">
        <w:rPr>
          <w:rFonts w:ascii="Arial" w:eastAsia="Arial" w:hAnsi="Arial" w:cs="Arial"/>
          <w:b/>
          <w:szCs w:val="23"/>
          <w:lang w:val="fr-CA"/>
        </w:rPr>
        <w:tab/>
        <w:t>Établissement d’un organe décisionnel</w:t>
      </w:r>
      <w:bookmarkEnd w:id="153"/>
    </w:p>
    <w:p w14:paraId="5DC3B956" w14:textId="77777777" w:rsidR="005A321B" w:rsidRPr="00B04E29" w:rsidRDefault="005A321B" w:rsidP="005A321B">
      <w:pPr>
        <w:autoSpaceDE w:val="0"/>
        <w:autoSpaceDN w:val="0"/>
        <w:adjustRightInd w:val="0"/>
        <w:rPr>
          <w:rFonts w:ascii="Arial" w:eastAsia="Times New Roman" w:hAnsi="Arial" w:cs="Arial"/>
          <w:szCs w:val="23"/>
          <w:lang w:val="fr-CA"/>
        </w:rPr>
      </w:pPr>
    </w:p>
    <w:p w14:paraId="38A9F18F" w14:textId="29A58CF5"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1.</w:t>
      </w:r>
      <w:r w:rsidRPr="00B04E29">
        <w:rPr>
          <w:rFonts w:ascii="Arial" w:eastAsia="Times New Roman" w:hAnsi="Arial" w:cs="Arial"/>
          <w:szCs w:val="23"/>
          <w:lang w:val="fr-CA"/>
        </w:rPr>
        <w:tab/>
        <w:t xml:space="preserve">Sous réserve </w:t>
      </w:r>
      <w:r w:rsidRPr="00B04E29">
        <w:rPr>
          <w:rFonts w:ascii="Arial" w:eastAsia="Arial" w:hAnsi="Arial" w:cs="Arial"/>
          <w:szCs w:val="23"/>
          <w:lang w:val="fr-CA"/>
        </w:rPr>
        <w:t>de l’annexe 309 (</w:t>
      </w:r>
      <w:r w:rsidRPr="00B04E29">
        <w:rPr>
          <w:rFonts w:ascii="Arial" w:eastAsia="Arial" w:hAnsi="Arial" w:cs="Arial"/>
          <w:bCs/>
          <w:szCs w:val="23"/>
          <w:lang w:val="fr-CA"/>
        </w:rPr>
        <w:t xml:space="preserve">Fournisseurs de services de </w:t>
      </w:r>
      <w:r w:rsidR="00E04F70" w:rsidRPr="00B04E29">
        <w:rPr>
          <w:rFonts w:ascii="Arial" w:eastAsia="Arial" w:hAnsi="Arial" w:cs="Arial"/>
          <w:bCs/>
          <w:szCs w:val="23"/>
          <w:lang w:val="fr-CA"/>
        </w:rPr>
        <w:t xml:space="preserve">transport </w:t>
      </w:r>
      <w:r w:rsidRPr="00B04E29">
        <w:rPr>
          <w:rFonts w:ascii="Arial" w:eastAsia="Arial" w:hAnsi="Arial" w:cs="Arial"/>
          <w:bCs/>
          <w:szCs w:val="23"/>
          <w:lang w:val="fr-CA"/>
        </w:rPr>
        <w:t>d’électricité et commerce de</w:t>
      </w:r>
      <w:r w:rsidR="00E04F70" w:rsidRPr="00B04E29">
        <w:rPr>
          <w:rFonts w:ascii="Arial" w:eastAsia="Arial" w:hAnsi="Arial" w:cs="Arial"/>
          <w:bCs/>
          <w:szCs w:val="23"/>
          <w:lang w:val="fr-CA"/>
        </w:rPr>
        <w:t>s</w:t>
      </w:r>
      <w:r w:rsidRPr="00B04E29">
        <w:rPr>
          <w:rFonts w:ascii="Arial" w:eastAsia="Arial" w:hAnsi="Arial" w:cs="Arial"/>
          <w:bCs/>
          <w:szCs w:val="23"/>
          <w:lang w:val="fr-CA"/>
        </w:rPr>
        <w:t xml:space="preserve"> services de </w:t>
      </w:r>
      <w:r w:rsidR="00E04F70" w:rsidRPr="00B04E29">
        <w:rPr>
          <w:rFonts w:ascii="Arial" w:eastAsia="Arial" w:hAnsi="Arial" w:cs="Arial"/>
          <w:bCs/>
          <w:szCs w:val="23"/>
          <w:lang w:val="fr-CA"/>
        </w:rPr>
        <w:t xml:space="preserve">transport </w:t>
      </w:r>
      <w:r w:rsidRPr="00B04E29">
        <w:rPr>
          <w:rFonts w:ascii="Arial" w:eastAsia="Arial" w:hAnsi="Arial" w:cs="Arial"/>
          <w:bCs/>
          <w:szCs w:val="23"/>
          <w:lang w:val="fr-CA"/>
        </w:rPr>
        <w:t>d’électricité</w:t>
      </w:r>
      <w:r w:rsidRPr="00B04E29">
        <w:rPr>
          <w:rFonts w:ascii="Arial" w:eastAsia="Arial" w:hAnsi="Arial" w:cs="Arial"/>
          <w:szCs w:val="23"/>
          <w:lang w:val="fr-CA"/>
        </w:rPr>
        <w:t>), l</w:t>
      </w:r>
      <w:r w:rsidRPr="00B04E29">
        <w:rPr>
          <w:rFonts w:ascii="Arial" w:eastAsia="Times New Roman" w:hAnsi="Arial" w:cs="Arial"/>
          <w:szCs w:val="23"/>
          <w:lang w:val="fr-CA"/>
        </w:rPr>
        <w:t>’organe décisionnel est constitué conformément au présent article et comprend trois membres à moins que les litigants ne conviennent d’un organe décisionnel comprenant un seul membre.</w:t>
      </w:r>
    </w:p>
    <w:p w14:paraId="6AA4C234" w14:textId="77777777" w:rsidR="005A321B" w:rsidRPr="00B04E29" w:rsidRDefault="005A321B" w:rsidP="005A321B">
      <w:pPr>
        <w:autoSpaceDE w:val="0"/>
        <w:autoSpaceDN w:val="0"/>
        <w:adjustRightInd w:val="0"/>
        <w:rPr>
          <w:rFonts w:ascii="Arial" w:eastAsia="Times New Roman" w:hAnsi="Arial" w:cs="Arial"/>
          <w:szCs w:val="23"/>
          <w:lang w:val="fr-CA"/>
        </w:rPr>
      </w:pPr>
    </w:p>
    <w:p w14:paraId="4DBB3B21" w14:textId="041EE460"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lastRenderedPageBreak/>
        <w:t>2.</w:t>
      </w:r>
      <w:r w:rsidRPr="00B04E29">
        <w:rPr>
          <w:rFonts w:ascii="Arial" w:eastAsia="Times New Roman" w:hAnsi="Arial" w:cs="Arial"/>
          <w:szCs w:val="23"/>
          <w:lang w:val="fr-CA"/>
        </w:rPr>
        <w:tab/>
        <w:t>Dans les 30 jours qui suivent la date de la remise de la demande d’établissement d’un organe décisionnel par la personne plaignante au Secrétariat, chacun des litigants nomme un membre à l’organe décisionnel en le choisissant sur la liste tenue conformément à l’article 1005.2. Si les litigants ont convenu d’un organe décisionnel composé d’un seul membre, dans le délai de 30 jours, ils nomment, par consensus, un membre choisi sur la liste des membres, qui possède une expérience en droit administratif, comme il est précisé à la règle 4 de l’annexe 1005.2. Un avis de nomination est transmis au Secrétariat par chacun des litigants, et le Secrétariat notifie alors les nominations aux membres choisis et aux autres participants.</w:t>
      </w:r>
    </w:p>
    <w:p w14:paraId="22D82C98" w14:textId="77777777" w:rsidR="005A321B" w:rsidRPr="00B04E29" w:rsidRDefault="005A321B" w:rsidP="005A321B">
      <w:pPr>
        <w:autoSpaceDE w:val="0"/>
        <w:autoSpaceDN w:val="0"/>
        <w:adjustRightInd w:val="0"/>
        <w:rPr>
          <w:rFonts w:ascii="Arial" w:eastAsia="Times New Roman" w:hAnsi="Arial" w:cs="Arial"/>
          <w:szCs w:val="23"/>
          <w:lang w:val="fr-CA"/>
        </w:rPr>
      </w:pPr>
    </w:p>
    <w:p w14:paraId="5A338142" w14:textId="4B548257"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3.</w:t>
      </w:r>
      <w:r w:rsidRPr="00B04E29">
        <w:rPr>
          <w:rFonts w:ascii="Arial" w:eastAsia="Times New Roman" w:hAnsi="Arial" w:cs="Arial"/>
          <w:szCs w:val="23"/>
          <w:lang w:val="fr-CA"/>
        </w:rPr>
        <w:tab/>
        <w:t xml:space="preserve">Si un litigant ne nomme aucun membre dans les 30 jours ou si les litigants ont convenu d’un organe décisionnel composé d’un seul membre et qu’ils ne réussissent pas à s’entendre sur le membre du groupe spécial dans les 30 jours, le Secrétariat choisit le membre par tirage au sort. </w:t>
      </w:r>
    </w:p>
    <w:p w14:paraId="04F2AA1B" w14:textId="77777777" w:rsidR="005A321B" w:rsidRPr="00B04E29" w:rsidRDefault="005A321B" w:rsidP="005A321B">
      <w:pPr>
        <w:autoSpaceDE w:val="0"/>
        <w:autoSpaceDN w:val="0"/>
        <w:adjustRightInd w:val="0"/>
        <w:rPr>
          <w:rFonts w:ascii="Arial" w:eastAsia="Times New Roman" w:hAnsi="Arial" w:cs="Arial"/>
          <w:szCs w:val="23"/>
          <w:lang w:val="fr-CA"/>
        </w:rPr>
      </w:pPr>
    </w:p>
    <w:p w14:paraId="6C747B36" w14:textId="3A40876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4.</w:t>
      </w:r>
      <w:r w:rsidRPr="00B04E29">
        <w:rPr>
          <w:rFonts w:ascii="Arial" w:eastAsia="Times New Roman" w:hAnsi="Arial" w:cs="Arial"/>
          <w:szCs w:val="23"/>
          <w:lang w:val="fr-CA"/>
        </w:rPr>
        <w:tab/>
        <w:t>Dans les 10 jours qui suivent la nomination du dernier membre d’un organe décisionnel, les membres d’un organe décisionnel nommés choisissent le président de l’organe décisionnel parmi les individus inscrits sur la liste. Si les membres sont incapables de s’entendre sur le choix du président dans ce délai, le Secrétariat choisit le président, par tirage au sort.</w:t>
      </w:r>
    </w:p>
    <w:p w14:paraId="4BA7C9AB" w14:textId="77777777" w:rsidR="005A321B" w:rsidRPr="00B04E29" w:rsidRDefault="005A321B" w:rsidP="005A321B">
      <w:pPr>
        <w:autoSpaceDE w:val="0"/>
        <w:autoSpaceDN w:val="0"/>
        <w:adjustRightInd w:val="0"/>
        <w:rPr>
          <w:rFonts w:ascii="Arial" w:eastAsia="Times New Roman" w:hAnsi="Arial" w:cs="Arial"/>
          <w:szCs w:val="23"/>
          <w:lang w:val="fr-CA"/>
        </w:rPr>
      </w:pPr>
    </w:p>
    <w:p w14:paraId="7EF0731E" w14:textId="45E400AF"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5.</w:t>
      </w:r>
      <w:r w:rsidRPr="00B04E29">
        <w:rPr>
          <w:rFonts w:ascii="Arial" w:eastAsia="Times New Roman" w:hAnsi="Arial" w:cs="Arial"/>
          <w:szCs w:val="23"/>
          <w:lang w:val="fr-CA"/>
        </w:rPr>
        <w:tab/>
        <w:t xml:space="preserve">Si aucun des membres nommés ou choisis conformément au présent article ne possède une expérience en droit administratif, comme il est précisé à la règle 4 de l’annexe 1005.2, les membres ou le Secrétariat, selon le cas, choisissent un individu qui possède une expérience en droit administratif pour occuper le poste de président. </w:t>
      </w:r>
    </w:p>
    <w:p w14:paraId="697D4978" w14:textId="77777777" w:rsidR="005A321B" w:rsidRPr="00B04E29" w:rsidRDefault="005A321B" w:rsidP="005A321B">
      <w:pPr>
        <w:autoSpaceDE w:val="0"/>
        <w:autoSpaceDN w:val="0"/>
        <w:adjustRightInd w:val="0"/>
        <w:rPr>
          <w:rFonts w:ascii="Arial" w:eastAsia="Times New Roman" w:hAnsi="Arial" w:cs="Arial"/>
          <w:szCs w:val="23"/>
          <w:lang w:val="fr-CA"/>
        </w:rPr>
      </w:pPr>
    </w:p>
    <w:p w14:paraId="06787F4D" w14:textId="5B9670A8"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6.</w:t>
      </w:r>
      <w:r w:rsidRPr="00B04E29">
        <w:rPr>
          <w:rFonts w:ascii="Arial" w:eastAsia="Times New Roman" w:hAnsi="Arial" w:cs="Arial"/>
          <w:szCs w:val="23"/>
          <w:lang w:val="fr-CA"/>
        </w:rPr>
        <w:tab/>
        <w:t>Le président choisi conformément aux procédures stipulées aux paragraphes 3 ou 4, selon le cas, est bilingue (français et anglais) si l’un des litigants en fait la demande.</w:t>
      </w:r>
    </w:p>
    <w:p w14:paraId="57B8665E" w14:textId="77777777" w:rsidR="005A321B" w:rsidRPr="00B04E29" w:rsidRDefault="005A321B" w:rsidP="005A321B">
      <w:pPr>
        <w:autoSpaceDE w:val="0"/>
        <w:autoSpaceDN w:val="0"/>
        <w:adjustRightInd w:val="0"/>
        <w:rPr>
          <w:rFonts w:ascii="Arial" w:eastAsia="Times New Roman" w:hAnsi="Arial" w:cs="Arial"/>
          <w:szCs w:val="23"/>
          <w:lang w:val="fr-CA"/>
        </w:rPr>
      </w:pPr>
    </w:p>
    <w:p w14:paraId="583C033B" w14:textId="172ABAB2"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Times New Roman" w:hAnsi="Arial" w:cs="Arial"/>
          <w:szCs w:val="23"/>
          <w:lang w:val="fr-CA"/>
        </w:rPr>
        <w:t>7.</w:t>
      </w:r>
      <w:r w:rsidRPr="00B04E29">
        <w:rPr>
          <w:rFonts w:ascii="Arial" w:eastAsia="Times New Roman" w:hAnsi="Arial" w:cs="Arial"/>
          <w:szCs w:val="23"/>
          <w:lang w:val="fr-CA"/>
        </w:rPr>
        <w:tab/>
        <w:t xml:space="preserve">Sauf convention contraire des litigants, les membres du groupe spécial ou le Secrétariat, selon le cas, ne nomment pas ou ne choisissent pas, à titre de président, un individu qui a été inscrit sur la liste des membres du groupe spécial par le destinataire de la plainte ou qui est un résident de la Province du destinataire de la plainte. </w:t>
      </w:r>
    </w:p>
    <w:p w14:paraId="1154DB88" w14:textId="77777777" w:rsidR="005A321B" w:rsidRPr="00B04E29" w:rsidRDefault="005A321B" w:rsidP="005A321B">
      <w:pPr>
        <w:autoSpaceDE w:val="0"/>
        <w:autoSpaceDN w:val="0"/>
        <w:adjustRightInd w:val="0"/>
        <w:rPr>
          <w:rFonts w:ascii="Arial" w:eastAsia="Times New Roman" w:hAnsi="Arial" w:cs="Arial"/>
          <w:szCs w:val="23"/>
          <w:lang w:val="fr-CA"/>
        </w:rPr>
      </w:pPr>
    </w:p>
    <w:p w14:paraId="7F76B5DC" w14:textId="6A9DD651"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 xml:space="preserve">8. </w:t>
      </w:r>
      <w:r w:rsidRPr="00B04E29">
        <w:rPr>
          <w:rFonts w:ascii="Arial" w:eastAsia="Arial" w:hAnsi="Arial" w:cs="Arial"/>
          <w:szCs w:val="23"/>
          <w:lang w:val="fr-CA"/>
        </w:rPr>
        <w:tab/>
        <w:t xml:space="preserve">L’organe décisionnel est établi à la date de sélection du président en application des paragraphes 4 ou 5. Le Secrétariat notifie la constitution de l’organe décisionnel aux participants et au Comité. </w:t>
      </w:r>
    </w:p>
    <w:p w14:paraId="129A593B" w14:textId="77777777" w:rsidR="005A321B" w:rsidRPr="00B04E29" w:rsidRDefault="005A321B" w:rsidP="005A321B">
      <w:pPr>
        <w:jc w:val="center"/>
        <w:rPr>
          <w:rFonts w:ascii="Arial" w:eastAsia="Arial" w:hAnsi="Arial" w:cs="Arial"/>
          <w:b/>
          <w:szCs w:val="23"/>
          <w:lang w:val="fr-CA"/>
        </w:rPr>
      </w:pPr>
    </w:p>
    <w:p w14:paraId="465DEF6B" w14:textId="77777777" w:rsidR="005A321B" w:rsidRPr="00B04E29" w:rsidRDefault="005A321B" w:rsidP="005A321B">
      <w:pPr>
        <w:jc w:val="center"/>
        <w:rPr>
          <w:rFonts w:ascii="Arial" w:eastAsia="Arial" w:hAnsi="Arial" w:cs="Arial"/>
          <w:b/>
          <w:szCs w:val="23"/>
          <w:lang w:val="fr-CA"/>
        </w:rPr>
      </w:pPr>
      <w:r w:rsidRPr="00B04E29">
        <w:rPr>
          <w:rFonts w:ascii="Arial" w:eastAsia="Arial" w:hAnsi="Arial" w:cs="Arial"/>
          <w:b/>
          <w:szCs w:val="23"/>
          <w:lang w:val="fr-CA"/>
        </w:rPr>
        <w:t xml:space="preserve">Article 1020 : </w:t>
      </w:r>
      <w:r w:rsidRPr="00B04E29">
        <w:rPr>
          <w:rFonts w:ascii="Arial" w:eastAsia="Arial" w:hAnsi="Arial" w:cs="Arial"/>
          <w:b/>
          <w:szCs w:val="23"/>
          <w:lang w:val="fr-CA"/>
        </w:rPr>
        <w:tab/>
        <w:t>Demande de rejet sommaire des procédures</w:t>
      </w:r>
    </w:p>
    <w:p w14:paraId="1CB6C48C" w14:textId="77777777" w:rsidR="005A321B" w:rsidRPr="00B04E29" w:rsidRDefault="005A321B" w:rsidP="005A321B">
      <w:pPr>
        <w:autoSpaceDE w:val="0"/>
        <w:autoSpaceDN w:val="0"/>
        <w:adjustRightInd w:val="0"/>
        <w:rPr>
          <w:rFonts w:ascii="Arial" w:eastAsia="Times New Roman" w:hAnsi="Arial" w:cs="Arial"/>
          <w:szCs w:val="23"/>
          <w:lang w:val="fr-CA"/>
        </w:rPr>
      </w:pPr>
    </w:p>
    <w:p w14:paraId="2A9EFF2F" w14:textId="63E770C3" w:rsidR="005A321B" w:rsidRPr="00B04E29" w:rsidRDefault="005A321B" w:rsidP="005A321B">
      <w:pPr>
        <w:autoSpaceDE w:val="0"/>
        <w:autoSpaceDN w:val="0"/>
        <w:adjustRightInd w:val="0"/>
        <w:rPr>
          <w:rFonts w:ascii="Arial" w:eastAsia="Times New Roman" w:hAnsi="Arial" w:cs="Arial"/>
          <w:szCs w:val="23"/>
          <w:lang w:val="fr-CA"/>
        </w:rPr>
      </w:pPr>
      <w:r w:rsidRPr="00B04E29">
        <w:rPr>
          <w:rFonts w:ascii="Arial" w:eastAsia="Arial" w:hAnsi="Arial" w:cs="Arial"/>
          <w:szCs w:val="23"/>
          <w:lang w:val="fr-CA"/>
        </w:rPr>
        <w:t xml:space="preserve">1. </w:t>
      </w:r>
      <w:r w:rsidRPr="00B04E29">
        <w:rPr>
          <w:rFonts w:ascii="Arial" w:eastAsia="Arial" w:hAnsi="Arial" w:cs="Arial"/>
          <w:szCs w:val="23"/>
          <w:lang w:val="fr-CA"/>
        </w:rPr>
        <w:tab/>
        <w:t xml:space="preserve">Dans les 45 jours suivant l’établissement d’un groupe spécial en application de </w:t>
      </w:r>
      <w:r w:rsidRPr="00B04E29">
        <w:rPr>
          <w:rFonts w:ascii="Arial" w:eastAsia="Times New Roman" w:hAnsi="Arial" w:cs="Arial"/>
          <w:szCs w:val="23"/>
          <w:lang w:val="fr-CA"/>
        </w:rPr>
        <w:t>l’article</w:t>
      </w:r>
      <w:r w:rsidRPr="00B04E29">
        <w:rPr>
          <w:rFonts w:ascii="Arial" w:eastAsia="Arial" w:hAnsi="Arial" w:cs="Arial"/>
          <w:szCs w:val="23"/>
          <w:lang w:val="fr-CA"/>
        </w:rPr>
        <w:t> 1019.8, le destinataire de la plainte peut demander que le groupe spécial rejette sommairement la procédure si le groupe spécial établit ce qui suit, selon le cas :</w:t>
      </w:r>
    </w:p>
    <w:p w14:paraId="30B07D20" w14:textId="77777777" w:rsidR="005A321B" w:rsidRPr="00B04E29" w:rsidRDefault="005A321B" w:rsidP="005A321B">
      <w:pPr>
        <w:autoSpaceDE w:val="0"/>
        <w:autoSpaceDN w:val="0"/>
        <w:adjustRightInd w:val="0"/>
        <w:rPr>
          <w:rFonts w:ascii="Arial" w:eastAsia="Times New Roman" w:hAnsi="Arial" w:cs="Arial"/>
          <w:szCs w:val="23"/>
          <w:lang w:val="fr-CA"/>
        </w:rPr>
      </w:pPr>
    </w:p>
    <w:p w14:paraId="7DBD004D" w14:textId="77777777" w:rsidR="005A321B" w:rsidRPr="00B04E29" w:rsidRDefault="005A321B" w:rsidP="007131DD">
      <w:pPr>
        <w:numPr>
          <w:ilvl w:val="0"/>
          <w:numId w:val="71"/>
        </w:numPr>
        <w:autoSpaceDE w:val="0"/>
        <w:autoSpaceDN w:val="0"/>
        <w:adjustRightInd w:val="0"/>
        <w:ind w:left="1440" w:hanging="720"/>
        <w:rPr>
          <w:rFonts w:ascii="Arial" w:eastAsia="Times New Roman" w:hAnsi="Arial" w:cs="Arial"/>
          <w:szCs w:val="23"/>
          <w:lang w:val="fr-CA"/>
        </w:rPr>
      </w:pPr>
      <w:proofErr w:type="gramStart"/>
      <w:r w:rsidRPr="00B04E29">
        <w:rPr>
          <w:rFonts w:ascii="Arial" w:eastAsia="Times New Roman" w:hAnsi="Arial" w:cs="Arial"/>
          <w:szCs w:val="23"/>
          <w:lang w:val="fr-CA"/>
        </w:rPr>
        <w:t>la</w:t>
      </w:r>
      <w:proofErr w:type="gramEnd"/>
      <w:r w:rsidRPr="00B04E29">
        <w:rPr>
          <w:rFonts w:ascii="Arial" w:eastAsia="Times New Roman" w:hAnsi="Arial" w:cs="Arial"/>
          <w:szCs w:val="23"/>
          <w:lang w:val="fr-CA"/>
        </w:rPr>
        <w:t xml:space="preserve"> plainte est frivole ou vexatoire;</w:t>
      </w:r>
    </w:p>
    <w:p w14:paraId="56C17558"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56BF960C" w14:textId="77777777" w:rsidR="005A321B" w:rsidRPr="00B04E29" w:rsidRDefault="005A321B" w:rsidP="007131DD">
      <w:pPr>
        <w:numPr>
          <w:ilvl w:val="0"/>
          <w:numId w:val="71"/>
        </w:numPr>
        <w:autoSpaceDE w:val="0"/>
        <w:autoSpaceDN w:val="0"/>
        <w:adjustRightInd w:val="0"/>
        <w:ind w:left="1440" w:hanging="720"/>
        <w:rPr>
          <w:rFonts w:ascii="Arial" w:eastAsia="Times New Roman" w:hAnsi="Arial" w:cs="Arial"/>
          <w:szCs w:val="23"/>
          <w:lang w:val="fr-CA"/>
        </w:rPr>
      </w:pPr>
      <w:proofErr w:type="gramStart"/>
      <w:r w:rsidRPr="00B04E29">
        <w:rPr>
          <w:rFonts w:ascii="Arial" w:eastAsia="Times New Roman" w:hAnsi="Arial" w:cs="Arial"/>
          <w:szCs w:val="23"/>
          <w:lang w:val="fr-CA"/>
        </w:rPr>
        <w:t>la</w:t>
      </w:r>
      <w:proofErr w:type="gramEnd"/>
      <w:r w:rsidRPr="00B04E29">
        <w:rPr>
          <w:rFonts w:ascii="Arial" w:eastAsia="Times New Roman" w:hAnsi="Arial" w:cs="Arial"/>
          <w:szCs w:val="23"/>
          <w:lang w:val="fr-CA"/>
        </w:rPr>
        <w:t xml:space="preserve"> plainte constitue un abus de procédure; </w:t>
      </w:r>
    </w:p>
    <w:p w14:paraId="0EEC257A"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14666801" w14:textId="40DDCE4B" w:rsidR="005A321B" w:rsidRPr="00B04E29" w:rsidRDefault="005A321B" w:rsidP="007131DD">
      <w:pPr>
        <w:numPr>
          <w:ilvl w:val="0"/>
          <w:numId w:val="71"/>
        </w:numPr>
        <w:autoSpaceDE w:val="0"/>
        <w:autoSpaceDN w:val="0"/>
        <w:adjustRightInd w:val="0"/>
        <w:ind w:left="1440" w:hanging="720"/>
        <w:rPr>
          <w:rFonts w:ascii="Arial" w:eastAsia="Times New Roman" w:hAnsi="Arial" w:cs="Arial"/>
          <w:szCs w:val="23"/>
          <w:lang w:val="fr-CA"/>
        </w:rPr>
      </w:pPr>
      <w:proofErr w:type="gramStart"/>
      <w:r w:rsidRPr="00B04E29">
        <w:rPr>
          <w:rFonts w:ascii="Arial" w:eastAsia="Times New Roman" w:hAnsi="Arial" w:cs="Arial"/>
          <w:szCs w:val="23"/>
          <w:lang w:val="fr-CA"/>
        </w:rPr>
        <w:lastRenderedPageBreak/>
        <w:t>la</w:t>
      </w:r>
      <w:proofErr w:type="gramEnd"/>
      <w:r w:rsidRPr="00B04E29">
        <w:rPr>
          <w:rFonts w:ascii="Arial" w:eastAsia="Times New Roman" w:hAnsi="Arial" w:cs="Arial"/>
          <w:szCs w:val="23"/>
          <w:lang w:val="fr-CA"/>
        </w:rPr>
        <w:t xml:space="preserve"> Personne n’a pas la qualité pour engager des procédures au titre du présent accord;</w:t>
      </w:r>
    </w:p>
    <w:p w14:paraId="37B0A80F"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0F2C1C0C" w14:textId="183FEAD7" w:rsidR="005A321B" w:rsidRPr="00B04E29" w:rsidRDefault="005A321B" w:rsidP="007131DD">
      <w:pPr>
        <w:numPr>
          <w:ilvl w:val="0"/>
          <w:numId w:val="71"/>
        </w:numPr>
        <w:autoSpaceDE w:val="0"/>
        <w:autoSpaceDN w:val="0"/>
        <w:adjustRightInd w:val="0"/>
        <w:ind w:left="1440" w:hanging="720"/>
        <w:rPr>
          <w:rFonts w:ascii="Arial" w:eastAsia="Times New Roman" w:hAnsi="Arial" w:cs="Arial"/>
          <w:szCs w:val="23"/>
          <w:lang w:val="fr-CA"/>
        </w:rPr>
      </w:pPr>
      <w:proofErr w:type="gramStart"/>
      <w:r w:rsidRPr="00B04E29">
        <w:rPr>
          <w:rFonts w:ascii="Arial" w:eastAsia="Times New Roman" w:hAnsi="Arial" w:cs="Arial"/>
          <w:szCs w:val="23"/>
          <w:lang w:val="fr-CA"/>
        </w:rPr>
        <w:t>l’objet</w:t>
      </w:r>
      <w:proofErr w:type="gramEnd"/>
      <w:r w:rsidRPr="00B04E29">
        <w:rPr>
          <w:rFonts w:ascii="Arial" w:eastAsia="Times New Roman" w:hAnsi="Arial" w:cs="Arial"/>
          <w:szCs w:val="23"/>
          <w:lang w:val="fr-CA"/>
        </w:rPr>
        <w:t xml:space="preserve"> de la plainte n’est pas visé par la portée du présent accord;</w:t>
      </w:r>
    </w:p>
    <w:p w14:paraId="2A3CAE9C" w14:textId="77777777" w:rsidR="005A321B" w:rsidRPr="00B04E29" w:rsidRDefault="005A321B" w:rsidP="007131DD">
      <w:pPr>
        <w:autoSpaceDE w:val="0"/>
        <w:autoSpaceDN w:val="0"/>
        <w:adjustRightInd w:val="0"/>
        <w:ind w:left="1440" w:hanging="720"/>
        <w:rPr>
          <w:rFonts w:ascii="Arial" w:eastAsia="Times New Roman" w:hAnsi="Arial" w:cs="Arial"/>
          <w:szCs w:val="23"/>
          <w:lang w:val="fr-CA"/>
        </w:rPr>
      </w:pPr>
    </w:p>
    <w:p w14:paraId="75035DA0" w14:textId="6720FA8B" w:rsidR="005A321B" w:rsidRPr="00B04E29" w:rsidRDefault="005A321B" w:rsidP="007131DD">
      <w:pPr>
        <w:numPr>
          <w:ilvl w:val="0"/>
          <w:numId w:val="71"/>
        </w:numPr>
        <w:autoSpaceDE w:val="0"/>
        <w:autoSpaceDN w:val="0"/>
        <w:adjustRightInd w:val="0"/>
        <w:ind w:left="1440" w:hanging="720"/>
        <w:rPr>
          <w:rFonts w:ascii="Arial" w:eastAsia="Times New Roman" w:hAnsi="Arial" w:cs="Arial"/>
          <w:szCs w:val="23"/>
          <w:lang w:val="fr-CA"/>
        </w:rPr>
      </w:pPr>
      <w:proofErr w:type="gramStart"/>
      <w:r w:rsidRPr="00B04E29">
        <w:rPr>
          <w:rFonts w:ascii="Arial" w:eastAsia="Times New Roman" w:hAnsi="Arial" w:cs="Arial"/>
          <w:szCs w:val="23"/>
          <w:lang w:val="fr-CA"/>
        </w:rPr>
        <w:t>la</w:t>
      </w:r>
      <w:proofErr w:type="gramEnd"/>
      <w:r w:rsidRPr="00B04E29">
        <w:rPr>
          <w:rFonts w:ascii="Arial" w:eastAsia="Times New Roman" w:hAnsi="Arial" w:cs="Arial"/>
          <w:szCs w:val="23"/>
          <w:lang w:val="fr-CA"/>
        </w:rPr>
        <w:t xml:space="preserve"> Personne n’a pas satisfait aux exigences de l’article 1016.2 ou de l’article 1016.3 ou la Personne n’a pas le droit d’engager des procédures en application de l’article 1016.4, de l’article 1016.5, de l’article 1033.6 ou de l’article 1033.8. </w:t>
      </w:r>
    </w:p>
    <w:p w14:paraId="1D2BC3DB" w14:textId="77777777" w:rsidR="005A321B" w:rsidRPr="00B04E29" w:rsidRDefault="005A321B" w:rsidP="005A321B">
      <w:pPr>
        <w:autoSpaceDE w:val="0"/>
        <w:autoSpaceDN w:val="0"/>
        <w:adjustRightInd w:val="0"/>
        <w:rPr>
          <w:rFonts w:ascii="Arial" w:eastAsia="Arial" w:hAnsi="Arial" w:cs="Arial"/>
          <w:szCs w:val="23"/>
          <w:lang w:val="fr-CA"/>
        </w:rPr>
      </w:pPr>
    </w:p>
    <w:p w14:paraId="33055E6F" w14:textId="77777777" w:rsidR="005A321B" w:rsidRPr="00B04E29" w:rsidRDefault="005A321B" w:rsidP="005A321B">
      <w:pPr>
        <w:autoSpaceDE w:val="0"/>
        <w:autoSpaceDN w:val="0"/>
        <w:adjustRightInd w:val="0"/>
        <w:rPr>
          <w:rFonts w:ascii="Arial" w:eastAsia="Arial" w:hAnsi="Arial" w:cs="Arial"/>
          <w:strike/>
          <w:szCs w:val="23"/>
          <w:lang w:val="fr-CA"/>
        </w:rPr>
      </w:pPr>
      <w:r w:rsidRPr="00B04E29">
        <w:rPr>
          <w:rFonts w:ascii="Arial" w:eastAsia="Arial" w:hAnsi="Arial" w:cs="Arial"/>
          <w:szCs w:val="23"/>
          <w:lang w:val="fr-CA"/>
        </w:rPr>
        <w:t xml:space="preserve">2. </w:t>
      </w:r>
      <w:r w:rsidRPr="00B04E29">
        <w:rPr>
          <w:rFonts w:ascii="Arial" w:eastAsia="Arial" w:hAnsi="Arial" w:cs="Arial"/>
          <w:szCs w:val="23"/>
          <w:lang w:val="fr-CA"/>
        </w:rPr>
        <w:tab/>
        <w:t>La demande de rejet sommaire est présentée par écrit au Secrétariat et au groupe spécial, et est accompagnée des documents requis à la règle 1 de l’annexe 1020.</w:t>
      </w:r>
    </w:p>
    <w:p w14:paraId="700492CD" w14:textId="77777777" w:rsidR="005A321B" w:rsidRPr="00B04E29" w:rsidRDefault="005A321B" w:rsidP="005A321B">
      <w:pPr>
        <w:autoSpaceDE w:val="0"/>
        <w:autoSpaceDN w:val="0"/>
        <w:adjustRightInd w:val="0"/>
        <w:ind w:left="720"/>
        <w:contextualSpacing/>
        <w:rPr>
          <w:rFonts w:ascii="Arial" w:eastAsia="Arial" w:hAnsi="Arial" w:cs="Arial"/>
          <w:szCs w:val="23"/>
          <w:lang w:val="fr-CA"/>
        </w:rPr>
      </w:pPr>
    </w:p>
    <w:p w14:paraId="7A80B170" w14:textId="7738886D" w:rsidR="005A321B" w:rsidRPr="00B04E29" w:rsidRDefault="005A321B" w:rsidP="005A321B">
      <w:pPr>
        <w:autoSpaceDE w:val="0"/>
        <w:autoSpaceDN w:val="0"/>
        <w:adjustRightInd w:val="0"/>
        <w:rPr>
          <w:rFonts w:ascii="Arial" w:eastAsia="Arial" w:hAnsi="Arial" w:cs="Arial"/>
          <w:szCs w:val="23"/>
          <w:lang w:val="fr-CA"/>
        </w:rPr>
      </w:pPr>
      <w:r w:rsidRPr="00B04E29">
        <w:rPr>
          <w:rFonts w:ascii="Arial" w:eastAsia="Arial" w:hAnsi="Arial" w:cs="Arial"/>
          <w:szCs w:val="23"/>
          <w:lang w:val="fr-CA"/>
        </w:rPr>
        <w:t xml:space="preserve">3. </w:t>
      </w:r>
      <w:r w:rsidRPr="00B04E29">
        <w:rPr>
          <w:rFonts w:ascii="Arial" w:eastAsia="Arial" w:hAnsi="Arial" w:cs="Arial"/>
          <w:szCs w:val="23"/>
          <w:lang w:val="fr-CA"/>
        </w:rPr>
        <w:tab/>
        <w:t xml:space="preserve">Au moment d’examiner la demande de rejet sommaire, le groupe spécial suit les règles de procédures énoncées à l’annexe 1020. </w:t>
      </w:r>
    </w:p>
    <w:p w14:paraId="36241657" w14:textId="77777777" w:rsidR="005A321B" w:rsidRPr="00B04E29" w:rsidRDefault="005A321B" w:rsidP="005A321B">
      <w:pPr>
        <w:autoSpaceDE w:val="0"/>
        <w:autoSpaceDN w:val="0"/>
        <w:adjustRightInd w:val="0"/>
        <w:ind w:left="1152" w:hanging="576"/>
        <w:rPr>
          <w:rFonts w:ascii="Arial" w:eastAsia="Times New Roman" w:hAnsi="Arial" w:cs="Arial"/>
          <w:szCs w:val="23"/>
          <w:lang w:val="fr-CA"/>
        </w:rPr>
      </w:pPr>
    </w:p>
    <w:p w14:paraId="2179DCCD" w14:textId="77777777" w:rsidR="005A321B" w:rsidRPr="00B04E29" w:rsidRDefault="005A321B" w:rsidP="005A321B">
      <w:pPr>
        <w:jc w:val="center"/>
        <w:rPr>
          <w:rFonts w:ascii="Arial" w:eastAsia="Arial" w:hAnsi="Arial" w:cs="Arial"/>
          <w:b/>
          <w:szCs w:val="23"/>
          <w:lang w:val="fr-CA"/>
        </w:rPr>
      </w:pPr>
      <w:r w:rsidRPr="00B04E29">
        <w:rPr>
          <w:rFonts w:ascii="Arial" w:eastAsia="Arial" w:hAnsi="Arial" w:cs="Arial"/>
          <w:b/>
          <w:szCs w:val="23"/>
          <w:lang w:val="fr-CA"/>
        </w:rPr>
        <w:t xml:space="preserve">Article 1021 : </w:t>
      </w:r>
      <w:r w:rsidRPr="00B04E29">
        <w:rPr>
          <w:rFonts w:ascii="Arial" w:eastAsia="Arial" w:hAnsi="Arial" w:cs="Arial"/>
          <w:b/>
          <w:szCs w:val="23"/>
          <w:lang w:val="fr-CA"/>
        </w:rPr>
        <w:tab/>
        <w:t>Rapport du groupe spécial : Demande de rejet sommaire des procédures</w:t>
      </w:r>
    </w:p>
    <w:p w14:paraId="5B186C1A" w14:textId="77777777" w:rsidR="005A321B" w:rsidRPr="00B04E29" w:rsidRDefault="005A321B" w:rsidP="005A321B">
      <w:pPr>
        <w:rPr>
          <w:rFonts w:ascii="Arial" w:eastAsia="Arial" w:hAnsi="Arial" w:cs="Arial"/>
          <w:b/>
          <w:szCs w:val="23"/>
          <w:lang w:val="fr-CA"/>
        </w:rPr>
      </w:pPr>
    </w:p>
    <w:p w14:paraId="52F81429" w14:textId="1F3F5E8B" w:rsidR="005A321B" w:rsidRPr="00B04E29" w:rsidRDefault="005A321B" w:rsidP="00C319A1">
      <w:pPr>
        <w:numPr>
          <w:ilvl w:val="6"/>
          <w:numId w:val="432"/>
        </w:numPr>
        <w:autoSpaceDE w:val="0"/>
        <w:autoSpaceDN w:val="0"/>
        <w:adjustRightInd w:val="0"/>
        <w:ind w:left="0" w:firstLine="0"/>
        <w:contextualSpacing/>
        <w:rPr>
          <w:rFonts w:ascii="Arial" w:eastAsia="Times New Roman" w:hAnsi="Arial" w:cs="Arial"/>
          <w:szCs w:val="23"/>
          <w:lang w:val="fr-CA"/>
        </w:rPr>
      </w:pPr>
      <w:r w:rsidRPr="00B04E29">
        <w:rPr>
          <w:rFonts w:ascii="Arial" w:eastAsia="Times New Roman" w:hAnsi="Arial" w:cs="Arial"/>
          <w:szCs w:val="23"/>
          <w:lang w:val="fr-CA"/>
        </w:rPr>
        <w:t xml:space="preserve">Dans les 45 jours suivant la réception de la demande de rejet sommaire des procédures en application de l’article 1020.1, le groupe spécial présente un rapport </w:t>
      </w:r>
      <w:r w:rsidRPr="00B04E29">
        <w:rPr>
          <w:rFonts w:ascii="Arial" w:eastAsia="Arial" w:hAnsi="Arial" w:cs="Arial"/>
          <w:szCs w:val="23"/>
          <w:lang w:val="fr-CA"/>
        </w:rPr>
        <w:t>fondé sur les observations des participants et sur toute autre preuve reçue au cours de la procédure.</w:t>
      </w:r>
    </w:p>
    <w:p w14:paraId="122A4642" w14:textId="77777777" w:rsidR="005A321B" w:rsidRPr="00B04E29" w:rsidRDefault="005A321B" w:rsidP="005A321B">
      <w:pPr>
        <w:autoSpaceDE w:val="0"/>
        <w:autoSpaceDN w:val="0"/>
        <w:adjustRightInd w:val="0"/>
        <w:ind w:left="360"/>
        <w:contextualSpacing/>
        <w:rPr>
          <w:rFonts w:ascii="Arial" w:eastAsia="Times New Roman" w:hAnsi="Arial" w:cs="Arial"/>
          <w:szCs w:val="23"/>
          <w:lang w:val="fr-CA"/>
        </w:rPr>
      </w:pPr>
    </w:p>
    <w:p w14:paraId="7AD611E3" w14:textId="5D1AC6EC" w:rsidR="005A321B" w:rsidRPr="00F52884" w:rsidRDefault="005A321B" w:rsidP="00C319A1">
      <w:pPr>
        <w:numPr>
          <w:ilvl w:val="6"/>
          <w:numId w:val="432"/>
        </w:numPr>
        <w:autoSpaceDE w:val="0"/>
        <w:autoSpaceDN w:val="0"/>
        <w:adjustRightInd w:val="0"/>
        <w:ind w:left="0" w:firstLine="0"/>
        <w:contextualSpacing/>
        <w:rPr>
          <w:rFonts w:ascii="Arial" w:eastAsia="Times New Roman" w:hAnsi="Arial" w:cs="Arial"/>
          <w:szCs w:val="23"/>
        </w:rPr>
      </w:pPr>
      <w:r w:rsidRPr="00F52884">
        <w:rPr>
          <w:rFonts w:ascii="Arial" w:eastAsia="Times New Roman" w:hAnsi="Arial" w:cs="Arial"/>
          <w:szCs w:val="23"/>
        </w:rPr>
        <w:t xml:space="preserve">Le rapport </w:t>
      </w:r>
      <w:proofErr w:type="spellStart"/>
      <w:proofErr w:type="gramStart"/>
      <w:r w:rsidRPr="00F52884">
        <w:rPr>
          <w:rFonts w:ascii="Arial" w:eastAsia="Times New Roman" w:hAnsi="Arial" w:cs="Arial"/>
          <w:szCs w:val="23"/>
        </w:rPr>
        <w:t>contient</w:t>
      </w:r>
      <w:proofErr w:type="spellEnd"/>
      <w:r w:rsidRPr="00F52884">
        <w:rPr>
          <w:rFonts w:ascii="Arial" w:eastAsia="Times New Roman" w:hAnsi="Arial" w:cs="Arial"/>
          <w:szCs w:val="23"/>
        </w:rPr>
        <w:t> :</w:t>
      </w:r>
      <w:proofErr w:type="gramEnd"/>
    </w:p>
    <w:p w14:paraId="01792F59" w14:textId="77777777" w:rsidR="005A321B" w:rsidRPr="00F52884" w:rsidRDefault="005A321B" w:rsidP="005A321B">
      <w:pPr>
        <w:autoSpaceDE w:val="0"/>
        <w:autoSpaceDN w:val="0"/>
        <w:adjustRightInd w:val="0"/>
        <w:rPr>
          <w:rFonts w:ascii="Arial" w:eastAsia="Times New Roman" w:hAnsi="Arial" w:cs="Arial"/>
          <w:szCs w:val="23"/>
        </w:rPr>
      </w:pPr>
    </w:p>
    <w:p w14:paraId="211A22CE" w14:textId="77777777" w:rsidR="005A321B" w:rsidRPr="003E0DDA" w:rsidRDefault="005A321B" w:rsidP="007131DD">
      <w:pPr>
        <w:numPr>
          <w:ilvl w:val="0"/>
          <w:numId w:val="70"/>
        </w:numPr>
        <w:autoSpaceDE w:val="0"/>
        <w:autoSpaceDN w:val="0"/>
        <w:adjustRightInd w:val="0"/>
        <w:ind w:left="1440" w:hanging="720"/>
        <w:contextualSpacing/>
        <w:rPr>
          <w:rFonts w:ascii="Arial" w:eastAsia="Times New Roman" w:hAnsi="Arial" w:cs="Arial"/>
          <w:szCs w:val="23"/>
          <w:lang w:val="fr-CA"/>
        </w:rPr>
      </w:pPr>
      <w:proofErr w:type="gramStart"/>
      <w:r w:rsidRPr="003E0DDA">
        <w:rPr>
          <w:rFonts w:ascii="Arial" w:eastAsia="Times New Roman" w:hAnsi="Arial" w:cs="Arial"/>
          <w:szCs w:val="23"/>
          <w:lang w:val="fr-CA"/>
        </w:rPr>
        <w:t>les</w:t>
      </w:r>
      <w:proofErr w:type="gramEnd"/>
      <w:r w:rsidRPr="003E0DDA">
        <w:rPr>
          <w:rFonts w:ascii="Arial" w:eastAsia="Times New Roman" w:hAnsi="Arial" w:cs="Arial"/>
          <w:szCs w:val="23"/>
          <w:lang w:val="fr-CA"/>
        </w:rPr>
        <w:t xml:space="preserve"> conclusions de fait pertinentes à la décision prise;</w:t>
      </w:r>
    </w:p>
    <w:p w14:paraId="02B5F888" w14:textId="77777777" w:rsidR="005A321B" w:rsidRPr="003E0DDA" w:rsidRDefault="005A321B" w:rsidP="007131DD">
      <w:pPr>
        <w:autoSpaceDE w:val="0"/>
        <w:autoSpaceDN w:val="0"/>
        <w:adjustRightInd w:val="0"/>
        <w:ind w:left="1440" w:hanging="720"/>
        <w:contextualSpacing/>
        <w:rPr>
          <w:rFonts w:ascii="Arial" w:eastAsia="Times New Roman" w:hAnsi="Arial" w:cs="Arial"/>
          <w:szCs w:val="23"/>
          <w:lang w:val="fr-CA"/>
        </w:rPr>
      </w:pPr>
    </w:p>
    <w:p w14:paraId="1A0C2129" w14:textId="674E3B90" w:rsidR="005A321B" w:rsidRPr="003E0DDA" w:rsidRDefault="005A321B" w:rsidP="007131DD">
      <w:pPr>
        <w:numPr>
          <w:ilvl w:val="0"/>
          <w:numId w:val="70"/>
        </w:numPr>
        <w:autoSpaceDE w:val="0"/>
        <w:autoSpaceDN w:val="0"/>
        <w:adjustRightInd w:val="0"/>
        <w:ind w:left="1440" w:hanging="720"/>
        <w:contextualSpacing/>
        <w:rPr>
          <w:rFonts w:ascii="Arial" w:eastAsia="Times New Roman" w:hAnsi="Arial" w:cs="Arial"/>
          <w:szCs w:val="23"/>
          <w:lang w:val="fr-CA"/>
        </w:rPr>
      </w:pPr>
      <w:proofErr w:type="gramStart"/>
      <w:r w:rsidRPr="003E0DDA">
        <w:rPr>
          <w:rFonts w:ascii="Arial" w:eastAsia="Times New Roman" w:hAnsi="Arial" w:cs="Arial"/>
          <w:szCs w:val="23"/>
          <w:lang w:val="fr-CA"/>
        </w:rPr>
        <w:t>une</w:t>
      </w:r>
      <w:proofErr w:type="gramEnd"/>
      <w:r w:rsidRPr="003E0DDA">
        <w:rPr>
          <w:rFonts w:ascii="Arial" w:eastAsia="Times New Roman" w:hAnsi="Arial" w:cs="Arial"/>
          <w:szCs w:val="23"/>
          <w:lang w:val="fr-CA"/>
        </w:rPr>
        <w:t xml:space="preserve"> décision, motifs à l’appui, quant à savoir si la demande devrait être accordée ou rejetée en tout ou en partie; </w:t>
      </w:r>
    </w:p>
    <w:p w14:paraId="5E60D004" w14:textId="77777777" w:rsidR="005A321B" w:rsidRPr="003E0DDA" w:rsidRDefault="005A321B" w:rsidP="007131DD">
      <w:pPr>
        <w:autoSpaceDE w:val="0"/>
        <w:autoSpaceDN w:val="0"/>
        <w:adjustRightInd w:val="0"/>
        <w:ind w:left="1440" w:hanging="720"/>
        <w:contextualSpacing/>
        <w:rPr>
          <w:rFonts w:ascii="Arial" w:eastAsia="Times New Roman" w:hAnsi="Arial" w:cs="Arial"/>
          <w:szCs w:val="23"/>
          <w:lang w:val="fr-CA"/>
        </w:rPr>
      </w:pPr>
    </w:p>
    <w:p w14:paraId="4318FF6F" w14:textId="3F4FF428" w:rsidR="005A321B" w:rsidRPr="003E0DDA" w:rsidRDefault="005A321B" w:rsidP="007131DD">
      <w:pPr>
        <w:numPr>
          <w:ilvl w:val="0"/>
          <w:numId w:val="70"/>
        </w:numPr>
        <w:autoSpaceDE w:val="0"/>
        <w:autoSpaceDN w:val="0"/>
        <w:adjustRightInd w:val="0"/>
        <w:ind w:left="1440" w:hanging="720"/>
        <w:rPr>
          <w:rFonts w:ascii="Arial" w:eastAsia="Times New Roman" w:hAnsi="Arial" w:cs="Arial"/>
          <w:szCs w:val="23"/>
          <w:lang w:val="fr-CA"/>
        </w:rPr>
      </w:pPr>
      <w:proofErr w:type="gramStart"/>
      <w:r w:rsidRPr="003E0DDA">
        <w:rPr>
          <w:rFonts w:ascii="Arial" w:eastAsia="Times New Roman" w:hAnsi="Arial" w:cs="Arial"/>
          <w:szCs w:val="23"/>
          <w:lang w:val="fr-CA"/>
        </w:rPr>
        <w:t>s’il</w:t>
      </w:r>
      <w:proofErr w:type="gramEnd"/>
      <w:r w:rsidRPr="003E0DDA">
        <w:rPr>
          <w:rFonts w:ascii="Arial" w:eastAsia="Times New Roman" w:hAnsi="Arial" w:cs="Arial"/>
          <w:szCs w:val="23"/>
          <w:lang w:val="fr-CA"/>
        </w:rPr>
        <w:t xml:space="preserve"> y a lieu, et à la discrétion du groupe spécial, une ordonnance qui attribue les dépens prévus au tarif à la personne plaignante ou au destinataire de la plainte, comme il est prévu à l’annexe 1040;</w:t>
      </w:r>
    </w:p>
    <w:p w14:paraId="310C1C8B"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38AFC475" w14:textId="77777777" w:rsidR="005A321B" w:rsidRPr="003E0DDA" w:rsidRDefault="005A321B" w:rsidP="007131DD">
      <w:pPr>
        <w:numPr>
          <w:ilvl w:val="0"/>
          <w:numId w:val="70"/>
        </w:numPr>
        <w:autoSpaceDE w:val="0"/>
        <w:autoSpaceDN w:val="0"/>
        <w:adjustRightInd w:val="0"/>
        <w:ind w:left="1440" w:hanging="720"/>
        <w:rPr>
          <w:rFonts w:ascii="Arial" w:eastAsia="Times New Roman" w:hAnsi="Arial" w:cs="Arial"/>
          <w:i/>
          <w:szCs w:val="23"/>
          <w:lang w:val="fr-CA"/>
        </w:rPr>
      </w:pPr>
      <w:proofErr w:type="gramStart"/>
      <w:r w:rsidRPr="003E0DDA">
        <w:rPr>
          <w:rFonts w:ascii="Arial" w:eastAsia="Times New Roman" w:hAnsi="Arial" w:cs="Arial"/>
          <w:szCs w:val="23"/>
          <w:lang w:val="fr-CA"/>
        </w:rPr>
        <w:t>une</w:t>
      </w:r>
      <w:proofErr w:type="gramEnd"/>
      <w:r w:rsidRPr="003E0DDA">
        <w:rPr>
          <w:rFonts w:ascii="Arial" w:eastAsia="Times New Roman" w:hAnsi="Arial" w:cs="Arial"/>
          <w:szCs w:val="23"/>
          <w:lang w:val="fr-CA"/>
        </w:rPr>
        <w:t xml:space="preserve"> décision sur la répartition des coûts opérationnels comme il est prévu à l’annexe 1040.</w:t>
      </w:r>
    </w:p>
    <w:p w14:paraId="4A108CAD" w14:textId="77777777" w:rsidR="005A321B" w:rsidRPr="003E0DDA" w:rsidRDefault="005A321B" w:rsidP="005A321B">
      <w:pPr>
        <w:autoSpaceDE w:val="0"/>
        <w:autoSpaceDN w:val="0"/>
        <w:adjustRightInd w:val="0"/>
        <w:ind w:left="1152" w:hanging="576"/>
        <w:rPr>
          <w:rFonts w:ascii="Arial" w:eastAsia="Times New Roman" w:hAnsi="Arial" w:cs="Arial"/>
          <w:i/>
          <w:szCs w:val="23"/>
          <w:lang w:val="fr-CA"/>
        </w:rPr>
      </w:pPr>
    </w:p>
    <w:p w14:paraId="77F1B052" w14:textId="79566B22" w:rsidR="005A321B" w:rsidRPr="003E0DDA" w:rsidRDefault="005A321B" w:rsidP="005A321B">
      <w:pPr>
        <w:rPr>
          <w:rFonts w:ascii="Arial" w:eastAsia="Arial" w:hAnsi="Arial" w:cs="Arial"/>
          <w:szCs w:val="23"/>
          <w:lang w:val="fr-CA"/>
        </w:rPr>
      </w:pPr>
      <w:r w:rsidRPr="003E0DDA">
        <w:rPr>
          <w:rFonts w:ascii="Arial" w:eastAsia="Arial" w:hAnsi="Arial" w:cs="Arial"/>
          <w:szCs w:val="23"/>
          <w:lang w:val="fr-CA"/>
        </w:rPr>
        <w:t xml:space="preserve">3. </w:t>
      </w:r>
      <w:r w:rsidRPr="003E0DDA">
        <w:rPr>
          <w:rFonts w:ascii="Arial" w:eastAsia="Arial" w:hAnsi="Arial" w:cs="Arial"/>
          <w:szCs w:val="23"/>
          <w:lang w:val="fr-CA"/>
        </w:rPr>
        <w:tab/>
        <w:t>Si, dans un rapport en application du paragraphe 1, une demande de rejet sommaire :</w:t>
      </w:r>
    </w:p>
    <w:p w14:paraId="0E063413" w14:textId="77777777" w:rsidR="005A321B" w:rsidRPr="003E0DDA" w:rsidRDefault="005A321B" w:rsidP="005A321B">
      <w:pPr>
        <w:rPr>
          <w:rFonts w:ascii="Arial" w:eastAsia="Arial" w:hAnsi="Arial" w:cs="Arial"/>
          <w:szCs w:val="23"/>
          <w:lang w:val="fr-CA"/>
        </w:rPr>
      </w:pPr>
    </w:p>
    <w:p w14:paraId="1F08812A" w14:textId="0708BA00" w:rsidR="005A321B" w:rsidRPr="003E0DDA" w:rsidRDefault="005A321B" w:rsidP="007131DD">
      <w:pPr>
        <w:numPr>
          <w:ilvl w:val="0"/>
          <w:numId w:val="73"/>
        </w:numPr>
        <w:ind w:left="1440" w:hanging="720"/>
        <w:contextualSpacing/>
        <w:rPr>
          <w:rFonts w:ascii="Arial" w:eastAsia="Arial" w:hAnsi="Arial" w:cs="Arial"/>
          <w:szCs w:val="23"/>
          <w:lang w:val="fr-CA"/>
        </w:rPr>
      </w:pPr>
      <w:proofErr w:type="gramStart"/>
      <w:r w:rsidRPr="003E0DDA">
        <w:rPr>
          <w:rFonts w:ascii="Arial" w:eastAsia="Arial" w:hAnsi="Arial" w:cs="Arial"/>
          <w:szCs w:val="23"/>
          <w:lang w:val="fr-CA"/>
        </w:rPr>
        <w:t>est</w:t>
      </w:r>
      <w:proofErr w:type="gramEnd"/>
      <w:r w:rsidRPr="003E0DDA">
        <w:rPr>
          <w:rFonts w:ascii="Arial" w:eastAsia="Arial" w:hAnsi="Arial" w:cs="Arial"/>
          <w:szCs w:val="23"/>
          <w:lang w:val="fr-CA"/>
        </w:rPr>
        <w:t xml:space="preserve"> accordée, la procédure engagée en application de l’article 1020.1 prend fin;</w:t>
      </w:r>
    </w:p>
    <w:p w14:paraId="244FEDF1" w14:textId="77777777" w:rsidR="005A321B" w:rsidRPr="003E0DDA" w:rsidRDefault="005A321B" w:rsidP="007131DD">
      <w:pPr>
        <w:ind w:left="1440" w:hanging="720"/>
        <w:contextualSpacing/>
        <w:rPr>
          <w:rFonts w:ascii="Arial" w:eastAsia="Arial" w:hAnsi="Arial" w:cs="Arial"/>
          <w:szCs w:val="23"/>
          <w:lang w:val="fr-CA"/>
        </w:rPr>
      </w:pPr>
    </w:p>
    <w:p w14:paraId="29680D8B" w14:textId="77777777" w:rsidR="005A321B" w:rsidRPr="003E0DDA" w:rsidRDefault="005A321B" w:rsidP="007131DD">
      <w:pPr>
        <w:numPr>
          <w:ilvl w:val="0"/>
          <w:numId w:val="73"/>
        </w:numPr>
        <w:ind w:left="1440" w:hanging="720"/>
        <w:contextualSpacing/>
        <w:rPr>
          <w:rFonts w:ascii="Arial" w:eastAsia="Arial" w:hAnsi="Arial" w:cs="Arial"/>
          <w:szCs w:val="23"/>
          <w:lang w:val="fr-CA"/>
        </w:rPr>
      </w:pPr>
      <w:proofErr w:type="gramStart"/>
      <w:r w:rsidRPr="003E0DDA">
        <w:rPr>
          <w:rFonts w:ascii="Arial" w:eastAsia="Arial" w:hAnsi="Arial" w:cs="Arial"/>
          <w:szCs w:val="23"/>
          <w:lang w:val="fr-CA"/>
        </w:rPr>
        <w:t>est</w:t>
      </w:r>
      <w:proofErr w:type="gramEnd"/>
      <w:r w:rsidRPr="003E0DDA">
        <w:rPr>
          <w:rFonts w:ascii="Arial" w:eastAsia="Arial" w:hAnsi="Arial" w:cs="Arial"/>
          <w:szCs w:val="23"/>
          <w:lang w:val="fr-CA"/>
        </w:rPr>
        <w:t xml:space="preserve"> accordée en partie, seule la partie de la plainte qui est rejetée peut être entendue par le groupe spécial conformément à la présente partie;</w:t>
      </w:r>
    </w:p>
    <w:p w14:paraId="17DC62EB" w14:textId="77777777" w:rsidR="005A321B" w:rsidRPr="003E0DDA" w:rsidRDefault="005A321B" w:rsidP="007131DD">
      <w:pPr>
        <w:ind w:left="1440" w:hanging="720"/>
        <w:rPr>
          <w:rFonts w:ascii="Arial" w:eastAsia="Arial" w:hAnsi="Arial" w:cs="Arial"/>
          <w:szCs w:val="23"/>
          <w:lang w:val="fr-CA"/>
        </w:rPr>
      </w:pPr>
    </w:p>
    <w:p w14:paraId="7CCB878A" w14:textId="77777777" w:rsidR="005A321B" w:rsidRPr="003E0DDA" w:rsidRDefault="005A321B" w:rsidP="007131DD">
      <w:pPr>
        <w:numPr>
          <w:ilvl w:val="0"/>
          <w:numId w:val="73"/>
        </w:numPr>
        <w:ind w:left="1440" w:hanging="720"/>
        <w:contextualSpacing/>
        <w:rPr>
          <w:rFonts w:ascii="Arial" w:eastAsia="Arial" w:hAnsi="Arial" w:cs="Arial"/>
          <w:szCs w:val="23"/>
          <w:lang w:val="fr-CA"/>
        </w:rPr>
      </w:pPr>
      <w:proofErr w:type="gramStart"/>
      <w:r w:rsidRPr="003E0DDA">
        <w:rPr>
          <w:rFonts w:ascii="Arial" w:eastAsia="Arial" w:hAnsi="Arial" w:cs="Arial"/>
          <w:szCs w:val="23"/>
          <w:lang w:val="fr-CA"/>
        </w:rPr>
        <w:t>est</w:t>
      </w:r>
      <w:proofErr w:type="gramEnd"/>
      <w:r w:rsidRPr="003E0DDA">
        <w:rPr>
          <w:rFonts w:ascii="Arial" w:eastAsia="Arial" w:hAnsi="Arial" w:cs="Arial"/>
          <w:szCs w:val="23"/>
          <w:lang w:val="fr-CA"/>
        </w:rPr>
        <w:t xml:space="preserve"> rejetée, le groupe spécial peut entendre l’affaire conformément à la présente partie.</w:t>
      </w:r>
    </w:p>
    <w:p w14:paraId="271BC5DA" w14:textId="77777777" w:rsidR="005A321B" w:rsidRPr="003E0DDA" w:rsidRDefault="005A321B" w:rsidP="005A321B">
      <w:pPr>
        <w:autoSpaceDE w:val="0"/>
        <w:autoSpaceDN w:val="0"/>
        <w:adjustRightInd w:val="0"/>
        <w:rPr>
          <w:rFonts w:ascii="Arial" w:eastAsia="Arial" w:hAnsi="Arial" w:cs="Arial"/>
          <w:szCs w:val="23"/>
          <w:lang w:val="fr-CA"/>
        </w:rPr>
      </w:pPr>
    </w:p>
    <w:p w14:paraId="6F81F477" w14:textId="74D455E2" w:rsidR="005A321B" w:rsidRPr="003E0DDA" w:rsidRDefault="005A321B" w:rsidP="005A321B">
      <w:pPr>
        <w:rPr>
          <w:rFonts w:ascii="Arial" w:eastAsia="Arial" w:hAnsi="Arial" w:cs="Arial"/>
          <w:szCs w:val="23"/>
          <w:lang w:val="fr-CA"/>
        </w:rPr>
      </w:pPr>
      <w:r w:rsidRPr="003E0DDA">
        <w:rPr>
          <w:rFonts w:ascii="Arial" w:eastAsia="Arial" w:hAnsi="Arial" w:cs="Arial"/>
          <w:szCs w:val="23"/>
          <w:lang w:val="fr-CA"/>
        </w:rPr>
        <w:t xml:space="preserve">4. </w:t>
      </w:r>
      <w:r w:rsidRPr="003E0DDA">
        <w:rPr>
          <w:rFonts w:ascii="Arial" w:eastAsia="Arial" w:hAnsi="Arial" w:cs="Arial"/>
          <w:szCs w:val="23"/>
          <w:lang w:val="fr-CA"/>
        </w:rPr>
        <w:tab/>
        <w:t xml:space="preserve">Le rapport est final et n’est pas assujetti à un examen judiciaire ou à un appel conformément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1009.1 ou </w:t>
      </w:r>
      <w:r w:rsidRPr="003E0DDA">
        <w:rPr>
          <w:rFonts w:ascii="Arial" w:eastAsia="Times New Roman" w:hAnsi="Arial" w:cs="Arial"/>
          <w:szCs w:val="23"/>
          <w:lang w:val="fr-CA"/>
        </w:rPr>
        <w:t>à l’article </w:t>
      </w:r>
      <w:r w:rsidRPr="003E0DDA">
        <w:rPr>
          <w:rFonts w:ascii="Arial" w:eastAsia="Arial" w:hAnsi="Arial" w:cs="Arial"/>
          <w:szCs w:val="23"/>
          <w:lang w:val="fr-CA"/>
        </w:rPr>
        <w:t>1026.1.</w:t>
      </w:r>
    </w:p>
    <w:p w14:paraId="678C62E1" w14:textId="77777777" w:rsidR="005A321B" w:rsidRPr="003E0DDA" w:rsidRDefault="005A321B" w:rsidP="005A321B">
      <w:pPr>
        <w:autoSpaceDE w:val="0"/>
        <w:autoSpaceDN w:val="0"/>
        <w:adjustRightInd w:val="0"/>
        <w:rPr>
          <w:rFonts w:ascii="Arial" w:eastAsia="Times New Roman" w:hAnsi="Arial" w:cs="Arial"/>
          <w:szCs w:val="23"/>
          <w:lang w:val="fr-CA"/>
        </w:rPr>
      </w:pPr>
    </w:p>
    <w:p w14:paraId="0FBA3014" w14:textId="77777777" w:rsidR="005A321B" w:rsidRPr="003E0DDA" w:rsidRDefault="005A321B" w:rsidP="005A321B">
      <w:pPr>
        <w:jc w:val="center"/>
        <w:rPr>
          <w:rFonts w:ascii="Arial" w:eastAsia="Arial" w:hAnsi="Arial" w:cs="Arial"/>
          <w:b/>
          <w:i/>
          <w:szCs w:val="23"/>
          <w:lang w:val="fr-CA"/>
        </w:rPr>
      </w:pPr>
      <w:bookmarkStart w:id="154" w:name="_Toc357427539"/>
      <w:bookmarkStart w:id="155" w:name="_Toc470079019"/>
      <w:r w:rsidRPr="003E0DDA">
        <w:rPr>
          <w:rFonts w:ascii="Arial" w:eastAsia="Arial" w:hAnsi="Arial" w:cs="Arial"/>
          <w:b/>
          <w:szCs w:val="23"/>
          <w:lang w:val="fr-CA"/>
        </w:rPr>
        <w:t xml:space="preserve">Article 1022 : </w:t>
      </w:r>
      <w:r w:rsidRPr="003E0DDA">
        <w:rPr>
          <w:rFonts w:ascii="Arial" w:eastAsia="Arial" w:hAnsi="Arial" w:cs="Arial"/>
          <w:b/>
          <w:szCs w:val="23"/>
          <w:lang w:val="fr-CA"/>
        </w:rPr>
        <w:tab/>
        <w:t>Mandat</w:t>
      </w:r>
      <w:bookmarkEnd w:id="154"/>
      <w:bookmarkEnd w:id="155"/>
    </w:p>
    <w:p w14:paraId="74D316AD" w14:textId="77777777" w:rsidR="005A321B" w:rsidRPr="003E0DDA" w:rsidRDefault="005A321B" w:rsidP="005A321B">
      <w:pPr>
        <w:autoSpaceDE w:val="0"/>
        <w:autoSpaceDN w:val="0"/>
        <w:adjustRightInd w:val="0"/>
        <w:rPr>
          <w:rFonts w:ascii="Arial" w:eastAsia="Times New Roman" w:hAnsi="Arial" w:cs="Arial"/>
          <w:b/>
          <w:i/>
          <w:szCs w:val="23"/>
          <w:lang w:val="fr-CA"/>
        </w:rPr>
      </w:pPr>
    </w:p>
    <w:p w14:paraId="6119D984" w14:textId="77777777" w:rsidR="005A321B" w:rsidRPr="003E0DDA" w:rsidRDefault="005A321B" w:rsidP="00F52884">
      <w:pPr>
        <w:autoSpaceDE w:val="0"/>
        <w:autoSpaceDN w:val="0"/>
        <w:adjustRightInd w:val="0"/>
        <w:ind w:firstLine="708"/>
        <w:contextualSpacing/>
        <w:rPr>
          <w:rFonts w:ascii="Arial" w:eastAsia="Times New Roman" w:hAnsi="Arial" w:cs="Arial"/>
          <w:szCs w:val="23"/>
          <w:lang w:val="fr-CA"/>
        </w:rPr>
      </w:pPr>
      <w:r w:rsidRPr="003E0DDA">
        <w:rPr>
          <w:rFonts w:ascii="Arial" w:eastAsia="Times New Roman" w:hAnsi="Arial" w:cs="Arial"/>
          <w:szCs w:val="23"/>
          <w:lang w:val="fr-CA"/>
        </w:rPr>
        <w:t xml:space="preserve">Le groupe spécial a pour mandat de vérifier si la mesure effective en cause est incompatible avec le présent accord. </w:t>
      </w:r>
    </w:p>
    <w:p w14:paraId="37BA81BC"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090FC88A" w14:textId="77777777" w:rsidR="005A321B" w:rsidRPr="003E0DDA" w:rsidRDefault="005A321B" w:rsidP="005A321B">
      <w:pPr>
        <w:jc w:val="center"/>
        <w:rPr>
          <w:rFonts w:ascii="Arial" w:eastAsia="Arial" w:hAnsi="Arial" w:cs="Arial"/>
          <w:b/>
          <w:szCs w:val="23"/>
          <w:lang w:val="fr-CA"/>
        </w:rPr>
      </w:pPr>
      <w:bookmarkStart w:id="156" w:name="_Toc357427540"/>
      <w:bookmarkStart w:id="157" w:name="_Toc470079020"/>
      <w:r w:rsidRPr="003E0DDA">
        <w:rPr>
          <w:rFonts w:ascii="Arial" w:eastAsia="Arial" w:hAnsi="Arial" w:cs="Arial"/>
          <w:b/>
          <w:szCs w:val="23"/>
          <w:lang w:val="fr-CA"/>
        </w:rPr>
        <w:t xml:space="preserve">Article 1023 : </w:t>
      </w:r>
      <w:r w:rsidRPr="003E0DDA">
        <w:rPr>
          <w:rFonts w:ascii="Arial" w:eastAsia="Arial" w:hAnsi="Arial" w:cs="Arial"/>
          <w:b/>
          <w:szCs w:val="23"/>
          <w:lang w:val="fr-CA"/>
        </w:rPr>
        <w:tab/>
        <w:t>Parties ajoutées à titre d’intervenants</w:t>
      </w:r>
      <w:bookmarkEnd w:id="156"/>
      <w:bookmarkEnd w:id="157"/>
    </w:p>
    <w:p w14:paraId="3D8D154C" w14:textId="77777777" w:rsidR="005A321B" w:rsidRPr="003E0DDA" w:rsidRDefault="005A321B" w:rsidP="005A321B">
      <w:pPr>
        <w:autoSpaceDE w:val="0"/>
        <w:autoSpaceDN w:val="0"/>
        <w:adjustRightInd w:val="0"/>
        <w:rPr>
          <w:rFonts w:ascii="Arial" w:eastAsia="Times New Roman" w:hAnsi="Arial" w:cs="Arial"/>
          <w:szCs w:val="23"/>
          <w:lang w:val="fr-CA"/>
        </w:rPr>
      </w:pPr>
    </w:p>
    <w:p w14:paraId="6876E32B" w14:textId="0F97B4B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Une Partie qui a, dans la question faisant l’objet du différend, un intérêt substantiel au sens du paragraphe 3, a le droit d’intervenir aux procédures à titre d’intervenant en remettant un avis écrit à la personne plaignante, aux autres Parties et au Secrétariat dans les 15 jours qui suivent la date de la remise de la demande d’établissement du groupe spécial au Secrétariat en application de l’article 1018.1.</w:t>
      </w:r>
    </w:p>
    <w:p w14:paraId="33F5CB4D" w14:textId="77777777" w:rsidR="005A321B" w:rsidRPr="003E0DDA" w:rsidRDefault="005A321B" w:rsidP="005A321B">
      <w:pPr>
        <w:autoSpaceDE w:val="0"/>
        <w:autoSpaceDN w:val="0"/>
        <w:adjustRightInd w:val="0"/>
        <w:rPr>
          <w:rFonts w:ascii="Arial" w:eastAsia="Times New Roman" w:hAnsi="Arial" w:cs="Arial"/>
          <w:szCs w:val="23"/>
          <w:lang w:val="fr-CA"/>
        </w:rPr>
      </w:pPr>
    </w:p>
    <w:p w14:paraId="77852B47" w14:textId="49FC8DE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Le paragraphe 1 ne s’applique pas à la Partie de la personne plaignante. </w:t>
      </w:r>
    </w:p>
    <w:p w14:paraId="4ADA289F" w14:textId="77777777" w:rsidR="005A321B" w:rsidRPr="003E0DDA" w:rsidRDefault="005A321B" w:rsidP="005A321B">
      <w:pPr>
        <w:autoSpaceDE w:val="0"/>
        <w:autoSpaceDN w:val="0"/>
        <w:adjustRightInd w:val="0"/>
        <w:rPr>
          <w:rFonts w:ascii="Arial" w:eastAsia="Times New Roman" w:hAnsi="Arial" w:cs="Arial"/>
          <w:szCs w:val="23"/>
          <w:lang w:val="fr-CA"/>
        </w:rPr>
      </w:pPr>
    </w:p>
    <w:p w14:paraId="2E552FE8"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Une Partie a un intérêt substantiel dans la question faisant l’objet du différend dans l’un ou l’autre des cas suivants :</w:t>
      </w:r>
    </w:p>
    <w:p w14:paraId="151BB073" w14:textId="77777777" w:rsidR="005A321B" w:rsidRPr="003E0DDA" w:rsidRDefault="005A321B" w:rsidP="005A321B">
      <w:pPr>
        <w:autoSpaceDE w:val="0"/>
        <w:autoSpaceDN w:val="0"/>
        <w:adjustRightInd w:val="0"/>
        <w:rPr>
          <w:rFonts w:ascii="Arial" w:eastAsia="Times New Roman" w:hAnsi="Arial" w:cs="Arial"/>
          <w:szCs w:val="23"/>
          <w:lang w:val="fr-CA"/>
        </w:rPr>
      </w:pPr>
    </w:p>
    <w:p w14:paraId="624CE519" w14:textId="78DD6E79"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la Partie maintient une mesure analogue à la mesure contestée;</w:t>
      </w:r>
    </w:p>
    <w:p w14:paraId="3AFDC833"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34F61762" w14:textId="1C463805"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la Partie est une Province et il y a un nombre suffisant de Personnes qui font des affaires sur son territoire et qui sont affectées par la mesure en cause.</w:t>
      </w:r>
    </w:p>
    <w:p w14:paraId="5FEBCFAF" w14:textId="77777777" w:rsidR="005A321B" w:rsidRPr="003E0DDA" w:rsidRDefault="005A321B" w:rsidP="005A321B">
      <w:pPr>
        <w:autoSpaceDE w:val="0"/>
        <w:autoSpaceDN w:val="0"/>
        <w:adjustRightInd w:val="0"/>
        <w:ind w:left="1152" w:hanging="576"/>
        <w:rPr>
          <w:rFonts w:ascii="Arial" w:eastAsia="Times New Roman" w:hAnsi="Arial" w:cs="Arial"/>
          <w:szCs w:val="23"/>
          <w:lang w:val="fr-CA"/>
        </w:rPr>
      </w:pPr>
    </w:p>
    <w:p w14:paraId="748B588B" w14:textId="77777777" w:rsidR="005A321B" w:rsidRPr="003E0DDA" w:rsidRDefault="005A321B" w:rsidP="005A321B">
      <w:pPr>
        <w:jc w:val="center"/>
        <w:rPr>
          <w:rFonts w:ascii="Arial" w:eastAsia="Arial" w:hAnsi="Arial" w:cs="Arial"/>
          <w:b/>
          <w:szCs w:val="23"/>
          <w:lang w:val="fr-CA"/>
        </w:rPr>
      </w:pPr>
      <w:bookmarkStart w:id="158" w:name="_Toc357427542"/>
      <w:bookmarkStart w:id="159" w:name="_Toc470079021"/>
      <w:r w:rsidRPr="003E0DDA">
        <w:rPr>
          <w:rFonts w:ascii="Arial" w:eastAsia="Arial" w:hAnsi="Arial" w:cs="Arial"/>
          <w:b/>
          <w:szCs w:val="23"/>
          <w:lang w:val="fr-CA"/>
        </w:rPr>
        <w:t xml:space="preserve">Article 1024 : </w:t>
      </w:r>
      <w:r w:rsidRPr="003E0DDA">
        <w:rPr>
          <w:rFonts w:ascii="Arial" w:eastAsia="Arial" w:hAnsi="Arial" w:cs="Arial"/>
          <w:b/>
          <w:szCs w:val="23"/>
          <w:lang w:val="fr-CA"/>
        </w:rPr>
        <w:tab/>
        <w:t>Règles de procédure de l’organe décisionnel</w:t>
      </w:r>
      <w:bookmarkEnd w:id="158"/>
      <w:bookmarkEnd w:id="159"/>
    </w:p>
    <w:p w14:paraId="20D0C2E3" w14:textId="77777777" w:rsidR="005A321B" w:rsidRPr="003E0DDA" w:rsidRDefault="005A321B" w:rsidP="005A321B">
      <w:pPr>
        <w:autoSpaceDE w:val="0"/>
        <w:autoSpaceDN w:val="0"/>
        <w:adjustRightInd w:val="0"/>
        <w:rPr>
          <w:rFonts w:ascii="Arial" w:eastAsia="Times New Roman" w:hAnsi="Arial" w:cs="Arial"/>
          <w:szCs w:val="23"/>
          <w:lang w:val="fr-CA"/>
        </w:rPr>
      </w:pPr>
    </w:p>
    <w:p w14:paraId="03D131A5" w14:textId="5A7669F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Les Règles de procédure des groupes spéciaux, des groupes spéciaux de l’observation des décisions et des groupes spéciaux d’appel figurant à l’annexe 1007.1 et 1024.1 s’appliquent aux procédures au titre de la présente partie, sauf modification par un organe décisionnel, au besoin.</w:t>
      </w:r>
    </w:p>
    <w:p w14:paraId="0B6A3CBE" w14:textId="77777777" w:rsidR="005A321B" w:rsidRPr="003E0DDA" w:rsidRDefault="005A321B" w:rsidP="005A321B">
      <w:pPr>
        <w:autoSpaceDE w:val="0"/>
        <w:autoSpaceDN w:val="0"/>
        <w:adjustRightInd w:val="0"/>
        <w:rPr>
          <w:rFonts w:ascii="Arial" w:eastAsia="Times New Roman" w:hAnsi="Arial" w:cs="Arial"/>
          <w:szCs w:val="23"/>
          <w:lang w:val="fr-CA"/>
        </w:rPr>
      </w:pPr>
    </w:p>
    <w:p w14:paraId="05A9088A" w14:textId="0D64A51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L’organe décisionnel peut obtenir de toute Personne ou de tout organisme les renseignements et conseils spécialisés qu’il juge appropriés, pourvu que les participants y consentent, et sous réserve des modalités et conditions qui suivent et d’autres modalités convenues par les participants :</w:t>
      </w:r>
    </w:p>
    <w:p w14:paraId="40B93C7F" w14:textId="77777777" w:rsidR="005A321B" w:rsidRPr="003E0DDA" w:rsidRDefault="005A321B" w:rsidP="005A321B">
      <w:pPr>
        <w:autoSpaceDE w:val="0"/>
        <w:autoSpaceDN w:val="0"/>
        <w:adjustRightInd w:val="0"/>
        <w:rPr>
          <w:rFonts w:ascii="Arial" w:eastAsia="Times New Roman" w:hAnsi="Arial" w:cs="Arial"/>
          <w:szCs w:val="23"/>
          <w:lang w:val="fr-CA"/>
        </w:rPr>
      </w:pPr>
    </w:p>
    <w:p w14:paraId="1D52ADFA" w14:textId="40FD4F52"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si une question de procédure est soulevée, l’organe décisionnel cherche d’abord à obtenir l’avis des participants. L’organe décisionnel, si la question de procédure n’est pas réglée à sa satisfaction, peut </w:t>
      </w:r>
      <w:proofErr w:type="gramStart"/>
      <w:r w:rsidRPr="003E0DDA">
        <w:rPr>
          <w:rFonts w:ascii="Arial" w:eastAsia="Times New Roman" w:hAnsi="Arial" w:cs="Arial"/>
          <w:szCs w:val="23"/>
          <w:lang w:val="fr-CA"/>
        </w:rPr>
        <w:t>demander à ce</w:t>
      </w:r>
      <w:proofErr w:type="gramEnd"/>
      <w:r w:rsidRPr="003E0DDA">
        <w:rPr>
          <w:rFonts w:ascii="Arial" w:eastAsia="Times New Roman" w:hAnsi="Arial" w:cs="Arial"/>
          <w:szCs w:val="23"/>
          <w:lang w:val="fr-CA"/>
        </w:rPr>
        <w:t xml:space="preserve"> que le Secrétariat obtienne un avis juridique indépendant sur la question de procédure. </w:t>
      </w:r>
    </w:p>
    <w:p w14:paraId="07E9217F"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15B6B82A" w14:textId="2443A1C9"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la demande visée à l’alinéa a) est présentée par écrit au Secrétariat, avec copies aux participants, et elle fait état de la question de procédure pour laquelle un avis est demandé. Le Secrétariat retient les services d’un avocat </w:t>
      </w:r>
      <w:r w:rsidRPr="003E0DDA">
        <w:rPr>
          <w:rFonts w:ascii="Arial" w:eastAsia="Times New Roman" w:hAnsi="Arial" w:cs="Arial"/>
          <w:szCs w:val="23"/>
          <w:lang w:val="fr-CA"/>
        </w:rPr>
        <w:lastRenderedPageBreak/>
        <w:t xml:space="preserve">compétent et transmet immédiatement l’avis juridique obtenu de ce dernier à l’organe décisionnel, avec copies aux participants. </w:t>
      </w:r>
    </w:p>
    <w:p w14:paraId="1DC3F17C" w14:textId="77777777" w:rsidR="005A321B" w:rsidRPr="003E0DDA" w:rsidRDefault="005A321B" w:rsidP="005A321B">
      <w:pPr>
        <w:autoSpaceDE w:val="0"/>
        <w:autoSpaceDN w:val="0"/>
        <w:adjustRightInd w:val="0"/>
        <w:rPr>
          <w:rFonts w:ascii="Arial" w:eastAsia="Times New Roman" w:hAnsi="Arial" w:cs="Arial"/>
          <w:szCs w:val="23"/>
          <w:lang w:val="fr-CA"/>
        </w:rPr>
      </w:pPr>
    </w:p>
    <w:p w14:paraId="0113EDCE" w14:textId="5D01139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 xml:space="preserve">Dans la mesure où les circonstances et l’équité le permettent, toutes les procédures devant un organe décisionnel se déroulent sans formalisme et avec célérité. </w:t>
      </w:r>
    </w:p>
    <w:p w14:paraId="74969D72" w14:textId="77777777" w:rsidR="005A321B" w:rsidRPr="003E0DDA" w:rsidRDefault="005A321B" w:rsidP="005A321B">
      <w:pPr>
        <w:autoSpaceDE w:val="0"/>
        <w:autoSpaceDN w:val="0"/>
        <w:adjustRightInd w:val="0"/>
        <w:rPr>
          <w:rFonts w:ascii="Arial" w:eastAsia="Times New Roman" w:hAnsi="Arial" w:cs="Arial"/>
          <w:szCs w:val="23"/>
          <w:lang w:val="fr-CA"/>
        </w:rPr>
      </w:pPr>
    </w:p>
    <w:p w14:paraId="512325A9" w14:textId="01AE8C2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4.</w:t>
      </w:r>
      <w:r w:rsidRPr="003E0DDA">
        <w:rPr>
          <w:rFonts w:ascii="Arial" w:eastAsia="Arial" w:hAnsi="Arial" w:cs="Arial"/>
          <w:szCs w:val="23"/>
          <w:lang w:val="fr-CA"/>
        </w:rPr>
        <w:tab/>
        <w:t xml:space="preserve">Sous réserve de l’article 203.3 </w:t>
      </w:r>
      <w:r w:rsidRPr="003E0DDA">
        <w:rPr>
          <w:rFonts w:ascii="Arial" w:eastAsia="Arial" w:hAnsi="Arial" w:cs="Arial"/>
          <w:iCs/>
          <w:szCs w:val="23"/>
          <w:lang w:val="fr-CA"/>
        </w:rPr>
        <w:t>(Transparence</w:t>
      </w:r>
      <w:r w:rsidRPr="003E0DDA">
        <w:rPr>
          <w:rFonts w:ascii="Arial" w:eastAsia="Arial" w:hAnsi="Arial" w:cs="Arial"/>
          <w:szCs w:val="23"/>
          <w:lang w:val="fr-CA"/>
        </w:rPr>
        <w:t>) et de l’article 517.2 (Divulgation de renseignements) et de tous les privilèges, protections ou exigences prévus par la loi, les litigants se communiquent les renseignements en leur possession qui sont pertinents aux points en litige entre eux, et en fournissent des copies aux autres participants, de façon à faire en sorte de veiller à ce que les points en litige soient dûment présentés et entendus par l’organe décisionnel. Ce faisant, les litigants et les participants traitent les renseignements confidentiels reçus de la même façon que le fait le litigant qui les fournit.</w:t>
      </w:r>
    </w:p>
    <w:p w14:paraId="4C68A487" w14:textId="77777777" w:rsidR="005A321B" w:rsidRPr="003E0DDA" w:rsidRDefault="005A321B" w:rsidP="005A321B">
      <w:pPr>
        <w:spacing w:line="271" w:lineRule="auto"/>
        <w:outlineLvl w:val="2"/>
        <w:rPr>
          <w:rFonts w:ascii="Arial" w:eastAsia="SimHei" w:hAnsi="Arial" w:cs="Arial"/>
          <w:b/>
          <w:bCs/>
          <w:szCs w:val="23"/>
          <w:lang w:val="fr-CA"/>
        </w:rPr>
      </w:pPr>
      <w:bookmarkStart w:id="160" w:name="_Toc357427543"/>
    </w:p>
    <w:p w14:paraId="657CAA9A" w14:textId="77777777" w:rsidR="005A321B" w:rsidRPr="003E0DDA" w:rsidRDefault="005A321B" w:rsidP="005A321B">
      <w:pPr>
        <w:jc w:val="center"/>
        <w:rPr>
          <w:rFonts w:ascii="Arial" w:eastAsia="Arial" w:hAnsi="Arial" w:cs="Arial"/>
          <w:b/>
          <w:szCs w:val="23"/>
          <w:lang w:val="fr-CA"/>
        </w:rPr>
      </w:pPr>
      <w:bookmarkStart w:id="161" w:name="_Toc470079022"/>
      <w:r w:rsidRPr="003E0DDA">
        <w:rPr>
          <w:rFonts w:ascii="Arial" w:eastAsia="Arial" w:hAnsi="Arial" w:cs="Arial"/>
          <w:b/>
          <w:szCs w:val="23"/>
          <w:lang w:val="fr-CA"/>
        </w:rPr>
        <w:t xml:space="preserve">Article 1025 : </w:t>
      </w:r>
      <w:r w:rsidRPr="003E0DDA">
        <w:rPr>
          <w:rFonts w:ascii="Arial" w:eastAsia="Arial" w:hAnsi="Arial" w:cs="Arial"/>
          <w:b/>
          <w:szCs w:val="23"/>
          <w:lang w:val="fr-CA"/>
        </w:rPr>
        <w:tab/>
        <w:t>Rapport du groupe spécial</w:t>
      </w:r>
      <w:bookmarkEnd w:id="160"/>
      <w:bookmarkEnd w:id="161"/>
    </w:p>
    <w:p w14:paraId="7AA9D4CC"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605583CE" w14:textId="6D55440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 xml:space="preserve">Le groupe spécial présente un rapport fondé sur les observations des participants et sur tout autre élément de preuve reçu au cours de la procédure. </w:t>
      </w:r>
    </w:p>
    <w:p w14:paraId="4BAE4CAD" w14:textId="77777777" w:rsidR="005A321B" w:rsidRPr="003E0DDA" w:rsidRDefault="005A321B" w:rsidP="005A321B">
      <w:pPr>
        <w:autoSpaceDE w:val="0"/>
        <w:autoSpaceDN w:val="0"/>
        <w:adjustRightInd w:val="0"/>
        <w:rPr>
          <w:rFonts w:ascii="Arial" w:eastAsia="Times New Roman" w:hAnsi="Arial" w:cs="Arial"/>
          <w:szCs w:val="23"/>
          <w:lang w:val="fr-CA"/>
        </w:rPr>
      </w:pPr>
    </w:p>
    <w:p w14:paraId="78C076B0" w14:textId="7B20078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Si le groupe spécial ne peut présenter le rapport dans le délai stipulé à la règle 52 de l’annexe 1007.1 et 1024.1, il ne perd pas compétence et informe les participants par écrit des motifs du retard, ainsi que de la date approximative à laquelle il publiera le rapport. </w:t>
      </w:r>
    </w:p>
    <w:p w14:paraId="0A964915" w14:textId="77777777" w:rsidR="005A321B" w:rsidRPr="003E0DDA" w:rsidRDefault="005A321B" w:rsidP="005A321B">
      <w:pPr>
        <w:autoSpaceDE w:val="0"/>
        <w:autoSpaceDN w:val="0"/>
        <w:adjustRightInd w:val="0"/>
        <w:rPr>
          <w:rFonts w:ascii="Arial" w:eastAsia="Times New Roman" w:hAnsi="Arial" w:cs="Arial"/>
          <w:szCs w:val="23"/>
          <w:lang w:val="fr-CA"/>
        </w:rPr>
      </w:pPr>
    </w:p>
    <w:p w14:paraId="427E69F2" w14:textId="17E3C40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r>
      <w:r w:rsidR="00457325" w:rsidRPr="003E0DDA">
        <w:rPr>
          <w:rFonts w:ascii="Arial" w:eastAsia="Times New Roman" w:hAnsi="Arial" w:cs="Arial"/>
          <w:szCs w:val="23"/>
          <w:lang w:val="fr-CA"/>
        </w:rPr>
        <w:t xml:space="preserve">Le </w:t>
      </w:r>
      <w:r w:rsidRPr="003E0DDA">
        <w:rPr>
          <w:rFonts w:ascii="Arial" w:eastAsia="Times New Roman" w:hAnsi="Arial" w:cs="Arial"/>
          <w:szCs w:val="23"/>
          <w:lang w:val="fr-CA"/>
        </w:rPr>
        <w:t>rapport contient :</w:t>
      </w:r>
    </w:p>
    <w:p w14:paraId="06B32F0D" w14:textId="77777777" w:rsidR="005A321B" w:rsidRPr="003E0DDA" w:rsidRDefault="005A321B" w:rsidP="005A321B">
      <w:pPr>
        <w:autoSpaceDE w:val="0"/>
        <w:autoSpaceDN w:val="0"/>
        <w:adjustRightInd w:val="0"/>
        <w:rPr>
          <w:rFonts w:ascii="Arial" w:eastAsia="Times New Roman" w:hAnsi="Arial" w:cs="Arial"/>
          <w:szCs w:val="23"/>
          <w:lang w:val="fr-CA"/>
        </w:rPr>
      </w:pPr>
    </w:p>
    <w:p w14:paraId="2320B9CD" w14:textId="0A8526D2"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les conclusions de fait;</w:t>
      </w:r>
    </w:p>
    <w:p w14:paraId="3984AA2A"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3180EC0B" w14:textId="312EF139"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la détermination, motifs à l’appui, quant à savoir si la mesure en cause est incompatible avec le présent accord;</w:t>
      </w:r>
    </w:p>
    <w:p w14:paraId="39EC3338"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3575C14A" w14:textId="350F0B85"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si une détermination affirmative a été rendue suivant l’alinéa b), une détermination, motifs à l’appui, quant à savoir si la mesure a nui au commerce, à l’investissement ou à la mobilité de la main-d’œuvre à l’intérieur du Canada et a causé un dommage ou entraîné un refus d’avantages;</w:t>
      </w:r>
    </w:p>
    <w:p w14:paraId="0184F47A"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64A38F76" w14:textId="4183FC9F"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si un litigant en fait la demande, des recommandations visant à faciliter le règlement du différend;</w:t>
      </w:r>
    </w:p>
    <w:p w14:paraId="71C382F9"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74847F58" w14:textId="5E8ED286"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 xml:space="preserve">s’il y a lieu, et à la discrétion du groupe spécial, une stipulation du délai imparti dans </w:t>
      </w:r>
      <w:proofErr w:type="gramStart"/>
      <w:r w:rsidRPr="003E0DDA">
        <w:rPr>
          <w:rFonts w:ascii="Arial" w:eastAsia="Times New Roman" w:hAnsi="Arial" w:cs="Arial"/>
          <w:szCs w:val="23"/>
          <w:lang w:val="fr-CA"/>
        </w:rPr>
        <w:t>lequel  le</w:t>
      </w:r>
      <w:proofErr w:type="gramEnd"/>
      <w:r w:rsidRPr="003E0DDA">
        <w:rPr>
          <w:rFonts w:ascii="Arial" w:eastAsia="Times New Roman" w:hAnsi="Arial" w:cs="Arial"/>
          <w:szCs w:val="23"/>
          <w:lang w:val="fr-CA"/>
        </w:rPr>
        <w:t xml:space="preserve"> destinataire de la plainte est tenu de se conformer au présent accord; </w:t>
      </w:r>
    </w:p>
    <w:p w14:paraId="1A163A99"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61D2BB26" w14:textId="282F482E"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f)</w:t>
      </w:r>
      <w:r w:rsidRPr="003E0DDA">
        <w:rPr>
          <w:rFonts w:ascii="Arial" w:eastAsia="Times New Roman" w:hAnsi="Arial" w:cs="Arial"/>
          <w:szCs w:val="23"/>
          <w:lang w:val="fr-CA"/>
        </w:rPr>
        <w:tab/>
        <w:t>s’il y a lieu, et à la discrétion du groupe spécial, une ordonnance qui attribue les dépens prévus au tarif à la personne plaignante, comme il est prévu à l’annexe 1040;</w:t>
      </w:r>
    </w:p>
    <w:p w14:paraId="6C628A27"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1B5AE2D8" w14:textId="38F0DCF6" w:rsidR="005A321B" w:rsidRPr="003E0DDA" w:rsidRDefault="005A321B" w:rsidP="007131DD">
      <w:pPr>
        <w:autoSpaceDE w:val="0"/>
        <w:autoSpaceDN w:val="0"/>
        <w:adjustRightInd w:val="0"/>
        <w:ind w:left="1440" w:hanging="720"/>
        <w:rPr>
          <w:rFonts w:ascii="Arial" w:eastAsia="Times New Roman" w:hAnsi="Arial" w:cs="Arial"/>
          <w:i/>
          <w:szCs w:val="23"/>
          <w:lang w:val="fr-CA"/>
        </w:rPr>
      </w:pPr>
      <w:r w:rsidRPr="003E0DDA">
        <w:rPr>
          <w:rFonts w:ascii="Arial" w:eastAsia="Times New Roman" w:hAnsi="Arial" w:cs="Arial"/>
          <w:szCs w:val="23"/>
          <w:lang w:val="fr-CA"/>
        </w:rPr>
        <w:t>g)</w:t>
      </w:r>
      <w:r w:rsidRPr="003E0DDA">
        <w:rPr>
          <w:rFonts w:ascii="Arial" w:eastAsia="Times New Roman" w:hAnsi="Arial" w:cs="Arial"/>
          <w:szCs w:val="23"/>
          <w:lang w:val="fr-CA"/>
        </w:rPr>
        <w:tab/>
        <w:t>une détermination sur la répartition des coûts opérationnels comme il est prévu à l’annexe 1040.</w:t>
      </w:r>
    </w:p>
    <w:p w14:paraId="08BD48DF" w14:textId="77777777" w:rsidR="005A321B" w:rsidRPr="003E0DDA" w:rsidRDefault="005A321B" w:rsidP="005A321B">
      <w:pPr>
        <w:autoSpaceDE w:val="0"/>
        <w:autoSpaceDN w:val="0"/>
        <w:adjustRightInd w:val="0"/>
        <w:ind w:left="720"/>
        <w:rPr>
          <w:rFonts w:ascii="Arial" w:eastAsia="Times New Roman" w:hAnsi="Arial" w:cs="Arial"/>
          <w:i/>
          <w:szCs w:val="23"/>
          <w:lang w:val="fr-CA"/>
        </w:rPr>
      </w:pPr>
    </w:p>
    <w:p w14:paraId="60A142AA" w14:textId="4EABAD8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Le groupe spécial demeure compétent pour évaluer une ordonnance sur les coûts après qu’il a présenté le rapport et il peut à la demande d’un litigant ou de son propre chef, rendre une ordonnance sur le</w:t>
      </w:r>
      <w:r w:rsidR="00457325" w:rsidRPr="003E0DDA">
        <w:rPr>
          <w:rFonts w:ascii="Arial" w:eastAsia="Times New Roman" w:hAnsi="Arial" w:cs="Arial"/>
          <w:szCs w:val="23"/>
          <w:lang w:val="fr-CA"/>
        </w:rPr>
        <w:t>s</w:t>
      </w:r>
      <w:r w:rsidRPr="003E0DDA">
        <w:rPr>
          <w:rFonts w:ascii="Arial" w:eastAsia="Times New Roman" w:hAnsi="Arial" w:cs="Arial"/>
          <w:szCs w:val="23"/>
          <w:lang w:val="fr-CA"/>
        </w:rPr>
        <w:t xml:space="preserve"> coûts.</w:t>
      </w:r>
    </w:p>
    <w:p w14:paraId="258761AE"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 </w:t>
      </w:r>
    </w:p>
    <w:p w14:paraId="55BB1598" w14:textId="0BA4D4F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Dans les 10 jours qui suivent la réception du rapport, un participant peut, sur remise d’un avis au président du groupe spécial, au Secrétariat et aux autres participants, demander au groupe spécial, selon le cas :</w:t>
      </w:r>
    </w:p>
    <w:p w14:paraId="053849B4" w14:textId="77777777" w:rsidR="005A321B" w:rsidRPr="003E0DDA" w:rsidRDefault="005A321B" w:rsidP="005A321B">
      <w:pPr>
        <w:autoSpaceDE w:val="0"/>
        <w:autoSpaceDN w:val="0"/>
        <w:adjustRightInd w:val="0"/>
        <w:rPr>
          <w:rFonts w:ascii="Arial" w:eastAsia="Times New Roman" w:hAnsi="Arial" w:cs="Arial"/>
          <w:szCs w:val="23"/>
          <w:lang w:val="fr-CA"/>
        </w:rPr>
      </w:pPr>
    </w:p>
    <w:p w14:paraId="5B703DEE" w14:textId="1A41241F"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d’éclaircir un ou plusieurs points du rapport, auquel cas le groupe spécial, dans les 15 jours qui suivent la réception de l’avis, fournit des éclaircissements;</w:t>
      </w:r>
    </w:p>
    <w:p w14:paraId="7C04AE7F"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5AA73293" w14:textId="1741BDAD"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de corriger, dans le rapport, toute erreur de calcul ou de traduction, toute erreur d’écritures ou typographique, ou toute erreur de nature semblable, auquel cas le groupe spécial peut, dans les 15 jours qui suivent la réception de l’avis, apporter les corrections jugées opportunes.</w:t>
      </w:r>
    </w:p>
    <w:p w14:paraId="5B4C15BB" w14:textId="77777777" w:rsidR="005A321B" w:rsidRPr="003E0DDA" w:rsidRDefault="005A321B" w:rsidP="005A321B">
      <w:pPr>
        <w:autoSpaceDE w:val="0"/>
        <w:autoSpaceDN w:val="0"/>
        <w:adjustRightInd w:val="0"/>
        <w:rPr>
          <w:rFonts w:ascii="Arial" w:eastAsia="Times New Roman" w:hAnsi="Arial" w:cs="Arial"/>
          <w:szCs w:val="23"/>
          <w:lang w:val="fr-CA"/>
        </w:rPr>
      </w:pPr>
    </w:p>
    <w:p w14:paraId="10EA8918" w14:textId="77777777" w:rsidR="005A321B" w:rsidRPr="003E0DDA" w:rsidRDefault="005A321B" w:rsidP="005A321B">
      <w:pPr>
        <w:jc w:val="center"/>
        <w:rPr>
          <w:rFonts w:ascii="Arial" w:eastAsia="Arial" w:hAnsi="Arial" w:cs="Arial"/>
          <w:b/>
          <w:szCs w:val="23"/>
          <w:lang w:val="fr-CA"/>
        </w:rPr>
      </w:pPr>
      <w:bookmarkStart w:id="162" w:name="_Toc357427544"/>
      <w:bookmarkStart w:id="163" w:name="_Toc470079023"/>
      <w:r w:rsidRPr="003E0DDA">
        <w:rPr>
          <w:rFonts w:ascii="Arial" w:eastAsia="Arial" w:hAnsi="Arial" w:cs="Arial"/>
          <w:b/>
          <w:szCs w:val="23"/>
          <w:lang w:val="fr-CA"/>
        </w:rPr>
        <w:t xml:space="preserve">Article 1026 : </w:t>
      </w:r>
      <w:r w:rsidRPr="003E0DDA">
        <w:rPr>
          <w:rFonts w:ascii="Arial" w:eastAsia="Arial" w:hAnsi="Arial" w:cs="Arial"/>
          <w:b/>
          <w:szCs w:val="23"/>
          <w:lang w:val="fr-CA"/>
        </w:rPr>
        <w:tab/>
        <w:t>Groupe spécial d’appel : Compétence et processus</w:t>
      </w:r>
      <w:bookmarkEnd w:id="162"/>
      <w:bookmarkEnd w:id="163"/>
    </w:p>
    <w:p w14:paraId="109A0F40"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0147C034" w14:textId="0F3A9CB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 xml:space="preserve">Un litigant peut interjeter appel d’un rapport devant un groupe spécial d’appel aux motifs que le groupe spécial a commis une erreur de droit, n’a pas observé un principe de justice naturelle, ou a excédé sa compétence ou a refusé de l’exercer. Un intervenant ne peut pas interjeter appel d’un rapport. </w:t>
      </w:r>
    </w:p>
    <w:p w14:paraId="38A535FA" w14:textId="77777777" w:rsidR="005A321B" w:rsidRPr="003E0DDA" w:rsidRDefault="005A321B" w:rsidP="005A321B">
      <w:pPr>
        <w:autoSpaceDE w:val="0"/>
        <w:autoSpaceDN w:val="0"/>
        <w:adjustRightInd w:val="0"/>
        <w:rPr>
          <w:rFonts w:ascii="Arial" w:eastAsia="Times New Roman" w:hAnsi="Arial" w:cs="Arial"/>
          <w:szCs w:val="23"/>
          <w:lang w:val="fr-CA"/>
        </w:rPr>
      </w:pPr>
    </w:p>
    <w:p w14:paraId="35147C4F" w14:textId="340F02E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Si un litigant donne un avis d’appel, comme il est prévu à l’annexe 1007.1 et 1024.1, un groupe spécial d’appel est établi conformément à l’article 1019, </w:t>
      </w:r>
      <w:proofErr w:type="gramStart"/>
      <w:r w:rsidRPr="003E0DDA">
        <w:rPr>
          <w:rFonts w:ascii="Arial" w:eastAsia="Times New Roman" w:hAnsi="Arial" w:cs="Arial"/>
          <w:szCs w:val="23"/>
          <w:lang w:val="fr-CA"/>
        </w:rPr>
        <w:t>sauf que</w:t>
      </w:r>
      <w:proofErr w:type="gramEnd"/>
      <w:r w:rsidRPr="003E0DDA">
        <w:rPr>
          <w:rFonts w:ascii="Arial" w:eastAsia="Times New Roman" w:hAnsi="Arial" w:cs="Arial"/>
          <w:szCs w:val="23"/>
          <w:lang w:val="fr-CA"/>
        </w:rPr>
        <w:t xml:space="preserve"> les membres du groupe spécial d’appel sont choisis sur la liste des membres du groupe spécial d’appel établie conformément à l’article 1005.2 et à l’annexe 1005.2 et, nonobstant l’article 1019.1, est composé de trois membres.</w:t>
      </w:r>
    </w:p>
    <w:p w14:paraId="6DF1A263" w14:textId="77777777" w:rsidR="005A321B" w:rsidRPr="003E0DDA" w:rsidRDefault="005A321B" w:rsidP="005A321B">
      <w:pPr>
        <w:autoSpaceDE w:val="0"/>
        <w:autoSpaceDN w:val="0"/>
        <w:adjustRightInd w:val="0"/>
        <w:rPr>
          <w:rFonts w:ascii="Arial" w:eastAsia="Times New Roman" w:hAnsi="Arial" w:cs="Arial"/>
          <w:szCs w:val="23"/>
          <w:lang w:val="fr-CA"/>
        </w:rPr>
      </w:pPr>
    </w:p>
    <w:p w14:paraId="69EF98F0" w14:textId="725021F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 xml:space="preserve">Sur réception par le Secrétariat d’un avis d’appel, toute exigence qu’un destinataire de la plainte se conforme au présent accord dans un délai stipulé ou paie les dépens prévus au tarif, ou qu’un participant paie des coûts opérationnels, est suspendue jusqu’à la fin de l’audition de l’appel et de toute nouvelle audience tenue devant le groupe spécial pouvant être requise. </w:t>
      </w:r>
    </w:p>
    <w:p w14:paraId="27CB1B76" w14:textId="77777777" w:rsidR="005A321B" w:rsidRPr="003E0DDA" w:rsidRDefault="005A321B" w:rsidP="005A321B">
      <w:pPr>
        <w:autoSpaceDE w:val="0"/>
        <w:autoSpaceDN w:val="0"/>
        <w:adjustRightInd w:val="0"/>
        <w:rPr>
          <w:rFonts w:ascii="Arial" w:eastAsia="Times New Roman" w:hAnsi="Arial" w:cs="Arial"/>
          <w:szCs w:val="23"/>
          <w:lang w:val="fr-CA"/>
        </w:rPr>
      </w:pPr>
    </w:p>
    <w:p w14:paraId="35E94367" w14:textId="7D4EF5A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Le groupe spécial d’appel présente un rapport d’appel qui, motifs à l’appui :</w:t>
      </w:r>
    </w:p>
    <w:p w14:paraId="50CB8F79" w14:textId="77777777" w:rsidR="005A321B" w:rsidRPr="003E0DDA" w:rsidRDefault="005A321B" w:rsidP="005A321B">
      <w:pPr>
        <w:autoSpaceDE w:val="0"/>
        <w:autoSpaceDN w:val="0"/>
        <w:adjustRightInd w:val="0"/>
        <w:ind w:left="1152" w:hanging="576"/>
        <w:rPr>
          <w:rFonts w:ascii="Arial" w:eastAsia="Times New Roman" w:hAnsi="Arial" w:cs="Arial"/>
          <w:szCs w:val="23"/>
          <w:lang w:val="fr-CA"/>
        </w:rPr>
      </w:pPr>
    </w:p>
    <w:p w14:paraId="2C4BF29E" w14:textId="1DC32366"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peut confirmer, modifier, annuler ou remplacer le rapport, en tout ou partie, ou renvoyer l’affaire devant le groupe spécial afin qu’il tienne une nouvelle audience;</w:t>
      </w:r>
    </w:p>
    <w:p w14:paraId="78A7732F"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4AFABF78" w14:textId="16EE4A03"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inclut une ordonnance sur les coûts opérationnels conformément à l’annexe 1040 et peut inclure, à la discrétion du groupe spécial, une ordonnance sur les dépens prévus au tarif conformément à l’annexe 1040.</w:t>
      </w:r>
    </w:p>
    <w:p w14:paraId="10903FEE" w14:textId="77777777" w:rsidR="005A321B" w:rsidRPr="003E0DDA" w:rsidRDefault="005A321B" w:rsidP="005A321B">
      <w:pPr>
        <w:autoSpaceDE w:val="0"/>
        <w:autoSpaceDN w:val="0"/>
        <w:adjustRightInd w:val="0"/>
        <w:rPr>
          <w:rFonts w:ascii="Arial" w:eastAsia="Times New Roman" w:hAnsi="Arial" w:cs="Arial"/>
          <w:szCs w:val="23"/>
          <w:lang w:val="fr-CA"/>
        </w:rPr>
      </w:pPr>
    </w:p>
    <w:p w14:paraId="08F13F11" w14:textId="07C0036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 xml:space="preserve">Le groupe spécial d’appel, s’il ne peut présenter le rapport d’appel dans le délai prévu à la règle 65 de l’annexe 1007.1 et 1024.1, ne perd pas compétence et informe les </w:t>
      </w:r>
      <w:r w:rsidRPr="003E0DDA">
        <w:rPr>
          <w:rFonts w:ascii="Arial" w:eastAsia="Times New Roman" w:hAnsi="Arial" w:cs="Arial"/>
          <w:szCs w:val="23"/>
          <w:lang w:val="fr-CA"/>
        </w:rPr>
        <w:lastRenderedPageBreak/>
        <w:t>participants par écrit des motifs du retard, ainsi que de la date approximative à laquelle il présentera le rapport d’appel.</w:t>
      </w:r>
    </w:p>
    <w:p w14:paraId="2A0D2C18" w14:textId="77777777" w:rsidR="005A321B" w:rsidRPr="003E0DDA" w:rsidRDefault="005A321B" w:rsidP="005A321B">
      <w:pPr>
        <w:autoSpaceDE w:val="0"/>
        <w:autoSpaceDN w:val="0"/>
        <w:adjustRightInd w:val="0"/>
        <w:rPr>
          <w:rFonts w:ascii="Arial" w:eastAsia="Times New Roman" w:hAnsi="Arial" w:cs="Arial"/>
          <w:szCs w:val="23"/>
          <w:lang w:val="fr-CA"/>
        </w:rPr>
      </w:pPr>
    </w:p>
    <w:p w14:paraId="5661620B" w14:textId="17E2EE9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Le groupe spécial d’appel demeure compétent pour évaluer une ordonnance sur les coûts opérationnels après qu’il a présenté le rapport d’appel, et il peut, à la demande d’un litigant ou de son propre chef, rendre une ordonnance sur le</w:t>
      </w:r>
      <w:r w:rsidR="00457325" w:rsidRPr="003E0DDA">
        <w:rPr>
          <w:rFonts w:ascii="Arial" w:eastAsia="Times New Roman" w:hAnsi="Arial" w:cs="Arial"/>
          <w:szCs w:val="23"/>
          <w:lang w:val="fr-CA"/>
        </w:rPr>
        <w:t>s</w:t>
      </w:r>
      <w:r w:rsidRPr="003E0DDA">
        <w:rPr>
          <w:rFonts w:ascii="Arial" w:eastAsia="Times New Roman" w:hAnsi="Arial" w:cs="Arial"/>
          <w:szCs w:val="23"/>
          <w:lang w:val="fr-CA"/>
        </w:rPr>
        <w:t xml:space="preserve"> coûts.</w:t>
      </w:r>
    </w:p>
    <w:p w14:paraId="70FB2B37" w14:textId="77777777" w:rsidR="005A321B" w:rsidRPr="003E0DDA" w:rsidRDefault="005A321B" w:rsidP="005A321B">
      <w:pPr>
        <w:autoSpaceDE w:val="0"/>
        <w:autoSpaceDN w:val="0"/>
        <w:adjustRightInd w:val="0"/>
        <w:rPr>
          <w:rFonts w:ascii="Arial" w:eastAsia="Times New Roman" w:hAnsi="Arial" w:cs="Arial"/>
          <w:szCs w:val="23"/>
          <w:lang w:val="fr-CA"/>
        </w:rPr>
      </w:pPr>
    </w:p>
    <w:p w14:paraId="6EB5DA68" w14:textId="5E0D969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 xml:space="preserve">Si une question n’est pas renvoyée pour une nouvelle audience, le rapport d’appel est réputé être le rapport aux fins de la détermination de la conformité sous le régime des articles 1027.9 à 1028.14, avec toutes les parties du rapport qui n’ont pas été remplacées par le rapport d’appel. </w:t>
      </w:r>
    </w:p>
    <w:p w14:paraId="5188CAAE" w14:textId="77777777" w:rsidR="005A321B" w:rsidRPr="003E0DDA" w:rsidRDefault="005A321B" w:rsidP="005A321B">
      <w:pPr>
        <w:autoSpaceDE w:val="0"/>
        <w:autoSpaceDN w:val="0"/>
        <w:adjustRightInd w:val="0"/>
        <w:rPr>
          <w:rFonts w:ascii="Arial" w:eastAsia="Times New Roman" w:hAnsi="Arial" w:cs="Arial"/>
          <w:szCs w:val="23"/>
          <w:lang w:val="fr-CA"/>
        </w:rPr>
      </w:pPr>
    </w:p>
    <w:p w14:paraId="07D45BA4" w14:textId="460ACDE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8.</w:t>
      </w:r>
      <w:r w:rsidRPr="003E0DDA">
        <w:rPr>
          <w:rFonts w:ascii="Arial" w:eastAsia="Times New Roman" w:hAnsi="Arial" w:cs="Arial"/>
          <w:szCs w:val="23"/>
          <w:lang w:val="fr-CA"/>
        </w:rPr>
        <w:tab/>
        <w:t xml:space="preserve">Si le groupe spécial d’appel renvoie la question devant le groupe spécial pour une nouvelle audience, le Secrétariat, en consultation avec les participants, fixe une date en vue de convoquer à nouveau le groupe spécial sans délai. </w:t>
      </w:r>
    </w:p>
    <w:p w14:paraId="78CC61AA" w14:textId="77777777" w:rsidR="005A321B" w:rsidRPr="003E0DDA" w:rsidRDefault="005A321B" w:rsidP="005A321B">
      <w:pPr>
        <w:autoSpaceDE w:val="0"/>
        <w:autoSpaceDN w:val="0"/>
        <w:adjustRightInd w:val="0"/>
        <w:rPr>
          <w:rFonts w:ascii="Arial" w:eastAsia="Times New Roman" w:hAnsi="Arial" w:cs="Arial"/>
          <w:szCs w:val="23"/>
          <w:lang w:val="fr-CA"/>
        </w:rPr>
      </w:pPr>
    </w:p>
    <w:p w14:paraId="53CBB4B6" w14:textId="7D476AB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Dans les 10 jours qui suivent la réception du rapport d’appel, un litigant au différend peut, sur remise d’un avis au Secrétariat et aux autres litigants, demander au groupe spécial d’appel, selon le cas :</w:t>
      </w:r>
    </w:p>
    <w:p w14:paraId="48E090FE" w14:textId="77777777" w:rsidR="005A321B" w:rsidRPr="003E0DDA" w:rsidRDefault="005A321B" w:rsidP="005A321B">
      <w:pPr>
        <w:autoSpaceDE w:val="0"/>
        <w:autoSpaceDN w:val="0"/>
        <w:adjustRightInd w:val="0"/>
        <w:rPr>
          <w:rFonts w:ascii="Arial" w:eastAsia="Times New Roman" w:hAnsi="Arial" w:cs="Arial"/>
          <w:szCs w:val="23"/>
          <w:lang w:val="fr-CA"/>
        </w:rPr>
      </w:pPr>
    </w:p>
    <w:p w14:paraId="6A27492C" w14:textId="05ABA497"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d’éclaircir un ou plusieurs points du rapport d’appel, auquel cas le groupe spécial d’appel, dans les 15 jours qui suivent la réception de l’avis, fournit les éclaircissements;</w:t>
      </w:r>
    </w:p>
    <w:p w14:paraId="002F0237"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2674BAAB" w14:textId="3D16985D"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de corriger, dans le rapport d’appel, toute erreur de calcul ou de traduction, toute erreur d’écritures ou typographique, ou toute erreur de nature semblable, auquel cas le groupe spécial d’appel peut, dans les 15 jours qui suivent la réception de l’avis, apporter les corrections qu’il estime opportunes. </w:t>
      </w:r>
    </w:p>
    <w:p w14:paraId="6729FEEC" w14:textId="77777777" w:rsidR="005A321B" w:rsidRPr="003E0DDA" w:rsidRDefault="005A321B" w:rsidP="005A321B">
      <w:pPr>
        <w:autoSpaceDE w:val="0"/>
        <w:autoSpaceDN w:val="0"/>
        <w:adjustRightInd w:val="0"/>
        <w:rPr>
          <w:rFonts w:ascii="Arial" w:eastAsia="Times New Roman" w:hAnsi="Arial" w:cs="Arial"/>
          <w:szCs w:val="23"/>
          <w:lang w:val="fr-CA"/>
        </w:rPr>
      </w:pPr>
    </w:p>
    <w:p w14:paraId="512592ED" w14:textId="26DFEE25" w:rsidR="005A321B" w:rsidRPr="003E0DDA" w:rsidRDefault="005A321B" w:rsidP="005A321B">
      <w:pPr>
        <w:jc w:val="center"/>
        <w:rPr>
          <w:rFonts w:ascii="Arial" w:eastAsia="Arial" w:hAnsi="Arial" w:cs="Arial"/>
          <w:b/>
          <w:szCs w:val="23"/>
          <w:lang w:val="fr-CA"/>
        </w:rPr>
      </w:pPr>
      <w:bookmarkStart w:id="164" w:name="_Toc357427545"/>
      <w:bookmarkStart w:id="165" w:name="_Toc470079024"/>
      <w:r w:rsidRPr="003E0DDA">
        <w:rPr>
          <w:rFonts w:ascii="Arial" w:eastAsia="Arial" w:hAnsi="Arial" w:cs="Arial"/>
          <w:b/>
          <w:szCs w:val="23"/>
          <w:lang w:val="fr-CA"/>
        </w:rPr>
        <w:t xml:space="preserve">Article 1027 : </w:t>
      </w:r>
      <w:r w:rsidRPr="003E0DDA">
        <w:rPr>
          <w:rFonts w:ascii="Arial" w:eastAsia="Arial" w:hAnsi="Arial" w:cs="Arial"/>
          <w:b/>
          <w:szCs w:val="23"/>
          <w:lang w:val="fr-CA"/>
        </w:rPr>
        <w:tab/>
        <w:t>Règlement mutuellement satisfaisant, confirmation de la conformité et demande d’établissement d’un groupe spécial de l’observation des décisions</w:t>
      </w:r>
      <w:bookmarkEnd w:id="164"/>
      <w:bookmarkEnd w:id="165"/>
    </w:p>
    <w:p w14:paraId="29827D38" w14:textId="77777777" w:rsidR="005A321B" w:rsidRPr="003E0DDA" w:rsidRDefault="005A321B" w:rsidP="005A321B">
      <w:pPr>
        <w:autoSpaceDE w:val="0"/>
        <w:autoSpaceDN w:val="0"/>
        <w:adjustRightInd w:val="0"/>
        <w:rPr>
          <w:rFonts w:ascii="Arial" w:eastAsia="Times New Roman" w:hAnsi="Arial" w:cs="Arial"/>
          <w:szCs w:val="23"/>
          <w:lang w:val="fr-CA"/>
        </w:rPr>
      </w:pPr>
    </w:p>
    <w:p w14:paraId="0E0A8F22" w14:textId="6585E70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Les Parties conviennent qu’il est à l’avantage de tous les litigants de régler promptement les différends.</w:t>
      </w:r>
    </w:p>
    <w:p w14:paraId="4621D142" w14:textId="77777777" w:rsidR="005A321B" w:rsidRPr="003E0DDA" w:rsidRDefault="005A321B" w:rsidP="005A321B">
      <w:pPr>
        <w:autoSpaceDE w:val="0"/>
        <w:autoSpaceDN w:val="0"/>
        <w:adjustRightInd w:val="0"/>
        <w:rPr>
          <w:rFonts w:ascii="Arial" w:eastAsia="Times New Roman" w:hAnsi="Arial" w:cs="Arial"/>
          <w:szCs w:val="23"/>
          <w:lang w:val="fr-CA"/>
        </w:rPr>
      </w:pPr>
    </w:p>
    <w:p w14:paraId="1A65BCE0" w14:textId="5CFD694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Autant que possible, le différend est réglé en supprimant ou en modifiant la mesure jugée incompatible avec le présent accord.</w:t>
      </w:r>
    </w:p>
    <w:p w14:paraId="4C0BA66E" w14:textId="77777777" w:rsidR="005A321B" w:rsidRPr="003E0DDA" w:rsidRDefault="005A321B" w:rsidP="005A321B">
      <w:pPr>
        <w:autoSpaceDE w:val="0"/>
        <w:autoSpaceDN w:val="0"/>
        <w:adjustRightInd w:val="0"/>
        <w:rPr>
          <w:rFonts w:ascii="Arial" w:eastAsia="Times New Roman" w:hAnsi="Arial" w:cs="Arial"/>
          <w:szCs w:val="23"/>
          <w:lang w:val="fr-CA"/>
        </w:rPr>
      </w:pPr>
    </w:p>
    <w:p w14:paraId="75FCA79E" w14:textId="1E08A94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Si les litigants règlent le différend à l’une ou l’autre des étapes d’une procédure, un avis écrit de règlement est transmis aux autres Parties, au Secrétariat et à l’organe décisionnel, le cas échéant. Sur réception de l’avis par le Secrétariat, il est mis fin à la procédure.</w:t>
      </w:r>
    </w:p>
    <w:p w14:paraId="78B75A8C" w14:textId="77777777" w:rsidR="005A321B" w:rsidRPr="003E0DDA" w:rsidRDefault="005A321B" w:rsidP="005A321B">
      <w:pPr>
        <w:autoSpaceDE w:val="0"/>
        <w:autoSpaceDN w:val="0"/>
        <w:adjustRightInd w:val="0"/>
        <w:rPr>
          <w:rFonts w:ascii="Arial" w:eastAsia="Times New Roman" w:hAnsi="Arial" w:cs="Arial"/>
          <w:szCs w:val="23"/>
          <w:lang w:val="fr-CA"/>
        </w:rPr>
      </w:pPr>
    </w:p>
    <w:p w14:paraId="2D199A55" w14:textId="1E4B247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Les procédures peuvent être suspendues, soit à la demande des litigants, soit par ordonnance de l’organe décisionnel, en vue de poursuivre ou de reprendre les consultations ou de négocier un règlement mutuellement satisfaisant.</w:t>
      </w:r>
    </w:p>
    <w:p w14:paraId="4A4270E4" w14:textId="77777777" w:rsidR="005A321B" w:rsidRPr="003E0DDA" w:rsidRDefault="005A321B" w:rsidP="005A321B">
      <w:pPr>
        <w:autoSpaceDE w:val="0"/>
        <w:autoSpaceDN w:val="0"/>
        <w:adjustRightInd w:val="0"/>
        <w:rPr>
          <w:rFonts w:ascii="Arial" w:eastAsia="Times New Roman" w:hAnsi="Arial" w:cs="Arial"/>
          <w:szCs w:val="23"/>
          <w:lang w:val="fr-CA"/>
        </w:rPr>
      </w:pPr>
    </w:p>
    <w:p w14:paraId="71F1B5A3" w14:textId="04EA75E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lastRenderedPageBreak/>
        <w:t>5.</w:t>
      </w:r>
      <w:r w:rsidRPr="003E0DDA">
        <w:rPr>
          <w:rFonts w:ascii="Arial" w:eastAsia="Times New Roman" w:hAnsi="Arial" w:cs="Arial"/>
          <w:szCs w:val="23"/>
          <w:lang w:val="fr-CA"/>
        </w:rPr>
        <w:tab/>
        <w:t xml:space="preserve">Si une procédure a été suspendue conformément au paragraphe 4 et qu’aucun litigant n’a présenté de demande en vue de mettre fin à la suspension dans les 36 mois de la date de la suspension, la plainte à l’origine de la procédure est réputée avoir été retirée, et il est mis fin à la procédure. </w:t>
      </w:r>
    </w:p>
    <w:p w14:paraId="60D2341C" w14:textId="77777777" w:rsidR="005A321B" w:rsidRPr="003E0DDA" w:rsidRDefault="005A321B" w:rsidP="005A321B">
      <w:pPr>
        <w:autoSpaceDE w:val="0"/>
        <w:autoSpaceDN w:val="0"/>
        <w:adjustRightInd w:val="0"/>
        <w:rPr>
          <w:rFonts w:ascii="Arial" w:eastAsia="Times New Roman" w:hAnsi="Arial" w:cs="Arial"/>
          <w:szCs w:val="23"/>
          <w:lang w:val="fr-CA"/>
        </w:rPr>
      </w:pPr>
    </w:p>
    <w:p w14:paraId="7B2606C9" w14:textId="323C239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Si un groupe spécial a établi dans un rapport qu’une mesure est incompatible avec le présent accord, le destinataire de la plainte peut aviser la personne plaignante qu’il s’est conformé au présent accord en ce qui concerne les questions traitées dans le rapport. L’avis est donné par écrit, comprend une description de la façon selon laquelle le destinataire de la plainte s’est conformé au présent accord et est remis à la personne plaignante, aux autres participants et au Secrétariat.</w:t>
      </w:r>
    </w:p>
    <w:p w14:paraId="7CDF4D71" w14:textId="77777777" w:rsidR="005A321B" w:rsidRPr="003E0DDA" w:rsidRDefault="005A321B" w:rsidP="005A321B">
      <w:pPr>
        <w:autoSpaceDE w:val="0"/>
        <w:autoSpaceDN w:val="0"/>
        <w:adjustRightInd w:val="0"/>
        <w:rPr>
          <w:rFonts w:ascii="Arial" w:eastAsia="Times New Roman" w:hAnsi="Arial" w:cs="Arial"/>
          <w:szCs w:val="23"/>
          <w:lang w:val="fr-CA"/>
        </w:rPr>
      </w:pPr>
    </w:p>
    <w:p w14:paraId="1DAAF525" w14:textId="1C83CEB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 xml:space="preserve">Une personne plaignante peut contester un avis remis conformément au paragraphe 6, dans les 30 jours qui suivent sa remise. La contestation est faite par écrit, comprend une description des motifs de la contestation et est remise au destinataire de la plainte, aux autres participants et au Secrétariat. </w:t>
      </w:r>
    </w:p>
    <w:p w14:paraId="428B411E" w14:textId="77777777" w:rsidR="005A321B" w:rsidRPr="003E0DDA" w:rsidRDefault="005A321B" w:rsidP="005A321B">
      <w:pPr>
        <w:autoSpaceDE w:val="0"/>
        <w:autoSpaceDN w:val="0"/>
        <w:adjustRightInd w:val="0"/>
        <w:rPr>
          <w:rFonts w:ascii="Arial" w:eastAsia="Times New Roman" w:hAnsi="Arial" w:cs="Arial"/>
          <w:szCs w:val="23"/>
          <w:lang w:val="fr-CA"/>
        </w:rPr>
      </w:pPr>
    </w:p>
    <w:p w14:paraId="734DE9F9" w14:textId="079EA8E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8.</w:t>
      </w:r>
      <w:r w:rsidRPr="003E0DDA">
        <w:rPr>
          <w:rFonts w:ascii="Arial" w:eastAsia="Times New Roman" w:hAnsi="Arial" w:cs="Arial"/>
          <w:szCs w:val="23"/>
          <w:lang w:val="fr-CA"/>
        </w:rPr>
        <w:tab/>
        <w:t>Si aucune contestation n’a été présentée conformément au paragraphe 7, le destinataire de la plainte est réputé s’être conformé au présent accord en ce qui concerne les questions traitées dans le rapport.</w:t>
      </w:r>
    </w:p>
    <w:p w14:paraId="0F15D9A4" w14:textId="77777777" w:rsidR="005A321B" w:rsidRPr="003E0DDA" w:rsidRDefault="005A321B" w:rsidP="005A321B">
      <w:pPr>
        <w:autoSpaceDE w:val="0"/>
        <w:autoSpaceDN w:val="0"/>
        <w:adjustRightInd w:val="0"/>
        <w:rPr>
          <w:rFonts w:ascii="Arial" w:eastAsia="Times New Roman" w:hAnsi="Arial" w:cs="Arial"/>
          <w:szCs w:val="23"/>
          <w:lang w:val="fr-CA"/>
        </w:rPr>
      </w:pPr>
    </w:p>
    <w:p w14:paraId="544B1682" w14:textId="434054F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Un an après la présentation du rapport ou, s’il y a lieu, dans une autre période de mise en œuvre stipulée par le groupe spécial dans le rapport, un litigant peut demander au Secrétariat de convoquer à nouveau le groupe spécial à titre de groupe spécial de l’observation des décisions pour qu’il rende une décision quant à savoir si le destinataire de la plainte s’est conformé au présent accord en ce qui concerne les questions traitées dans le rapport.</w:t>
      </w:r>
    </w:p>
    <w:p w14:paraId="5FAB6054" w14:textId="77777777" w:rsidR="005A321B" w:rsidRPr="003E0DDA" w:rsidRDefault="005A321B" w:rsidP="005A321B">
      <w:pPr>
        <w:autoSpaceDE w:val="0"/>
        <w:autoSpaceDN w:val="0"/>
        <w:adjustRightInd w:val="0"/>
        <w:rPr>
          <w:rFonts w:ascii="Arial" w:eastAsia="Times New Roman" w:hAnsi="Arial" w:cs="Arial"/>
          <w:szCs w:val="23"/>
          <w:lang w:val="fr-CA"/>
        </w:rPr>
      </w:pPr>
    </w:p>
    <w:p w14:paraId="4C9B4DF5" w14:textId="2F91973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10.</w:t>
      </w:r>
      <w:r w:rsidRPr="003E0DDA">
        <w:rPr>
          <w:rFonts w:ascii="Arial" w:eastAsia="Times New Roman" w:hAnsi="Arial" w:cs="Arial"/>
          <w:szCs w:val="23"/>
          <w:lang w:val="fr-CA"/>
        </w:rPr>
        <w:tab/>
        <w:t>Nonobstant le paragraphe 9, un destinataire de la plainte peut demander l’établissement d’un groupe spécial de l’observation des décisions immédiatement lorsqu’il reçoit de la personne plaignante une contestation effectuée conformément au paragraphe 7.</w:t>
      </w:r>
    </w:p>
    <w:p w14:paraId="7D0A88DE" w14:textId="77777777" w:rsidR="005A321B" w:rsidRPr="003E0DDA" w:rsidRDefault="005A321B" w:rsidP="005A321B">
      <w:pPr>
        <w:autoSpaceDE w:val="0"/>
        <w:autoSpaceDN w:val="0"/>
        <w:adjustRightInd w:val="0"/>
        <w:rPr>
          <w:rFonts w:ascii="Arial" w:eastAsia="Times New Roman" w:hAnsi="Arial" w:cs="Arial"/>
          <w:szCs w:val="23"/>
          <w:lang w:val="fr-CA"/>
        </w:rPr>
      </w:pPr>
    </w:p>
    <w:p w14:paraId="183196D3"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11.</w:t>
      </w:r>
      <w:r w:rsidRPr="003E0DDA">
        <w:rPr>
          <w:rFonts w:ascii="Arial" w:eastAsia="Times New Roman" w:hAnsi="Arial" w:cs="Arial"/>
          <w:szCs w:val="23"/>
          <w:lang w:val="fr-CA"/>
        </w:rPr>
        <w:tab/>
        <w:t>Le groupe spécial de l’observation des décisions présente un rapport sur la conformité contenant :</w:t>
      </w:r>
    </w:p>
    <w:p w14:paraId="4173DEF7" w14:textId="77777777" w:rsidR="005A321B" w:rsidRPr="003E0DDA" w:rsidRDefault="005A321B" w:rsidP="005A321B">
      <w:pPr>
        <w:autoSpaceDE w:val="0"/>
        <w:autoSpaceDN w:val="0"/>
        <w:adjustRightInd w:val="0"/>
        <w:rPr>
          <w:rFonts w:ascii="Arial" w:eastAsia="Times New Roman" w:hAnsi="Arial" w:cs="Arial"/>
          <w:szCs w:val="23"/>
          <w:lang w:val="fr-CA"/>
        </w:rPr>
      </w:pPr>
    </w:p>
    <w:p w14:paraId="153D7A0E" w14:textId="079EABFB"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une détermination quant à savoir si, en ce qui concerne la question faisant l’objet du différend, le destinataire de la plainte s’est conformé au présent accord;</w:t>
      </w:r>
    </w:p>
    <w:p w14:paraId="72803A22"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3C431C65"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s’il est décidé qu’il ne s’est pas conformé au présent accord, une ordonnance sur les sanctions pécuniaires rendue conformément à l’article 1028;</w:t>
      </w:r>
    </w:p>
    <w:p w14:paraId="75A513D9"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58F75EC5"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à la discrétion du groupe spécial de l’observation des décisions, une ordonnance répartissant les coûts opérationnels, comme le prévoit l’annexe 1040;</w:t>
      </w:r>
    </w:p>
    <w:p w14:paraId="24FB9DFC"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63E88E08" w14:textId="6D38635E"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 xml:space="preserve">à la discrétion du groupe spécial de l’observation des décisions, une ordonnance attribuant les dépens prévus au tarif, comme le prévoit l’annexe 1040; </w:t>
      </w:r>
    </w:p>
    <w:p w14:paraId="6B9DBFAA"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1DCED924" w14:textId="27490D47"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à la discrétion du groupe spécial de l’observation des décisions, une ordonnance attribuant des frais supplémentaires, comme il est prévu à l’annexe 1040;</w:t>
      </w:r>
    </w:p>
    <w:p w14:paraId="236D01A3"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27E48F9A"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f)</w:t>
      </w:r>
      <w:r w:rsidRPr="003E0DDA">
        <w:rPr>
          <w:rFonts w:ascii="Arial" w:eastAsia="Times New Roman" w:hAnsi="Arial" w:cs="Arial"/>
          <w:szCs w:val="23"/>
          <w:lang w:val="fr-CA"/>
        </w:rPr>
        <w:tab/>
        <w:t>si une ordonnance sur les sanctions pécuniaires a été rendue, une ordonnance, selon le cas :</w:t>
      </w:r>
    </w:p>
    <w:p w14:paraId="0665C211" w14:textId="77777777" w:rsidR="005A321B" w:rsidRPr="003E0DDA" w:rsidRDefault="005A321B" w:rsidP="005A321B">
      <w:pPr>
        <w:autoSpaceDE w:val="0"/>
        <w:autoSpaceDN w:val="0"/>
        <w:adjustRightInd w:val="0"/>
        <w:ind w:left="1440" w:hanging="720"/>
        <w:rPr>
          <w:rFonts w:ascii="Arial" w:eastAsia="Times New Roman" w:hAnsi="Arial" w:cs="Arial"/>
          <w:szCs w:val="23"/>
          <w:lang w:val="fr-CA"/>
        </w:rPr>
      </w:pPr>
    </w:p>
    <w:p w14:paraId="20A1B65F" w14:textId="388F27A6" w:rsidR="000F70F1" w:rsidRPr="003E0DDA" w:rsidRDefault="005A321B" w:rsidP="000F70F1">
      <w:pPr>
        <w:pStyle w:val="ListParagraph"/>
        <w:keepNext/>
        <w:numPr>
          <w:ilvl w:val="0"/>
          <w:numId w:val="428"/>
        </w:numPr>
        <w:autoSpaceDE w:val="0"/>
        <w:autoSpaceDN w:val="0"/>
        <w:adjustRightInd w:val="0"/>
        <w:ind w:left="2160" w:hanging="540"/>
        <w:rPr>
          <w:rFonts w:ascii="Arial" w:eastAsia="Times New Roman" w:hAnsi="Arial" w:cs="Arial"/>
          <w:szCs w:val="23"/>
          <w:lang w:val="fr-CA"/>
        </w:rPr>
      </w:pPr>
      <w:proofErr w:type="gramStart"/>
      <w:r w:rsidRPr="003E0DDA">
        <w:rPr>
          <w:rFonts w:ascii="Arial" w:eastAsia="Times New Roman" w:hAnsi="Arial" w:cs="Arial"/>
          <w:szCs w:val="23"/>
          <w:lang w:val="fr-CA"/>
        </w:rPr>
        <w:t>qui</w:t>
      </w:r>
      <w:proofErr w:type="gramEnd"/>
      <w:r w:rsidRPr="003E0DDA">
        <w:rPr>
          <w:rFonts w:ascii="Arial" w:eastAsia="Times New Roman" w:hAnsi="Arial" w:cs="Arial"/>
          <w:szCs w:val="23"/>
          <w:lang w:val="fr-CA"/>
        </w:rPr>
        <w:t xml:space="preserve"> est exécutoire de la même façon qu’une ordonnance contre le ministère public dans les tribunaux supérieurs de la Partie contre laquelle l’ordonnance est rendue;</w:t>
      </w:r>
    </w:p>
    <w:p w14:paraId="02934DA9" w14:textId="77777777" w:rsidR="000F70F1" w:rsidRPr="003E0DDA" w:rsidRDefault="000F70F1" w:rsidP="000F70F1">
      <w:pPr>
        <w:pStyle w:val="ListParagraph"/>
        <w:keepNext/>
        <w:autoSpaceDE w:val="0"/>
        <w:autoSpaceDN w:val="0"/>
        <w:adjustRightInd w:val="0"/>
        <w:ind w:left="2160" w:hanging="540"/>
        <w:rPr>
          <w:rFonts w:ascii="Arial" w:eastAsia="Times New Roman" w:hAnsi="Arial" w:cs="Arial"/>
          <w:szCs w:val="23"/>
          <w:lang w:val="fr-CA"/>
        </w:rPr>
      </w:pPr>
    </w:p>
    <w:p w14:paraId="773A3463" w14:textId="66F0D063" w:rsidR="005A321B" w:rsidRPr="003E0DDA" w:rsidRDefault="005A321B" w:rsidP="000F70F1">
      <w:pPr>
        <w:pStyle w:val="ListParagraph"/>
        <w:keepNext/>
        <w:numPr>
          <w:ilvl w:val="0"/>
          <w:numId w:val="428"/>
        </w:numPr>
        <w:autoSpaceDE w:val="0"/>
        <w:autoSpaceDN w:val="0"/>
        <w:adjustRightInd w:val="0"/>
        <w:ind w:left="2160" w:hanging="540"/>
        <w:rPr>
          <w:rFonts w:ascii="Arial" w:eastAsia="Times New Roman" w:hAnsi="Arial" w:cs="Arial"/>
          <w:szCs w:val="23"/>
          <w:lang w:val="fr-CA"/>
        </w:rPr>
      </w:pPr>
      <w:proofErr w:type="gramStart"/>
      <w:r w:rsidRPr="003E0DDA">
        <w:rPr>
          <w:rFonts w:ascii="Arial" w:eastAsia="Times New Roman" w:hAnsi="Arial" w:cs="Arial"/>
          <w:szCs w:val="23"/>
          <w:lang w:val="fr-CA"/>
        </w:rPr>
        <w:t>que</w:t>
      </w:r>
      <w:proofErr w:type="gramEnd"/>
      <w:r w:rsidRPr="003E0DDA">
        <w:rPr>
          <w:rFonts w:ascii="Arial" w:eastAsia="Times New Roman" w:hAnsi="Arial" w:cs="Arial"/>
          <w:szCs w:val="23"/>
          <w:lang w:val="fr-CA"/>
        </w:rPr>
        <w:t xml:space="preserve"> le Secrétariat invoquera lorsqu’il demandera, conformément à la règle 19 de l’annexe 1007.1 et 1024.1, le paiement par l’institution financière qui a émis une lettre de crédit au nom de la Partie à l’encontre de laquelle l’ordonnance est rendue. </w:t>
      </w:r>
    </w:p>
    <w:p w14:paraId="0EF8C483" w14:textId="77777777" w:rsidR="005A321B" w:rsidRPr="003E0DDA" w:rsidRDefault="005A321B" w:rsidP="005A321B">
      <w:pPr>
        <w:autoSpaceDE w:val="0"/>
        <w:autoSpaceDN w:val="0"/>
        <w:adjustRightInd w:val="0"/>
        <w:rPr>
          <w:rFonts w:ascii="Arial" w:eastAsia="Times New Roman" w:hAnsi="Arial" w:cs="Arial"/>
          <w:szCs w:val="23"/>
          <w:lang w:val="fr-CA"/>
        </w:rPr>
      </w:pPr>
    </w:p>
    <w:p w14:paraId="78978385" w14:textId="13D2D52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12.</w:t>
      </w:r>
      <w:r w:rsidRPr="003E0DDA">
        <w:rPr>
          <w:rFonts w:ascii="Arial" w:eastAsia="Times New Roman" w:hAnsi="Arial" w:cs="Arial"/>
          <w:szCs w:val="23"/>
          <w:lang w:val="fr-CA"/>
        </w:rPr>
        <w:tab/>
        <w:t xml:space="preserve">Le groupe spécial de l’observation des décisions demeure compétent pour évaluer une ordonnance sur les coûts après qu’il a présenté le rapport sur la conformité et il peut, à la demande d’une Partie au différend ou de son propre chef, rendre une ordonnance sur les coûts. </w:t>
      </w:r>
    </w:p>
    <w:p w14:paraId="679D6C6A" w14:textId="77777777" w:rsidR="005A321B" w:rsidRPr="003E0DDA" w:rsidRDefault="005A321B" w:rsidP="005A321B">
      <w:pPr>
        <w:autoSpaceDE w:val="0"/>
        <w:autoSpaceDN w:val="0"/>
        <w:adjustRightInd w:val="0"/>
        <w:rPr>
          <w:rFonts w:ascii="Arial" w:eastAsia="Times New Roman" w:hAnsi="Arial" w:cs="Arial"/>
          <w:szCs w:val="23"/>
          <w:lang w:val="fr-CA"/>
        </w:rPr>
      </w:pPr>
    </w:p>
    <w:p w14:paraId="1D551C51" w14:textId="4E4C8E1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13.</w:t>
      </w:r>
      <w:r w:rsidRPr="003E0DDA">
        <w:rPr>
          <w:rFonts w:ascii="Arial" w:eastAsia="Times New Roman" w:hAnsi="Arial" w:cs="Arial"/>
          <w:szCs w:val="23"/>
          <w:lang w:val="fr-CA"/>
        </w:rPr>
        <w:tab/>
        <w:t>Dans les 10 jours qui suivent la réception du rapport sur la conformité, un litigant peut, après avis au président du groupe spécial de l’observation des décisions et au Secrétariat, demander au groupe spécial de l’observation des décisions, selon le cas :</w:t>
      </w:r>
    </w:p>
    <w:p w14:paraId="652C01ED" w14:textId="77777777" w:rsidR="005A321B" w:rsidRPr="003E0DDA" w:rsidRDefault="005A321B" w:rsidP="005A321B">
      <w:pPr>
        <w:autoSpaceDE w:val="0"/>
        <w:autoSpaceDN w:val="0"/>
        <w:adjustRightInd w:val="0"/>
        <w:ind w:left="1152" w:hanging="576"/>
        <w:rPr>
          <w:rFonts w:ascii="Arial" w:eastAsia="Times New Roman" w:hAnsi="Arial" w:cs="Arial"/>
          <w:szCs w:val="23"/>
          <w:lang w:val="fr-CA"/>
        </w:rPr>
      </w:pPr>
    </w:p>
    <w:p w14:paraId="6452CB45" w14:textId="1E4EF00E"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d’éclaircir un ou plusieurs points de son rapport sur la conformité, auquel cas le groupe spécial de l’observation des décisions, dans les 15 jours qui suivent la réception de l’avis, fournit les éclaircissements;</w:t>
      </w:r>
    </w:p>
    <w:p w14:paraId="574CFEAA" w14:textId="77777777" w:rsidR="005A321B" w:rsidRPr="003E0DDA" w:rsidRDefault="005A321B" w:rsidP="007131DD">
      <w:pPr>
        <w:autoSpaceDE w:val="0"/>
        <w:autoSpaceDN w:val="0"/>
        <w:adjustRightInd w:val="0"/>
        <w:ind w:left="1440" w:hanging="720"/>
        <w:rPr>
          <w:rFonts w:ascii="Arial" w:eastAsia="Times New Roman" w:hAnsi="Arial" w:cs="Arial"/>
          <w:szCs w:val="23"/>
          <w:lang w:val="fr-CA"/>
        </w:rPr>
      </w:pPr>
    </w:p>
    <w:p w14:paraId="3FD2AF7A" w14:textId="4C25D4E7" w:rsidR="005A321B" w:rsidRPr="003E0DDA" w:rsidRDefault="005A321B" w:rsidP="007131DD">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de corriger, dans son rapport sur la conformité, toute erreur de calcul ou de traduction, toute erreur d’écritures ou typographique, ou toute erreur de nature semblable, auquel cas le groupe spécial de l’observation des décisions peut, dans les 15 jours qui suivent la réception de l’avis, apporter les corrections, qu’il juge appropriées.</w:t>
      </w:r>
    </w:p>
    <w:p w14:paraId="10A2AE7E" w14:textId="77777777" w:rsidR="005A321B" w:rsidRPr="003E0DDA" w:rsidRDefault="005A321B" w:rsidP="005A321B">
      <w:pPr>
        <w:autoSpaceDE w:val="0"/>
        <w:autoSpaceDN w:val="0"/>
        <w:adjustRightInd w:val="0"/>
        <w:rPr>
          <w:rFonts w:ascii="Arial" w:eastAsia="Times New Roman" w:hAnsi="Arial" w:cs="Arial"/>
          <w:szCs w:val="23"/>
          <w:lang w:val="fr-CA"/>
        </w:rPr>
      </w:pPr>
    </w:p>
    <w:p w14:paraId="4C0CE313" w14:textId="2179D3E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14.</w:t>
      </w:r>
      <w:r w:rsidRPr="003E0DDA">
        <w:rPr>
          <w:rFonts w:ascii="Arial" w:eastAsia="Times New Roman" w:hAnsi="Arial" w:cs="Arial"/>
          <w:szCs w:val="23"/>
          <w:lang w:val="fr-CA"/>
        </w:rPr>
        <w:tab/>
        <w:t xml:space="preserve">Si le groupe spécial de l’observation des décisions ne peut présenter le rapport sur la conformité dans le délai prévu à la règle 70 de l’annexe 1007.1 et 1024.1, il ne perd pas compétence et informe les participants par écrit des motifs du retard, ainsi que de la date approximative à laquelle il rendra le rapport sur la conformité. </w:t>
      </w:r>
    </w:p>
    <w:p w14:paraId="25703ECC" w14:textId="77777777" w:rsidR="005A321B" w:rsidRPr="003E0DDA" w:rsidRDefault="005A321B" w:rsidP="005A321B">
      <w:pPr>
        <w:autoSpaceDE w:val="0"/>
        <w:autoSpaceDN w:val="0"/>
        <w:adjustRightInd w:val="0"/>
        <w:rPr>
          <w:rFonts w:ascii="Arial" w:eastAsia="Times New Roman" w:hAnsi="Arial" w:cs="Arial"/>
          <w:szCs w:val="23"/>
          <w:lang w:val="fr-CA"/>
        </w:rPr>
      </w:pPr>
    </w:p>
    <w:p w14:paraId="5E25EB5A" w14:textId="77777777" w:rsidR="005A321B" w:rsidRPr="003E0DDA" w:rsidRDefault="005A321B" w:rsidP="005A321B">
      <w:pPr>
        <w:jc w:val="center"/>
        <w:rPr>
          <w:rFonts w:ascii="Arial" w:eastAsia="Arial" w:hAnsi="Arial" w:cs="Arial"/>
          <w:b/>
          <w:szCs w:val="23"/>
          <w:lang w:val="fr-CA"/>
        </w:rPr>
      </w:pPr>
      <w:bookmarkStart w:id="166" w:name="_Toc357427546"/>
      <w:bookmarkStart w:id="167" w:name="_Toc470079025"/>
      <w:r w:rsidRPr="003E0DDA">
        <w:rPr>
          <w:rFonts w:ascii="Arial" w:eastAsia="Arial" w:hAnsi="Arial" w:cs="Arial"/>
          <w:b/>
          <w:szCs w:val="23"/>
          <w:lang w:val="fr-CA"/>
        </w:rPr>
        <w:t xml:space="preserve">Article 1028 : </w:t>
      </w:r>
      <w:r w:rsidRPr="003E0DDA">
        <w:rPr>
          <w:rFonts w:ascii="Arial" w:eastAsia="Arial" w:hAnsi="Arial" w:cs="Arial"/>
          <w:b/>
          <w:szCs w:val="23"/>
          <w:lang w:val="fr-CA"/>
        </w:rPr>
        <w:tab/>
        <w:t>Sanction pécuniaire</w:t>
      </w:r>
      <w:bookmarkEnd w:id="166"/>
      <w:bookmarkEnd w:id="167"/>
    </w:p>
    <w:p w14:paraId="6FC2D454"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2058854A" w14:textId="65D68EE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Pour établir le montant d’une sanction pécuniaire, le groupe spécial de l’observation des décisions est guidé par l’objectif principal d’une sanction pécuniaire, à savoir encourager la conformité au présent accord. Il tient compte des facteurs suivants :</w:t>
      </w:r>
    </w:p>
    <w:p w14:paraId="7EFE3B93" w14:textId="77777777" w:rsidR="005A321B" w:rsidRPr="003E0DDA" w:rsidRDefault="005A321B" w:rsidP="005A321B">
      <w:pPr>
        <w:autoSpaceDE w:val="0"/>
        <w:autoSpaceDN w:val="0"/>
        <w:adjustRightInd w:val="0"/>
        <w:rPr>
          <w:rFonts w:ascii="Arial" w:eastAsia="Times New Roman" w:hAnsi="Arial" w:cs="Arial"/>
          <w:szCs w:val="23"/>
          <w:lang w:val="fr-CA"/>
        </w:rPr>
      </w:pPr>
    </w:p>
    <w:p w14:paraId="7A40727B" w14:textId="73353E02"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la gravité de l’incompatibilité avec les obligations du destinataire de la plainte au titre du présent accord;</w:t>
      </w:r>
    </w:p>
    <w:p w14:paraId="1574D119"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3D865BA9"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l’ampleur de l’incidence de l’incompatibilité sur le marché;</w:t>
      </w:r>
    </w:p>
    <w:p w14:paraId="66774958"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0945A4D7" w14:textId="5C98C9DC"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le fait de savoir si le destinataire de la plainte a antérieurement été déclaré en défaut de se conformer au présent accord par un organe décisionnel, que la plainte ait été réglée ou non;</w:t>
      </w:r>
    </w:p>
    <w:p w14:paraId="4FD186D9"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342F1C42"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les efforts déployés, de bonne foi, par le destinataire de la plainte afin de se conformer au présent accord en ce qui a trait aux questions traitées dans le rapport en cause devant le groupe spécial de l’observation des décisions;</w:t>
      </w:r>
    </w:p>
    <w:p w14:paraId="0E5BD943"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74AA852D"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sous réserve du paragraphe 3, tout autre facteur que le groupe spécial de l’observation des décisions estime pertinent.</w:t>
      </w:r>
    </w:p>
    <w:p w14:paraId="4CC40522" w14:textId="77777777" w:rsidR="005A321B" w:rsidRPr="003E0DDA" w:rsidRDefault="005A321B" w:rsidP="005A321B">
      <w:pPr>
        <w:autoSpaceDE w:val="0"/>
        <w:autoSpaceDN w:val="0"/>
        <w:adjustRightInd w:val="0"/>
        <w:rPr>
          <w:rFonts w:ascii="Arial" w:eastAsia="Times New Roman" w:hAnsi="Arial" w:cs="Arial"/>
          <w:szCs w:val="23"/>
          <w:lang w:val="fr-CA"/>
        </w:rPr>
      </w:pPr>
    </w:p>
    <w:p w14:paraId="1705D7E0" w14:textId="4EFAE62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Nonobstant toute disposition contraire de la présente partie, le montant d’une sanction pécuniaire ordonnée à l’encontre du destinataire de la plainte n’excède pas le montant maximal énoncé à l’annexe 1011.2 et 1028.2 en ce qui concerne cette Partie.</w:t>
      </w:r>
    </w:p>
    <w:p w14:paraId="56375CC7" w14:textId="77777777" w:rsidR="005A321B" w:rsidRPr="003E0DDA" w:rsidRDefault="005A321B" w:rsidP="005A321B">
      <w:pPr>
        <w:autoSpaceDE w:val="0"/>
        <w:autoSpaceDN w:val="0"/>
        <w:adjustRightInd w:val="0"/>
        <w:rPr>
          <w:rFonts w:ascii="Arial" w:eastAsia="Times New Roman" w:hAnsi="Arial" w:cs="Arial"/>
          <w:szCs w:val="23"/>
          <w:lang w:val="fr-CA"/>
        </w:rPr>
      </w:pPr>
    </w:p>
    <w:p w14:paraId="24EF252C" w14:textId="0A5D550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Lorsqu’il fixe le montant d’une sanction pécuniaire payable par un destinataire de la plainte, un groupe spécial de l’observation des décisions ne prend pas en compte, selon le cas :</w:t>
      </w:r>
    </w:p>
    <w:p w14:paraId="0571CB86" w14:textId="77777777" w:rsidR="005A321B" w:rsidRPr="003E0DDA" w:rsidRDefault="005A321B" w:rsidP="005A321B">
      <w:pPr>
        <w:autoSpaceDE w:val="0"/>
        <w:autoSpaceDN w:val="0"/>
        <w:adjustRightInd w:val="0"/>
        <w:rPr>
          <w:rFonts w:ascii="Arial" w:eastAsia="Times New Roman" w:hAnsi="Arial" w:cs="Arial"/>
          <w:szCs w:val="23"/>
          <w:lang w:val="fr-CA"/>
        </w:rPr>
      </w:pPr>
    </w:p>
    <w:p w14:paraId="7999928B" w14:textId="39936048"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le fait qu’un organe décisionnel en la matière a ordonné ou non au destinataire de la plainte de payer des dépens prévus au tarif à la personne plaignante, ou le montant des dépens imposés;</w:t>
      </w:r>
    </w:p>
    <w:p w14:paraId="1397C78C"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40CF12D0" w14:textId="16B44945"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le fait que le groupe spécial de l’observation des décisions a ordonné ou entend ordonner que le destinataire de la plainte verse des frais supplémentaires à la personne plaignante, ou le montant de frais supplémentaires imposés.</w:t>
      </w:r>
    </w:p>
    <w:p w14:paraId="63117DF1"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31197239" w14:textId="77777777" w:rsidR="005A321B" w:rsidRPr="003E0DDA" w:rsidRDefault="005A321B" w:rsidP="005A321B">
      <w:pPr>
        <w:jc w:val="center"/>
        <w:rPr>
          <w:rFonts w:ascii="Arial" w:eastAsia="Arial" w:hAnsi="Arial" w:cs="Arial"/>
          <w:b/>
          <w:szCs w:val="23"/>
          <w:lang w:val="fr-CA"/>
        </w:rPr>
      </w:pPr>
      <w:bookmarkStart w:id="168" w:name="_Toc357427547"/>
      <w:bookmarkStart w:id="169" w:name="_Toc470079026"/>
      <w:r w:rsidRPr="003E0DDA">
        <w:rPr>
          <w:rFonts w:ascii="Arial" w:eastAsia="Arial" w:hAnsi="Arial" w:cs="Arial"/>
          <w:b/>
          <w:szCs w:val="23"/>
          <w:lang w:val="fr-CA"/>
        </w:rPr>
        <w:t xml:space="preserve">Article 1029 : </w:t>
      </w:r>
      <w:r w:rsidRPr="003E0DDA">
        <w:rPr>
          <w:rFonts w:ascii="Arial" w:eastAsia="Arial" w:hAnsi="Arial" w:cs="Arial"/>
          <w:b/>
          <w:szCs w:val="23"/>
          <w:lang w:val="fr-CA"/>
        </w:rPr>
        <w:tab/>
        <w:t>Exécution des ordonnances sur les sanctions pécuniaires</w:t>
      </w:r>
      <w:bookmarkEnd w:id="168"/>
      <w:bookmarkEnd w:id="169"/>
    </w:p>
    <w:p w14:paraId="383FCF39" w14:textId="77777777" w:rsidR="005A321B" w:rsidRPr="003E0DDA" w:rsidRDefault="005A321B" w:rsidP="005A321B">
      <w:pPr>
        <w:autoSpaceDE w:val="0"/>
        <w:autoSpaceDN w:val="0"/>
        <w:adjustRightInd w:val="0"/>
        <w:rPr>
          <w:rFonts w:ascii="Arial" w:eastAsia="Times New Roman" w:hAnsi="Arial" w:cs="Arial"/>
          <w:szCs w:val="23"/>
          <w:lang w:val="fr-CA"/>
        </w:rPr>
      </w:pPr>
    </w:p>
    <w:p w14:paraId="02FD815F" w14:textId="273D1B2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 xml:space="preserve">Si un groupe spécial de l’observation des décisions a rendu une ordonnance sur les sanctions pécuniaires conformément à l’article 1027.11, celles-ci sont exigibles immédiatement.  </w:t>
      </w:r>
    </w:p>
    <w:p w14:paraId="5258CDD0" w14:textId="77777777" w:rsidR="005A321B" w:rsidRPr="003E0DDA" w:rsidRDefault="005A321B" w:rsidP="005A321B">
      <w:pPr>
        <w:autoSpaceDE w:val="0"/>
        <w:autoSpaceDN w:val="0"/>
        <w:adjustRightInd w:val="0"/>
        <w:rPr>
          <w:rFonts w:ascii="Arial" w:eastAsia="Times New Roman" w:hAnsi="Arial" w:cs="Arial"/>
          <w:szCs w:val="23"/>
          <w:lang w:val="fr-CA"/>
        </w:rPr>
      </w:pPr>
    </w:p>
    <w:p w14:paraId="33DC762A" w14:textId="5F12290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Nonobstant toute disposition contraire de la présente partie, une Partie n’est jamais tenue de payer un total des coûts et des sanctions pécuniaires imposés par ordonnance qui soit supérieur à la sanction pécuniaire maximale prévue pour cette Partie à l’annexe 1011.2 et 1028.2. Si, dans toute procédure, le total des coûts et des sanctions pécuniaires imposés par ordonnance est supérieur à la sanction pécuniaire maximale, le montant que la Partie est tenue de verser au Fonds conformément au paragraphe 3 est réduit du montant total de l’excédent. </w:t>
      </w:r>
    </w:p>
    <w:p w14:paraId="2BADEC52" w14:textId="77777777" w:rsidR="005A321B" w:rsidRPr="003E0DDA" w:rsidRDefault="005A321B" w:rsidP="005A321B">
      <w:pPr>
        <w:autoSpaceDE w:val="0"/>
        <w:autoSpaceDN w:val="0"/>
        <w:adjustRightInd w:val="0"/>
        <w:rPr>
          <w:rFonts w:ascii="Arial" w:eastAsia="Times New Roman" w:hAnsi="Arial" w:cs="Arial"/>
          <w:iCs/>
          <w:szCs w:val="23"/>
          <w:lang w:val="fr-CA"/>
        </w:rPr>
      </w:pPr>
    </w:p>
    <w:p w14:paraId="4A4FCF12" w14:textId="32DAE8D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Le montant de la sanction pécuniaire, ou de la sanction pécuniaire restante après l’application du paragraphe 2, est payable à la Corporation du Secrétariat du commerce intérieur. Le paiement est transmis au Secrétariat, qui sur réception le verse au Fonds dans les moindres délais.</w:t>
      </w:r>
    </w:p>
    <w:p w14:paraId="72C7B1BD" w14:textId="77777777" w:rsidR="005A321B" w:rsidRPr="003E0DDA" w:rsidRDefault="005A321B" w:rsidP="005A321B">
      <w:pPr>
        <w:autoSpaceDE w:val="0"/>
        <w:autoSpaceDN w:val="0"/>
        <w:adjustRightInd w:val="0"/>
        <w:rPr>
          <w:rFonts w:ascii="Arial" w:eastAsia="Times New Roman" w:hAnsi="Arial" w:cs="Arial"/>
          <w:szCs w:val="23"/>
          <w:lang w:val="fr-CA"/>
        </w:rPr>
      </w:pPr>
    </w:p>
    <w:p w14:paraId="71FA9572" w14:textId="6A473EC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Une Partie paie tous les dépens prévus au tarif et les frais supplémentaires qu’il lui a été enjoint par ordonnance de verser à une personne plaignante, avant de s’acquitter de la sanction pécuniaire conformément au paragraphe 3. Elle confirme par écrit au Secrétariat qu’elle a fait le paiement.</w:t>
      </w:r>
    </w:p>
    <w:p w14:paraId="354424EF" w14:textId="77777777" w:rsidR="005A321B" w:rsidRPr="003E0DDA" w:rsidRDefault="005A321B" w:rsidP="005A321B">
      <w:pPr>
        <w:autoSpaceDE w:val="0"/>
        <w:autoSpaceDN w:val="0"/>
        <w:adjustRightInd w:val="0"/>
        <w:rPr>
          <w:rFonts w:ascii="Arial" w:eastAsia="Times New Roman" w:hAnsi="Arial" w:cs="Arial"/>
          <w:iCs/>
          <w:szCs w:val="23"/>
          <w:lang w:val="fr-CA"/>
        </w:rPr>
      </w:pPr>
    </w:p>
    <w:p w14:paraId="1249BBAB" w14:textId="0E5ED1E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Si la Partie qui a déposé une lettre de crédit auprès du Secrétariat n’a pas payé une sanction pécuniaire imposée par ordonnance en application de l’article 1027.11 dans les 60 jours qui suivent la présentation du rapport sur la conformité, le Secrétariat en exige le paiement conformément à la règle 19 de l’annexe 1007.1 et 1024.1.</w:t>
      </w:r>
    </w:p>
    <w:p w14:paraId="31B1569B" w14:textId="77777777" w:rsidR="005A321B" w:rsidRPr="003E0DDA" w:rsidRDefault="005A321B" w:rsidP="005A321B">
      <w:pPr>
        <w:autoSpaceDE w:val="0"/>
        <w:autoSpaceDN w:val="0"/>
        <w:adjustRightInd w:val="0"/>
        <w:rPr>
          <w:rFonts w:ascii="Arial" w:eastAsia="Times New Roman" w:hAnsi="Arial" w:cs="Arial"/>
          <w:szCs w:val="23"/>
          <w:lang w:val="fr-CA"/>
        </w:rPr>
      </w:pPr>
    </w:p>
    <w:p w14:paraId="7B5436B8" w14:textId="42334E5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Dans les 20 jours qui suivent la réception d’un avis, conformément à la règle 19 de l’annexe 1007.1 et 1024.1, selon lequel un prélèvement a été fait sur sa lettre de crédit, la Partie réapprovisionne sa lettre de crédit et dépose auprès du Secrétariat une confirmation écrite, signée par l’institution financière de la Partie et adressée au Secrétariat, selon laquelle la lettre de crédit a été réapprovisionnée avec la somme exigée à l’annexe 1011.2 et 1028.2.</w:t>
      </w:r>
    </w:p>
    <w:p w14:paraId="68C43CCF" w14:textId="77777777" w:rsidR="005A321B" w:rsidRPr="003E0DDA" w:rsidRDefault="005A321B" w:rsidP="005A321B">
      <w:pPr>
        <w:autoSpaceDE w:val="0"/>
        <w:autoSpaceDN w:val="0"/>
        <w:adjustRightInd w:val="0"/>
        <w:rPr>
          <w:rFonts w:ascii="Arial" w:eastAsia="Times New Roman" w:hAnsi="Arial" w:cs="Arial"/>
          <w:szCs w:val="23"/>
          <w:lang w:val="fr-CA"/>
        </w:rPr>
      </w:pPr>
    </w:p>
    <w:p w14:paraId="4B5DB6BA" w14:textId="76CC455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7.</w:t>
      </w:r>
      <w:r w:rsidRPr="003E0DDA">
        <w:rPr>
          <w:rFonts w:ascii="Arial" w:eastAsia="Arial" w:hAnsi="Arial" w:cs="Arial"/>
          <w:szCs w:val="23"/>
          <w:lang w:val="fr-CA"/>
        </w:rPr>
        <w:tab/>
        <w:t>Une Partie ayant déposé une lettre de crédit, à moins qu’elle n’ait confirmé au Secrétariat et aux autres Parties qu’elle a pris les dispositions nécessaires à l’exécution des sanctions pécuniaires conformément au sous-alinéa </w:t>
      </w:r>
      <w:proofErr w:type="gramStart"/>
      <w:r w:rsidRPr="003E0DDA">
        <w:rPr>
          <w:rFonts w:ascii="Arial" w:eastAsia="Arial" w:hAnsi="Arial" w:cs="Arial"/>
          <w:szCs w:val="23"/>
          <w:lang w:val="fr-CA"/>
        </w:rPr>
        <w:t>1001.4c)i</w:t>
      </w:r>
      <w:proofErr w:type="gramEnd"/>
      <w:r w:rsidRPr="003E0DDA">
        <w:rPr>
          <w:rFonts w:ascii="Arial" w:eastAsia="Arial" w:hAnsi="Arial" w:cs="Arial"/>
          <w:szCs w:val="23"/>
          <w:lang w:val="fr-CA"/>
        </w:rPr>
        <w:t>), dépose, au plus tard 60 jours avant l’expiration de sa lettre de crédit, une nouvelle lettre de crédit qui prend effet à l’expiration de l’ancienne lettre de crédit.</w:t>
      </w:r>
    </w:p>
    <w:p w14:paraId="6537DC21" w14:textId="77777777" w:rsidR="005A321B" w:rsidRPr="003E0DDA" w:rsidRDefault="005A321B" w:rsidP="005A321B">
      <w:pPr>
        <w:autoSpaceDE w:val="0"/>
        <w:autoSpaceDN w:val="0"/>
        <w:adjustRightInd w:val="0"/>
        <w:rPr>
          <w:rFonts w:ascii="Arial" w:eastAsia="Times New Roman" w:hAnsi="Arial" w:cs="Arial"/>
          <w:szCs w:val="23"/>
          <w:lang w:val="fr-CA"/>
        </w:rPr>
      </w:pPr>
    </w:p>
    <w:p w14:paraId="2B04C0AC" w14:textId="77777777" w:rsidR="005A321B" w:rsidRPr="003E0DDA" w:rsidRDefault="005A321B" w:rsidP="005A321B">
      <w:pPr>
        <w:jc w:val="center"/>
        <w:rPr>
          <w:rFonts w:ascii="Arial" w:eastAsia="Arial" w:hAnsi="Arial" w:cs="Arial"/>
          <w:b/>
          <w:szCs w:val="23"/>
          <w:lang w:val="fr-CA"/>
        </w:rPr>
      </w:pPr>
      <w:bookmarkStart w:id="170" w:name="_Toc357427548"/>
      <w:bookmarkStart w:id="171" w:name="_Toc470079027"/>
      <w:r w:rsidRPr="003E0DDA">
        <w:rPr>
          <w:rFonts w:ascii="Arial" w:eastAsia="Arial" w:hAnsi="Arial" w:cs="Arial"/>
          <w:b/>
          <w:szCs w:val="23"/>
          <w:lang w:val="fr-CA"/>
        </w:rPr>
        <w:t xml:space="preserve">Article 1030 : </w:t>
      </w:r>
      <w:r w:rsidRPr="003E0DDA">
        <w:rPr>
          <w:rFonts w:ascii="Arial" w:eastAsia="Arial" w:hAnsi="Arial" w:cs="Arial"/>
          <w:b/>
          <w:szCs w:val="23"/>
          <w:lang w:val="fr-CA"/>
        </w:rPr>
        <w:tab/>
        <w:t>Exécution des ordonnances sur les dépens prévus au tarif</w:t>
      </w:r>
      <w:bookmarkEnd w:id="170"/>
      <w:bookmarkEnd w:id="171"/>
    </w:p>
    <w:p w14:paraId="7060426D" w14:textId="77777777" w:rsidR="005A321B" w:rsidRPr="003E0DDA" w:rsidRDefault="005A321B" w:rsidP="005A321B">
      <w:pPr>
        <w:autoSpaceDE w:val="0"/>
        <w:autoSpaceDN w:val="0"/>
        <w:adjustRightInd w:val="0"/>
        <w:rPr>
          <w:rFonts w:ascii="Arial" w:eastAsia="Times New Roman" w:hAnsi="Arial" w:cs="Arial"/>
          <w:szCs w:val="23"/>
          <w:lang w:val="fr-CA"/>
        </w:rPr>
      </w:pPr>
    </w:p>
    <w:p w14:paraId="37E1356D" w14:textId="48504E0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1.</w:t>
      </w:r>
      <w:r w:rsidRPr="003E0DDA">
        <w:rPr>
          <w:rFonts w:ascii="Arial" w:eastAsia="Arial" w:hAnsi="Arial" w:cs="Arial"/>
          <w:szCs w:val="23"/>
          <w:lang w:val="fr-CA"/>
        </w:rPr>
        <w:tab/>
        <w:t xml:space="preserve">Si un groupe spécial, ou un groupe spécial de l’observation des décisions, a rendu une ordonnance sur les dépens prévus au tarif en faveur d’une personne plaignante, ou si un groupe spécial d’appel a rendu une ordonnance sur les dépens prévus au tarif contre un litigant, les dépens prévus au tarif sont exigibles immédiatement. </w:t>
      </w:r>
    </w:p>
    <w:p w14:paraId="55CB6ABE" w14:textId="77777777" w:rsidR="005A321B" w:rsidRPr="003E0DDA" w:rsidRDefault="005A321B" w:rsidP="005A321B">
      <w:pPr>
        <w:autoSpaceDE w:val="0"/>
        <w:autoSpaceDN w:val="0"/>
        <w:adjustRightInd w:val="0"/>
        <w:rPr>
          <w:rFonts w:ascii="Arial" w:eastAsia="Times New Roman" w:hAnsi="Arial" w:cs="Arial"/>
          <w:szCs w:val="23"/>
          <w:lang w:val="fr-CA"/>
        </w:rPr>
      </w:pPr>
    </w:p>
    <w:p w14:paraId="77CAD42F" w14:textId="4BCE02C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La Partie contre laquelle le groupe spécial ou un groupe spécial de l’observation des décisions a rendu une ordonnance sur les dépens prévus au tarif paie la somme stipulée dans l’ordonnance à la personne plaignante et elle confirme par écrit au Secrétariat qu’elle a fait le paiement. </w:t>
      </w:r>
    </w:p>
    <w:p w14:paraId="3B3B151F" w14:textId="77777777" w:rsidR="005A321B" w:rsidRPr="003E0DDA" w:rsidRDefault="005A321B" w:rsidP="005A321B">
      <w:pPr>
        <w:autoSpaceDE w:val="0"/>
        <w:autoSpaceDN w:val="0"/>
        <w:adjustRightInd w:val="0"/>
        <w:rPr>
          <w:rFonts w:ascii="Arial" w:eastAsia="Times New Roman" w:hAnsi="Arial" w:cs="Arial"/>
          <w:szCs w:val="23"/>
          <w:lang w:val="fr-CA"/>
        </w:rPr>
      </w:pPr>
    </w:p>
    <w:p w14:paraId="64A61E73" w14:textId="07CBF16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 xml:space="preserve">Si un groupe spécial d’appel a rendu une ordonnance sur les dépens prévus au tarif contre un </w:t>
      </w:r>
      <w:r w:rsidR="00AB528C" w:rsidRPr="003E0DDA">
        <w:rPr>
          <w:rFonts w:ascii="Arial" w:eastAsia="Times New Roman" w:hAnsi="Arial" w:cs="Arial"/>
          <w:szCs w:val="23"/>
          <w:lang w:val="fr-CA"/>
        </w:rPr>
        <w:t>litigant</w:t>
      </w:r>
      <w:r w:rsidRPr="003E0DDA">
        <w:rPr>
          <w:rFonts w:ascii="Arial" w:eastAsia="Times New Roman" w:hAnsi="Arial" w:cs="Arial"/>
          <w:szCs w:val="23"/>
          <w:lang w:val="fr-CA"/>
        </w:rPr>
        <w:t xml:space="preserve">, le </w:t>
      </w:r>
      <w:r w:rsidR="00AB528C" w:rsidRPr="003E0DDA">
        <w:rPr>
          <w:rFonts w:ascii="Arial" w:eastAsia="Times New Roman" w:hAnsi="Arial" w:cs="Arial"/>
          <w:szCs w:val="23"/>
          <w:lang w:val="fr-CA"/>
        </w:rPr>
        <w:t>litigant</w:t>
      </w:r>
      <w:r w:rsidRPr="003E0DDA">
        <w:rPr>
          <w:rFonts w:ascii="Arial" w:eastAsia="Times New Roman" w:hAnsi="Arial" w:cs="Arial"/>
          <w:szCs w:val="23"/>
          <w:lang w:val="fr-CA"/>
        </w:rPr>
        <w:t xml:space="preserve"> contre lequel l’ordonnance a été rendue paie la somme stipulée dans l’ordonnance au </w:t>
      </w:r>
      <w:r w:rsidR="00AB528C" w:rsidRPr="003E0DDA">
        <w:rPr>
          <w:rFonts w:ascii="Arial" w:eastAsia="Times New Roman" w:hAnsi="Arial" w:cs="Arial"/>
          <w:szCs w:val="23"/>
          <w:lang w:val="fr-CA"/>
        </w:rPr>
        <w:t>litigan</w:t>
      </w:r>
      <w:r w:rsidRPr="003E0DDA">
        <w:rPr>
          <w:rFonts w:ascii="Arial" w:eastAsia="Times New Roman" w:hAnsi="Arial" w:cs="Arial"/>
          <w:szCs w:val="23"/>
          <w:lang w:val="fr-CA"/>
        </w:rPr>
        <w:t xml:space="preserve">t en faveur duquel l’ordonnance a été rendue et elle confirme par écrit au Secrétariat qu’elle a fait le paiement. </w:t>
      </w:r>
    </w:p>
    <w:p w14:paraId="53EB19F6" w14:textId="77777777" w:rsidR="005A321B" w:rsidRPr="003E0DDA" w:rsidRDefault="005A321B" w:rsidP="005A321B">
      <w:pPr>
        <w:autoSpaceDE w:val="0"/>
        <w:autoSpaceDN w:val="0"/>
        <w:adjustRightInd w:val="0"/>
        <w:rPr>
          <w:rFonts w:ascii="Arial" w:eastAsia="Times New Roman" w:hAnsi="Arial" w:cs="Arial"/>
          <w:szCs w:val="23"/>
          <w:lang w:val="fr-CA"/>
        </w:rPr>
      </w:pPr>
    </w:p>
    <w:p w14:paraId="7D4FD9B1" w14:textId="35F7FAF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4.</w:t>
      </w:r>
      <w:r w:rsidRPr="003E0DDA">
        <w:rPr>
          <w:rFonts w:ascii="Arial" w:eastAsia="Arial" w:hAnsi="Arial" w:cs="Arial"/>
          <w:szCs w:val="23"/>
          <w:lang w:val="fr-CA"/>
        </w:rPr>
        <w:tab/>
        <w:t>Si la Partie contre laquelle une ordonnance sur les dépens prévus au tarif a été rendue est une Partie qui a mis en œuvre le mécanisme d’exécution sur les dépens prévus au tarif cité à l’alinéa 1001.4a), la Personne en faveur de laquelle l’ordonnance a été rendue :</w:t>
      </w:r>
    </w:p>
    <w:p w14:paraId="7B5F47A5" w14:textId="77777777" w:rsidR="005A321B" w:rsidRPr="003E0DDA" w:rsidRDefault="005A321B" w:rsidP="005A321B">
      <w:pPr>
        <w:autoSpaceDE w:val="0"/>
        <w:autoSpaceDN w:val="0"/>
        <w:adjustRightInd w:val="0"/>
        <w:rPr>
          <w:rFonts w:ascii="Arial" w:eastAsia="Times New Roman" w:hAnsi="Arial" w:cs="Arial"/>
          <w:szCs w:val="23"/>
          <w:lang w:val="fr-CA"/>
        </w:rPr>
      </w:pPr>
    </w:p>
    <w:p w14:paraId="114C77F6" w14:textId="1EF15788"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peut prendre dans les moindres délais un moyen comme l’enregistrement, le dépôt ou autre moyen exigé par la loi ou la pratique administrative de la Partie contre laquelle l’ordonnance a été rendue, afin de commencer le processus </w:t>
      </w:r>
      <w:r w:rsidRPr="003E0DDA">
        <w:rPr>
          <w:rFonts w:ascii="Arial" w:eastAsia="Times New Roman" w:hAnsi="Arial" w:cs="Arial"/>
          <w:szCs w:val="23"/>
          <w:lang w:val="fr-CA"/>
        </w:rPr>
        <w:lastRenderedPageBreak/>
        <w:t xml:space="preserve">d’exécution de l’ordonnance de la même façon qu’une ordonnance contre le ministère public dans les tribunaux supérieurs de la Partie; </w:t>
      </w:r>
    </w:p>
    <w:p w14:paraId="3DA2C4F3"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286A7B0A" w14:textId="453E9098"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avise immédiatement la Partie contre laquelle l’ordonnance a été rendue, que ce moyen a été pris, </w:t>
      </w:r>
    </w:p>
    <w:p w14:paraId="17FF0388" w14:textId="77777777" w:rsidR="005A321B" w:rsidRPr="003E0DDA" w:rsidRDefault="005A321B" w:rsidP="005A321B">
      <w:pPr>
        <w:autoSpaceDE w:val="0"/>
        <w:autoSpaceDN w:val="0"/>
        <w:adjustRightInd w:val="0"/>
        <w:rPr>
          <w:rFonts w:ascii="Arial" w:eastAsia="Times New Roman" w:hAnsi="Arial" w:cs="Arial"/>
          <w:szCs w:val="23"/>
          <w:lang w:val="fr-CA"/>
        </w:rPr>
      </w:pPr>
    </w:p>
    <w:p w14:paraId="2D37242A" w14:textId="642D28EE"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szCs w:val="23"/>
          <w:lang w:val="fr-CA"/>
        </w:rPr>
        <w:t>mais</w:t>
      </w:r>
      <w:proofErr w:type="gramEnd"/>
      <w:r w:rsidRPr="003E0DDA">
        <w:rPr>
          <w:rFonts w:ascii="Arial" w:eastAsia="Times New Roman" w:hAnsi="Arial" w:cs="Arial"/>
          <w:szCs w:val="23"/>
          <w:lang w:val="fr-CA"/>
        </w:rPr>
        <w:t xml:space="preserve"> ne peut prendre un autre moyen pour faire exécuter l’ordonnance dans un délai de 60 jours qui suivent la date de l’ordonnance, sauf par consentement de la Partie contre laquelle l’ordonnance a été prise. </w:t>
      </w:r>
    </w:p>
    <w:p w14:paraId="37733C18" w14:textId="77777777" w:rsidR="005A321B" w:rsidRPr="003E0DDA" w:rsidRDefault="005A321B" w:rsidP="005A321B">
      <w:pPr>
        <w:autoSpaceDE w:val="0"/>
        <w:autoSpaceDN w:val="0"/>
        <w:adjustRightInd w:val="0"/>
        <w:rPr>
          <w:rFonts w:ascii="Arial" w:eastAsia="Times New Roman" w:hAnsi="Arial" w:cs="Arial"/>
          <w:szCs w:val="23"/>
          <w:lang w:val="fr-CA"/>
        </w:rPr>
      </w:pPr>
    </w:p>
    <w:p w14:paraId="5AD54094" w14:textId="3A954E7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Si un litigant contre lequel une ordonnance sur les dépens prévus au tarif a été rendue est une Personne, la Partie en faveur de qui l’ordonnance a été rendue :</w:t>
      </w:r>
    </w:p>
    <w:p w14:paraId="421B6221" w14:textId="77777777" w:rsidR="005A321B" w:rsidRPr="003E0DDA" w:rsidRDefault="005A321B" w:rsidP="005A321B">
      <w:pPr>
        <w:autoSpaceDE w:val="0"/>
        <w:autoSpaceDN w:val="0"/>
        <w:adjustRightInd w:val="0"/>
        <w:rPr>
          <w:rFonts w:ascii="Arial" w:eastAsia="Times New Roman" w:hAnsi="Arial" w:cs="Arial"/>
          <w:szCs w:val="23"/>
          <w:lang w:val="fr-CA"/>
        </w:rPr>
      </w:pPr>
    </w:p>
    <w:p w14:paraId="2F906933" w14:textId="4393C5A7"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peut prendre dans les moindres délais</w:t>
      </w:r>
      <w:r w:rsidRPr="003E0DDA" w:rsidDel="002D50ED">
        <w:rPr>
          <w:rFonts w:ascii="Arial" w:eastAsia="Times New Roman" w:hAnsi="Arial" w:cs="Arial"/>
          <w:szCs w:val="23"/>
          <w:lang w:val="fr-CA"/>
        </w:rPr>
        <w:t xml:space="preserve"> </w:t>
      </w:r>
      <w:r w:rsidRPr="003E0DDA">
        <w:rPr>
          <w:rFonts w:ascii="Arial" w:eastAsia="Times New Roman" w:hAnsi="Arial" w:cs="Arial"/>
          <w:szCs w:val="23"/>
          <w:lang w:val="fr-CA"/>
        </w:rPr>
        <w:t>un moyen comme l’enregistrement, le dépôt ou autre moyen requis afin de commencer le processus d’exécution de l’ordonnance;</w:t>
      </w:r>
    </w:p>
    <w:p w14:paraId="5220A1DE"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48EEA168" w14:textId="026204E5"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avise immédiatement la personne plaignante contre laquelle l’ordonnance a été rendue que ce moyen a été pris, </w:t>
      </w:r>
    </w:p>
    <w:p w14:paraId="05B2F1DE" w14:textId="77777777" w:rsidR="005A321B" w:rsidRPr="003E0DDA" w:rsidRDefault="005A321B" w:rsidP="005A321B">
      <w:pPr>
        <w:autoSpaceDE w:val="0"/>
        <w:autoSpaceDN w:val="0"/>
        <w:adjustRightInd w:val="0"/>
        <w:ind w:left="1440" w:hanging="720"/>
        <w:rPr>
          <w:rFonts w:ascii="Arial" w:eastAsia="Times New Roman" w:hAnsi="Arial" w:cs="Arial"/>
          <w:szCs w:val="23"/>
          <w:lang w:val="fr-CA"/>
        </w:rPr>
      </w:pPr>
    </w:p>
    <w:p w14:paraId="3CF59862" w14:textId="6F172D3B" w:rsidR="005A321B" w:rsidRPr="003E0DDA" w:rsidRDefault="005A321B" w:rsidP="005A321B">
      <w:pPr>
        <w:autoSpaceDE w:val="0"/>
        <w:autoSpaceDN w:val="0"/>
        <w:adjustRightInd w:val="0"/>
        <w:rPr>
          <w:rFonts w:ascii="Arial" w:eastAsia="Arial" w:hAnsi="Arial" w:cs="Arial"/>
          <w:b/>
          <w:szCs w:val="23"/>
          <w:lang w:val="fr-CA"/>
        </w:rPr>
      </w:pPr>
      <w:proofErr w:type="gramStart"/>
      <w:r w:rsidRPr="003E0DDA">
        <w:rPr>
          <w:rFonts w:ascii="Arial" w:eastAsia="Times New Roman" w:hAnsi="Arial" w:cs="Arial"/>
          <w:szCs w:val="23"/>
          <w:lang w:val="fr-CA"/>
        </w:rPr>
        <w:t>mais</w:t>
      </w:r>
      <w:proofErr w:type="gramEnd"/>
      <w:r w:rsidRPr="003E0DDA">
        <w:rPr>
          <w:rFonts w:ascii="Arial" w:eastAsia="Times New Roman" w:hAnsi="Arial" w:cs="Arial"/>
          <w:szCs w:val="23"/>
          <w:lang w:val="fr-CA"/>
        </w:rPr>
        <w:t xml:space="preserve"> la Partie ne peut prendre un autre moyen pour faire exécuter l’ordonnance dans un délai de 60 jours qui suivent la date de l’ordonnance, </w:t>
      </w:r>
      <w:bookmarkStart w:id="172" w:name="_Toc357427549"/>
      <w:bookmarkStart w:id="173" w:name="_Toc470079028"/>
      <w:r w:rsidRPr="003E0DDA">
        <w:rPr>
          <w:rFonts w:ascii="Arial" w:eastAsia="Times New Roman" w:hAnsi="Arial" w:cs="Arial"/>
          <w:szCs w:val="23"/>
          <w:lang w:val="fr-CA"/>
        </w:rPr>
        <w:t>sauf par consentement de la Personne à l’encontre de laquelle l’ordonnance a été prise.</w:t>
      </w:r>
    </w:p>
    <w:p w14:paraId="34E3AD10" w14:textId="77777777" w:rsidR="005A321B" w:rsidRPr="003E0DDA" w:rsidRDefault="005A321B" w:rsidP="005A321B">
      <w:pPr>
        <w:autoSpaceDE w:val="0"/>
        <w:autoSpaceDN w:val="0"/>
        <w:adjustRightInd w:val="0"/>
        <w:rPr>
          <w:rFonts w:ascii="Arial" w:eastAsia="Arial" w:hAnsi="Arial" w:cs="Arial"/>
          <w:b/>
          <w:szCs w:val="23"/>
          <w:lang w:val="fr-CA"/>
        </w:rPr>
      </w:pPr>
    </w:p>
    <w:p w14:paraId="1D7300E7" w14:textId="77777777" w:rsidR="005A321B" w:rsidRPr="003E0DDA" w:rsidRDefault="005A321B" w:rsidP="005A321B">
      <w:pPr>
        <w:autoSpaceDE w:val="0"/>
        <w:autoSpaceDN w:val="0"/>
        <w:adjustRightInd w:val="0"/>
        <w:jc w:val="center"/>
        <w:rPr>
          <w:rFonts w:ascii="Arial" w:eastAsia="Arial" w:hAnsi="Arial" w:cs="Arial"/>
          <w:b/>
          <w:szCs w:val="23"/>
          <w:lang w:val="fr-CA"/>
        </w:rPr>
      </w:pPr>
      <w:r w:rsidRPr="003E0DDA">
        <w:rPr>
          <w:rFonts w:ascii="Arial" w:eastAsia="Arial" w:hAnsi="Arial" w:cs="Arial"/>
          <w:b/>
          <w:szCs w:val="23"/>
          <w:lang w:val="fr-CA"/>
        </w:rPr>
        <w:t xml:space="preserve">Article 1031 : </w:t>
      </w:r>
      <w:r w:rsidRPr="003E0DDA">
        <w:rPr>
          <w:rFonts w:ascii="Arial" w:eastAsia="Arial" w:hAnsi="Arial" w:cs="Arial"/>
          <w:b/>
          <w:szCs w:val="23"/>
          <w:lang w:val="fr-CA"/>
        </w:rPr>
        <w:tab/>
        <w:t>Ordonnances sur les frais supplémentaires</w:t>
      </w:r>
      <w:bookmarkEnd w:id="172"/>
      <w:bookmarkEnd w:id="173"/>
    </w:p>
    <w:p w14:paraId="5FF65956" w14:textId="77777777" w:rsidR="005A321B" w:rsidRPr="003E0DDA" w:rsidRDefault="005A321B" w:rsidP="005A321B">
      <w:pPr>
        <w:autoSpaceDE w:val="0"/>
        <w:autoSpaceDN w:val="0"/>
        <w:adjustRightInd w:val="0"/>
        <w:rPr>
          <w:rFonts w:ascii="Arial" w:eastAsia="Times New Roman" w:hAnsi="Arial" w:cs="Arial"/>
          <w:szCs w:val="23"/>
          <w:lang w:val="fr-CA"/>
        </w:rPr>
      </w:pPr>
    </w:p>
    <w:p w14:paraId="08CE13A9"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 xml:space="preserve">Une ordonnance d’un groupe spécial de l’observation des décisions visant le paiement des frais supplémentaires est réputée être une ordonnance rendue contre une Partie pour le paiement de dépens prévus au tarif, aux fins de l’exécution de l’ordonnance sur les frais supplémentaires. </w:t>
      </w:r>
    </w:p>
    <w:p w14:paraId="64D4DE95" w14:textId="77777777" w:rsidR="005A321B" w:rsidRPr="003E0DDA" w:rsidRDefault="005A321B" w:rsidP="005A321B">
      <w:pPr>
        <w:autoSpaceDE w:val="0"/>
        <w:autoSpaceDN w:val="0"/>
        <w:adjustRightInd w:val="0"/>
        <w:rPr>
          <w:rFonts w:ascii="Arial" w:eastAsia="Times New Roman" w:hAnsi="Arial" w:cs="Arial"/>
          <w:szCs w:val="23"/>
          <w:lang w:val="fr-CA"/>
        </w:rPr>
      </w:pPr>
    </w:p>
    <w:p w14:paraId="556BF011" w14:textId="119FD0C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Si un groupe spécial de l’observation des décisions a rendu une ordonnance sur les frais supplémentaires, ceux</w:t>
      </w:r>
      <w:r w:rsidRPr="003E0DDA">
        <w:rPr>
          <w:rFonts w:ascii="Arial" w:eastAsia="Times New Roman" w:hAnsi="Arial" w:cs="Arial"/>
          <w:szCs w:val="23"/>
          <w:lang w:val="fr-CA"/>
        </w:rPr>
        <w:noBreakHyphen/>
        <w:t xml:space="preserve">ci sont exigibles immédiatement. La Partie contre laquelle l’ordonnance a été rendue paie la somme stipulée dans l’ordonnance à la personne plaignante et elle confirme par écrit au Secrétariat qu’elle a fait le paiement. </w:t>
      </w:r>
    </w:p>
    <w:p w14:paraId="28E59245" w14:textId="77777777" w:rsidR="005A321B" w:rsidRPr="003E0DDA" w:rsidRDefault="005A321B" w:rsidP="005A321B">
      <w:pPr>
        <w:autoSpaceDE w:val="0"/>
        <w:autoSpaceDN w:val="0"/>
        <w:adjustRightInd w:val="0"/>
        <w:rPr>
          <w:rFonts w:ascii="Arial" w:eastAsia="Times New Roman" w:hAnsi="Arial" w:cs="Arial"/>
          <w:szCs w:val="23"/>
          <w:lang w:val="fr-CA"/>
        </w:rPr>
      </w:pPr>
    </w:p>
    <w:p w14:paraId="0A292F98"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3.</w:t>
      </w:r>
      <w:r w:rsidRPr="003E0DDA">
        <w:rPr>
          <w:rFonts w:ascii="Arial" w:eastAsia="Arial" w:hAnsi="Arial" w:cs="Arial"/>
          <w:szCs w:val="23"/>
          <w:lang w:val="fr-CA"/>
        </w:rPr>
        <w:tab/>
        <w:t xml:space="preserve">Si la Partie contre laquelle une ordonnance sur les frais supplémentaires a été rendue a mis en œuvre le mécanisme d’exécution sur les dépens prévus au tarif cité à l’alinéa 1001.4a), la personne plaignante : </w:t>
      </w:r>
    </w:p>
    <w:p w14:paraId="69139B7B" w14:textId="77777777" w:rsidR="005A321B" w:rsidRPr="003E0DDA" w:rsidRDefault="005A321B" w:rsidP="005A321B">
      <w:pPr>
        <w:autoSpaceDE w:val="0"/>
        <w:autoSpaceDN w:val="0"/>
        <w:adjustRightInd w:val="0"/>
        <w:rPr>
          <w:rFonts w:ascii="Arial" w:eastAsia="Times New Roman" w:hAnsi="Arial" w:cs="Arial"/>
          <w:szCs w:val="23"/>
          <w:lang w:val="fr-CA"/>
        </w:rPr>
      </w:pPr>
    </w:p>
    <w:p w14:paraId="30409F8B" w14:textId="678D6258"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peut prendre dans les moindres délais</w:t>
      </w:r>
      <w:r w:rsidRPr="003E0DDA" w:rsidDel="002D50ED">
        <w:rPr>
          <w:rFonts w:ascii="Arial" w:eastAsia="Times New Roman" w:hAnsi="Arial" w:cs="Arial"/>
          <w:szCs w:val="23"/>
          <w:lang w:val="fr-CA"/>
        </w:rPr>
        <w:t xml:space="preserve"> </w:t>
      </w:r>
      <w:r w:rsidRPr="003E0DDA">
        <w:rPr>
          <w:rFonts w:ascii="Arial" w:eastAsia="Times New Roman" w:hAnsi="Arial" w:cs="Arial"/>
          <w:szCs w:val="23"/>
          <w:lang w:val="fr-CA"/>
        </w:rPr>
        <w:t>un moyen comme l’enregistrement, le dépôt ou autre moyen exigée par la loi ou la pratique administrative de la Partie, afin de commencer le processus d’exécution de l’ordonnance de la même façon qu’une ordonnance contre le ministère public dans les tribunaux supérieurs de cette Partie;</w:t>
      </w:r>
    </w:p>
    <w:p w14:paraId="3A355384" w14:textId="77777777" w:rsidR="005A321B" w:rsidRPr="003E0DDA" w:rsidRDefault="005A321B" w:rsidP="00D95DB5">
      <w:pPr>
        <w:autoSpaceDE w:val="0"/>
        <w:autoSpaceDN w:val="0"/>
        <w:adjustRightInd w:val="0"/>
        <w:ind w:left="1440" w:hanging="720"/>
        <w:rPr>
          <w:rFonts w:ascii="Arial" w:eastAsia="Times New Roman" w:hAnsi="Arial" w:cs="Arial"/>
          <w:szCs w:val="23"/>
          <w:lang w:val="fr-CA"/>
        </w:rPr>
      </w:pPr>
    </w:p>
    <w:p w14:paraId="2AD1B563" w14:textId="1F3EC345" w:rsidR="005A321B" w:rsidRPr="003E0DDA" w:rsidRDefault="005A321B" w:rsidP="00D95DB5">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avise immédiatement la Partie que ce moyen a été pris,</w:t>
      </w:r>
    </w:p>
    <w:p w14:paraId="4A2866EA" w14:textId="77777777" w:rsidR="005A321B" w:rsidRPr="003E0DDA" w:rsidRDefault="005A321B" w:rsidP="005A321B">
      <w:pPr>
        <w:autoSpaceDE w:val="0"/>
        <w:autoSpaceDN w:val="0"/>
        <w:adjustRightInd w:val="0"/>
        <w:rPr>
          <w:rFonts w:ascii="Arial" w:eastAsia="Times New Roman" w:hAnsi="Arial" w:cs="Arial"/>
          <w:szCs w:val="23"/>
          <w:lang w:val="fr-CA"/>
        </w:rPr>
      </w:pPr>
    </w:p>
    <w:p w14:paraId="0B00F195" w14:textId="648D0DF8"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szCs w:val="23"/>
          <w:lang w:val="fr-CA"/>
        </w:rPr>
        <w:lastRenderedPageBreak/>
        <w:t>mais</w:t>
      </w:r>
      <w:proofErr w:type="gramEnd"/>
      <w:r w:rsidRPr="003E0DDA">
        <w:rPr>
          <w:rFonts w:ascii="Arial" w:eastAsia="Times New Roman" w:hAnsi="Arial" w:cs="Arial"/>
          <w:szCs w:val="23"/>
          <w:lang w:val="fr-CA"/>
        </w:rPr>
        <w:t xml:space="preserve"> la Partie ne peut prendre un autre moyen pour faire exécuter l’ordonnance dans un délai de 60 jours qui suivent la date de l’ordonnance, à moins que la Partie ne consente à ce qu’un autre moyen soit pris avant cette date. </w:t>
      </w:r>
    </w:p>
    <w:p w14:paraId="3E409B0D"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4F8904DC" w14:textId="77777777" w:rsidR="005A321B" w:rsidRPr="003E0DDA" w:rsidRDefault="005A321B" w:rsidP="005A321B">
      <w:pPr>
        <w:keepNext/>
        <w:keepLines/>
        <w:jc w:val="center"/>
        <w:rPr>
          <w:rFonts w:ascii="Arial" w:eastAsia="Arial" w:hAnsi="Arial" w:cs="Arial"/>
          <w:b/>
          <w:szCs w:val="23"/>
          <w:lang w:val="fr-CA"/>
        </w:rPr>
      </w:pPr>
      <w:bookmarkStart w:id="174" w:name="_Toc357427550"/>
      <w:bookmarkStart w:id="175" w:name="_Toc470079029"/>
      <w:r w:rsidRPr="003E0DDA">
        <w:rPr>
          <w:rFonts w:ascii="Arial" w:eastAsia="Arial" w:hAnsi="Arial" w:cs="Arial"/>
          <w:b/>
          <w:szCs w:val="23"/>
          <w:lang w:val="fr-CA"/>
        </w:rPr>
        <w:t xml:space="preserve">Article 1032 : </w:t>
      </w:r>
      <w:r w:rsidRPr="003E0DDA">
        <w:rPr>
          <w:rFonts w:ascii="Arial" w:eastAsia="Arial" w:hAnsi="Arial" w:cs="Arial"/>
          <w:b/>
          <w:szCs w:val="23"/>
          <w:lang w:val="fr-CA"/>
        </w:rPr>
        <w:tab/>
        <w:t>Fonds de développement du commerce intérieur</w:t>
      </w:r>
      <w:bookmarkEnd w:id="174"/>
      <w:bookmarkEnd w:id="175"/>
    </w:p>
    <w:p w14:paraId="568C3C2B" w14:textId="77777777" w:rsidR="005A321B" w:rsidRPr="003E0DDA" w:rsidRDefault="005A321B" w:rsidP="005A321B">
      <w:pPr>
        <w:keepNext/>
        <w:keepLines/>
        <w:autoSpaceDE w:val="0"/>
        <w:autoSpaceDN w:val="0"/>
        <w:adjustRightInd w:val="0"/>
        <w:rPr>
          <w:rFonts w:ascii="Arial" w:eastAsia="Times New Roman" w:hAnsi="Arial" w:cs="Arial"/>
          <w:szCs w:val="23"/>
          <w:lang w:val="fr-CA"/>
        </w:rPr>
      </w:pPr>
    </w:p>
    <w:p w14:paraId="5CED2C10" w14:textId="646FBA69" w:rsidR="005A321B" w:rsidRPr="003E0DDA" w:rsidRDefault="005A321B" w:rsidP="005A321B">
      <w:pPr>
        <w:keepNext/>
        <w:keepLines/>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Conformément à l’article 1029.3, le Fonds, comme il a été établi sous le régime de l’article 1726 (Fonds de développement du commerce intérieur) de l’Accord sur le commerce intérieur est continué au titre du présent accord.</w:t>
      </w:r>
    </w:p>
    <w:p w14:paraId="11C057FA" w14:textId="77777777" w:rsidR="005A321B" w:rsidRPr="003E0DDA" w:rsidRDefault="005A321B" w:rsidP="005A321B">
      <w:pPr>
        <w:autoSpaceDE w:val="0"/>
        <w:autoSpaceDN w:val="0"/>
        <w:adjustRightInd w:val="0"/>
        <w:rPr>
          <w:rFonts w:ascii="Arial" w:eastAsia="Times New Roman" w:hAnsi="Arial" w:cs="Arial"/>
          <w:szCs w:val="23"/>
          <w:lang w:val="fr-CA"/>
        </w:rPr>
      </w:pPr>
    </w:p>
    <w:p w14:paraId="1AFBD675"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Tous les débours faits à partir du Fonds, autres que ceux exigés pour l’administration du compte, sont faits sur l’ordre du Comité et utilisés seulement pour appuyer les initiatives pancanadiennes de recherche, d’éducation ou de stratégie en vue de permettre le développement du commerce, de l’investissement ou de la mobilité de la main-d’œuvre à l’intérieur du Canada.</w:t>
      </w:r>
    </w:p>
    <w:p w14:paraId="4A5F08AA" w14:textId="77777777" w:rsidR="005A321B" w:rsidRPr="003E0DDA" w:rsidRDefault="005A321B" w:rsidP="005A321B">
      <w:pPr>
        <w:autoSpaceDE w:val="0"/>
        <w:autoSpaceDN w:val="0"/>
        <w:adjustRightInd w:val="0"/>
        <w:rPr>
          <w:rFonts w:ascii="Arial" w:eastAsia="Times New Roman" w:hAnsi="Arial" w:cs="Arial"/>
          <w:szCs w:val="23"/>
          <w:lang w:val="fr-CA"/>
        </w:rPr>
      </w:pPr>
    </w:p>
    <w:p w14:paraId="3ADC4A82" w14:textId="1CE256A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 xml:space="preserve">Les sommes du Fonds ne servent pas à dédommager les Parties pour les dépenses engagées du fait de l’utilisation ou de l’administration du présent accord, et ne sont pas attribuées à titre de recettes générales entre les Parties. </w:t>
      </w:r>
    </w:p>
    <w:p w14:paraId="30233485" w14:textId="77777777" w:rsidR="005A321B" w:rsidRPr="003E0DDA" w:rsidRDefault="005A321B" w:rsidP="005A321B">
      <w:pPr>
        <w:autoSpaceDE w:val="0"/>
        <w:autoSpaceDN w:val="0"/>
        <w:adjustRightInd w:val="0"/>
        <w:rPr>
          <w:rFonts w:ascii="Arial" w:eastAsia="Times New Roman" w:hAnsi="Arial" w:cs="Arial"/>
          <w:szCs w:val="23"/>
          <w:lang w:val="fr-CA"/>
        </w:rPr>
      </w:pPr>
    </w:p>
    <w:p w14:paraId="51A29D3E" w14:textId="77777777" w:rsidR="005A321B" w:rsidRPr="003E0DDA" w:rsidRDefault="005A321B" w:rsidP="005A321B">
      <w:pPr>
        <w:autoSpaceDE w:val="0"/>
        <w:autoSpaceDN w:val="0"/>
        <w:adjustRightInd w:val="0"/>
        <w:rPr>
          <w:rFonts w:ascii="Arial" w:eastAsia="Times New Roman" w:hAnsi="Arial" w:cs="Arial"/>
          <w:szCs w:val="23"/>
          <w:lang w:val="fr-CA"/>
        </w:rPr>
      </w:pPr>
    </w:p>
    <w:p w14:paraId="667745F0" w14:textId="68D186BA" w:rsidR="005A321B" w:rsidRPr="003E0DDA" w:rsidRDefault="005A321B" w:rsidP="005A321B">
      <w:pPr>
        <w:jc w:val="center"/>
        <w:rPr>
          <w:rFonts w:ascii="Arial" w:eastAsia="Arial" w:hAnsi="Arial" w:cs="Arial"/>
          <w:b/>
          <w:szCs w:val="23"/>
          <w:lang w:val="fr-CA"/>
        </w:rPr>
      </w:pPr>
      <w:bookmarkStart w:id="176" w:name="_Toc357427551"/>
      <w:bookmarkStart w:id="177" w:name="_Toc470079030"/>
      <w:r w:rsidRPr="003E0DDA">
        <w:rPr>
          <w:rFonts w:ascii="Arial" w:eastAsia="Arial" w:hAnsi="Arial" w:cs="Arial"/>
          <w:b/>
          <w:szCs w:val="23"/>
          <w:lang w:val="fr-CA"/>
        </w:rPr>
        <w:br w:type="page"/>
      </w:r>
      <w:r w:rsidRPr="003E0DDA">
        <w:rPr>
          <w:rFonts w:ascii="Arial" w:eastAsia="Arial" w:hAnsi="Arial" w:cs="Arial"/>
          <w:b/>
          <w:szCs w:val="23"/>
          <w:lang w:val="fr-CA"/>
        </w:rPr>
        <w:lastRenderedPageBreak/>
        <w:t xml:space="preserve">PARTIE C : </w:t>
      </w:r>
      <w:r w:rsidR="00AD7BB1" w:rsidRPr="003E0DDA">
        <w:rPr>
          <w:rFonts w:ascii="Arial" w:eastAsia="Arial" w:hAnsi="Arial" w:cs="Arial"/>
          <w:b/>
          <w:szCs w:val="23"/>
          <w:lang w:val="fr-CA"/>
        </w:rPr>
        <w:tab/>
      </w:r>
      <w:r w:rsidR="00C319A1" w:rsidRPr="003E0DDA">
        <w:rPr>
          <w:rFonts w:ascii="Arial" w:eastAsia="Arial" w:hAnsi="Arial" w:cs="Arial"/>
          <w:b/>
          <w:szCs w:val="23"/>
          <w:lang w:val="fr-CA"/>
        </w:rPr>
        <w:tab/>
      </w:r>
      <w:r w:rsidRPr="003E0DDA">
        <w:rPr>
          <w:rFonts w:ascii="Arial" w:eastAsia="Arial" w:hAnsi="Arial" w:cs="Arial"/>
          <w:b/>
          <w:szCs w:val="23"/>
          <w:lang w:val="fr-CA"/>
        </w:rPr>
        <w:t>Dispositions générales</w:t>
      </w:r>
      <w:bookmarkEnd w:id="176"/>
      <w:bookmarkEnd w:id="177"/>
    </w:p>
    <w:p w14:paraId="08C2F00B"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p>
    <w:p w14:paraId="397F8008"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p>
    <w:p w14:paraId="6B5F88EC" w14:textId="77777777" w:rsidR="005A321B" w:rsidRPr="003E0DDA" w:rsidRDefault="005A321B" w:rsidP="005A321B">
      <w:pPr>
        <w:jc w:val="center"/>
        <w:rPr>
          <w:rFonts w:ascii="Arial" w:eastAsia="Arial" w:hAnsi="Arial" w:cs="Arial"/>
          <w:b/>
          <w:szCs w:val="23"/>
          <w:lang w:val="fr-CA"/>
        </w:rPr>
      </w:pPr>
      <w:bookmarkStart w:id="178" w:name="_Toc357427552"/>
      <w:bookmarkStart w:id="179" w:name="_Toc470079031"/>
      <w:r w:rsidRPr="003E0DDA">
        <w:rPr>
          <w:rFonts w:ascii="Arial" w:eastAsia="Arial" w:hAnsi="Arial" w:cs="Arial"/>
          <w:b/>
          <w:szCs w:val="23"/>
          <w:lang w:val="fr-CA"/>
        </w:rPr>
        <w:t xml:space="preserve">Article 1033 : </w:t>
      </w:r>
      <w:r w:rsidRPr="003E0DDA">
        <w:rPr>
          <w:rFonts w:ascii="Arial" w:eastAsia="Arial" w:hAnsi="Arial" w:cs="Arial"/>
          <w:b/>
          <w:szCs w:val="23"/>
          <w:lang w:val="fr-CA"/>
        </w:rPr>
        <w:tab/>
        <w:t>Refus d’accès aux mécanismes de règlement des différends</w:t>
      </w:r>
    </w:p>
    <w:p w14:paraId="4B14B3A7" w14:textId="77777777" w:rsidR="005A321B" w:rsidRPr="003E0DDA" w:rsidRDefault="005A321B" w:rsidP="005A321B">
      <w:pPr>
        <w:jc w:val="center"/>
        <w:rPr>
          <w:rFonts w:ascii="Arial" w:eastAsia="Arial" w:hAnsi="Arial" w:cs="Arial"/>
          <w:b/>
          <w:szCs w:val="23"/>
          <w:lang w:val="fr-CA"/>
        </w:rPr>
      </w:pPr>
      <w:proofErr w:type="gramStart"/>
      <w:r w:rsidRPr="003E0DDA">
        <w:rPr>
          <w:rFonts w:ascii="Arial" w:eastAsia="Arial" w:hAnsi="Arial" w:cs="Arial"/>
          <w:b/>
          <w:szCs w:val="23"/>
          <w:lang w:val="fr-CA"/>
        </w:rPr>
        <w:t>en</w:t>
      </w:r>
      <w:proofErr w:type="gramEnd"/>
      <w:r w:rsidRPr="003E0DDA">
        <w:rPr>
          <w:rFonts w:ascii="Arial" w:eastAsia="Arial" w:hAnsi="Arial" w:cs="Arial"/>
          <w:b/>
          <w:szCs w:val="23"/>
          <w:lang w:val="fr-CA"/>
        </w:rPr>
        <w:t xml:space="preserve"> cas de non-conformité</w:t>
      </w:r>
      <w:bookmarkEnd w:id="178"/>
      <w:bookmarkEnd w:id="179"/>
    </w:p>
    <w:p w14:paraId="743CF97D"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623C18DC" w14:textId="0C5BF5A5" w:rsidR="005A321B" w:rsidRPr="003E0DDA" w:rsidRDefault="005A321B" w:rsidP="005A321B">
      <w:pPr>
        <w:autoSpaceDE w:val="0"/>
        <w:autoSpaceDN w:val="0"/>
        <w:adjustRightInd w:val="0"/>
        <w:ind w:left="720" w:hanging="72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 présent article s’applique nonobstant toute autre disposition du présent chapitre.</w:t>
      </w:r>
    </w:p>
    <w:p w14:paraId="369291DB" w14:textId="77777777" w:rsidR="005A321B" w:rsidRPr="003E0DDA" w:rsidRDefault="005A321B" w:rsidP="005A321B">
      <w:pPr>
        <w:autoSpaceDE w:val="0"/>
        <w:autoSpaceDN w:val="0"/>
        <w:adjustRightInd w:val="0"/>
        <w:ind w:left="2160" w:hanging="2160"/>
        <w:rPr>
          <w:rFonts w:ascii="Arial" w:eastAsia="Times New Roman" w:hAnsi="Arial" w:cs="Arial"/>
          <w:b/>
          <w:szCs w:val="23"/>
          <w:lang w:val="fr-CA"/>
        </w:rPr>
      </w:pPr>
    </w:p>
    <w:p w14:paraId="2FF2418C"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Parties</w:t>
      </w:r>
    </w:p>
    <w:p w14:paraId="7BC95A2B"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76951A4E" w14:textId="3EEB71B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Il est interdit à une Partie d’engager des consultations ou des procédures au titre du présent chapitre, ou d’y participer, en quelque qualité que ce soit, autrement qu’à titre de Partie qui répond, de destinataire de la plainte ou d’intimé, dans l’un ou l’autre des cas suivants :</w:t>
      </w:r>
    </w:p>
    <w:p w14:paraId="511F17BF" w14:textId="77777777" w:rsidR="005A321B" w:rsidRPr="003E0DDA" w:rsidRDefault="005A321B" w:rsidP="005A321B">
      <w:pPr>
        <w:autoSpaceDE w:val="0"/>
        <w:autoSpaceDN w:val="0"/>
        <w:adjustRightInd w:val="0"/>
        <w:rPr>
          <w:rFonts w:ascii="Arial" w:eastAsia="Times New Roman" w:hAnsi="Arial" w:cs="Arial"/>
          <w:szCs w:val="23"/>
          <w:lang w:val="fr-CA"/>
        </w:rPr>
      </w:pPr>
    </w:p>
    <w:p w14:paraId="30DEEC81" w14:textId="7A227112"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si la Partie a omis de se conformer aux obligations prévues à l’article 1001.4, à l’article 1012.4 ou à l’article 1012.5, et tant que la Partie ne se conforme pas pleinement à ces obligations;</w:t>
      </w:r>
    </w:p>
    <w:p w14:paraId="7323DCD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1DC04FD" w14:textId="1658C49D"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si un groupe spécial de l’observation des décisions a établi que la Partie ne s’est pas conformée au présent accord, et que 180 jours se sont écoulés depuis la date à laquelle le rapport sur la conformité a été présenté, et tant que la Partie ne se conforme pas au présent accord, malgré le fait que la Partie ait payé les sanctions pécuniaires, les coûts opérationnels, les dépens prévus au tarif et les frais supplémentaires imposés contre elle par ordonnance ou que des avantages aient été refusés à la Partie ou qu’il y ait eu des mesures de rétorsion prises contre elle conformément à l’article 1013; </w:t>
      </w:r>
    </w:p>
    <w:p w14:paraId="30B83281"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5765B7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si, sous réserve du paragraphe 3, la Partie a omis de payer les sanctions pécuniaires, les coûts opérationnels, les dépens prévus au tarif ou les frais supplémentaires imposés contre elle par ordonnance, dans le délai applicable précisé au présent chapitre, et tant que la Partie ne paie pas les sanctions monétaires et coûts, ou que le paiement n’est pas obtenu autrement.</w:t>
      </w:r>
    </w:p>
    <w:p w14:paraId="48A01E47" w14:textId="77777777" w:rsidR="005A321B" w:rsidRPr="003E0DDA" w:rsidRDefault="005A321B" w:rsidP="005A321B">
      <w:pPr>
        <w:autoSpaceDE w:val="0"/>
        <w:autoSpaceDN w:val="0"/>
        <w:adjustRightInd w:val="0"/>
        <w:ind w:left="1440" w:hanging="720"/>
        <w:rPr>
          <w:rFonts w:ascii="Arial" w:eastAsia="Times New Roman" w:hAnsi="Arial" w:cs="Arial"/>
          <w:szCs w:val="23"/>
          <w:lang w:val="fr-CA"/>
        </w:rPr>
      </w:pPr>
    </w:p>
    <w:p w14:paraId="41B66428" w14:textId="667B854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3.</w:t>
      </w:r>
      <w:r w:rsidRPr="003E0DDA">
        <w:rPr>
          <w:rFonts w:ascii="Arial" w:eastAsia="Arial" w:hAnsi="Arial" w:cs="Arial"/>
          <w:szCs w:val="23"/>
          <w:lang w:val="fr-CA"/>
        </w:rPr>
        <w:tab/>
        <w:t>Si, conformément à l’article 1001.4, une Partie a prévu qu’une ordonnance imposant contre elle des sanctions pécuniaires, des dépens prévus au tarif ou des frais supplémentaires puisse être exécutée de la même façon qu’une ordonnance contre le ministère public dans les tribunaux supérieurs de cette Partie, et que le processus de paiement de la Partie exige que l’ordonnance de l’organe décisionnel soit déposée devant ces tribunaux avant que cette Partie ne puisse payer les sanctions pécuniaires ou les coûts imposés contre elle par ordonnance :</w:t>
      </w:r>
    </w:p>
    <w:p w14:paraId="0D2D2E9F" w14:textId="77777777" w:rsidR="005A321B" w:rsidRPr="003E0DDA" w:rsidRDefault="005A321B" w:rsidP="005A321B">
      <w:pPr>
        <w:autoSpaceDE w:val="0"/>
        <w:autoSpaceDN w:val="0"/>
        <w:adjustRightInd w:val="0"/>
        <w:ind w:left="1152" w:hanging="576"/>
        <w:rPr>
          <w:rFonts w:ascii="Arial" w:eastAsia="Times New Roman" w:hAnsi="Arial" w:cs="Arial"/>
          <w:szCs w:val="23"/>
          <w:lang w:val="fr-CA"/>
        </w:rPr>
      </w:pPr>
    </w:p>
    <w:p w14:paraId="1962464E" w14:textId="5EEBA96F"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au plus tard 10 jours après qu’a été rendue une ordonnance imposant contre elle des sanctions pécuniaires ou des coûts, la Partie avise la Partie ou la Personne en faveur de qui l’ordonnance imposant des sanctions pécuniaires ou des coûts a été rendue, qu’elle exige de cette Partie ou Personne qu’elle prenne les dispositions nécessaires pour déposer l’ordonnance de l’organe décisionnel dans les tribunaux supérieurs de la Partie pour permettre son </w:t>
      </w:r>
      <w:r w:rsidRPr="003E0DDA">
        <w:rPr>
          <w:rFonts w:ascii="Arial" w:eastAsia="Times New Roman" w:hAnsi="Arial" w:cs="Arial"/>
          <w:szCs w:val="23"/>
          <w:lang w:val="fr-CA"/>
        </w:rPr>
        <w:lastRenderedPageBreak/>
        <w:t>exécution de la même façon qu’une ordonnance contre le ministère public dans ces tribunaux;</w:t>
      </w:r>
    </w:p>
    <w:p w14:paraId="6A2FEF2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BF7B78A" w14:textId="6DF28DF0"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à condition que les exigences de l’alinéa </w:t>
      </w:r>
      <w:proofErr w:type="gramStart"/>
      <w:r w:rsidRPr="003E0DDA">
        <w:rPr>
          <w:rFonts w:ascii="Arial" w:eastAsia="Times New Roman" w:hAnsi="Arial" w:cs="Arial"/>
          <w:szCs w:val="23"/>
          <w:lang w:val="fr-CA"/>
        </w:rPr>
        <w:t>a</w:t>
      </w:r>
      <w:proofErr w:type="gramEnd"/>
      <w:r w:rsidRPr="003E0DDA">
        <w:rPr>
          <w:rFonts w:ascii="Arial" w:eastAsia="Times New Roman" w:hAnsi="Arial" w:cs="Arial"/>
          <w:szCs w:val="23"/>
          <w:lang w:val="fr-CA"/>
        </w:rPr>
        <w:t>) soient remplies, l’interdiction prévue à l’alinéa 2c) ne prend pas effet avant un délai de 60 jours après la date de l’ordonnance de l’organe décisionnel.</w:t>
      </w:r>
    </w:p>
    <w:p w14:paraId="7948FE53" w14:textId="77777777" w:rsidR="005A321B" w:rsidRPr="003E0DDA" w:rsidRDefault="005A321B" w:rsidP="005A321B">
      <w:pPr>
        <w:autoSpaceDE w:val="0"/>
        <w:autoSpaceDN w:val="0"/>
        <w:adjustRightInd w:val="0"/>
        <w:ind w:left="1440" w:hanging="720"/>
        <w:rPr>
          <w:rFonts w:ascii="Arial" w:eastAsia="Times New Roman" w:hAnsi="Arial" w:cs="Arial"/>
          <w:b/>
          <w:szCs w:val="23"/>
          <w:u w:val="single"/>
          <w:lang w:val="fr-CA"/>
        </w:rPr>
      </w:pPr>
    </w:p>
    <w:p w14:paraId="0051A427" w14:textId="55A1061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 xml:space="preserve">Toutes les consultations ou procédures en cours qui ont été engagées par une Partie sont suspendues tant que toute interdiction prévue au paragraphe 2 est en vigueur à l’encontre de la Partie. </w:t>
      </w:r>
    </w:p>
    <w:p w14:paraId="57131228" w14:textId="77777777" w:rsidR="005A321B" w:rsidRPr="003E0DDA" w:rsidRDefault="005A321B" w:rsidP="005A321B">
      <w:pPr>
        <w:autoSpaceDE w:val="0"/>
        <w:autoSpaceDN w:val="0"/>
        <w:adjustRightInd w:val="0"/>
        <w:rPr>
          <w:rFonts w:ascii="Arial" w:eastAsia="Times New Roman" w:hAnsi="Arial" w:cs="Arial"/>
          <w:szCs w:val="23"/>
          <w:lang w:val="fr-CA"/>
        </w:rPr>
      </w:pPr>
    </w:p>
    <w:p w14:paraId="11AC65E6" w14:textId="6CF5523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Si l’interdiction prévue aux alinéas 2b) ou 2c) est en vigueur à l’encontre de la Partie, cette Partie peut, en tout temps, demander au Secrétariat de convoquer à nouveau l’organe décisionnel qui à l’origine a établi la non-conformité de la Partie ou qui a rendu l’ordonnance sur les sanctions pécuniaires ou les coûts en cause.  L’organe décisionnel convoqué à nouveau établit si la Partie s’est conformée au présent accord et a payé les sanctions pécuniaires ou les coûts qui lui sont imposés par ordonnance et, si tel est le cas, l’interdiction prévue au paragraphe 2 est immédiatement levée.</w:t>
      </w:r>
    </w:p>
    <w:p w14:paraId="1DCDD07E" w14:textId="77777777" w:rsidR="005A321B" w:rsidRPr="003E0DDA" w:rsidRDefault="005A321B" w:rsidP="005A321B">
      <w:pPr>
        <w:autoSpaceDE w:val="0"/>
        <w:autoSpaceDN w:val="0"/>
        <w:adjustRightInd w:val="0"/>
        <w:rPr>
          <w:rFonts w:ascii="Arial" w:eastAsia="Times New Roman" w:hAnsi="Arial" w:cs="Arial"/>
          <w:szCs w:val="23"/>
          <w:lang w:val="fr-CA"/>
        </w:rPr>
      </w:pPr>
    </w:p>
    <w:p w14:paraId="7BC4447E"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Personnes</w:t>
      </w:r>
    </w:p>
    <w:p w14:paraId="338483FE" w14:textId="77777777" w:rsidR="005A321B" w:rsidRPr="003E0DDA" w:rsidRDefault="005A321B" w:rsidP="005A321B">
      <w:pPr>
        <w:autoSpaceDE w:val="0"/>
        <w:autoSpaceDN w:val="0"/>
        <w:adjustRightInd w:val="0"/>
        <w:rPr>
          <w:rFonts w:ascii="Arial" w:eastAsia="Times New Roman" w:hAnsi="Arial" w:cs="Arial"/>
          <w:szCs w:val="23"/>
          <w:lang w:val="fr-CA"/>
        </w:rPr>
      </w:pPr>
    </w:p>
    <w:p w14:paraId="7DC8889A" w14:textId="3811721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 xml:space="preserve">Sous réserve du paragraphe 7, si une Partie fait l’objet de l’interdiction prévue au paragraphe 2, il est interdit aux Personnes de cette Partie d’engager des consultations ou des procédures au titre de la partie B, ou d’y participer, </w:t>
      </w:r>
      <w:proofErr w:type="gramStart"/>
      <w:r w:rsidRPr="003E0DDA">
        <w:rPr>
          <w:rFonts w:ascii="Arial" w:eastAsia="Times New Roman" w:hAnsi="Arial" w:cs="Arial"/>
          <w:szCs w:val="23"/>
          <w:lang w:val="fr-CA"/>
        </w:rPr>
        <w:t>sauf que</w:t>
      </w:r>
      <w:proofErr w:type="gramEnd"/>
      <w:r w:rsidRPr="003E0DDA">
        <w:rPr>
          <w:rFonts w:ascii="Arial" w:eastAsia="Times New Roman" w:hAnsi="Arial" w:cs="Arial"/>
          <w:szCs w:val="23"/>
          <w:lang w:val="fr-CA"/>
        </w:rPr>
        <w:t> :</w:t>
      </w:r>
    </w:p>
    <w:p w14:paraId="112D7A47" w14:textId="77777777" w:rsidR="005A321B" w:rsidRPr="003E0DDA" w:rsidRDefault="005A321B" w:rsidP="005A321B">
      <w:pPr>
        <w:autoSpaceDE w:val="0"/>
        <w:autoSpaceDN w:val="0"/>
        <w:adjustRightInd w:val="0"/>
        <w:rPr>
          <w:rFonts w:ascii="Arial" w:eastAsia="Times New Roman" w:hAnsi="Arial" w:cs="Arial"/>
          <w:szCs w:val="23"/>
          <w:lang w:val="fr-CA"/>
        </w:rPr>
      </w:pPr>
    </w:p>
    <w:p w14:paraId="18B8B2DD" w14:textId="105277A2"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une Personne qui est une Personne de deux Parties, dont l’une est suspendue, peut procéder avec l’autre Partie;</w:t>
      </w:r>
    </w:p>
    <w:p w14:paraId="00B27D3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A79570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si la Partie est le gouvernement du Canada, l’interdiction frappe seulement les Personnes du gouvernement du Canada qui sont des entités constituées des lois fédérales.</w:t>
      </w:r>
    </w:p>
    <w:p w14:paraId="7C0D8BE6" w14:textId="77777777" w:rsidR="005A321B" w:rsidRPr="003E0DDA" w:rsidRDefault="005A321B" w:rsidP="005A321B">
      <w:pPr>
        <w:autoSpaceDE w:val="0"/>
        <w:autoSpaceDN w:val="0"/>
        <w:adjustRightInd w:val="0"/>
        <w:ind w:left="1080"/>
        <w:rPr>
          <w:rFonts w:ascii="Arial" w:eastAsia="Times New Roman" w:hAnsi="Arial" w:cs="Arial"/>
          <w:szCs w:val="23"/>
          <w:lang w:val="fr-CA"/>
        </w:rPr>
      </w:pPr>
    </w:p>
    <w:p w14:paraId="2EBCFDBA" w14:textId="2BCAB27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 xml:space="preserve">Une procédure engagée par une personne plaignante conformément à l’article 1016 avant que la Partie de la personne plaignante ne fasse l’objet de l’interdiction prévue </w:t>
      </w:r>
      <w:proofErr w:type="gramStart"/>
      <w:r w:rsidRPr="003E0DDA">
        <w:rPr>
          <w:rFonts w:ascii="Arial" w:eastAsia="Times New Roman" w:hAnsi="Arial" w:cs="Arial"/>
          <w:szCs w:val="23"/>
          <w:lang w:val="fr-CA"/>
        </w:rPr>
        <w:t>au  paragraphe</w:t>
      </w:r>
      <w:proofErr w:type="gramEnd"/>
      <w:r w:rsidRPr="003E0DDA">
        <w:rPr>
          <w:rFonts w:ascii="Arial" w:eastAsia="Times New Roman" w:hAnsi="Arial" w:cs="Arial"/>
          <w:szCs w:val="23"/>
          <w:lang w:val="fr-CA"/>
        </w:rPr>
        <w:t> 2 n’est pas suspendue par l’application du paragraphe 6.</w:t>
      </w:r>
    </w:p>
    <w:p w14:paraId="235E9620" w14:textId="77777777" w:rsidR="005A321B" w:rsidRPr="003E0DDA" w:rsidRDefault="005A321B" w:rsidP="005A321B">
      <w:pPr>
        <w:autoSpaceDE w:val="0"/>
        <w:autoSpaceDN w:val="0"/>
        <w:adjustRightInd w:val="0"/>
        <w:rPr>
          <w:rFonts w:ascii="Arial" w:eastAsia="Times New Roman" w:hAnsi="Arial" w:cs="Arial"/>
          <w:szCs w:val="23"/>
          <w:lang w:val="fr-CA"/>
        </w:rPr>
      </w:pPr>
    </w:p>
    <w:p w14:paraId="7EB1FD06" w14:textId="71811C0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8.</w:t>
      </w:r>
      <w:r w:rsidRPr="003E0DDA">
        <w:rPr>
          <w:rFonts w:ascii="Arial" w:eastAsia="Arial" w:hAnsi="Arial" w:cs="Arial"/>
          <w:szCs w:val="23"/>
          <w:lang w:val="fr-CA"/>
        </w:rPr>
        <w:tab/>
        <w:t>Il est interdit à une Personne d’engager des consultations ou des procédures au titre de la partie B, ou d’y participer, si cette Personne a omis de payer les dépens prévus au tarif ou les coûts opérationnels déjà imposés contre elle par ordonnance, dans le délai prévu au présent chapitre. Cette interdiction continue jusqu’à ce que la Personne ait payé ces coûts ou que le paiement ait autrement été obtenu.</w:t>
      </w:r>
    </w:p>
    <w:p w14:paraId="0D44C040" w14:textId="77777777" w:rsidR="005A321B" w:rsidRPr="003E0DDA" w:rsidRDefault="005A321B" w:rsidP="005A321B">
      <w:pPr>
        <w:autoSpaceDE w:val="0"/>
        <w:autoSpaceDN w:val="0"/>
        <w:adjustRightInd w:val="0"/>
        <w:rPr>
          <w:rFonts w:ascii="Arial" w:eastAsia="Times New Roman" w:hAnsi="Arial" w:cs="Arial"/>
          <w:szCs w:val="23"/>
          <w:lang w:val="fr-CA"/>
        </w:rPr>
      </w:pPr>
    </w:p>
    <w:p w14:paraId="21900E79" w14:textId="5B07BC1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Il est entendu que la Partie de la Personne peut engager des consultations ou des procédures, ou y participer en son propre nom même si une Personne de cette Partie est frappée par l’interdiction du paragraphe 8.</w:t>
      </w:r>
    </w:p>
    <w:p w14:paraId="2E880CC7" w14:textId="77777777" w:rsidR="005A321B" w:rsidRPr="003E0DDA" w:rsidRDefault="005A321B" w:rsidP="005A321B">
      <w:pPr>
        <w:autoSpaceDE w:val="0"/>
        <w:autoSpaceDN w:val="0"/>
        <w:adjustRightInd w:val="0"/>
        <w:rPr>
          <w:rFonts w:ascii="Arial" w:eastAsia="Times New Roman" w:hAnsi="Arial" w:cs="Arial"/>
          <w:szCs w:val="23"/>
          <w:lang w:val="fr-CA"/>
        </w:rPr>
      </w:pPr>
    </w:p>
    <w:p w14:paraId="345EF972" w14:textId="77777777" w:rsidR="005A321B" w:rsidRPr="003E0DDA" w:rsidRDefault="005A321B" w:rsidP="005A321B">
      <w:pPr>
        <w:jc w:val="center"/>
        <w:rPr>
          <w:rFonts w:ascii="Arial" w:eastAsia="Arial" w:hAnsi="Arial" w:cs="Arial"/>
          <w:b/>
          <w:szCs w:val="23"/>
          <w:lang w:val="fr-CA"/>
        </w:rPr>
      </w:pPr>
      <w:bookmarkStart w:id="180" w:name="_Toc357427553"/>
      <w:bookmarkStart w:id="181" w:name="_Toc470079032"/>
      <w:r w:rsidRPr="003E0DDA">
        <w:rPr>
          <w:rFonts w:ascii="Arial" w:eastAsia="Arial" w:hAnsi="Arial" w:cs="Arial"/>
          <w:b/>
          <w:szCs w:val="23"/>
          <w:lang w:val="fr-CA"/>
        </w:rPr>
        <w:t xml:space="preserve">Article 1034 : </w:t>
      </w:r>
      <w:r w:rsidRPr="003E0DDA">
        <w:rPr>
          <w:rFonts w:ascii="Arial" w:eastAsia="Arial" w:hAnsi="Arial" w:cs="Arial"/>
          <w:b/>
          <w:szCs w:val="23"/>
          <w:lang w:val="fr-CA"/>
        </w:rPr>
        <w:tab/>
        <w:t>Restrictions quant aux contrôles judiciaires</w:t>
      </w:r>
      <w:bookmarkEnd w:id="180"/>
      <w:bookmarkEnd w:id="181"/>
    </w:p>
    <w:p w14:paraId="3A946B5F"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6AE7F6FF" w14:textId="71F2872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lastRenderedPageBreak/>
        <w:t>1.</w:t>
      </w:r>
      <w:r w:rsidRPr="003E0DDA">
        <w:rPr>
          <w:rFonts w:ascii="Arial" w:eastAsia="Times New Roman" w:hAnsi="Arial" w:cs="Arial"/>
          <w:szCs w:val="23"/>
          <w:lang w:val="fr-CA"/>
        </w:rPr>
        <w:tab/>
        <w:t>Sauf s’il fait l’objet d’un appel conformément à l’article 1009.1 ou à l’article 1026.1, un rapport est final et ne peut faire l’objet d’un contrôle judiciaire.</w:t>
      </w:r>
    </w:p>
    <w:p w14:paraId="5FFB8C85" w14:textId="77777777" w:rsidR="005A321B" w:rsidRPr="003E0DDA" w:rsidRDefault="005A321B" w:rsidP="005A321B">
      <w:pPr>
        <w:autoSpaceDE w:val="0"/>
        <w:autoSpaceDN w:val="0"/>
        <w:adjustRightInd w:val="0"/>
        <w:rPr>
          <w:rFonts w:ascii="Arial" w:eastAsia="Times New Roman" w:hAnsi="Arial" w:cs="Arial"/>
          <w:szCs w:val="23"/>
          <w:lang w:val="fr-CA"/>
        </w:rPr>
      </w:pPr>
    </w:p>
    <w:p w14:paraId="504ABC22" w14:textId="0036E5B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Le rapport d’un groupe spécial de l’observation des décisions ou d’un groupe spécial d’appel est final et ne peut faire l’objet d’un contrôle judiciaire.</w:t>
      </w:r>
    </w:p>
    <w:p w14:paraId="5E203AD1" w14:textId="77777777" w:rsidR="005A321B" w:rsidRPr="003E0DDA" w:rsidRDefault="005A321B" w:rsidP="005A321B">
      <w:pPr>
        <w:autoSpaceDE w:val="0"/>
        <w:autoSpaceDN w:val="0"/>
        <w:adjustRightInd w:val="0"/>
        <w:rPr>
          <w:rFonts w:ascii="Arial" w:eastAsia="Times New Roman" w:hAnsi="Arial" w:cs="Arial"/>
          <w:szCs w:val="23"/>
          <w:lang w:val="fr-CA"/>
        </w:rPr>
      </w:pPr>
    </w:p>
    <w:p w14:paraId="157D554C" w14:textId="55185B1A" w:rsidR="005A321B" w:rsidRPr="003E0DDA" w:rsidRDefault="005A321B" w:rsidP="005A321B">
      <w:pPr>
        <w:jc w:val="center"/>
        <w:rPr>
          <w:rFonts w:ascii="Arial" w:eastAsia="Arial" w:hAnsi="Arial" w:cs="Arial"/>
          <w:b/>
          <w:szCs w:val="23"/>
          <w:lang w:val="fr-CA"/>
        </w:rPr>
      </w:pPr>
      <w:bookmarkStart w:id="182" w:name="_Toc357427554"/>
      <w:bookmarkStart w:id="183" w:name="_Toc470079033"/>
      <w:r w:rsidRPr="003E0DDA">
        <w:rPr>
          <w:rFonts w:ascii="Arial" w:eastAsia="Arial" w:hAnsi="Arial" w:cs="Arial"/>
          <w:b/>
          <w:szCs w:val="23"/>
          <w:lang w:val="fr-CA"/>
        </w:rPr>
        <w:t xml:space="preserve">Article 1035 : </w:t>
      </w:r>
      <w:r w:rsidRPr="003E0DDA">
        <w:rPr>
          <w:rFonts w:ascii="Arial" w:eastAsia="Arial" w:hAnsi="Arial" w:cs="Arial"/>
          <w:b/>
          <w:szCs w:val="23"/>
          <w:lang w:val="fr-CA"/>
        </w:rPr>
        <w:tab/>
        <w:t>Défaut de participer ou désistement</w:t>
      </w:r>
      <w:bookmarkEnd w:id="182"/>
      <w:bookmarkEnd w:id="183"/>
    </w:p>
    <w:p w14:paraId="043DF145"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575DA16E" w14:textId="46B50D21" w:rsidR="005A321B" w:rsidRPr="003E0DDA" w:rsidRDefault="005A321B" w:rsidP="00F52884">
      <w:pPr>
        <w:autoSpaceDE w:val="0"/>
        <w:autoSpaceDN w:val="0"/>
        <w:adjustRightInd w:val="0"/>
        <w:ind w:firstLine="708"/>
        <w:rPr>
          <w:rFonts w:ascii="Arial" w:eastAsia="Times New Roman" w:hAnsi="Arial" w:cs="Arial"/>
          <w:szCs w:val="23"/>
          <w:lang w:val="fr-CA"/>
        </w:rPr>
      </w:pPr>
      <w:r w:rsidRPr="003E0DDA">
        <w:rPr>
          <w:rFonts w:ascii="Arial" w:eastAsia="Times New Roman" w:hAnsi="Arial" w:cs="Arial"/>
          <w:szCs w:val="23"/>
          <w:lang w:val="fr-CA"/>
        </w:rPr>
        <w:t xml:space="preserve">Le défaut de participer d’une Partie au différend ou d’un litigant, ou son désistement, dans le cadre de toute procédure n’affecte pas la compétence d’un organe décisionnel, qui peut procéder en l’absence de cette Partie au différend ou de ce litigant, pour s’acquitter des responsabilités qui lui sont attribuées par le présent accord, y compris la responsabilité de rendre des ordonnances sur les coûts. </w:t>
      </w:r>
    </w:p>
    <w:p w14:paraId="3E06F019" w14:textId="77777777" w:rsidR="005A321B" w:rsidRPr="003E0DDA" w:rsidRDefault="005A321B" w:rsidP="005A321B">
      <w:pPr>
        <w:autoSpaceDE w:val="0"/>
        <w:autoSpaceDN w:val="0"/>
        <w:adjustRightInd w:val="0"/>
        <w:rPr>
          <w:rFonts w:ascii="Arial" w:eastAsia="Times New Roman" w:hAnsi="Arial" w:cs="Arial"/>
          <w:szCs w:val="23"/>
          <w:lang w:val="fr-CA"/>
        </w:rPr>
      </w:pPr>
    </w:p>
    <w:p w14:paraId="2B35C194" w14:textId="77777777" w:rsidR="005A321B" w:rsidRPr="003E0DDA" w:rsidRDefault="005A321B" w:rsidP="005A321B">
      <w:pPr>
        <w:jc w:val="center"/>
        <w:rPr>
          <w:rFonts w:ascii="Arial" w:eastAsia="Arial" w:hAnsi="Arial" w:cs="Arial"/>
          <w:b/>
          <w:szCs w:val="23"/>
          <w:lang w:val="fr-CA"/>
        </w:rPr>
      </w:pPr>
      <w:bookmarkStart w:id="184" w:name="_Toc357427555"/>
      <w:bookmarkStart w:id="185" w:name="_Toc470079034"/>
      <w:r w:rsidRPr="003E0DDA">
        <w:rPr>
          <w:rFonts w:ascii="Arial" w:eastAsia="Arial" w:hAnsi="Arial" w:cs="Arial"/>
          <w:b/>
          <w:szCs w:val="23"/>
          <w:lang w:val="fr-CA"/>
        </w:rPr>
        <w:t xml:space="preserve">Article 1036 : </w:t>
      </w:r>
      <w:r w:rsidRPr="003E0DDA">
        <w:rPr>
          <w:rFonts w:ascii="Arial" w:eastAsia="Arial" w:hAnsi="Arial" w:cs="Arial"/>
          <w:b/>
          <w:szCs w:val="23"/>
          <w:lang w:val="fr-CA"/>
        </w:rPr>
        <w:tab/>
        <w:t>Publication et ordre du jour du Comité</w:t>
      </w:r>
      <w:bookmarkEnd w:id="184"/>
      <w:bookmarkEnd w:id="185"/>
    </w:p>
    <w:p w14:paraId="48502414"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458500E3" w14:textId="0AC32C5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Tout rapport de l’organe décisionnel présenté conformément au présent chapitre est rendu public par le Secrétariat 30 jours après la date à laquelle il a été présenté, ou avant, si les Parties au différend ou les litigants en conviennent.</w:t>
      </w:r>
    </w:p>
    <w:p w14:paraId="1A7FD457" w14:textId="77777777" w:rsidR="005A321B" w:rsidRPr="003E0DDA" w:rsidRDefault="005A321B" w:rsidP="005A321B">
      <w:pPr>
        <w:autoSpaceDE w:val="0"/>
        <w:autoSpaceDN w:val="0"/>
        <w:adjustRightInd w:val="0"/>
        <w:rPr>
          <w:rFonts w:ascii="Arial" w:eastAsia="Times New Roman" w:hAnsi="Arial" w:cs="Arial"/>
          <w:szCs w:val="23"/>
          <w:lang w:val="fr-CA"/>
        </w:rPr>
      </w:pPr>
    </w:p>
    <w:p w14:paraId="3501D936" w14:textId="175020A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Une Partie au différend ou un litigant peut demander au Secrétariat d’inscrire à l’ordre du jour de la réunion annuelle du Comité un différend non réglé qui a fait l’objet d’un rapport.  Toutefois, une demande de cet ordre ne peut être faite avant l’expiration d’un délai de 30 jours suivant la date à laquelle le rapport a été présenté. Par la suite, le différend demeure à l’ordre du jour de chaque réunion annuelle du Comité jusqu’à ce qu’il soit réglé. </w:t>
      </w:r>
    </w:p>
    <w:p w14:paraId="22F6AAA9" w14:textId="77777777" w:rsidR="005A321B" w:rsidRPr="003E0DDA" w:rsidRDefault="005A321B" w:rsidP="005A321B">
      <w:pPr>
        <w:autoSpaceDE w:val="0"/>
        <w:autoSpaceDN w:val="0"/>
        <w:adjustRightInd w:val="0"/>
        <w:rPr>
          <w:rFonts w:ascii="Arial" w:eastAsia="Times New Roman" w:hAnsi="Arial" w:cs="Arial"/>
          <w:szCs w:val="23"/>
          <w:lang w:val="fr-CA"/>
        </w:rPr>
      </w:pPr>
    </w:p>
    <w:p w14:paraId="6BFDD827" w14:textId="56D7C84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 xml:space="preserve">Si un différend non réglé a été inscrit à l’ordre du jour du Comité en application du paragraphe 2, le destinataire de la plainte remet au Comité, au moins 10 jours avant chaque réunion annuelle du Comité dont l’ordre du jour inclut le différend, un rapport écrit sur les progrès du destinataire de la plainte pour mettre en œuvre les recommandations du rapport ou en arriver à un règlement du différend. </w:t>
      </w:r>
    </w:p>
    <w:p w14:paraId="045A4A4E" w14:textId="77777777" w:rsidR="005A321B" w:rsidRPr="003E0DDA" w:rsidRDefault="005A321B" w:rsidP="005A321B">
      <w:pPr>
        <w:autoSpaceDE w:val="0"/>
        <w:autoSpaceDN w:val="0"/>
        <w:adjustRightInd w:val="0"/>
        <w:rPr>
          <w:rFonts w:ascii="Arial" w:eastAsia="Times New Roman" w:hAnsi="Arial" w:cs="Arial"/>
          <w:szCs w:val="23"/>
          <w:lang w:val="fr-CA"/>
        </w:rPr>
      </w:pPr>
    </w:p>
    <w:p w14:paraId="16E148D0" w14:textId="77777777" w:rsidR="005A321B" w:rsidRPr="003E0DDA" w:rsidRDefault="005A321B" w:rsidP="005A321B">
      <w:pPr>
        <w:jc w:val="center"/>
        <w:rPr>
          <w:rFonts w:ascii="Arial" w:eastAsia="Arial" w:hAnsi="Arial" w:cs="Arial"/>
          <w:b/>
          <w:szCs w:val="23"/>
          <w:lang w:val="fr-CA"/>
        </w:rPr>
      </w:pPr>
      <w:bookmarkStart w:id="186" w:name="_Toc357427556"/>
      <w:bookmarkStart w:id="187" w:name="_Toc470079035"/>
      <w:r w:rsidRPr="003E0DDA">
        <w:rPr>
          <w:rFonts w:ascii="Arial" w:eastAsia="Arial" w:hAnsi="Arial" w:cs="Arial"/>
          <w:b/>
          <w:szCs w:val="23"/>
          <w:lang w:val="fr-CA"/>
        </w:rPr>
        <w:t xml:space="preserve">Article 1037 : </w:t>
      </w:r>
      <w:r w:rsidRPr="003E0DDA">
        <w:rPr>
          <w:rFonts w:ascii="Arial" w:eastAsia="Arial" w:hAnsi="Arial" w:cs="Arial"/>
          <w:b/>
          <w:szCs w:val="23"/>
          <w:lang w:val="fr-CA"/>
        </w:rPr>
        <w:tab/>
        <w:t>Code de conduite</w:t>
      </w:r>
      <w:bookmarkEnd w:id="186"/>
      <w:bookmarkEnd w:id="187"/>
    </w:p>
    <w:p w14:paraId="5BB3090F" w14:textId="77777777" w:rsidR="005A321B" w:rsidRPr="003E0DDA" w:rsidRDefault="005A321B" w:rsidP="005A321B">
      <w:pPr>
        <w:autoSpaceDE w:val="0"/>
        <w:autoSpaceDN w:val="0"/>
        <w:adjustRightInd w:val="0"/>
        <w:rPr>
          <w:rFonts w:ascii="Arial" w:eastAsia="Times New Roman" w:hAnsi="Arial" w:cs="Arial"/>
          <w:szCs w:val="23"/>
          <w:lang w:val="fr-CA"/>
        </w:rPr>
      </w:pPr>
    </w:p>
    <w:p w14:paraId="7E6F78CF" w14:textId="0B54BF84" w:rsidR="005A321B" w:rsidRPr="003E0DDA" w:rsidRDefault="005A321B" w:rsidP="00F52884">
      <w:pPr>
        <w:autoSpaceDE w:val="0"/>
        <w:autoSpaceDN w:val="0"/>
        <w:adjustRightInd w:val="0"/>
        <w:ind w:firstLine="708"/>
        <w:rPr>
          <w:rFonts w:ascii="Arial" w:eastAsia="Times New Roman" w:hAnsi="Arial" w:cs="Arial"/>
          <w:szCs w:val="23"/>
          <w:lang w:val="fr-CA"/>
        </w:rPr>
      </w:pPr>
      <w:r w:rsidRPr="003E0DDA">
        <w:rPr>
          <w:rFonts w:ascii="Arial" w:eastAsia="Times New Roman" w:hAnsi="Arial" w:cs="Arial"/>
          <w:szCs w:val="23"/>
          <w:lang w:val="fr-CA"/>
        </w:rPr>
        <w:t>Les membres d’un organe décisionnel, y compris ses membres éventuels et anciens membres, se conforment à l’annexe 1037.</w:t>
      </w:r>
    </w:p>
    <w:p w14:paraId="157AA0C7" w14:textId="77777777" w:rsidR="005A321B" w:rsidRPr="003E0DDA" w:rsidRDefault="005A321B" w:rsidP="005A321B">
      <w:pPr>
        <w:autoSpaceDE w:val="0"/>
        <w:autoSpaceDN w:val="0"/>
        <w:adjustRightInd w:val="0"/>
        <w:rPr>
          <w:rFonts w:ascii="Arial" w:eastAsia="Times New Roman" w:hAnsi="Arial" w:cs="Arial"/>
          <w:szCs w:val="23"/>
          <w:lang w:val="fr-CA"/>
        </w:rPr>
      </w:pPr>
    </w:p>
    <w:p w14:paraId="1C76A446" w14:textId="77777777" w:rsidR="005A321B" w:rsidRPr="003E0DDA" w:rsidRDefault="005A321B" w:rsidP="005A321B">
      <w:pPr>
        <w:jc w:val="center"/>
        <w:rPr>
          <w:rFonts w:ascii="Arial" w:eastAsia="Arial" w:hAnsi="Arial" w:cs="Arial"/>
          <w:b/>
          <w:szCs w:val="23"/>
          <w:lang w:val="fr-CA"/>
        </w:rPr>
      </w:pPr>
      <w:bookmarkStart w:id="188" w:name="_Toc357427557"/>
      <w:bookmarkStart w:id="189" w:name="_Toc470079036"/>
      <w:r w:rsidRPr="003E0DDA">
        <w:rPr>
          <w:rFonts w:ascii="Arial" w:eastAsia="Arial" w:hAnsi="Arial" w:cs="Arial"/>
          <w:b/>
          <w:szCs w:val="23"/>
          <w:lang w:val="fr-CA"/>
        </w:rPr>
        <w:t xml:space="preserve">Article 1038 : </w:t>
      </w:r>
      <w:r w:rsidRPr="003E0DDA">
        <w:rPr>
          <w:rFonts w:ascii="Arial" w:eastAsia="Arial" w:hAnsi="Arial" w:cs="Arial"/>
          <w:b/>
          <w:szCs w:val="23"/>
          <w:lang w:val="fr-CA"/>
        </w:rPr>
        <w:tab/>
        <w:t>Limite de la compétence</w:t>
      </w:r>
      <w:bookmarkEnd w:id="188"/>
      <w:bookmarkEnd w:id="189"/>
    </w:p>
    <w:p w14:paraId="0E88CAD4" w14:textId="77777777" w:rsidR="005A321B" w:rsidRPr="003E0DDA" w:rsidRDefault="005A321B" w:rsidP="005A321B">
      <w:pPr>
        <w:autoSpaceDE w:val="0"/>
        <w:autoSpaceDN w:val="0"/>
        <w:adjustRightInd w:val="0"/>
        <w:rPr>
          <w:rFonts w:ascii="Arial" w:eastAsia="Times New Roman" w:hAnsi="Arial" w:cs="Arial"/>
          <w:b/>
          <w:szCs w:val="23"/>
          <w:u w:val="single"/>
          <w:lang w:val="fr-CA"/>
        </w:rPr>
      </w:pPr>
    </w:p>
    <w:p w14:paraId="30D9DFBD" w14:textId="77777777" w:rsidR="005A321B" w:rsidRPr="003E0DDA" w:rsidRDefault="005A321B" w:rsidP="00F52884">
      <w:pPr>
        <w:autoSpaceDE w:val="0"/>
        <w:autoSpaceDN w:val="0"/>
        <w:adjustRightInd w:val="0"/>
        <w:ind w:firstLine="708"/>
        <w:rPr>
          <w:rFonts w:ascii="Arial" w:eastAsia="Times New Roman" w:hAnsi="Arial" w:cs="Arial"/>
          <w:szCs w:val="23"/>
          <w:lang w:val="fr-CA"/>
        </w:rPr>
      </w:pPr>
      <w:r w:rsidRPr="003E0DDA">
        <w:rPr>
          <w:rFonts w:ascii="Arial" w:eastAsia="Times New Roman" w:hAnsi="Arial" w:cs="Arial"/>
          <w:szCs w:val="23"/>
          <w:lang w:val="fr-CA"/>
        </w:rPr>
        <w:t xml:space="preserve">Il est entendu que les organes décisionnels n’ont pas compétence pour statuer sur des questions d’ordre constitutionnel. </w:t>
      </w:r>
    </w:p>
    <w:p w14:paraId="31691C65" w14:textId="77777777" w:rsidR="005A321B" w:rsidRPr="003E0DDA" w:rsidRDefault="005A321B" w:rsidP="005A321B">
      <w:pPr>
        <w:autoSpaceDE w:val="0"/>
        <w:autoSpaceDN w:val="0"/>
        <w:adjustRightInd w:val="0"/>
        <w:rPr>
          <w:rFonts w:ascii="Arial" w:eastAsia="Times New Roman" w:hAnsi="Arial" w:cs="Arial"/>
          <w:szCs w:val="23"/>
          <w:lang w:val="fr-CA"/>
        </w:rPr>
      </w:pPr>
    </w:p>
    <w:p w14:paraId="28731427" w14:textId="63258684" w:rsidR="005A321B" w:rsidRPr="003E0DDA" w:rsidRDefault="005A321B" w:rsidP="005A321B">
      <w:pPr>
        <w:jc w:val="center"/>
        <w:rPr>
          <w:rFonts w:ascii="Arial" w:eastAsia="Arial" w:hAnsi="Arial" w:cs="Arial"/>
          <w:b/>
          <w:szCs w:val="23"/>
          <w:lang w:val="fr-CA"/>
        </w:rPr>
      </w:pPr>
      <w:bookmarkStart w:id="190" w:name="_Toc357427558"/>
      <w:bookmarkStart w:id="191" w:name="_Toc470079037"/>
      <w:r w:rsidRPr="003E0DDA">
        <w:rPr>
          <w:rFonts w:ascii="Arial" w:eastAsia="Arial" w:hAnsi="Arial" w:cs="Arial"/>
          <w:b/>
          <w:szCs w:val="23"/>
          <w:lang w:val="fr-CA"/>
        </w:rPr>
        <w:t>Article 1039 :</w:t>
      </w:r>
      <w:r w:rsidRPr="003E0DDA">
        <w:rPr>
          <w:rFonts w:ascii="Arial" w:eastAsia="Arial" w:hAnsi="Arial" w:cs="Arial"/>
          <w:b/>
          <w:szCs w:val="23"/>
          <w:lang w:val="fr-CA"/>
        </w:rPr>
        <w:tab/>
        <w:t xml:space="preserve"> </w:t>
      </w:r>
      <w:r w:rsidR="00AD7BB1" w:rsidRPr="003E0DDA">
        <w:rPr>
          <w:rFonts w:ascii="Arial" w:eastAsia="Arial" w:hAnsi="Arial" w:cs="Arial"/>
          <w:b/>
          <w:szCs w:val="23"/>
          <w:lang w:val="fr-CA"/>
        </w:rPr>
        <w:tab/>
      </w:r>
      <w:r w:rsidRPr="003E0DDA">
        <w:rPr>
          <w:rFonts w:ascii="Arial" w:eastAsia="Arial" w:hAnsi="Arial" w:cs="Arial"/>
          <w:b/>
          <w:szCs w:val="23"/>
          <w:lang w:val="fr-CA"/>
        </w:rPr>
        <w:t>Services compétents</w:t>
      </w:r>
      <w:bookmarkEnd w:id="190"/>
      <w:bookmarkEnd w:id="191"/>
    </w:p>
    <w:p w14:paraId="61D8DE41" w14:textId="77777777" w:rsidR="005A321B" w:rsidRPr="003E0DDA" w:rsidRDefault="005A321B" w:rsidP="005A321B">
      <w:pPr>
        <w:autoSpaceDE w:val="0"/>
        <w:autoSpaceDN w:val="0"/>
        <w:adjustRightInd w:val="0"/>
        <w:rPr>
          <w:rFonts w:ascii="Arial" w:eastAsia="Times New Roman" w:hAnsi="Arial" w:cs="Arial"/>
          <w:szCs w:val="23"/>
          <w:lang w:val="fr-CA"/>
        </w:rPr>
      </w:pPr>
    </w:p>
    <w:p w14:paraId="57D34565" w14:textId="773E14B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 xml:space="preserve">Un avis, une demande, un rapport ou autre document qui, conformément au présent chapitre, doit être envoyé à une Partie, est envoyé au représentant du commerce intérieur de cette Partie. </w:t>
      </w:r>
    </w:p>
    <w:p w14:paraId="5F1A0F1A" w14:textId="77777777" w:rsidR="005A321B" w:rsidRPr="003E0DDA" w:rsidRDefault="005A321B" w:rsidP="005A321B">
      <w:pPr>
        <w:autoSpaceDE w:val="0"/>
        <w:autoSpaceDN w:val="0"/>
        <w:adjustRightInd w:val="0"/>
        <w:rPr>
          <w:rFonts w:ascii="Arial" w:eastAsia="Times New Roman" w:hAnsi="Arial" w:cs="Arial"/>
          <w:szCs w:val="23"/>
          <w:lang w:val="fr-CA"/>
        </w:rPr>
      </w:pPr>
    </w:p>
    <w:p w14:paraId="05C2495E" w14:textId="0D00222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lastRenderedPageBreak/>
        <w:t>2.</w:t>
      </w:r>
      <w:r w:rsidRPr="003E0DDA">
        <w:rPr>
          <w:rFonts w:ascii="Arial" w:eastAsia="Times New Roman" w:hAnsi="Arial" w:cs="Arial"/>
          <w:szCs w:val="23"/>
          <w:lang w:val="fr-CA"/>
        </w:rPr>
        <w:tab/>
        <w:t xml:space="preserve">Un avis, une demande, un rapport ou autre document qui, conformément au présent chapitre, doit être envoyé au Comité, à un organe décisionnel ou à un groupe de travail est envoyé au président du Comité, de l’organe décisionnel ou du groupe de travail, le cas échéant.  Si l’organe décisionnel n’a qu’un seul membre, l’avis, la demande, le rapport ou tout autre document est envoyé à cet individu. </w:t>
      </w:r>
    </w:p>
    <w:p w14:paraId="0985445D" w14:textId="77777777" w:rsidR="005A321B" w:rsidRPr="003E0DDA" w:rsidRDefault="005A321B" w:rsidP="005A321B">
      <w:pPr>
        <w:autoSpaceDE w:val="0"/>
        <w:autoSpaceDN w:val="0"/>
        <w:adjustRightInd w:val="0"/>
        <w:jc w:val="center"/>
        <w:rPr>
          <w:rFonts w:ascii="Arial" w:eastAsia="Times New Roman" w:hAnsi="Arial" w:cs="Arial"/>
          <w:szCs w:val="23"/>
          <w:lang w:val="fr-CA"/>
        </w:rPr>
      </w:pPr>
    </w:p>
    <w:p w14:paraId="589C5383"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r w:rsidRPr="003E0DDA">
        <w:rPr>
          <w:rFonts w:ascii="Arial" w:eastAsia="Times New Roman" w:hAnsi="Arial" w:cs="Arial"/>
          <w:b/>
          <w:szCs w:val="23"/>
          <w:lang w:val="fr-CA"/>
        </w:rPr>
        <w:t xml:space="preserve">Article 1040 : </w:t>
      </w:r>
      <w:r w:rsidRPr="003E0DDA">
        <w:rPr>
          <w:rFonts w:ascii="Arial" w:eastAsia="Times New Roman" w:hAnsi="Arial" w:cs="Arial"/>
          <w:b/>
          <w:szCs w:val="23"/>
          <w:lang w:val="fr-CA"/>
        </w:rPr>
        <w:tab/>
        <w:t>Dépens</w:t>
      </w:r>
    </w:p>
    <w:p w14:paraId="003CBD7B" w14:textId="77777777" w:rsidR="005A321B" w:rsidRPr="003E0DDA" w:rsidRDefault="005A321B" w:rsidP="005A321B">
      <w:pPr>
        <w:autoSpaceDE w:val="0"/>
        <w:autoSpaceDN w:val="0"/>
        <w:adjustRightInd w:val="0"/>
        <w:jc w:val="center"/>
        <w:rPr>
          <w:rFonts w:ascii="Arial" w:eastAsia="Times New Roman" w:hAnsi="Arial" w:cs="Arial"/>
          <w:szCs w:val="23"/>
          <w:lang w:val="fr-CA"/>
        </w:rPr>
      </w:pPr>
    </w:p>
    <w:p w14:paraId="353DD8F2" w14:textId="4BB2E3B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 xml:space="preserve">Une ordonnance de dépens rendue conformément </w:t>
      </w:r>
      <w:r w:rsidR="00C41E0C" w:rsidRPr="003E0DDA">
        <w:rPr>
          <w:rFonts w:ascii="Arial" w:eastAsia="Times New Roman" w:hAnsi="Arial" w:cs="Arial"/>
          <w:szCs w:val="23"/>
          <w:lang w:val="fr-CA"/>
        </w:rPr>
        <w:t xml:space="preserve">à </w:t>
      </w:r>
      <w:r w:rsidR="0032411B" w:rsidRPr="003E0DDA">
        <w:rPr>
          <w:rFonts w:ascii="Arial" w:eastAsia="Times New Roman" w:hAnsi="Arial" w:cs="Arial"/>
          <w:szCs w:val="23"/>
          <w:lang w:val="fr-CA"/>
        </w:rPr>
        <w:t>l’</w:t>
      </w:r>
      <w:r w:rsidRPr="003E0DDA">
        <w:rPr>
          <w:rFonts w:ascii="Arial" w:eastAsia="Times New Roman" w:hAnsi="Arial" w:cs="Arial"/>
          <w:szCs w:val="23"/>
          <w:lang w:val="fr-CA"/>
        </w:rPr>
        <w:t xml:space="preserve">alinéa 1008.3f), </w:t>
      </w:r>
      <w:r w:rsidR="00C41E0C" w:rsidRPr="003E0DDA">
        <w:rPr>
          <w:rFonts w:ascii="Arial" w:eastAsia="Times New Roman" w:hAnsi="Arial" w:cs="Arial"/>
          <w:szCs w:val="23"/>
          <w:lang w:val="fr-CA"/>
        </w:rPr>
        <w:t>à</w:t>
      </w:r>
      <w:r w:rsidRPr="003E0DDA">
        <w:rPr>
          <w:rFonts w:ascii="Arial" w:eastAsia="Times New Roman" w:hAnsi="Arial" w:cs="Arial"/>
          <w:szCs w:val="23"/>
          <w:lang w:val="fr-CA"/>
        </w:rPr>
        <w:t> </w:t>
      </w:r>
      <w:r w:rsidR="00C41E0C" w:rsidRPr="003E0DDA">
        <w:rPr>
          <w:rFonts w:ascii="Arial" w:eastAsia="Times New Roman" w:hAnsi="Arial" w:cs="Arial"/>
          <w:szCs w:val="23"/>
          <w:lang w:val="fr-CA"/>
        </w:rPr>
        <w:t xml:space="preserve">l’alinéa </w:t>
      </w:r>
      <w:r w:rsidRPr="003E0DDA">
        <w:rPr>
          <w:rFonts w:ascii="Arial" w:eastAsia="Times New Roman" w:hAnsi="Arial" w:cs="Arial"/>
          <w:szCs w:val="23"/>
          <w:lang w:val="fr-CA"/>
        </w:rPr>
        <w:t xml:space="preserve">1009.4b), </w:t>
      </w:r>
      <w:r w:rsidR="00C41E0C" w:rsidRPr="003E0DDA">
        <w:rPr>
          <w:rFonts w:ascii="Arial" w:eastAsia="Times New Roman" w:hAnsi="Arial" w:cs="Arial"/>
          <w:szCs w:val="23"/>
          <w:lang w:val="fr-CA"/>
        </w:rPr>
        <w:t xml:space="preserve">à l’alinéa </w:t>
      </w:r>
      <w:r w:rsidRPr="003E0DDA">
        <w:rPr>
          <w:rFonts w:ascii="Arial" w:eastAsia="Times New Roman" w:hAnsi="Arial" w:cs="Arial"/>
          <w:szCs w:val="23"/>
          <w:lang w:val="fr-CA"/>
        </w:rPr>
        <w:t xml:space="preserve">1010.11c), </w:t>
      </w:r>
      <w:r w:rsidR="00C41E0C" w:rsidRPr="003E0DDA">
        <w:rPr>
          <w:rFonts w:ascii="Arial" w:eastAsia="Times New Roman" w:hAnsi="Arial" w:cs="Arial"/>
          <w:szCs w:val="23"/>
          <w:lang w:val="fr-CA"/>
        </w:rPr>
        <w:t xml:space="preserve">à l’alinéa </w:t>
      </w:r>
      <w:r w:rsidRPr="003E0DDA">
        <w:rPr>
          <w:rFonts w:ascii="Arial" w:eastAsia="Times New Roman" w:hAnsi="Arial" w:cs="Arial"/>
          <w:szCs w:val="23"/>
          <w:lang w:val="fr-CA"/>
        </w:rPr>
        <w:t xml:space="preserve">1021.2c), </w:t>
      </w:r>
      <w:r w:rsidR="00C41E0C" w:rsidRPr="003E0DDA">
        <w:rPr>
          <w:rFonts w:ascii="Arial" w:eastAsia="Times New Roman" w:hAnsi="Arial" w:cs="Arial"/>
          <w:szCs w:val="23"/>
          <w:lang w:val="fr-CA"/>
        </w:rPr>
        <w:t xml:space="preserve">à l’alinéa </w:t>
      </w:r>
      <w:r w:rsidRPr="003E0DDA">
        <w:rPr>
          <w:rFonts w:ascii="Arial" w:eastAsia="Times New Roman" w:hAnsi="Arial" w:cs="Arial"/>
          <w:szCs w:val="23"/>
          <w:lang w:val="fr-CA"/>
        </w:rPr>
        <w:t xml:space="preserve">1021.2d), </w:t>
      </w:r>
      <w:r w:rsidR="00C41E0C" w:rsidRPr="003E0DDA">
        <w:rPr>
          <w:rFonts w:ascii="Arial" w:eastAsia="Times New Roman" w:hAnsi="Arial" w:cs="Arial"/>
          <w:szCs w:val="23"/>
          <w:lang w:val="fr-CA"/>
        </w:rPr>
        <w:t xml:space="preserve">à l’alinéa </w:t>
      </w:r>
      <w:r w:rsidRPr="003E0DDA">
        <w:rPr>
          <w:rFonts w:ascii="Arial" w:eastAsia="Times New Roman" w:hAnsi="Arial" w:cs="Arial"/>
          <w:szCs w:val="23"/>
          <w:lang w:val="fr-CA"/>
        </w:rPr>
        <w:t xml:space="preserve">1025.3f), </w:t>
      </w:r>
      <w:r w:rsidR="00C41E0C" w:rsidRPr="003E0DDA">
        <w:rPr>
          <w:rFonts w:ascii="Arial" w:eastAsia="Times New Roman" w:hAnsi="Arial" w:cs="Arial"/>
          <w:szCs w:val="23"/>
          <w:lang w:val="fr-CA"/>
        </w:rPr>
        <w:t xml:space="preserve">à l’alinéa </w:t>
      </w:r>
      <w:r w:rsidRPr="003E0DDA">
        <w:rPr>
          <w:rFonts w:ascii="Arial" w:eastAsia="Times New Roman" w:hAnsi="Arial" w:cs="Arial"/>
          <w:szCs w:val="23"/>
          <w:lang w:val="fr-CA"/>
        </w:rPr>
        <w:t xml:space="preserve">1025.3g), </w:t>
      </w:r>
      <w:r w:rsidR="00C41E0C" w:rsidRPr="003E0DDA">
        <w:rPr>
          <w:rFonts w:ascii="Arial" w:eastAsia="Times New Roman" w:hAnsi="Arial" w:cs="Arial"/>
          <w:szCs w:val="23"/>
          <w:lang w:val="fr-CA"/>
        </w:rPr>
        <w:t xml:space="preserve">à l’alinéa </w:t>
      </w:r>
      <w:r w:rsidRPr="003E0DDA">
        <w:rPr>
          <w:rFonts w:ascii="Arial" w:eastAsia="Times New Roman" w:hAnsi="Arial" w:cs="Arial"/>
          <w:szCs w:val="23"/>
          <w:lang w:val="fr-CA"/>
        </w:rPr>
        <w:t>1026.4b) ou aux alinéas</w:t>
      </w:r>
      <w:r w:rsidR="00C41E0C" w:rsidRPr="003E0DDA">
        <w:rPr>
          <w:rFonts w:ascii="Arial" w:eastAsia="Times New Roman" w:hAnsi="Arial" w:cs="Arial"/>
          <w:szCs w:val="23"/>
          <w:lang w:val="fr-CA"/>
        </w:rPr>
        <w:t xml:space="preserve"> </w:t>
      </w:r>
      <w:r w:rsidRPr="003E0DDA">
        <w:rPr>
          <w:rFonts w:ascii="Arial" w:eastAsia="Times New Roman" w:hAnsi="Arial" w:cs="Arial"/>
          <w:szCs w:val="23"/>
          <w:lang w:val="fr-CA"/>
        </w:rPr>
        <w:t>1027.11c) à 1027.11e) est rendue conformément à l’annexe 1040.</w:t>
      </w:r>
    </w:p>
    <w:p w14:paraId="20B89DC6" w14:textId="77777777" w:rsidR="005A321B" w:rsidRPr="003E0DDA" w:rsidRDefault="005A321B" w:rsidP="005A321B">
      <w:pPr>
        <w:autoSpaceDE w:val="0"/>
        <w:autoSpaceDN w:val="0"/>
        <w:adjustRightInd w:val="0"/>
        <w:jc w:val="center"/>
        <w:rPr>
          <w:rFonts w:ascii="Arial" w:eastAsia="Times New Roman" w:hAnsi="Arial" w:cs="Arial"/>
          <w:szCs w:val="23"/>
          <w:lang w:val="fr-CA"/>
        </w:rPr>
      </w:pPr>
    </w:p>
    <w:p w14:paraId="65897F55" w14:textId="77777777" w:rsidR="005A321B" w:rsidRPr="003E0DDA" w:rsidRDefault="005A321B" w:rsidP="005A321B">
      <w:pPr>
        <w:jc w:val="center"/>
        <w:rPr>
          <w:rFonts w:ascii="Arial" w:eastAsia="Arial" w:hAnsi="Arial" w:cs="Arial"/>
          <w:b/>
          <w:szCs w:val="23"/>
          <w:lang w:val="fr-CA"/>
        </w:rPr>
      </w:pPr>
      <w:bookmarkStart w:id="192" w:name="_Toc357427560"/>
      <w:r w:rsidRPr="003E0DDA">
        <w:rPr>
          <w:rFonts w:ascii="Arial" w:eastAsia="Arial" w:hAnsi="Arial" w:cs="Arial"/>
          <w:b/>
          <w:szCs w:val="23"/>
          <w:lang w:val="fr-CA"/>
        </w:rPr>
        <w:t xml:space="preserve">Article 1041 : </w:t>
      </w:r>
      <w:r w:rsidRPr="003E0DDA">
        <w:rPr>
          <w:rFonts w:ascii="Arial" w:eastAsia="Arial" w:hAnsi="Arial" w:cs="Arial"/>
          <w:b/>
          <w:szCs w:val="23"/>
          <w:lang w:val="fr-CA"/>
        </w:rPr>
        <w:tab/>
        <w:t>Définitions</w:t>
      </w:r>
    </w:p>
    <w:p w14:paraId="7F6270DD" w14:textId="77777777" w:rsidR="00C41E0C" w:rsidRPr="003E0DDA" w:rsidRDefault="00C41E0C" w:rsidP="005A321B">
      <w:pPr>
        <w:rPr>
          <w:rFonts w:ascii="Arial" w:eastAsia="Arial" w:hAnsi="Arial" w:cs="Arial"/>
          <w:szCs w:val="23"/>
          <w:lang w:val="fr-CA"/>
        </w:rPr>
      </w:pPr>
    </w:p>
    <w:p w14:paraId="66E6C7E1" w14:textId="0761F0BA" w:rsidR="005A321B" w:rsidRPr="003E0DDA" w:rsidRDefault="005A321B" w:rsidP="005A321B">
      <w:pPr>
        <w:rPr>
          <w:rFonts w:ascii="Arial" w:eastAsia="Arial" w:hAnsi="Arial" w:cs="Arial"/>
          <w:szCs w:val="23"/>
          <w:lang w:val="fr-CA"/>
        </w:rPr>
      </w:pPr>
      <w:r w:rsidRPr="003E0DDA">
        <w:rPr>
          <w:rFonts w:ascii="Arial" w:eastAsia="Arial" w:hAnsi="Arial" w:cs="Arial"/>
          <w:szCs w:val="23"/>
          <w:lang w:val="fr-CA"/>
        </w:rPr>
        <w:t>Les définitions qui suivent s’appliquent au présent chapitre :</w:t>
      </w:r>
    </w:p>
    <w:p w14:paraId="3E8EE113" w14:textId="77777777" w:rsidR="005A321B" w:rsidRPr="003E0DDA" w:rsidRDefault="005A321B" w:rsidP="005A321B">
      <w:pPr>
        <w:rPr>
          <w:rFonts w:ascii="Arial" w:eastAsia="Arial" w:hAnsi="Arial" w:cs="Arial"/>
          <w:szCs w:val="23"/>
          <w:lang w:val="fr-CA"/>
        </w:rPr>
      </w:pPr>
    </w:p>
    <w:p w14:paraId="0A5D63AE" w14:textId="16B38ADA"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appelant</w:t>
      </w:r>
      <w:proofErr w:type="gramEnd"/>
      <w:r w:rsidRPr="003E0DDA">
        <w:rPr>
          <w:rFonts w:ascii="Arial" w:eastAsia="Times New Roman" w:hAnsi="Arial" w:cs="Arial"/>
          <w:szCs w:val="23"/>
          <w:lang w:val="fr-CA"/>
        </w:rPr>
        <w:t xml:space="preserve"> La Partie au différend qui interjette appel d’une décision d’un groupe spécial conformément à l’article 1009.1 ou le litigant qui interjette appel d’une décision d’un groupe spécial conformément à l’article 1026.1;</w:t>
      </w:r>
    </w:p>
    <w:p w14:paraId="3BC5D284" w14:textId="77777777" w:rsidR="005A321B" w:rsidRPr="003E0DDA" w:rsidRDefault="005A321B" w:rsidP="005A321B">
      <w:pPr>
        <w:rPr>
          <w:rFonts w:ascii="Arial" w:eastAsia="Arial" w:hAnsi="Arial" w:cs="Arial"/>
          <w:szCs w:val="23"/>
          <w:lang w:val="fr-CA"/>
        </w:rPr>
      </w:pPr>
    </w:p>
    <w:p w14:paraId="2F29F6A8" w14:textId="097D32DC"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coûts</w:t>
      </w:r>
      <w:proofErr w:type="gramEnd"/>
      <w:r w:rsidRPr="003E0DDA">
        <w:rPr>
          <w:rFonts w:ascii="Arial" w:eastAsia="Times New Roman" w:hAnsi="Arial" w:cs="Arial"/>
          <w:b/>
          <w:bCs/>
          <w:szCs w:val="23"/>
          <w:lang w:val="fr-CA"/>
        </w:rPr>
        <w:t xml:space="preserve"> opérationnels</w:t>
      </w:r>
      <w:r w:rsidRPr="003E0DDA">
        <w:rPr>
          <w:rFonts w:ascii="Arial" w:eastAsia="Times New Roman" w:hAnsi="Arial" w:cs="Arial"/>
          <w:szCs w:val="23"/>
          <w:lang w:val="fr-CA"/>
        </w:rPr>
        <w:t xml:space="preserve"> désigne :</w:t>
      </w:r>
    </w:p>
    <w:p w14:paraId="77E869AA" w14:textId="77777777" w:rsidR="005A321B" w:rsidRPr="003E0DDA" w:rsidRDefault="005A321B" w:rsidP="005A321B">
      <w:pPr>
        <w:widowControl w:val="0"/>
        <w:autoSpaceDE w:val="0"/>
        <w:autoSpaceDN w:val="0"/>
        <w:adjustRightInd w:val="0"/>
        <w:rPr>
          <w:rFonts w:ascii="Arial" w:eastAsia="Times New Roman" w:hAnsi="Arial" w:cs="Arial"/>
          <w:szCs w:val="23"/>
          <w:lang w:val="fr-CA"/>
        </w:rPr>
      </w:pPr>
    </w:p>
    <w:p w14:paraId="2A2A8869"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tous les honoraires quotidiens et autres débours payables aux membres des organes décisionnels dans l’exercice de leurs fonctions à titre de membres de l’organe décisionnel;</w:t>
      </w:r>
    </w:p>
    <w:p w14:paraId="3CBFDC1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76C38AD" w14:textId="77777777" w:rsidR="005A321B" w:rsidRPr="003E0DDA" w:rsidRDefault="005A321B" w:rsidP="00F01C29">
      <w:pPr>
        <w:autoSpaceDE w:val="0"/>
        <w:autoSpaceDN w:val="0"/>
        <w:adjustRightInd w:val="0"/>
        <w:ind w:left="1440" w:hanging="720"/>
        <w:rPr>
          <w:rFonts w:ascii="Arial" w:eastAsia="Times New Roman" w:hAnsi="Arial" w:cs="Arial"/>
          <w:b/>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les honoraires et débours des experts engagés par les organes décisionnels;</w:t>
      </w:r>
    </w:p>
    <w:p w14:paraId="7DC70D2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85075D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 xml:space="preserve">les coûts des installations et de l’équipement de tiers utilisés lors de réunions ou d’audiences de l’organe décisionnel; </w:t>
      </w:r>
    </w:p>
    <w:p w14:paraId="21C6CAA6" w14:textId="77777777" w:rsidR="005A321B" w:rsidRPr="003E0DDA" w:rsidRDefault="005A321B" w:rsidP="005A321B">
      <w:pPr>
        <w:rPr>
          <w:rFonts w:ascii="Arial" w:eastAsia="Arial" w:hAnsi="Arial" w:cs="Arial"/>
          <w:szCs w:val="23"/>
          <w:lang w:val="fr-CA"/>
        </w:rPr>
      </w:pPr>
    </w:p>
    <w:p w14:paraId="62590597" w14:textId="7169AA5E"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dépens</w:t>
      </w:r>
      <w:proofErr w:type="gramEnd"/>
      <w:r w:rsidRPr="003E0DDA">
        <w:rPr>
          <w:rFonts w:ascii="Arial" w:eastAsia="Times New Roman" w:hAnsi="Arial" w:cs="Arial"/>
          <w:b/>
          <w:bCs/>
          <w:szCs w:val="23"/>
          <w:lang w:val="fr-CA"/>
        </w:rPr>
        <w:t xml:space="preserve"> prévus au tarif</w:t>
      </w:r>
      <w:r w:rsidRPr="003E0DDA">
        <w:rPr>
          <w:rFonts w:ascii="Arial" w:eastAsia="Times New Roman" w:hAnsi="Arial" w:cs="Arial"/>
          <w:szCs w:val="23"/>
          <w:lang w:val="fr-CA"/>
        </w:rPr>
        <w:t xml:space="preserve"> Les coûts raisonnables engagés par une Partie ou une Personne dans une procédure au titre de ce qui suit :</w:t>
      </w:r>
    </w:p>
    <w:p w14:paraId="0C38500B" w14:textId="77777777" w:rsidR="005A321B" w:rsidRPr="003E0DDA" w:rsidRDefault="005A321B" w:rsidP="005A321B">
      <w:pPr>
        <w:widowControl w:val="0"/>
        <w:autoSpaceDE w:val="0"/>
        <w:autoSpaceDN w:val="0"/>
        <w:adjustRightInd w:val="0"/>
        <w:rPr>
          <w:rFonts w:ascii="Arial" w:eastAsia="Times New Roman" w:hAnsi="Arial" w:cs="Arial"/>
          <w:szCs w:val="23"/>
          <w:lang w:val="fr-CA"/>
        </w:rPr>
      </w:pPr>
    </w:p>
    <w:p w14:paraId="676375D5" w14:textId="7DB9BFCF" w:rsidR="005A321B" w:rsidRPr="00F52884" w:rsidRDefault="005A321B" w:rsidP="00F01C29">
      <w:pPr>
        <w:pStyle w:val="ListParagraph"/>
        <w:numPr>
          <w:ilvl w:val="0"/>
          <w:numId w:val="417"/>
        </w:numPr>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les</w:t>
      </w:r>
      <w:proofErr w:type="gramEnd"/>
      <w:r w:rsidRPr="00F52884">
        <w:rPr>
          <w:rFonts w:ascii="Arial" w:eastAsia="Times New Roman" w:hAnsi="Arial" w:cs="Arial"/>
          <w:szCs w:val="23"/>
          <w:lang w:val="fr-CA"/>
        </w:rPr>
        <w:t xml:space="preserve"> honoraires de l’avocat ou du représentant, relativement à la préparation de l’audience, montant maximal : 14 665 $;</w:t>
      </w:r>
    </w:p>
    <w:p w14:paraId="6DAC634A" w14:textId="77777777" w:rsidR="005A321B" w:rsidRPr="00F52884" w:rsidRDefault="005A321B" w:rsidP="00F01C29">
      <w:pPr>
        <w:pStyle w:val="ListParagraph"/>
        <w:autoSpaceDE w:val="0"/>
        <w:autoSpaceDN w:val="0"/>
        <w:adjustRightInd w:val="0"/>
        <w:ind w:left="1440" w:hanging="720"/>
        <w:rPr>
          <w:rFonts w:ascii="Arial" w:eastAsia="Times New Roman" w:hAnsi="Arial" w:cs="Arial"/>
          <w:szCs w:val="23"/>
          <w:lang w:val="fr-CA"/>
        </w:rPr>
      </w:pPr>
    </w:p>
    <w:p w14:paraId="0969F1D7" w14:textId="5B8CD65B" w:rsidR="005A321B" w:rsidRPr="00F52884" w:rsidRDefault="005A321B" w:rsidP="00F01C29">
      <w:pPr>
        <w:pStyle w:val="ListParagraph"/>
        <w:numPr>
          <w:ilvl w:val="0"/>
          <w:numId w:val="417"/>
        </w:numPr>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les</w:t>
      </w:r>
      <w:proofErr w:type="gramEnd"/>
      <w:r w:rsidRPr="00F52884">
        <w:rPr>
          <w:rFonts w:ascii="Arial" w:eastAsia="Times New Roman" w:hAnsi="Arial" w:cs="Arial"/>
          <w:szCs w:val="23"/>
          <w:lang w:val="fr-CA"/>
        </w:rPr>
        <w:t xml:space="preserve"> honoraires de l’avocat ou du représentant, relativement à leur présence à l’audience, pour chacun des cinq premiers jours, montant maximal quotidien : 2 346 $ par jour; et pour chaque jour suivant, jusqu’à concurrence de 10 jours, montant maximal quotidien : 1 761 $;</w:t>
      </w:r>
    </w:p>
    <w:p w14:paraId="406F8492" w14:textId="77777777" w:rsidR="005A321B" w:rsidRPr="00F52884" w:rsidRDefault="005A321B" w:rsidP="00F01C29">
      <w:pPr>
        <w:pStyle w:val="ListParagraph"/>
        <w:autoSpaceDE w:val="0"/>
        <w:autoSpaceDN w:val="0"/>
        <w:adjustRightInd w:val="0"/>
        <w:ind w:left="1440" w:hanging="720"/>
        <w:rPr>
          <w:rFonts w:ascii="Arial" w:eastAsia="Times New Roman" w:hAnsi="Arial" w:cs="Arial"/>
          <w:szCs w:val="23"/>
          <w:lang w:val="fr-CA"/>
        </w:rPr>
      </w:pPr>
    </w:p>
    <w:p w14:paraId="113DA91D" w14:textId="45083FC5" w:rsidR="005A321B" w:rsidRPr="00F52884" w:rsidRDefault="005A321B" w:rsidP="00F01C29">
      <w:pPr>
        <w:pStyle w:val="ListParagraph"/>
        <w:numPr>
          <w:ilvl w:val="0"/>
          <w:numId w:val="417"/>
        </w:numPr>
        <w:autoSpaceDE w:val="0"/>
        <w:autoSpaceDN w:val="0"/>
        <w:adjustRightInd w:val="0"/>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t>les</w:t>
      </w:r>
      <w:proofErr w:type="gramEnd"/>
      <w:r w:rsidRPr="00F52884">
        <w:rPr>
          <w:rFonts w:ascii="Arial" w:eastAsia="Times New Roman" w:hAnsi="Arial" w:cs="Arial"/>
          <w:szCs w:val="23"/>
          <w:lang w:val="fr-CA"/>
        </w:rPr>
        <w:t xml:space="preserve"> honoraires et débours des experts, montant maximal : 14 665 $;</w:t>
      </w:r>
    </w:p>
    <w:p w14:paraId="058D695F" w14:textId="77777777" w:rsidR="005A321B" w:rsidRPr="00F52884" w:rsidRDefault="005A321B" w:rsidP="00F01C29">
      <w:pPr>
        <w:pStyle w:val="ListParagraph"/>
        <w:ind w:left="1440" w:hanging="720"/>
        <w:rPr>
          <w:rFonts w:ascii="Arial" w:eastAsia="Times New Roman" w:hAnsi="Arial" w:cs="Arial"/>
          <w:szCs w:val="23"/>
          <w:lang w:val="fr-CA"/>
        </w:rPr>
      </w:pPr>
    </w:p>
    <w:p w14:paraId="1D101EF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les frais de poste, de messagerie et débours, y compris les frais de déplacement;</w:t>
      </w:r>
    </w:p>
    <w:p w14:paraId="0E804E63" w14:textId="77777777" w:rsidR="005A321B" w:rsidRPr="003E0DDA" w:rsidRDefault="005A321B" w:rsidP="005A321B">
      <w:pPr>
        <w:rPr>
          <w:rFonts w:ascii="Arial" w:eastAsia="Times New Roman" w:hAnsi="Arial" w:cs="Arial"/>
          <w:szCs w:val="23"/>
          <w:lang w:val="fr-CA"/>
        </w:rPr>
      </w:pPr>
    </w:p>
    <w:p w14:paraId="6B4BD3F9" w14:textId="688332D1"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Les montants maximaux autorisés sont les dépens prévus au tarif pouvant être adjugés au </w:t>
      </w:r>
      <w:r w:rsidRPr="003E0DDA">
        <w:rPr>
          <w:rFonts w:ascii="Arial" w:eastAsia="Times New Roman" w:hAnsi="Arial" w:cs="Arial"/>
          <w:szCs w:val="23"/>
          <w:lang w:val="fr-CA"/>
        </w:rPr>
        <w:lastRenderedPageBreak/>
        <w:t>cours de l’année civile de la date d’entrée en vigueur. À compter de l’année civile suivante et à chaque année civile ultérieure, le Secrétariat augmentera ces montants selon le pourcentage de croissance de l’indice des prix à la consommation (publié par Statistique Canada) entre le 1</w:t>
      </w:r>
      <w:r w:rsidRPr="003E0DDA">
        <w:rPr>
          <w:rFonts w:ascii="Arial" w:eastAsia="Times New Roman" w:hAnsi="Arial" w:cs="Arial"/>
          <w:szCs w:val="23"/>
          <w:vertAlign w:val="superscript"/>
          <w:lang w:val="fr-CA"/>
        </w:rPr>
        <w:t>er</w:t>
      </w:r>
      <w:r w:rsidRPr="003E0DDA">
        <w:rPr>
          <w:rFonts w:ascii="Arial" w:eastAsia="Times New Roman" w:hAnsi="Arial" w:cs="Arial"/>
          <w:szCs w:val="23"/>
          <w:lang w:val="fr-CA"/>
        </w:rPr>
        <w:t xml:space="preserve"> janvier et le 31 décembre de l’année civile précédente. Si l’indice n’a pas augmenté, ou s’il a diminué au cours de cette période, les montants demeureront les mêmes pour l’année civile suivante;</w:t>
      </w:r>
    </w:p>
    <w:p w14:paraId="570FF782"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1A972067" w14:textId="5A559D74"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destinataire</w:t>
      </w:r>
      <w:proofErr w:type="gramEnd"/>
      <w:r w:rsidRPr="003E0DDA">
        <w:rPr>
          <w:rFonts w:ascii="Arial" w:eastAsia="Times New Roman" w:hAnsi="Arial" w:cs="Arial"/>
          <w:b/>
          <w:bCs/>
          <w:szCs w:val="23"/>
          <w:lang w:val="fr-CA"/>
        </w:rPr>
        <w:t xml:space="preserve"> de la plainte</w:t>
      </w:r>
      <w:r w:rsidRPr="003E0DDA">
        <w:rPr>
          <w:rFonts w:ascii="Arial" w:eastAsia="Times New Roman" w:hAnsi="Arial" w:cs="Arial"/>
          <w:szCs w:val="23"/>
          <w:lang w:val="fr-CA"/>
        </w:rPr>
        <w:t xml:space="preserve"> La Partie visée par la plainte déposée par la Partie plaignante conformément à l’article 1004.1 ou par une Personne d’une Partie conformément à l’article 1016.2; </w:t>
      </w:r>
    </w:p>
    <w:p w14:paraId="32C2D1A8" w14:textId="77777777" w:rsidR="005A321B" w:rsidRPr="003E0DDA" w:rsidRDefault="005A321B" w:rsidP="005A321B">
      <w:pPr>
        <w:autoSpaceDE w:val="0"/>
        <w:autoSpaceDN w:val="0"/>
        <w:adjustRightInd w:val="0"/>
        <w:rPr>
          <w:rFonts w:ascii="Arial" w:eastAsia="Arial" w:hAnsi="Arial" w:cs="Arial"/>
          <w:szCs w:val="23"/>
          <w:lang w:val="fr-CA"/>
        </w:rPr>
      </w:pPr>
    </w:p>
    <w:p w14:paraId="76F1E362" w14:textId="53855E92"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Arial" w:hAnsi="Arial" w:cs="Arial"/>
          <w:b/>
          <w:bCs/>
          <w:szCs w:val="23"/>
          <w:lang w:val="fr-CA"/>
        </w:rPr>
        <w:t>différend</w:t>
      </w:r>
      <w:proofErr w:type="gramEnd"/>
      <w:r w:rsidRPr="003E0DDA">
        <w:rPr>
          <w:rFonts w:ascii="Arial" w:eastAsia="Arial" w:hAnsi="Arial" w:cs="Arial"/>
          <w:b/>
          <w:bCs/>
          <w:szCs w:val="23"/>
          <w:lang w:val="fr-CA"/>
        </w:rPr>
        <w:t xml:space="preserve"> préexistant</w:t>
      </w:r>
      <w:r w:rsidRPr="003E0DDA">
        <w:rPr>
          <w:rFonts w:ascii="Arial" w:eastAsia="Arial" w:hAnsi="Arial" w:cs="Arial"/>
          <w:szCs w:val="23"/>
          <w:lang w:val="fr-CA"/>
        </w:rPr>
        <w:t xml:space="preserve"> Le différend pour lequel une Personne d’une Partie a demandé que des procédures soient engagées, conformément à l’article 1712(1) (Procédures engagées par un gouvernement pour le compte de personnes) ou à l’article 1713(1) (Procédures engagées par des personnes) de l’Accord sur le commerce intérieur et qui n’est pas encore réglé à la date d’entrée en vigueur;</w:t>
      </w:r>
    </w:p>
    <w:p w14:paraId="38AD2023" w14:textId="77777777" w:rsidR="005A321B" w:rsidRPr="003E0DDA" w:rsidRDefault="005A321B" w:rsidP="005A321B">
      <w:pPr>
        <w:rPr>
          <w:rFonts w:ascii="Arial" w:eastAsia="Arial" w:hAnsi="Arial" w:cs="Arial"/>
          <w:szCs w:val="23"/>
          <w:lang w:val="fr-CA"/>
        </w:rPr>
      </w:pPr>
    </w:p>
    <w:p w14:paraId="64B6AA2A" w14:textId="4C849264"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Fonds</w:t>
      </w:r>
      <w:r w:rsidRPr="003E0DDA">
        <w:rPr>
          <w:rFonts w:ascii="Arial" w:eastAsia="Times New Roman" w:hAnsi="Arial" w:cs="Arial"/>
          <w:szCs w:val="23"/>
          <w:lang w:val="fr-CA"/>
        </w:rPr>
        <w:t xml:space="preserve"> Le Fonds de développement du commerce intérieur continué conformément à l’article 1032; </w:t>
      </w:r>
    </w:p>
    <w:p w14:paraId="4EAB0A16"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12AEDF5D" w14:textId="77112C16"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frais</w:t>
      </w:r>
      <w:proofErr w:type="gramEnd"/>
      <w:r w:rsidRPr="003E0DDA">
        <w:rPr>
          <w:rFonts w:ascii="Arial" w:eastAsia="Times New Roman" w:hAnsi="Arial" w:cs="Arial"/>
          <w:b/>
          <w:bCs/>
          <w:szCs w:val="23"/>
          <w:lang w:val="fr-CA"/>
        </w:rPr>
        <w:t xml:space="preserve"> supplémentaires</w:t>
      </w:r>
      <w:r w:rsidRPr="003E0DDA">
        <w:rPr>
          <w:rFonts w:ascii="Arial" w:eastAsia="Times New Roman" w:hAnsi="Arial" w:cs="Arial"/>
          <w:szCs w:val="23"/>
          <w:lang w:val="fr-CA"/>
        </w:rPr>
        <w:t xml:space="preserve"> Les coûts raisonnables engagés par une Personne dans une procédure du groupe spécial de l’observation des décisions en ce qui concerne :</w:t>
      </w:r>
    </w:p>
    <w:p w14:paraId="59BB9F7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 </w:t>
      </w:r>
    </w:p>
    <w:p w14:paraId="0DE095C9"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les honoraires de l’avocat ou du représentant, relativement à la préparation de l’audience;</w:t>
      </w:r>
    </w:p>
    <w:p w14:paraId="7BDEEA6D"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1D4507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les honoraires de l’avocat ou du représentant, relativement à leur présence à l’audience;</w:t>
      </w:r>
    </w:p>
    <w:p w14:paraId="391F71E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6612C6C"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les honoraires et débours des experts;</w:t>
      </w:r>
    </w:p>
    <w:p w14:paraId="58F1D09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FDD561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les frais de poste, de messagerie et débours, y compris les frais de déplacement,</w:t>
      </w:r>
    </w:p>
    <w:p w14:paraId="793D0453" w14:textId="77777777" w:rsidR="005A321B" w:rsidRPr="003E0DDA" w:rsidRDefault="005A321B" w:rsidP="005A321B">
      <w:pPr>
        <w:autoSpaceDE w:val="0"/>
        <w:autoSpaceDN w:val="0"/>
        <w:adjustRightInd w:val="0"/>
        <w:ind w:left="2160" w:hanging="720"/>
        <w:rPr>
          <w:rFonts w:ascii="Arial" w:eastAsia="Times New Roman" w:hAnsi="Arial" w:cs="Arial"/>
          <w:szCs w:val="23"/>
          <w:lang w:val="fr-CA"/>
        </w:rPr>
      </w:pPr>
    </w:p>
    <w:p w14:paraId="34DBDF09" w14:textId="77777777"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szCs w:val="23"/>
          <w:lang w:val="fr-CA"/>
        </w:rPr>
        <w:t>dans</w:t>
      </w:r>
      <w:proofErr w:type="gramEnd"/>
      <w:r w:rsidRPr="003E0DDA">
        <w:rPr>
          <w:rFonts w:ascii="Arial" w:eastAsia="Times New Roman" w:hAnsi="Arial" w:cs="Arial"/>
          <w:szCs w:val="23"/>
          <w:lang w:val="fr-CA"/>
        </w:rPr>
        <w:t xml:space="preserve"> la mesure où ils excèdent les dépens prévus au tarif;</w:t>
      </w:r>
    </w:p>
    <w:p w14:paraId="720831E9" w14:textId="77777777" w:rsidR="005A321B" w:rsidRPr="003E0DDA" w:rsidRDefault="005A321B" w:rsidP="005A321B">
      <w:pPr>
        <w:autoSpaceDE w:val="0"/>
        <w:autoSpaceDN w:val="0"/>
        <w:adjustRightInd w:val="0"/>
        <w:rPr>
          <w:rFonts w:ascii="Arial" w:eastAsia="Times New Roman" w:hAnsi="Arial" w:cs="Arial"/>
          <w:szCs w:val="23"/>
          <w:lang w:val="fr-CA"/>
        </w:rPr>
      </w:pPr>
    </w:p>
    <w:p w14:paraId="3F6FA916" w14:textId="2051B511"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groupe</w:t>
      </w:r>
      <w:proofErr w:type="gramEnd"/>
      <w:r w:rsidRPr="003E0DDA">
        <w:rPr>
          <w:rFonts w:ascii="Arial" w:eastAsia="Times New Roman" w:hAnsi="Arial" w:cs="Arial"/>
          <w:b/>
          <w:bCs/>
          <w:szCs w:val="23"/>
          <w:lang w:val="fr-CA"/>
        </w:rPr>
        <w:t xml:space="preserve"> spécial</w:t>
      </w:r>
      <w:r w:rsidRPr="003E0DDA">
        <w:rPr>
          <w:rFonts w:ascii="Arial" w:eastAsia="Times New Roman" w:hAnsi="Arial" w:cs="Arial"/>
          <w:szCs w:val="23"/>
          <w:lang w:val="fr-CA"/>
        </w:rPr>
        <w:t xml:space="preserve"> Le groupe spécial établi conformément à l’article 1005 ou à l’article</w:t>
      </w:r>
      <w:r w:rsidR="00C41E0C" w:rsidRPr="003E0DDA">
        <w:rPr>
          <w:rFonts w:ascii="Arial" w:eastAsia="Times New Roman" w:hAnsi="Arial" w:cs="Arial"/>
          <w:szCs w:val="23"/>
          <w:lang w:val="fr-CA"/>
        </w:rPr>
        <w:t xml:space="preserve"> </w:t>
      </w:r>
      <w:r w:rsidRPr="003E0DDA">
        <w:rPr>
          <w:rFonts w:ascii="Arial" w:eastAsia="Times New Roman" w:hAnsi="Arial" w:cs="Arial"/>
          <w:szCs w:val="23"/>
          <w:lang w:val="fr-CA"/>
        </w:rPr>
        <w:t>1019;</w:t>
      </w:r>
    </w:p>
    <w:p w14:paraId="39B68B22" w14:textId="77777777" w:rsidR="005A321B" w:rsidRPr="003E0DDA" w:rsidRDefault="005A321B" w:rsidP="005A321B">
      <w:pPr>
        <w:autoSpaceDE w:val="0"/>
        <w:autoSpaceDN w:val="0"/>
        <w:adjustRightInd w:val="0"/>
        <w:rPr>
          <w:rFonts w:ascii="Arial" w:eastAsia="Times New Roman" w:hAnsi="Arial" w:cs="Arial"/>
          <w:szCs w:val="23"/>
          <w:lang w:val="fr-CA"/>
        </w:rPr>
      </w:pPr>
    </w:p>
    <w:p w14:paraId="2B045E89" w14:textId="36A3A172"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groupe</w:t>
      </w:r>
      <w:proofErr w:type="gramEnd"/>
      <w:r w:rsidRPr="003E0DDA">
        <w:rPr>
          <w:rFonts w:ascii="Arial" w:eastAsia="Times New Roman" w:hAnsi="Arial" w:cs="Arial"/>
          <w:b/>
          <w:bCs/>
          <w:szCs w:val="23"/>
          <w:lang w:val="fr-CA"/>
        </w:rPr>
        <w:t xml:space="preserve"> spécial d’appel</w:t>
      </w:r>
      <w:r w:rsidRPr="003E0DDA">
        <w:rPr>
          <w:rFonts w:ascii="Arial" w:eastAsia="Times New Roman" w:hAnsi="Arial" w:cs="Arial"/>
          <w:szCs w:val="23"/>
          <w:lang w:val="fr-CA"/>
        </w:rPr>
        <w:t xml:space="preserve"> Le groupe spécial d’appel établi conformément à l’article 1009.2 ou à l’article 1026.2;</w:t>
      </w:r>
    </w:p>
    <w:p w14:paraId="61AB76AC" w14:textId="77777777" w:rsidR="005A321B" w:rsidRPr="003E0DDA" w:rsidRDefault="005A321B" w:rsidP="005A321B">
      <w:pPr>
        <w:autoSpaceDE w:val="0"/>
        <w:autoSpaceDN w:val="0"/>
        <w:adjustRightInd w:val="0"/>
        <w:rPr>
          <w:rFonts w:ascii="Arial" w:eastAsia="Times New Roman" w:hAnsi="Arial" w:cs="Arial"/>
          <w:szCs w:val="23"/>
          <w:lang w:val="fr-CA"/>
        </w:rPr>
      </w:pPr>
    </w:p>
    <w:p w14:paraId="09F49A93" w14:textId="69D5CF01"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groupe</w:t>
      </w:r>
      <w:proofErr w:type="gramEnd"/>
      <w:r w:rsidRPr="003E0DDA">
        <w:rPr>
          <w:rFonts w:ascii="Arial" w:eastAsia="Times New Roman" w:hAnsi="Arial" w:cs="Arial"/>
          <w:b/>
          <w:bCs/>
          <w:szCs w:val="23"/>
          <w:lang w:val="fr-CA"/>
        </w:rPr>
        <w:t xml:space="preserve"> spécial de l’observation des décisions</w:t>
      </w:r>
      <w:r w:rsidRPr="003E0DDA">
        <w:rPr>
          <w:rFonts w:ascii="Arial" w:eastAsia="Times New Roman" w:hAnsi="Arial" w:cs="Arial"/>
          <w:szCs w:val="23"/>
          <w:lang w:val="fr-CA"/>
        </w:rPr>
        <w:t xml:space="preserve"> Le groupe spécial convoqué suivant une demande faite conformément à l’article 1010.9 ou à l’article 1027.9;</w:t>
      </w:r>
    </w:p>
    <w:p w14:paraId="07DAB712" w14:textId="77777777" w:rsidR="005A321B" w:rsidRPr="003E0DDA" w:rsidRDefault="005A321B" w:rsidP="005A321B">
      <w:pPr>
        <w:autoSpaceDE w:val="0"/>
        <w:autoSpaceDN w:val="0"/>
        <w:adjustRightInd w:val="0"/>
        <w:rPr>
          <w:rFonts w:ascii="Arial" w:eastAsia="Times New Roman" w:hAnsi="Arial" w:cs="Arial"/>
          <w:szCs w:val="23"/>
          <w:lang w:val="fr-CA"/>
        </w:rPr>
      </w:pPr>
    </w:p>
    <w:p w14:paraId="6CADF3D2" w14:textId="460943CE"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intervenant</w:t>
      </w:r>
      <w:proofErr w:type="gramEnd"/>
      <w:r w:rsidRPr="003E0DDA">
        <w:rPr>
          <w:rFonts w:ascii="Arial" w:eastAsia="Times New Roman" w:hAnsi="Arial" w:cs="Arial"/>
          <w:szCs w:val="23"/>
          <w:lang w:val="fr-CA"/>
        </w:rPr>
        <w:t xml:space="preserve"> désigne :</w:t>
      </w:r>
    </w:p>
    <w:p w14:paraId="686FA7A9" w14:textId="77777777" w:rsidR="005A321B" w:rsidRPr="003E0DDA" w:rsidRDefault="005A321B" w:rsidP="005A321B">
      <w:pPr>
        <w:widowControl w:val="0"/>
        <w:autoSpaceDE w:val="0"/>
        <w:autoSpaceDN w:val="0"/>
        <w:adjustRightInd w:val="0"/>
        <w:rPr>
          <w:rFonts w:ascii="Arial" w:eastAsia="Times New Roman" w:hAnsi="Arial" w:cs="Arial"/>
          <w:szCs w:val="23"/>
          <w:lang w:val="fr-CA"/>
        </w:rPr>
      </w:pPr>
    </w:p>
    <w:p w14:paraId="1E7FFFA6" w14:textId="6639C92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soit la Partie qui se joint à une procédure à titre d’intervenant, conformément à l’article 1004.9 ou à l’article 1023 ou à la discrétion d’un groupe spécial, conformément à la règle 7 de l’annexe 1007.1 et 1024.1; </w:t>
      </w:r>
    </w:p>
    <w:p w14:paraId="2F7F4372"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04B3279" w14:textId="51E644E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soit la Partie qui se joint à toute autre procédure à titre d’intervenant à la discrétion d’un organe décisionnel, conformément à la règle 8 de l’annexe 1007.1 et 1024.1;</w:t>
      </w:r>
    </w:p>
    <w:p w14:paraId="1FDC1F6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AAE7FC6" w14:textId="09EDBE5E"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soit la Personne qui se joint à une procédure à titre d’intervenant à la discrétion d’un groupe spécial, conformément à la règle 10 de l’annexe 1007.1 et 1024.1;</w:t>
      </w:r>
    </w:p>
    <w:p w14:paraId="7368AD56" w14:textId="77777777" w:rsidR="005A321B" w:rsidRPr="003E0DDA" w:rsidRDefault="005A321B" w:rsidP="005A321B">
      <w:pPr>
        <w:autoSpaceDE w:val="0"/>
        <w:autoSpaceDN w:val="0"/>
        <w:adjustRightInd w:val="0"/>
        <w:rPr>
          <w:rFonts w:ascii="Arial" w:eastAsia="Times New Roman" w:hAnsi="Arial" w:cs="Arial"/>
          <w:szCs w:val="23"/>
          <w:lang w:val="fr-CA"/>
        </w:rPr>
      </w:pPr>
    </w:p>
    <w:p w14:paraId="11CEB75A" w14:textId="5F739FB7"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intimé</w:t>
      </w:r>
      <w:proofErr w:type="gramEnd"/>
      <w:r w:rsidRPr="003E0DDA">
        <w:rPr>
          <w:rFonts w:ascii="Arial" w:eastAsia="Times New Roman" w:hAnsi="Arial" w:cs="Arial"/>
          <w:szCs w:val="23"/>
          <w:lang w:val="fr-CA"/>
        </w:rPr>
        <w:t xml:space="preserve"> La Partie au différend à l’encontre de laquelle un appel d’une décision d’un groupe spécial est interjeté conformément à l’article 1009.1 ou le litigant à l’encontre duquel un appel d’une décision d’un groupe spécial est interjeté conformément à l’article 1026.1;</w:t>
      </w:r>
    </w:p>
    <w:p w14:paraId="425CBBF5" w14:textId="77777777" w:rsidR="005A321B" w:rsidRPr="003E0DDA" w:rsidRDefault="005A321B" w:rsidP="005A321B">
      <w:pPr>
        <w:autoSpaceDE w:val="0"/>
        <w:autoSpaceDN w:val="0"/>
        <w:adjustRightInd w:val="0"/>
        <w:rPr>
          <w:rFonts w:ascii="Arial" w:eastAsia="Times New Roman" w:hAnsi="Arial" w:cs="Arial"/>
          <w:szCs w:val="23"/>
          <w:lang w:val="fr-CA"/>
        </w:rPr>
      </w:pPr>
    </w:p>
    <w:p w14:paraId="7AA36BAF" w14:textId="64CA9C6F" w:rsidR="005A321B" w:rsidRPr="003E0DDA" w:rsidRDefault="005A321B" w:rsidP="005A321B">
      <w:pPr>
        <w:widowControl w:val="0"/>
        <w:autoSpaceDE w:val="0"/>
        <w:autoSpaceDN w:val="0"/>
        <w:adjustRightInd w:val="0"/>
        <w:rPr>
          <w:rFonts w:ascii="Arial" w:eastAsia="Arial" w:hAnsi="Arial" w:cs="Arial"/>
          <w:szCs w:val="23"/>
          <w:lang w:val="fr-CA"/>
        </w:rPr>
      </w:pPr>
      <w:proofErr w:type="gramStart"/>
      <w:r w:rsidRPr="003E0DDA">
        <w:rPr>
          <w:rFonts w:ascii="Arial" w:eastAsia="Arial" w:hAnsi="Arial" w:cs="Arial"/>
          <w:b/>
          <w:bCs/>
          <w:szCs w:val="23"/>
          <w:lang w:val="fr-CA"/>
        </w:rPr>
        <w:t>lettre</w:t>
      </w:r>
      <w:proofErr w:type="gramEnd"/>
      <w:r w:rsidRPr="003E0DDA">
        <w:rPr>
          <w:rFonts w:ascii="Arial" w:eastAsia="Arial" w:hAnsi="Arial" w:cs="Arial"/>
          <w:b/>
          <w:bCs/>
          <w:szCs w:val="23"/>
          <w:lang w:val="fr-CA"/>
        </w:rPr>
        <w:t xml:space="preserve"> de crédit</w:t>
      </w:r>
      <w:r w:rsidRPr="003E0DDA">
        <w:rPr>
          <w:rFonts w:ascii="Arial" w:eastAsia="Arial" w:hAnsi="Arial" w:cs="Arial"/>
          <w:szCs w:val="23"/>
          <w:lang w:val="fr-CA"/>
        </w:rPr>
        <w:t xml:space="preserve"> La lettre de crédit de soutien irrévocable émise par une banque à charte canadienne ou une caisse populaire, à la demande d’une Partie, à l’intention du Secrétariat, agissant à titre de fiduciaire pour les Parties au présent accord, et qui prévoit les modalités énoncées à l’annexe 1001.4c)ii);</w:t>
      </w:r>
    </w:p>
    <w:p w14:paraId="6A6715ED" w14:textId="77777777" w:rsidR="005A321B" w:rsidRPr="003E0DDA" w:rsidRDefault="005A321B" w:rsidP="005A321B">
      <w:pPr>
        <w:autoSpaceDE w:val="0"/>
        <w:autoSpaceDN w:val="0"/>
        <w:adjustRightInd w:val="0"/>
        <w:rPr>
          <w:rFonts w:ascii="Arial" w:eastAsia="Times New Roman" w:hAnsi="Arial" w:cs="Arial"/>
          <w:szCs w:val="23"/>
          <w:lang w:val="fr-CA"/>
        </w:rPr>
      </w:pPr>
    </w:p>
    <w:p w14:paraId="0FC120F5" w14:textId="77777777"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b/>
          <w:szCs w:val="23"/>
          <w:lang w:val="fr-CA"/>
        </w:rPr>
        <w:t>Litigants</w:t>
      </w:r>
      <w:r w:rsidRPr="003E0DDA">
        <w:rPr>
          <w:rFonts w:ascii="Arial" w:eastAsia="Times New Roman" w:hAnsi="Arial" w:cs="Arial"/>
          <w:szCs w:val="23"/>
          <w:lang w:val="fr-CA"/>
        </w:rPr>
        <w:t xml:space="preserve"> La Personne plaignante et le destinataire de la plainte dans une procédure engagée au titre de la partie B;</w:t>
      </w:r>
    </w:p>
    <w:p w14:paraId="7F1A1424" w14:textId="77777777" w:rsidR="005A321B" w:rsidRPr="003E0DDA" w:rsidRDefault="005A321B" w:rsidP="005A321B">
      <w:pPr>
        <w:widowControl w:val="0"/>
        <w:autoSpaceDE w:val="0"/>
        <w:autoSpaceDN w:val="0"/>
        <w:adjustRightInd w:val="0"/>
        <w:rPr>
          <w:rFonts w:ascii="Arial" w:eastAsia="Arial" w:hAnsi="Arial" w:cs="Arial"/>
          <w:szCs w:val="23"/>
          <w:lang w:val="fr-CA"/>
        </w:rPr>
      </w:pPr>
    </w:p>
    <w:p w14:paraId="2543F26C" w14:textId="74A4E012"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organe</w:t>
      </w:r>
      <w:proofErr w:type="gramEnd"/>
      <w:r w:rsidRPr="003E0DDA">
        <w:rPr>
          <w:rFonts w:ascii="Arial" w:eastAsia="Times New Roman" w:hAnsi="Arial" w:cs="Arial"/>
          <w:b/>
          <w:bCs/>
          <w:szCs w:val="23"/>
          <w:lang w:val="fr-CA"/>
        </w:rPr>
        <w:t xml:space="preserve"> décisionnel</w:t>
      </w:r>
      <w:r w:rsidRPr="003E0DDA">
        <w:rPr>
          <w:rFonts w:ascii="Arial" w:eastAsia="Times New Roman" w:hAnsi="Arial" w:cs="Arial"/>
          <w:szCs w:val="23"/>
          <w:lang w:val="fr-CA"/>
        </w:rPr>
        <w:t xml:space="preserve"> Selon le cas, le groupe spécial, le groupe spécial de l’observation des décisions ou le groupe spécial d’appel;</w:t>
      </w:r>
    </w:p>
    <w:p w14:paraId="3AB7D208" w14:textId="77777777" w:rsidR="005A321B" w:rsidRPr="003E0DDA" w:rsidRDefault="005A321B" w:rsidP="005A321B">
      <w:pPr>
        <w:rPr>
          <w:rFonts w:ascii="Arial" w:eastAsia="Arial" w:hAnsi="Arial" w:cs="Arial"/>
          <w:szCs w:val="23"/>
          <w:lang w:val="fr-CA"/>
        </w:rPr>
      </w:pPr>
    </w:p>
    <w:p w14:paraId="39014A9C" w14:textId="2DD382F8"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participant</w:t>
      </w:r>
      <w:proofErr w:type="gramEnd"/>
      <w:r w:rsidRPr="003E0DDA">
        <w:rPr>
          <w:rFonts w:ascii="Arial" w:eastAsia="Times New Roman" w:hAnsi="Arial" w:cs="Arial"/>
          <w:b/>
          <w:bCs/>
          <w:szCs w:val="23"/>
          <w:lang w:val="fr-CA"/>
        </w:rPr>
        <w:t xml:space="preserve"> aux consultations</w:t>
      </w:r>
      <w:r w:rsidRPr="003E0DDA">
        <w:rPr>
          <w:rFonts w:ascii="Arial" w:eastAsia="Times New Roman" w:hAnsi="Arial" w:cs="Arial"/>
          <w:szCs w:val="23"/>
          <w:lang w:val="fr-CA"/>
        </w:rPr>
        <w:t xml:space="preserve"> Une Partie qui a donné avis de son intention de participer aux consultations conformément à l’article 1003.4 ou à l’article 1017.4;</w:t>
      </w:r>
    </w:p>
    <w:p w14:paraId="01980403" w14:textId="77777777" w:rsidR="005A321B" w:rsidRPr="003E0DDA" w:rsidRDefault="005A321B" w:rsidP="005A321B">
      <w:pPr>
        <w:autoSpaceDE w:val="0"/>
        <w:autoSpaceDN w:val="0"/>
        <w:adjustRightInd w:val="0"/>
        <w:rPr>
          <w:rFonts w:ascii="Arial" w:eastAsia="Times New Roman" w:hAnsi="Arial" w:cs="Arial"/>
          <w:szCs w:val="23"/>
          <w:lang w:val="fr-CA"/>
        </w:rPr>
      </w:pPr>
    </w:p>
    <w:p w14:paraId="3FDEA98D" w14:textId="7B9FFBCC"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participants</w:t>
      </w:r>
      <w:proofErr w:type="gramEnd"/>
      <w:r w:rsidRPr="003E0DDA">
        <w:rPr>
          <w:rFonts w:ascii="Arial" w:eastAsia="Times New Roman" w:hAnsi="Arial" w:cs="Arial"/>
          <w:szCs w:val="23"/>
          <w:lang w:val="fr-CA"/>
        </w:rPr>
        <w:t xml:space="preserve"> Les litigants et les intervenants (le cas échéant) dans une procédure au titre de la partie B;</w:t>
      </w:r>
    </w:p>
    <w:p w14:paraId="5C1B647B" w14:textId="77777777" w:rsidR="005A321B" w:rsidRPr="003E0DDA" w:rsidRDefault="005A321B" w:rsidP="005A321B">
      <w:pPr>
        <w:rPr>
          <w:rFonts w:ascii="Arial" w:eastAsia="Times New Roman" w:hAnsi="Arial" w:cs="Arial"/>
          <w:szCs w:val="23"/>
          <w:lang w:val="fr-CA"/>
        </w:rPr>
      </w:pPr>
    </w:p>
    <w:p w14:paraId="21EABB52" w14:textId="3760D5D3"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Arial" w:hAnsi="Arial" w:cs="Arial"/>
          <w:b/>
          <w:bCs/>
          <w:szCs w:val="23"/>
          <w:lang w:val="fr-CA"/>
        </w:rPr>
        <w:t>Partie de la Personne</w:t>
      </w:r>
      <w:r w:rsidRPr="003E0DDA">
        <w:rPr>
          <w:rFonts w:ascii="Arial" w:eastAsia="Arial" w:hAnsi="Arial" w:cs="Arial"/>
          <w:szCs w:val="23"/>
          <w:lang w:val="fr-CA"/>
        </w:rPr>
        <w:t xml:space="preserve"> La Partie qui a refusé d’engager des procédures pour le compte de la Personne ou de demander l’établissement d’un groupe spécial, conformément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1015.4 ou </w:t>
      </w:r>
      <w:r w:rsidRPr="003E0DDA">
        <w:rPr>
          <w:rFonts w:ascii="Arial" w:eastAsia="Times New Roman" w:hAnsi="Arial" w:cs="Arial"/>
          <w:szCs w:val="23"/>
          <w:lang w:val="fr-CA"/>
        </w:rPr>
        <w:t>à l’article </w:t>
      </w:r>
      <w:r w:rsidRPr="003E0DDA">
        <w:rPr>
          <w:rFonts w:ascii="Arial" w:eastAsia="Arial" w:hAnsi="Arial" w:cs="Arial"/>
          <w:szCs w:val="23"/>
          <w:lang w:val="fr-CA"/>
        </w:rPr>
        <w:t>1015.6;</w:t>
      </w:r>
    </w:p>
    <w:p w14:paraId="4520FD33" w14:textId="77777777" w:rsidR="005A321B" w:rsidRPr="003E0DDA" w:rsidRDefault="005A321B" w:rsidP="005A321B">
      <w:pPr>
        <w:autoSpaceDE w:val="0"/>
        <w:autoSpaceDN w:val="0"/>
        <w:adjustRightInd w:val="0"/>
        <w:rPr>
          <w:rFonts w:ascii="Arial" w:eastAsia="Times New Roman" w:hAnsi="Arial" w:cs="Arial"/>
          <w:szCs w:val="23"/>
          <w:lang w:val="fr-CA"/>
        </w:rPr>
      </w:pPr>
    </w:p>
    <w:p w14:paraId="1D9E6126" w14:textId="44DFF3F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Partie initiatrice</w:t>
      </w:r>
      <w:r w:rsidRPr="003E0DDA">
        <w:rPr>
          <w:rFonts w:ascii="Arial" w:eastAsia="Times New Roman" w:hAnsi="Arial" w:cs="Arial"/>
          <w:szCs w:val="23"/>
          <w:lang w:val="fr-CA"/>
        </w:rPr>
        <w:t xml:space="preserve"> La Partie qui a demandé la tenue de consultations conformément à l’article 1003.1;</w:t>
      </w:r>
    </w:p>
    <w:p w14:paraId="6001BD8D"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3DD1C6C1" w14:textId="77CCB5B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Partie plaignante</w:t>
      </w:r>
      <w:r w:rsidRPr="003E0DDA">
        <w:rPr>
          <w:rFonts w:ascii="Arial" w:eastAsia="Times New Roman" w:hAnsi="Arial" w:cs="Arial"/>
          <w:szCs w:val="23"/>
          <w:lang w:val="fr-CA"/>
        </w:rPr>
        <w:t xml:space="preserve"> La Partie qui a demandé l’établissement d’un groupe spécial conformément à l’article 1004.1, ou la Partie ajoutée à une procédure à titre de Partie plaignante à la discrétion d’un organe décisionnel, conformément à la règle 9 de l’annexe 1007.1 et 1024.1;</w:t>
      </w:r>
    </w:p>
    <w:p w14:paraId="33C2AF9C" w14:textId="77777777" w:rsidR="005A321B" w:rsidRPr="003E0DDA" w:rsidRDefault="005A321B" w:rsidP="005A321B">
      <w:pPr>
        <w:autoSpaceDE w:val="0"/>
        <w:autoSpaceDN w:val="0"/>
        <w:adjustRightInd w:val="0"/>
        <w:rPr>
          <w:rFonts w:ascii="Arial" w:eastAsia="Times New Roman" w:hAnsi="Arial" w:cs="Arial"/>
          <w:szCs w:val="23"/>
          <w:lang w:val="fr-CA"/>
        </w:rPr>
      </w:pPr>
    </w:p>
    <w:p w14:paraId="4ED7B0D0" w14:textId="6E253448"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Partie qui répond</w:t>
      </w:r>
      <w:r w:rsidRPr="003E0DDA">
        <w:rPr>
          <w:rFonts w:ascii="Arial" w:eastAsia="Times New Roman" w:hAnsi="Arial" w:cs="Arial"/>
          <w:szCs w:val="23"/>
          <w:lang w:val="fr-CA"/>
        </w:rPr>
        <w:t xml:space="preserve"> La Partie à qui la Partie initiatrice demande la tenue de consultations conformément à l’article 1003.1;</w:t>
      </w:r>
    </w:p>
    <w:p w14:paraId="43A6FDCB" w14:textId="77777777" w:rsidR="005A321B" w:rsidRPr="003E0DDA" w:rsidRDefault="005A321B" w:rsidP="005A321B">
      <w:pPr>
        <w:autoSpaceDE w:val="0"/>
        <w:autoSpaceDN w:val="0"/>
        <w:adjustRightInd w:val="0"/>
        <w:rPr>
          <w:rFonts w:ascii="Arial" w:eastAsia="Times New Roman" w:hAnsi="Arial" w:cs="Arial"/>
          <w:szCs w:val="23"/>
          <w:lang w:val="fr-CA"/>
        </w:rPr>
      </w:pPr>
    </w:p>
    <w:p w14:paraId="7863339A" w14:textId="364CB416"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Parties aux consultations</w:t>
      </w:r>
      <w:r w:rsidRPr="003E0DDA">
        <w:rPr>
          <w:rFonts w:ascii="Arial" w:eastAsia="Times New Roman" w:hAnsi="Arial" w:cs="Arial"/>
          <w:szCs w:val="23"/>
          <w:lang w:val="fr-CA"/>
        </w:rPr>
        <w:t xml:space="preserve"> La Partie initiatrice, la Partie qui répond et le participant aux consultations;</w:t>
      </w:r>
    </w:p>
    <w:p w14:paraId="10BF9981" w14:textId="77777777" w:rsidR="005A321B" w:rsidRPr="003E0DDA" w:rsidRDefault="005A321B" w:rsidP="005A321B">
      <w:pPr>
        <w:autoSpaceDE w:val="0"/>
        <w:autoSpaceDN w:val="0"/>
        <w:adjustRightInd w:val="0"/>
        <w:rPr>
          <w:rFonts w:ascii="Arial" w:eastAsia="Times New Roman" w:hAnsi="Arial" w:cs="Arial"/>
          <w:szCs w:val="23"/>
          <w:lang w:val="fr-CA"/>
        </w:rPr>
      </w:pPr>
    </w:p>
    <w:p w14:paraId="21709566" w14:textId="541A2FFE" w:rsidR="005A321B" w:rsidRPr="003E0DDA" w:rsidRDefault="005A321B" w:rsidP="005A321B">
      <w:pPr>
        <w:widowControl w:val="0"/>
        <w:autoSpaceDE w:val="0"/>
        <w:autoSpaceDN w:val="0"/>
        <w:adjustRightInd w:val="0"/>
        <w:rPr>
          <w:rFonts w:ascii="Arial" w:eastAsia="Times New Roman" w:hAnsi="Arial" w:cs="Arial"/>
          <w:szCs w:val="23"/>
          <w:lang w:val="fr-CA"/>
        </w:rPr>
      </w:pPr>
    </w:p>
    <w:p w14:paraId="772031FC" w14:textId="77777777" w:rsidR="005A321B" w:rsidRPr="003E0DDA" w:rsidRDefault="005A321B" w:rsidP="005A321B">
      <w:pPr>
        <w:autoSpaceDE w:val="0"/>
        <w:autoSpaceDN w:val="0"/>
        <w:adjustRightInd w:val="0"/>
        <w:rPr>
          <w:rFonts w:ascii="Arial" w:eastAsia="Times New Roman" w:hAnsi="Arial" w:cs="Arial"/>
          <w:szCs w:val="23"/>
          <w:lang w:val="fr-CA"/>
        </w:rPr>
      </w:pPr>
    </w:p>
    <w:p w14:paraId="292A78C6" w14:textId="4D52D43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Parties au différend</w:t>
      </w:r>
      <w:r w:rsidRPr="003E0DDA">
        <w:rPr>
          <w:rFonts w:ascii="Arial" w:eastAsia="Times New Roman" w:hAnsi="Arial" w:cs="Arial"/>
          <w:szCs w:val="23"/>
          <w:lang w:val="fr-CA"/>
        </w:rPr>
        <w:t xml:space="preserve"> La Partie plaignante et le destinataire de la plainte dans une procédure engagée au titre de la partie A; </w:t>
      </w:r>
    </w:p>
    <w:p w14:paraId="5D6810E1" w14:textId="77777777" w:rsidR="005A321B" w:rsidRPr="003E0DDA" w:rsidRDefault="005A321B" w:rsidP="005A321B">
      <w:pPr>
        <w:autoSpaceDE w:val="0"/>
        <w:autoSpaceDN w:val="0"/>
        <w:adjustRightInd w:val="0"/>
        <w:rPr>
          <w:rFonts w:ascii="Arial" w:eastAsia="Times New Roman" w:hAnsi="Arial" w:cs="Arial"/>
          <w:szCs w:val="23"/>
          <w:lang w:val="fr-CA"/>
        </w:rPr>
      </w:pPr>
    </w:p>
    <w:p w14:paraId="7C5C767B" w14:textId="03856A10" w:rsidR="005A321B" w:rsidRPr="003E0DDA" w:rsidRDefault="005A321B" w:rsidP="005A321B">
      <w:pPr>
        <w:widowControl w:val="0"/>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Parties participantes</w:t>
      </w:r>
      <w:r w:rsidRPr="003E0DDA">
        <w:rPr>
          <w:rFonts w:ascii="Arial" w:eastAsia="Times New Roman" w:hAnsi="Arial" w:cs="Arial"/>
          <w:szCs w:val="23"/>
          <w:lang w:val="fr-CA"/>
        </w:rPr>
        <w:t xml:space="preserve"> Les Parties au différend et les intervenants (le cas échéant) dans une procédure au titre de la partie A;</w:t>
      </w:r>
    </w:p>
    <w:p w14:paraId="023A385C" w14:textId="77777777" w:rsidR="005A321B" w:rsidRPr="003E0DDA" w:rsidRDefault="005A321B" w:rsidP="005A321B">
      <w:pPr>
        <w:autoSpaceDE w:val="0"/>
        <w:autoSpaceDN w:val="0"/>
        <w:adjustRightInd w:val="0"/>
        <w:rPr>
          <w:rFonts w:ascii="Arial" w:eastAsia="Times New Roman" w:hAnsi="Arial" w:cs="Arial"/>
          <w:szCs w:val="23"/>
          <w:lang w:val="fr-CA"/>
        </w:rPr>
      </w:pPr>
    </w:p>
    <w:p w14:paraId="0E90D5A6" w14:textId="08D2FA76" w:rsidR="005A321B" w:rsidRPr="003E0DDA" w:rsidRDefault="005A321B" w:rsidP="005A321B">
      <w:pPr>
        <w:rPr>
          <w:rFonts w:ascii="Arial" w:eastAsia="Arial" w:hAnsi="Arial" w:cs="Arial"/>
          <w:szCs w:val="23"/>
          <w:lang w:val="fr-CA"/>
        </w:rPr>
      </w:pPr>
      <w:r w:rsidRPr="003E0DDA">
        <w:rPr>
          <w:rFonts w:ascii="Arial" w:eastAsia="Arial" w:hAnsi="Arial" w:cs="Arial"/>
          <w:b/>
          <w:bCs/>
          <w:szCs w:val="23"/>
          <w:lang w:val="fr-CA"/>
        </w:rPr>
        <w:t>Personne</w:t>
      </w:r>
      <w:r w:rsidRPr="003E0DDA">
        <w:rPr>
          <w:rFonts w:ascii="Arial" w:eastAsia="Arial" w:hAnsi="Arial" w:cs="Arial"/>
          <w:szCs w:val="23"/>
          <w:lang w:val="fr-CA"/>
        </w:rPr>
        <w:t xml:space="preserve"> Une personne physique ou une entreprise, y compris un syndicat, reconnue par la législation applicable d’une Partie;</w:t>
      </w:r>
    </w:p>
    <w:p w14:paraId="65610BEF" w14:textId="77777777" w:rsidR="005A321B" w:rsidRPr="003E0DDA" w:rsidRDefault="005A321B" w:rsidP="005A321B">
      <w:pPr>
        <w:rPr>
          <w:rFonts w:ascii="Arial" w:eastAsia="Arial" w:hAnsi="Arial" w:cs="Arial"/>
          <w:szCs w:val="23"/>
          <w:lang w:val="fr-CA"/>
        </w:rPr>
      </w:pPr>
    </w:p>
    <w:p w14:paraId="7BA28444" w14:textId="7DA54B5A" w:rsidR="00126685" w:rsidRPr="003E0DDA" w:rsidRDefault="00126685"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szCs w:val="23"/>
          <w:lang w:val="fr-CA"/>
        </w:rPr>
        <w:t>Per</w:t>
      </w:r>
      <w:r w:rsidR="00457325" w:rsidRPr="003E0DDA">
        <w:rPr>
          <w:rFonts w:ascii="Arial" w:eastAsia="Times New Roman" w:hAnsi="Arial" w:cs="Arial"/>
          <w:b/>
          <w:szCs w:val="23"/>
          <w:lang w:val="fr-CA"/>
        </w:rPr>
        <w:t>s</w:t>
      </w:r>
      <w:r w:rsidRPr="003E0DDA">
        <w:rPr>
          <w:rFonts w:ascii="Arial" w:eastAsia="Times New Roman" w:hAnsi="Arial" w:cs="Arial"/>
          <w:b/>
          <w:szCs w:val="23"/>
          <w:lang w:val="fr-CA"/>
        </w:rPr>
        <w:t>onne d’une Partie</w:t>
      </w:r>
      <w:r w:rsidRPr="003E0DDA">
        <w:rPr>
          <w:rFonts w:ascii="Arial" w:eastAsia="Times New Roman" w:hAnsi="Arial" w:cs="Arial"/>
          <w:szCs w:val="23"/>
          <w:lang w:val="fr-CA"/>
        </w:rPr>
        <w:t xml:space="preserve"> Une Personne qui a un lien direct et </w:t>
      </w:r>
      <w:r w:rsidR="0016080B" w:rsidRPr="003E0DDA">
        <w:rPr>
          <w:rFonts w:ascii="Arial" w:eastAsia="Times New Roman" w:hAnsi="Arial" w:cs="Arial"/>
          <w:szCs w:val="23"/>
          <w:lang w:val="fr-CA"/>
        </w:rPr>
        <w:t xml:space="preserve">substantiel </w:t>
      </w:r>
      <w:r w:rsidRPr="003E0DDA">
        <w:rPr>
          <w:rFonts w:ascii="Arial" w:eastAsia="Times New Roman" w:hAnsi="Arial" w:cs="Arial"/>
          <w:szCs w:val="23"/>
          <w:lang w:val="fr-CA"/>
        </w:rPr>
        <w:t>avec une Partie, au sens de l’article 1004.6, de l’article 1004.7 ou de l’article 1004.8;</w:t>
      </w:r>
    </w:p>
    <w:p w14:paraId="1670FE9C" w14:textId="77777777" w:rsidR="00126685" w:rsidRPr="003E0DDA" w:rsidRDefault="00126685" w:rsidP="005A321B">
      <w:pPr>
        <w:autoSpaceDE w:val="0"/>
        <w:autoSpaceDN w:val="0"/>
        <w:adjustRightInd w:val="0"/>
        <w:rPr>
          <w:rFonts w:ascii="Arial" w:eastAsia="Times New Roman" w:hAnsi="Arial" w:cs="Arial"/>
          <w:szCs w:val="23"/>
          <w:lang w:val="fr-CA"/>
        </w:rPr>
      </w:pPr>
    </w:p>
    <w:p w14:paraId="5713BD5E" w14:textId="24CD2623" w:rsidR="005A321B" w:rsidRPr="00F52884" w:rsidRDefault="005A321B" w:rsidP="005A321B">
      <w:pPr>
        <w:autoSpaceDE w:val="0"/>
        <w:autoSpaceDN w:val="0"/>
        <w:adjustRightInd w:val="0"/>
        <w:rPr>
          <w:rFonts w:ascii="Arial" w:eastAsia="Times New Roman" w:hAnsi="Arial" w:cs="Arial"/>
          <w:szCs w:val="23"/>
        </w:rPr>
      </w:pPr>
      <w:proofErr w:type="spellStart"/>
      <w:r w:rsidRPr="00F52884">
        <w:rPr>
          <w:rFonts w:ascii="Arial" w:eastAsia="Times New Roman" w:hAnsi="Arial" w:cs="Arial"/>
          <w:b/>
          <w:bCs/>
          <w:szCs w:val="23"/>
        </w:rPr>
        <w:t>personne</w:t>
      </w:r>
      <w:proofErr w:type="spellEnd"/>
      <w:r w:rsidRPr="00F52884">
        <w:rPr>
          <w:rFonts w:ascii="Arial" w:eastAsia="Times New Roman" w:hAnsi="Arial" w:cs="Arial"/>
          <w:b/>
          <w:bCs/>
          <w:szCs w:val="23"/>
        </w:rPr>
        <w:t xml:space="preserve"> </w:t>
      </w:r>
      <w:proofErr w:type="spellStart"/>
      <w:r w:rsidRPr="00F52884">
        <w:rPr>
          <w:rFonts w:ascii="Arial" w:eastAsia="Times New Roman" w:hAnsi="Arial" w:cs="Arial"/>
          <w:b/>
          <w:bCs/>
          <w:szCs w:val="23"/>
        </w:rPr>
        <w:t>plaignante</w:t>
      </w:r>
      <w:proofErr w:type="spellEnd"/>
      <w:r w:rsidRPr="00F52884">
        <w:rPr>
          <w:rFonts w:ascii="Arial" w:eastAsia="Times New Roman" w:hAnsi="Arial" w:cs="Arial"/>
          <w:b/>
          <w:bCs/>
          <w:szCs w:val="23"/>
        </w:rPr>
        <w:t xml:space="preserve"> </w:t>
      </w:r>
      <w:proofErr w:type="spellStart"/>
      <w:proofErr w:type="gramStart"/>
      <w:r w:rsidR="00C41E0C" w:rsidRPr="00F52884">
        <w:rPr>
          <w:rFonts w:ascii="Arial" w:eastAsia="Times New Roman" w:hAnsi="Arial" w:cs="Arial"/>
          <w:bCs/>
          <w:szCs w:val="23"/>
        </w:rPr>
        <w:t>D</w:t>
      </w:r>
      <w:r w:rsidRPr="00F52884">
        <w:rPr>
          <w:rFonts w:ascii="Arial" w:eastAsia="Times New Roman" w:hAnsi="Arial" w:cs="Arial"/>
          <w:bCs/>
          <w:szCs w:val="23"/>
        </w:rPr>
        <w:t>ésigne</w:t>
      </w:r>
      <w:proofErr w:type="spellEnd"/>
      <w:r w:rsidRPr="00F52884">
        <w:rPr>
          <w:rFonts w:ascii="Arial" w:eastAsia="Times New Roman" w:hAnsi="Arial" w:cs="Arial"/>
          <w:szCs w:val="23"/>
        </w:rPr>
        <w:t> :</w:t>
      </w:r>
      <w:proofErr w:type="gramEnd"/>
    </w:p>
    <w:p w14:paraId="2B54AE6B" w14:textId="77777777" w:rsidR="005A321B" w:rsidRPr="00F52884" w:rsidRDefault="005A321B" w:rsidP="005A321B">
      <w:pPr>
        <w:autoSpaceDE w:val="0"/>
        <w:autoSpaceDN w:val="0"/>
        <w:adjustRightInd w:val="0"/>
        <w:rPr>
          <w:rFonts w:ascii="Arial" w:eastAsia="Times New Roman" w:hAnsi="Arial" w:cs="Arial"/>
          <w:szCs w:val="23"/>
        </w:rPr>
      </w:pPr>
    </w:p>
    <w:p w14:paraId="6AB40E98" w14:textId="5519BC53" w:rsidR="005A321B" w:rsidRPr="003E0DDA" w:rsidRDefault="005A321B" w:rsidP="00F01C29">
      <w:pPr>
        <w:numPr>
          <w:ilvl w:val="1"/>
          <w:numId w:val="190"/>
        </w:numPr>
        <w:autoSpaceDE w:val="0"/>
        <w:autoSpaceDN w:val="0"/>
        <w:adjustRightInd w:val="0"/>
        <w:ind w:left="1440" w:hanging="720"/>
        <w:rPr>
          <w:rFonts w:ascii="Arial" w:eastAsia="Times New Roman" w:hAnsi="Arial" w:cs="Arial"/>
          <w:szCs w:val="23"/>
          <w:lang w:val="fr-CA"/>
        </w:rPr>
      </w:pPr>
      <w:proofErr w:type="gramStart"/>
      <w:r w:rsidRPr="003E0DDA">
        <w:rPr>
          <w:rFonts w:ascii="Arial" w:eastAsia="Times New Roman" w:hAnsi="Arial" w:cs="Arial"/>
          <w:szCs w:val="23"/>
          <w:lang w:val="fr-CA"/>
        </w:rPr>
        <w:t>la</w:t>
      </w:r>
      <w:proofErr w:type="gramEnd"/>
      <w:r w:rsidRPr="003E0DDA">
        <w:rPr>
          <w:rFonts w:ascii="Arial" w:eastAsia="Times New Roman" w:hAnsi="Arial" w:cs="Arial"/>
          <w:szCs w:val="23"/>
          <w:lang w:val="fr-CA"/>
        </w:rPr>
        <w:t xml:space="preserve"> Personne qui a demandé l’établissement d’un groupe spécial conformément à l’article 1018.1;</w:t>
      </w:r>
    </w:p>
    <w:p w14:paraId="18A0C140"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p>
    <w:p w14:paraId="6A227A88" w14:textId="575A9637" w:rsidR="005A321B" w:rsidRPr="003E0DDA" w:rsidRDefault="005A321B" w:rsidP="00F01C29">
      <w:pPr>
        <w:numPr>
          <w:ilvl w:val="1"/>
          <w:numId w:val="190"/>
        </w:numPr>
        <w:autoSpaceDE w:val="0"/>
        <w:autoSpaceDN w:val="0"/>
        <w:adjustRightInd w:val="0"/>
        <w:ind w:left="1440" w:hanging="720"/>
        <w:rPr>
          <w:rFonts w:ascii="Arial" w:eastAsia="Times New Roman" w:hAnsi="Arial" w:cs="Arial"/>
          <w:szCs w:val="23"/>
          <w:lang w:val="fr-CA"/>
        </w:rPr>
      </w:pPr>
      <w:proofErr w:type="gramStart"/>
      <w:r w:rsidRPr="003E0DDA">
        <w:rPr>
          <w:rFonts w:ascii="Arial" w:eastAsia="Times New Roman" w:hAnsi="Arial" w:cs="Arial"/>
          <w:szCs w:val="23"/>
          <w:lang w:val="fr-CA"/>
        </w:rPr>
        <w:t>pour</w:t>
      </w:r>
      <w:proofErr w:type="gramEnd"/>
      <w:r w:rsidRPr="003E0DDA">
        <w:rPr>
          <w:rFonts w:ascii="Arial" w:eastAsia="Times New Roman" w:hAnsi="Arial" w:cs="Arial"/>
          <w:szCs w:val="23"/>
          <w:lang w:val="fr-CA"/>
        </w:rPr>
        <w:t xml:space="preserve"> l’application de l’article 1014, la Personne d’une Partie dans un différend préexistant;</w:t>
      </w:r>
    </w:p>
    <w:p w14:paraId="47C39BC8"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p>
    <w:p w14:paraId="363C2278" w14:textId="4941A28F" w:rsidR="005A321B" w:rsidRPr="003E0DDA" w:rsidRDefault="005A321B" w:rsidP="00F01C29">
      <w:pPr>
        <w:numPr>
          <w:ilvl w:val="1"/>
          <w:numId w:val="190"/>
        </w:numPr>
        <w:autoSpaceDE w:val="0"/>
        <w:autoSpaceDN w:val="0"/>
        <w:adjustRightInd w:val="0"/>
        <w:ind w:left="1440" w:hanging="720"/>
        <w:rPr>
          <w:rFonts w:ascii="Arial" w:eastAsia="Times New Roman" w:hAnsi="Arial" w:cs="Arial"/>
          <w:szCs w:val="23"/>
          <w:lang w:val="fr-CA"/>
        </w:rPr>
      </w:pPr>
      <w:proofErr w:type="gramStart"/>
      <w:r w:rsidRPr="003E0DDA">
        <w:rPr>
          <w:rFonts w:ascii="Arial" w:eastAsia="Times New Roman" w:hAnsi="Arial" w:cs="Arial"/>
          <w:szCs w:val="23"/>
          <w:lang w:val="fr-CA"/>
        </w:rPr>
        <w:t>la</w:t>
      </w:r>
      <w:proofErr w:type="gramEnd"/>
      <w:r w:rsidRPr="003E0DDA">
        <w:rPr>
          <w:rFonts w:ascii="Arial" w:eastAsia="Times New Roman" w:hAnsi="Arial" w:cs="Arial"/>
          <w:szCs w:val="23"/>
          <w:lang w:val="fr-CA"/>
        </w:rPr>
        <w:t xml:space="preserve"> Personne ajoutée à une procédure devant un groupe spécial à titre de personne plaignante à la discrétion d’un groupe spécial, conformément à la règle 10 de l’annexe 1007.1 et 1024.1;</w:t>
      </w:r>
    </w:p>
    <w:p w14:paraId="3C033521" w14:textId="77777777" w:rsidR="005A321B" w:rsidRPr="003E0DDA" w:rsidRDefault="005A321B" w:rsidP="005A321B">
      <w:pPr>
        <w:autoSpaceDE w:val="0"/>
        <w:autoSpaceDN w:val="0"/>
        <w:adjustRightInd w:val="0"/>
        <w:rPr>
          <w:rFonts w:ascii="Arial" w:eastAsia="Times New Roman" w:hAnsi="Arial" w:cs="Arial"/>
          <w:szCs w:val="23"/>
          <w:lang w:val="fr-CA"/>
        </w:rPr>
      </w:pPr>
    </w:p>
    <w:p w14:paraId="6219FD2A" w14:textId="625F8A2B" w:rsidR="005A321B" w:rsidRPr="003E0DDA" w:rsidRDefault="005A321B" w:rsidP="005A321B">
      <w:pPr>
        <w:rPr>
          <w:rFonts w:ascii="Arial" w:eastAsia="Arial" w:hAnsi="Arial" w:cs="Arial"/>
          <w:szCs w:val="23"/>
          <w:lang w:val="fr-CA"/>
        </w:rPr>
      </w:pPr>
      <w:proofErr w:type="gramStart"/>
      <w:r w:rsidRPr="003E0DDA">
        <w:rPr>
          <w:rFonts w:ascii="Arial" w:eastAsia="Arial" w:hAnsi="Arial" w:cs="Arial"/>
          <w:b/>
          <w:bCs/>
          <w:szCs w:val="23"/>
          <w:lang w:val="fr-CA"/>
        </w:rPr>
        <w:t>procédures</w:t>
      </w:r>
      <w:proofErr w:type="gramEnd"/>
      <w:r w:rsidRPr="003E0DDA">
        <w:rPr>
          <w:rFonts w:ascii="Arial" w:eastAsia="Arial" w:hAnsi="Arial" w:cs="Arial"/>
          <w:szCs w:val="23"/>
          <w:lang w:val="fr-CA"/>
        </w:rPr>
        <w:t xml:space="preserve"> Les procédures de règlement des différends se déroulant devant un groupe spécial, un groupe spécial de l’observation des décisions ou un groupe spécial d’appel, ou une procédure pour rejet sommaire devant un groupe spécial conformément à l’article 1020, selon le cas; </w:t>
      </w:r>
    </w:p>
    <w:p w14:paraId="1A122DB8" w14:textId="77777777" w:rsidR="005A321B" w:rsidRPr="003E0DDA" w:rsidRDefault="005A321B" w:rsidP="005A321B">
      <w:pPr>
        <w:rPr>
          <w:rFonts w:ascii="Arial" w:eastAsia="Arial" w:hAnsi="Arial" w:cs="Arial"/>
          <w:szCs w:val="23"/>
          <w:lang w:val="fr-CA"/>
        </w:rPr>
      </w:pPr>
    </w:p>
    <w:p w14:paraId="4670B02E" w14:textId="0396F1EF"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rapport</w:t>
      </w:r>
      <w:proofErr w:type="gramEnd"/>
      <w:r w:rsidRPr="003E0DDA">
        <w:rPr>
          <w:rFonts w:ascii="Arial" w:eastAsia="Times New Roman" w:hAnsi="Arial" w:cs="Arial"/>
          <w:szCs w:val="23"/>
          <w:lang w:val="fr-CA"/>
        </w:rPr>
        <w:t xml:space="preserve"> Le rapport du groupe spécial présenté conformément à l’article 1008.1, à l’article 1021.1, à l’article 1025.1, ou qui est réputé constituer un rapport en application </w:t>
      </w:r>
      <w:r w:rsidRPr="003E0DDA">
        <w:rPr>
          <w:rFonts w:ascii="Arial" w:eastAsia="Arial" w:hAnsi="Arial" w:cs="Arial"/>
          <w:szCs w:val="23"/>
          <w:lang w:val="fr-CA"/>
        </w:rPr>
        <w:t>de l’article</w:t>
      </w:r>
      <w:r w:rsidRPr="003E0DDA">
        <w:rPr>
          <w:rFonts w:ascii="Arial" w:eastAsia="Times New Roman" w:hAnsi="Arial" w:cs="Arial"/>
          <w:szCs w:val="23"/>
          <w:lang w:val="fr-CA"/>
        </w:rPr>
        <w:t xml:space="preserve"> 1009.7 ou </w:t>
      </w:r>
      <w:r w:rsidRPr="003E0DDA">
        <w:rPr>
          <w:rFonts w:ascii="Arial" w:eastAsia="Arial" w:hAnsi="Arial" w:cs="Arial"/>
          <w:szCs w:val="23"/>
          <w:lang w:val="fr-CA"/>
        </w:rPr>
        <w:t>de l’article </w:t>
      </w:r>
      <w:r w:rsidRPr="003E0DDA">
        <w:rPr>
          <w:rFonts w:ascii="Arial" w:eastAsia="Times New Roman" w:hAnsi="Arial" w:cs="Arial"/>
          <w:szCs w:val="23"/>
          <w:lang w:val="fr-CA"/>
        </w:rPr>
        <w:t>1026.7, y compris les éclaircissements ou corrections qui y sont apportés en application de l’article 1008.5, de l’article 1009.9, de l’article 1025.5 ou de l’article 1026.9;</w:t>
      </w:r>
    </w:p>
    <w:p w14:paraId="6C23A15C"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2DF23FA8" w14:textId="3F476C1A"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rapport</w:t>
      </w:r>
      <w:proofErr w:type="gramEnd"/>
      <w:r w:rsidRPr="003E0DDA">
        <w:rPr>
          <w:rFonts w:ascii="Arial" w:eastAsia="Times New Roman" w:hAnsi="Arial" w:cs="Arial"/>
          <w:b/>
          <w:bCs/>
          <w:szCs w:val="23"/>
          <w:lang w:val="fr-CA"/>
        </w:rPr>
        <w:t xml:space="preserve"> d’appel</w:t>
      </w:r>
      <w:r w:rsidRPr="003E0DDA">
        <w:rPr>
          <w:rFonts w:ascii="Arial" w:eastAsia="Times New Roman" w:hAnsi="Arial" w:cs="Arial"/>
          <w:szCs w:val="23"/>
          <w:lang w:val="fr-CA"/>
        </w:rPr>
        <w:t xml:space="preserve"> Le rapport présenté par un groupe spécial d’appel conformément à l’article 1009.4 ou à l’article 1026.4, y compris les éclaircissements ou corrections qui y sont apportés en application de l’article 1009.9 ou de l’article 1026.9;</w:t>
      </w:r>
    </w:p>
    <w:p w14:paraId="4180E5F9" w14:textId="77777777" w:rsidR="005A321B" w:rsidRPr="003E0DDA" w:rsidRDefault="005A321B" w:rsidP="005A321B">
      <w:pPr>
        <w:autoSpaceDE w:val="0"/>
        <w:autoSpaceDN w:val="0"/>
        <w:adjustRightInd w:val="0"/>
        <w:rPr>
          <w:rFonts w:ascii="Arial" w:eastAsia="Times New Roman" w:hAnsi="Arial" w:cs="Arial"/>
          <w:szCs w:val="23"/>
          <w:lang w:val="fr-CA"/>
        </w:rPr>
      </w:pPr>
    </w:p>
    <w:p w14:paraId="0903686A" w14:textId="4D5B165F"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rapport</w:t>
      </w:r>
      <w:proofErr w:type="gramEnd"/>
      <w:r w:rsidRPr="003E0DDA">
        <w:rPr>
          <w:rFonts w:ascii="Arial" w:eastAsia="Times New Roman" w:hAnsi="Arial" w:cs="Arial"/>
          <w:b/>
          <w:bCs/>
          <w:szCs w:val="23"/>
          <w:lang w:val="fr-CA"/>
        </w:rPr>
        <w:t xml:space="preserve"> sur la conformité</w:t>
      </w:r>
      <w:r w:rsidRPr="003E0DDA">
        <w:rPr>
          <w:rFonts w:ascii="Arial" w:eastAsia="Times New Roman" w:hAnsi="Arial" w:cs="Arial"/>
          <w:szCs w:val="23"/>
          <w:lang w:val="fr-CA"/>
        </w:rPr>
        <w:t xml:space="preserve"> Le rapport présenté par un groupe spécial de l’observation des décisions conformément à l’article 1010.11 ou à l’article 1027.11, y compris les éclaircissements ou corrections qui y sont apportés en application de l’article 1010.13 ou de l’article 1027.13;</w:t>
      </w:r>
    </w:p>
    <w:p w14:paraId="62C94DA6" w14:textId="77777777" w:rsidR="005A321B" w:rsidRPr="003E0DDA" w:rsidRDefault="005A321B" w:rsidP="005A321B">
      <w:pPr>
        <w:rPr>
          <w:rFonts w:ascii="Arial" w:eastAsia="Arial" w:hAnsi="Arial" w:cs="Arial"/>
          <w:szCs w:val="23"/>
          <w:lang w:val="fr-CA"/>
        </w:rPr>
      </w:pPr>
    </w:p>
    <w:p w14:paraId="5FB4BA69" w14:textId="35E3D910" w:rsidR="005A321B" w:rsidRPr="003E0DDA" w:rsidRDefault="005A321B" w:rsidP="005A321B">
      <w:pPr>
        <w:rPr>
          <w:rFonts w:ascii="Arial" w:eastAsia="Arial" w:hAnsi="Arial" w:cs="Arial"/>
          <w:szCs w:val="23"/>
          <w:lang w:val="fr-CA"/>
        </w:rPr>
      </w:pPr>
      <w:proofErr w:type="gramStart"/>
      <w:r w:rsidRPr="003E0DDA">
        <w:rPr>
          <w:rFonts w:ascii="Arial" w:eastAsia="Arial" w:hAnsi="Arial" w:cs="Arial"/>
          <w:b/>
          <w:bCs/>
          <w:szCs w:val="23"/>
          <w:lang w:val="fr-CA"/>
        </w:rPr>
        <w:t>représentant</w:t>
      </w:r>
      <w:proofErr w:type="gramEnd"/>
      <w:r w:rsidRPr="003E0DDA">
        <w:rPr>
          <w:rFonts w:ascii="Arial" w:eastAsia="Arial" w:hAnsi="Arial" w:cs="Arial"/>
          <w:b/>
          <w:bCs/>
          <w:szCs w:val="23"/>
          <w:lang w:val="fr-CA"/>
        </w:rPr>
        <w:t xml:space="preserve"> du commerce intérieur </w:t>
      </w:r>
      <w:r w:rsidRPr="003E0DDA">
        <w:rPr>
          <w:rFonts w:ascii="Arial" w:eastAsia="Arial" w:hAnsi="Arial" w:cs="Arial"/>
          <w:szCs w:val="23"/>
          <w:lang w:val="fr-CA"/>
        </w:rPr>
        <w:t>Désigne le représentant du gouvernement nommé par une Partie et connu du Secrétariat comme étant le représentant de la Partie en cause pour l’application du présent accord;</w:t>
      </w:r>
    </w:p>
    <w:p w14:paraId="33603792" w14:textId="77777777" w:rsidR="005A321B" w:rsidRPr="003E0DDA" w:rsidRDefault="005A321B" w:rsidP="005A321B">
      <w:pPr>
        <w:rPr>
          <w:rFonts w:ascii="Arial" w:eastAsia="Arial" w:hAnsi="Arial" w:cs="Arial"/>
          <w:szCs w:val="23"/>
          <w:lang w:val="fr-CA"/>
        </w:rPr>
      </w:pPr>
    </w:p>
    <w:p w14:paraId="0D40A553" w14:textId="513B555E" w:rsidR="005A321B" w:rsidRPr="003E0DDA" w:rsidRDefault="005A321B" w:rsidP="005A321B">
      <w:pPr>
        <w:widowControl w:val="0"/>
        <w:autoSpaceDE w:val="0"/>
        <w:autoSpaceDN w:val="0"/>
        <w:adjustRightInd w:val="0"/>
        <w:rPr>
          <w:rFonts w:ascii="Arial" w:eastAsia="Times New Roman" w:hAnsi="Arial" w:cs="Arial"/>
          <w:b/>
          <w:szCs w:val="23"/>
          <w:lang w:val="fr-CA"/>
        </w:rPr>
      </w:pPr>
      <w:proofErr w:type="gramStart"/>
      <w:r w:rsidRPr="003E0DDA">
        <w:rPr>
          <w:rFonts w:ascii="Arial" w:eastAsia="Times New Roman" w:hAnsi="Arial" w:cs="Arial"/>
          <w:b/>
          <w:bCs/>
          <w:szCs w:val="23"/>
          <w:lang w:val="fr-CA"/>
        </w:rPr>
        <w:lastRenderedPageBreak/>
        <w:t>sanction</w:t>
      </w:r>
      <w:proofErr w:type="gramEnd"/>
      <w:r w:rsidRPr="003E0DDA">
        <w:rPr>
          <w:rFonts w:ascii="Arial" w:eastAsia="Times New Roman" w:hAnsi="Arial" w:cs="Arial"/>
          <w:b/>
          <w:bCs/>
          <w:szCs w:val="23"/>
          <w:lang w:val="fr-CA"/>
        </w:rPr>
        <w:t xml:space="preserve"> pécuniaire</w:t>
      </w:r>
      <w:r w:rsidRPr="003E0DDA">
        <w:rPr>
          <w:rFonts w:ascii="Arial" w:eastAsia="Times New Roman" w:hAnsi="Arial" w:cs="Arial"/>
          <w:szCs w:val="23"/>
          <w:lang w:val="fr-CA"/>
        </w:rPr>
        <w:t xml:space="preserve"> La sanction ordonnée par un groupe spécial de l’observation des décisions dans le rapport sur la conformité mentionné à l’article 1010.11 et à l’article 1027.11;</w:t>
      </w:r>
    </w:p>
    <w:p w14:paraId="041306FF" w14:textId="77777777" w:rsidR="005A321B" w:rsidRPr="003E0DDA" w:rsidRDefault="005A321B" w:rsidP="005A321B">
      <w:pPr>
        <w:rPr>
          <w:rFonts w:ascii="Arial" w:eastAsia="Arial" w:hAnsi="Arial" w:cs="Arial"/>
          <w:szCs w:val="23"/>
          <w:lang w:val="fr-CA"/>
        </w:rPr>
      </w:pPr>
    </w:p>
    <w:p w14:paraId="69000DB2" w14:textId="4C117DC0" w:rsidR="005A321B" w:rsidRPr="003E0DDA" w:rsidRDefault="005A321B" w:rsidP="005A321B">
      <w:pPr>
        <w:widowControl w:val="0"/>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total</w:t>
      </w:r>
      <w:proofErr w:type="gramEnd"/>
      <w:r w:rsidRPr="003E0DDA">
        <w:rPr>
          <w:rFonts w:ascii="Arial" w:eastAsia="Times New Roman" w:hAnsi="Arial" w:cs="Arial"/>
          <w:b/>
          <w:bCs/>
          <w:szCs w:val="23"/>
          <w:lang w:val="fr-CA"/>
        </w:rPr>
        <w:t xml:space="preserve"> des coûts et des sanctions pécuniaires imposés par ordonnance </w:t>
      </w:r>
      <w:r w:rsidRPr="003E0DDA">
        <w:rPr>
          <w:rFonts w:ascii="Arial" w:eastAsia="Times New Roman" w:hAnsi="Arial" w:cs="Arial"/>
          <w:szCs w:val="23"/>
          <w:lang w:val="fr-CA"/>
        </w:rPr>
        <w:t>La somme des dépens prévus au tarif, frais supplémentaires et sanctions pécuniaires que les organes décisionnels ont ordonné au destinataire de la plainte de verser pendant toute la durée d’une procédure qui commence par la demande d’établissement d’un groupe spécial conformément à l’article 1018, et se termine par un rapport sur la conformité présenté conformément à l’article 1027.</w:t>
      </w:r>
    </w:p>
    <w:p w14:paraId="421A542F"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13E6B916" w14:textId="7D5D88CF" w:rsidR="005A321B" w:rsidRPr="003E0DDA" w:rsidRDefault="005A321B" w:rsidP="00F52884">
      <w:pPr>
        <w:jc w:val="center"/>
        <w:rPr>
          <w:rFonts w:ascii="Arial" w:eastAsia="Arial" w:hAnsi="Arial" w:cs="Arial"/>
          <w:b/>
          <w:szCs w:val="23"/>
          <w:lang w:val="fr-CA"/>
        </w:rPr>
      </w:pPr>
      <w:r w:rsidRPr="003E0DDA">
        <w:rPr>
          <w:rFonts w:ascii="Arial" w:eastAsia="Arial" w:hAnsi="Arial" w:cs="Arial"/>
          <w:b/>
          <w:szCs w:val="23"/>
          <w:lang w:val="fr-CA"/>
        </w:rPr>
        <w:br w:type="page"/>
      </w:r>
      <w:bookmarkStart w:id="193" w:name="_Toc470079039"/>
      <w:r w:rsidR="00C41E0C" w:rsidRPr="003E0DDA">
        <w:rPr>
          <w:rFonts w:ascii="Arial" w:eastAsia="Arial" w:hAnsi="Arial" w:cs="Arial"/>
          <w:b/>
          <w:szCs w:val="23"/>
          <w:lang w:val="fr-CA"/>
        </w:rPr>
        <w:lastRenderedPageBreak/>
        <w:t xml:space="preserve">Annexe </w:t>
      </w:r>
      <w:proofErr w:type="gramStart"/>
      <w:r w:rsidRPr="003E0DDA">
        <w:rPr>
          <w:rFonts w:ascii="Arial" w:eastAsia="Arial" w:hAnsi="Arial" w:cs="Arial"/>
          <w:b/>
          <w:szCs w:val="23"/>
          <w:lang w:val="fr-CA"/>
        </w:rPr>
        <w:t>1001.4c)ii</w:t>
      </w:r>
      <w:proofErr w:type="gramEnd"/>
      <w:r w:rsidRPr="003E0DDA">
        <w:rPr>
          <w:rFonts w:ascii="Arial" w:eastAsia="Arial" w:hAnsi="Arial" w:cs="Arial"/>
          <w:b/>
          <w:szCs w:val="23"/>
          <w:lang w:val="fr-CA"/>
        </w:rPr>
        <w:t>)</w:t>
      </w:r>
      <w:bookmarkEnd w:id="192"/>
      <w:bookmarkEnd w:id="193"/>
      <w:r w:rsidRPr="003E0DDA">
        <w:rPr>
          <w:rFonts w:ascii="Arial" w:eastAsia="Arial" w:hAnsi="Arial" w:cs="Arial"/>
          <w:b/>
          <w:szCs w:val="23"/>
          <w:lang w:val="fr-CA"/>
        </w:rPr>
        <w:t> :</w:t>
      </w:r>
      <w:r w:rsidR="00C41E0C" w:rsidRPr="003E0DDA">
        <w:rPr>
          <w:rFonts w:ascii="Arial" w:eastAsia="Arial" w:hAnsi="Arial" w:cs="Arial"/>
          <w:b/>
          <w:szCs w:val="23"/>
          <w:lang w:val="fr-CA"/>
        </w:rPr>
        <w:tab/>
      </w:r>
      <w:r w:rsidRPr="003E0DDA">
        <w:rPr>
          <w:rFonts w:ascii="Arial" w:eastAsia="Arial" w:hAnsi="Arial" w:cs="Arial"/>
          <w:b/>
          <w:szCs w:val="23"/>
          <w:lang w:val="fr-CA"/>
        </w:rPr>
        <w:tab/>
      </w:r>
      <w:bookmarkStart w:id="194" w:name="_Toc357427561"/>
      <w:bookmarkStart w:id="195" w:name="_Toc470079040"/>
      <w:r w:rsidRPr="003E0DDA">
        <w:rPr>
          <w:rFonts w:ascii="Arial" w:eastAsia="Arial" w:hAnsi="Arial" w:cs="Arial"/>
          <w:b/>
          <w:szCs w:val="23"/>
          <w:lang w:val="fr-CA"/>
        </w:rPr>
        <w:t>Lettre de crédit de soutien irrévocable</w:t>
      </w:r>
      <w:bookmarkEnd w:id="194"/>
      <w:bookmarkEnd w:id="195"/>
    </w:p>
    <w:p w14:paraId="15573FDC" w14:textId="77777777" w:rsidR="005A321B" w:rsidRPr="003E0DDA" w:rsidRDefault="005A321B" w:rsidP="00F52884">
      <w:pPr>
        <w:autoSpaceDE w:val="0"/>
        <w:autoSpaceDN w:val="0"/>
        <w:adjustRightInd w:val="0"/>
        <w:ind w:right="-270"/>
        <w:jc w:val="center"/>
        <w:rPr>
          <w:rFonts w:ascii="Arial" w:eastAsia="Times New Roman" w:hAnsi="Arial" w:cs="Arial"/>
          <w:b/>
          <w:bCs/>
          <w:szCs w:val="23"/>
          <w:lang w:val="fr-CA"/>
        </w:rPr>
      </w:pPr>
    </w:p>
    <w:p w14:paraId="4F399D9C" w14:textId="77777777" w:rsidR="005A321B" w:rsidRPr="003E0DDA" w:rsidRDefault="005A321B" w:rsidP="005A321B">
      <w:pPr>
        <w:autoSpaceDE w:val="0"/>
        <w:autoSpaceDN w:val="0"/>
        <w:adjustRightInd w:val="0"/>
        <w:ind w:right="-270"/>
        <w:rPr>
          <w:rFonts w:ascii="Arial" w:eastAsia="Times New Roman" w:hAnsi="Arial" w:cs="Arial"/>
          <w:b/>
          <w:bCs/>
          <w:szCs w:val="23"/>
          <w:lang w:val="fr-CA"/>
        </w:rPr>
      </w:pPr>
    </w:p>
    <w:p w14:paraId="70603679"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w:t>
      </w:r>
      <w:r w:rsidRPr="003E0DDA">
        <w:rPr>
          <w:rFonts w:ascii="Arial" w:eastAsia="Times New Roman" w:hAnsi="Arial" w:cs="Arial"/>
          <w:i/>
          <w:iCs/>
          <w:szCs w:val="23"/>
          <w:lang w:val="fr-CA"/>
        </w:rPr>
        <w:t>À imprimer sur du papier à en-tête de la banque</w:t>
      </w:r>
      <w:r w:rsidRPr="003E0DDA">
        <w:rPr>
          <w:rFonts w:ascii="Arial" w:eastAsia="Times New Roman" w:hAnsi="Arial" w:cs="Arial"/>
          <w:szCs w:val="23"/>
          <w:lang w:val="fr-CA"/>
        </w:rPr>
        <w:t>)</w:t>
      </w:r>
    </w:p>
    <w:p w14:paraId="3616A0C4"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Le xx mois 20__</w:t>
      </w:r>
    </w:p>
    <w:p w14:paraId="1D224CC2"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47E761E1" w14:textId="77777777" w:rsidR="005A321B" w:rsidRPr="003E0DDA" w:rsidRDefault="005A321B" w:rsidP="005A321B">
      <w:pPr>
        <w:autoSpaceDE w:val="0"/>
        <w:autoSpaceDN w:val="0"/>
        <w:adjustRightInd w:val="0"/>
        <w:ind w:left="1890" w:right="-270" w:hanging="1890"/>
        <w:rPr>
          <w:rFonts w:ascii="Arial" w:eastAsia="Times New Roman" w:hAnsi="Arial" w:cs="Arial"/>
          <w:bCs/>
          <w:szCs w:val="23"/>
          <w:lang w:val="fr-CA"/>
        </w:rPr>
      </w:pPr>
      <w:r w:rsidRPr="003E0DDA">
        <w:rPr>
          <w:rFonts w:ascii="Arial" w:eastAsia="Times New Roman" w:hAnsi="Arial" w:cs="Arial"/>
          <w:szCs w:val="23"/>
          <w:lang w:val="fr-CA"/>
        </w:rPr>
        <w:t xml:space="preserve">DESTINATAIRE : </w:t>
      </w:r>
      <w:r w:rsidRPr="003E0DDA">
        <w:rPr>
          <w:rFonts w:ascii="Arial" w:eastAsia="Times New Roman" w:hAnsi="Arial" w:cs="Arial"/>
          <w:szCs w:val="23"/>
          <w:u w:val="single"/>
          <w:lang w:val="fr-CA"/>
        </w:rPr>
        <w:t>Corporation du Secrétariat du commerce intérieur (« CSCI »),</w:t>
      </w:r>
      <w:r w:rsidRPr="003E0DDA">
        <w:rPr>
          <w:rFonts w:ascii="Arial" w:eastAsia="Times New Roman" w:hAnsi="Arial" w:cs="Arial"/>
          <w:szCs w:val="23"/>
          <w:u w:val="words"/>
          <w:lang w:val="fr-CA"/>
        </w:rPr>
        <w:t xml:space="preserve"> fiduciaire pour le compte des bénéficiaires</w:t>
      </w:r>
    </w:p>
    <w:p w14:paraId="12A2BF72"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08972F91"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u w:val="words"/>
          <w:lang w:val="fr-CA"/>
        </w:rPr>
        <w:t>OBJET :</w:t>
      </w:r>
      <w:r w:rsidRPr="003E0DDA">
        <w:rPr>
          <w:rFonts w:ascii="Arial" w:eastAsia="Times New Roman" w:hAnsi="Arial" w:cs="Arial"/>
          <w:szCs w:val="23"/>
          <w:u w:val="words"/>
          <w:lang w:val="fr-CA"/>
        </w:rPr>
        <w:tab/>
      </w:r>
      <w:r w:rsidRPr="003E0DDA">
        <w:rPr>
          <w:rFonts w:ascii="Arial" w:eastAsia="Times New Roman" w:hAnsi="Arial" w:cs="Arial"/>
          <w:szCs w:val="23"/>
          <w:u w:val="words"/>
          <w:lang w:val="fr-CA"/>
        </w:rPr>
        <w:tab/>
        <w:t>Lettre de crédit de soutien irrévocable n</w:t>
      </w:r>
      <w:r w:rsidRPr="003E0DDA">
        <w:rPr>
          <w:rFonts w:ascii="Arial" w:eastAsia="Times New Roman" w:hAnsi="Arial" w:cs="Arial"/>
          <w:szCs w:val="23"/>
          <w:u w:val="words"/>
          <w:vertAlign w:val="superscript"/>
          <w:lang w:val="fr-CA"/>
        </w:rPr>
        <w:t>o</w:t>
      </w:r>
      <w:r w:rsidRPr="003E0DDA">
        <w:rPr>
          <w:rFonts w:ascii="Arial" w:eastAsia="Times New Roman" w:hAnsi="Arial" w:cs="Arial"/>
          <w:szCs w:val="23"/>
          <w:u w:val="words"/>
          <w:lang w:val="fr-CA"/>
        </w:rPr>
        <w:t xml:space="preserve">      X, </w:t>
      </w:r>
    </w:p>
    <w:p w14:paraId="2B08752A"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7E839B87" w14:textId="350030E3" w:rsidR="005A321B" w:rsidRPr="003E0DDA" w:rsidRDefault="005A321B" w:rsidP="005A321B">
      <w:pPr>
        <w:autoSpaceDE w:val="0"/>
        <w:autoSpaceDN w:val="0"/>
        <w:adjustRightInd w:val="0"/>
        <w:ind w:right="-270"/>
        <w:rPr>
          <w:rFonts w:ascii="Arial" w:eastAsia="Times New Roman" w:hAnsi="Arial" w:cs="Arial"/>
          <w:szCs w:val="23"/>
          <w:lang w:val="fr-CA"/>
        </w:rPr>
      </w:pPr>
      <w:r w:rsidRPr="003E0DDA">
        <w:rPr>
          <w:rFonts w:ascii="Arial" w:eastAsia="Times New Roman" w:hAnsi="Arial" w:cs="Arial"/>
          <w:szCs w:val="23"/>
          <w:lang w:val="fr-CA"/>
        </w:rPr>
        <w:t>À la demande de la PROVINCE de ___________, la ______________ (</w:t>
      </w:r>
      <w:r w:rsidRPr="003E0DDA">
        <w:rPr>
          <w:rFonts w:ascii="Arial" w:eastAsia="Times New Roman" w:hAnsi="Arial" w:cs="Arial"/>
          <w:i/>
          <w:iCs/>
          <w:szCs w:val="23"/>
          <w:lang w:val="fr-CA"/>
        </w:rPr>
        <w:t>nom et adresse de la banque ou de l’institution financière</w:t>
      </w:r>
      <w:r w:rsidRPr="003E0DDA">
        <w:rPr>
          <w:rFonts w:ascii="Arial" w:eastAsia="Times New Roman" w:hAnsi="Arial" w:cs="Arial"/>
          <w:szCs w:val="23"/>
          <w:lang w:val="fr-CA"/>
        </w:rPr>
        <w:t xml:space="preserve">) (la « banque ») émet par les présentes, en faveur de la Corporation du Secrétariat du commerce intérieur (« CSCI »), agissant à titre de fiduciaire pour les signataires énumérés à la pièce « A » (les «  signataires ») de l’Accord </w:t>
      </w:r>
      <w:r w:rsidRPr="003E0DDA">
        <w:rPr>
          <w:rFonts w:ascii="Arial" w:eastAsia="Times New Roman" w:hAnsi="Arial" w:cs="Arial"/>
          <w:bCs/>
          <w:szCs w:val="23"/>
          <w:lang w:val="fr-CA"/>
        </w:rPr>
        <w:t xml:space="preserve">de libre-échange canadien, modifié (« ALEC ») la présente lettre de crédit de soutien irrévocable </w:t>
      </w:r>
      <w:r w:rsidRPr="003E0DDA">
        <w:rPr>
          <w:rFonts w:ascii="Arial" w:eastAsia="Times New Roman" w:hAnsi="Arial" w:cs="Arial"/>
          <w:szCs w:val="23"/>
          <w:lang w:val="fr-CA"/>
        </w:rPr>
        <w:t>n</w:t>
      </w:r>
      <w:r w:rsidRPr="003E0DDA">
        <w:rPr>
          <w:rFonts w:ascii="Arial" w:eastAsia="Times New Roman" w:hAnsi="Arial" w:cs="Arial"/>
          <w:szCs w:val="23"/>
          <w:vertAlign w:val="superscript"/>
          <w:lang w:val="fr-CA"/>
        </w:rPr>
        <w:t>o</w:t>
      </w:r>
      <w:r w:rsidRPr="003E0DDA">
        <w:rPr>
          <w:rFonts w:ascii="Arial" w:eastAsia="Times New Roman" w:hAnsi="Arial" w:cs="Arial"/>
          <w:szCs w:val="23"/>
          <w:lang w:val="fr-CA"/>
        </w:rPr>
        <w:t xml:space="preserve"> _________ (la « lettre de crédit ») au montant total de ______________ </w:t>
      </w:r>
      <w:r w:rsidRPr="003E0DDA">
        <w:rPr>
          <w:rFonts w:ascii="Arial" w:eastAsia="Times New Roman" w:hAnsi="Arial" w:cs="Arial"/>
          <w:i/>
          <w:iCs/>
          <w:szCs w:val="23"/>
          <w:lang w:val="fr-CA"/>
        </w:rPr>
        <w:t xml:space="preserve">(le montant maximal pour la </w:t>
      </w:r>
      <w:r w:rsidR="00C41E0C" w:rsidRPr="003E0DDA">
        <w:rPr>
          <w:rFonts w:ascii="Arial" w:eastAsia="Times New Roman" w:hAnsi="Arial" w:cs="Arial"/>
          <w:i/>
          <w:iCs/>
          <w:szCs w:val="23"/>
          <w:lang w:val="fr-CA"/>
        </w:rPr>
        <w:t xml:space="preserve">Province </w:t>
      </w:r>
      <w:r w:rsidRPr="003E0DDA">
        <w:rPr>
          <w:rFonts w:ascii="Arial" w:eastAsia="Times New Roman" w:hAnsi="Arial" w:cs="Arial"/>
          <w:i/>
          <w:iCs/>
          <w:szCs w:val="23"/>
          <w:lang w:val="fr-CA"/>
        </w:rPr>
        <w:t xml:space="preserve">énoncé </w:t>
      </w:r>
      <w:r w:rsidRPr="003E0DDA">
        <w:rPr>
          <w:rFonts w:ascii="Arial" w:eastAsia="Times New Roman" w:hAnsi="Arial" w:cs="Arial"/>
          <w:i/>
          <w:szCs w:val="23"/>
          <w:lang w:val="fr-CA"/>
        </w:rPr>
        <w:t>à l’annexe</w:t>
      </w:r>
      <w:r w:rsidRPr="003E0DDA">
        <w:rPr>
          <w:rFonts w:ascii="Arial" w:eastAsia="Times New Roman" w:hAnsi="Arial" w:cs="Arial"/>
          <w:i/>
          <w:iCs/>
          <w:szCs w:val="23"/>
          <w:lang w:val="fr-CA"/>
        </w:rPr>
        <w:t xml:space="preserve"> 1011.2 et 1028.2 de l’ALEC) </w:t>
      </w:r>
      <w:r w:rsidRPr="003E0DDA">
        <w:rPr>
          <w:rFonts w:ascii="Arial" w:eastAsia="Times New Roman" w:hAnsi="Arial" w:cs="Arial"/>
          <w:szCs w:val="23"/>
          <w:lang w:val="fr-CA"/>
        </w:rPr>
        <w:t>(le « montant disponible »), qui est disponible à la réception par la banque de ce qui suit :</w:t>
      </w:r>
    </w:p>
    <w:p w14:paraId="19F290FE"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09B118FF"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 xml:space="preserve">a) </w:t>
      </w:r>
      <w:r w:rsidRPr="003E0DDA">
        <w:rPr>
          <w:rFonts w:ascii="Arial" w:eastAsia="Times New Roman" w:hAnsi="Arial" w:cs="Arial"/>
          <w:szCs w:val="23"/>
          <w:lang w:val="fr-CA"/>
        </w:rPr>
        <w:tab/>
        <w:t>une demande de paiement écrite de la CSCI adressée à la banque où figure la stipulation suivante : « prélevé en vertu de la lettre de crédit de soutien irrévocable n</w:t>
      </w:r>
      <w:r w:rsidRPr="003E0DDA">
        <w:rPr>
          <w:rFonts w:ascii="Arial" w:eastAsia="Times New Roman" w:hAnsi="Arial" w:cs="Arial"/>
          <w:szCs w:val="23"/>
          <w:vertAlign w:val="superscript"/>
          <w:lang w:val="fr-CA"/>
        </w:rPr>
        <w:t>o</w:t>
      </w:r>
      <w:r w:rsidRPr="003E0DDA">
        <w:rPr>
          <w:rFonts w:ascii="Arial" w:eastAsia="Times New Roman" w:hAnsi="Arial" w:cs="Arial"/>
          <w:szCs w:val="23"/>
          <w:lang w:val="fr-CA"/>
        </w:rPr>
        <w:t xml:space="preserve"> ________, émise par la banque »;</w:t>
      </w:r>
    </w:p>
    <w:p w14:paraId="6A18B55E"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50F2C2F8" w14:textId="63603ECB"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une copie certifiée conforme de l’ordonnance sur les sanctions pécuniaires du groupe spécial de l’observation des décisions dans la forme de la pièce « B » ci-jointe;</w:t>
      </w:r>
    </w:p>
    <w:p w14:paraId="0C2E8C8C"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70D29246" w14:textId="7E55D2C6"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un certificat du directeur général de la CSCI énonçant qu’il est en droit de présenter une demande de paiement conformément à L’ALEC;</w:t>
      </w:r>
    </w:p>
    <w:p w14:paraId="59428934"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689680CE"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 xml:space="preserve">d) </w:t>
      </w:r>
      <w:r w:rsidRPr="003E0DDA">
        <w:rPr>
          <w:rFonts w:ascii="Arial" w:eastAsia="Times New Roman" w:hAnsi="Arial" w:cs="Arial"/>
          <w:szCs w:val="23"/>
          <w:lang w:val="fr-CA"/>
        </w:rPr>
        <w:tab/>
        <w:t>une directive signée par le directeur général de la CSCI donnée à la banque de payer le ou les montants prélevés aux bénéficiaires, conformément au certificat de sanction.</w:t>
      </w:r>
    </w:p>
    <w:p w14:paraId="70D854C5"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36390606"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La banque convient de payer aux signataires désignés comme la ou les Parties plaignantes dans le certificat de sanction susmentionné et dans la directive un montant jusqu’à concurrence de _____________ (</w:t>
      </w:r>
      <w:r w:rsidRPr="003E0DDA">
        <w:rPr>
          <w:rFonts w:ascii="Arial" w:eastAsia="Times New Roman" w:hAnsi="Arial" w:cs="Arial"/>
          <w:i/>
          <w:iCs/>
          <w:szCs w:val="23"/>
          <w:lang w:val="fr-CA"/>
        </w:rPr>
        <w:t>montant disponible</w:t>
      </w:r>
      <w:r w:rsidRPr="003E0DDA">
        <w:rPr>
          <w:rFonts w:ascii="Arial" w:eastAsia="Times New Roman" w:hAnsi="Arial" w:cs="Arial"/>
          <w:szCs w:val="23"/>
          <w:lang w:val="fr-CA"/>
        </w:rPr>
        <w:t>) et de fournir une confirmation écrite et les détails du paiement à la CSCI.</w:t>
      </w:r>
    </w:p>
    <w:p w14:paraId="44A8E2C8"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1E10DAE4" w14:textId="6FE6755C"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 xml:space="preserve">La banque honorera toute demande de paiement en vertu de la lettre de crédit sans demande de renseignements de sa part afin d’établir si la CSCI est en droit de faire cette demande et malgré tout différend ou contestation entre la </w:t>
      </w:r>
      <w:r w:rsidR="00C41E0C" w:rsidRPr="003E0DDA">
        <w:rPr>
          <w:rFonts w:ascii="Arial" w:eastAsia="Times New Roman" w:hAnsi="Arial" w:cs="Arial"/>
          <w:szCs w:val="23"/>
          <w:lang w:val="fr-CA"/>
        </w:rPr>
        <w:t xml:space="preserve">Province </w:t>
      </w:r>
      <w:r w:rsidRPr="003E0DDA">
        <w:rPr>
          <w:rFonts w:ascii="Arial" w:eastAsia="Times New Roman" w:hAnsi="Arial" w:cs="Arial"/>
          <w:szCs w:val="23"/>
          <w:lang w:val="fr-CA"/>
        </w:rPr>
        <w:t>de _______________ ou la CSCI ou tout signataire. La CSCI n’est pas tenue d’engager des procédures judiciaires contre la Province avant de présenter une demande de paiement conformément à la présente lettre de crédit.</w:t>
      </w:r>
    </w:p>
    <w:p w14:paraId="07AA1434"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22D5CB49"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DATE D’EXPIRATION</w:t>
      </w:r>
    </w:p>
    <w:p w14:paraId="7EE4726D"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4DC062D6" w14:textId="4FEEEA88"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La présente lettre de crédit expire à _____ le ______________ (insérer la date qui correspond à 5 ans après la date d’émission) (la « date d’expiration »).</w:t>
      </w:r>
    </w:p>
    <w:p w14:paraId="689C8D5F"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lastRenderedPageBreak/>
        <w:t>IRRÉVOCABILITÉ</w:t>
      </w:r>
    </w:p>
    <w:p w14:paraId="58E8695A"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671E747D"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La présente lettre de crédit demeure pleinement en vigueur jusqu’à la date d’expiration ou, au plus tard, à la date où la banque reçoit :</w:t>
      </w:r>
    </w:p>
    <w:p w14:paraId="1667D49A"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2853CEB8" w14:textId="77777777" w:rsidR="005A321B" w:rsidRPr="003E0DDA" w:rsidRDefault="005A321B" w:rsidP="00F01C29">
      <w:pPr>
        <w:autoSpaceDE w:val="0"/>
        <w:autoSpaceDN w:val="0"/>
        <w:adjustRightInd w:val="0"/>
        <w:ind w:left="1440" w:right="-270" w:hanging="720"/>
        <w:rPr>
          <w:rFonts w:ascii="Arial" w:eastAsia="Arial" w:hAnsi="Arial" w:cs="Arial"/>
          <w:szCs w:val="23"/>
          <w:lang w:val="fr-CA"/>
        </w:rPr>
      </w:pPr>
      <w:r w:rsidRPr="003E0DDA">
        <w:rPr>
          <w:rFonts w:ascii="Arial" w:eastAsia="Arial" w:hAnsi="Arial" w:cs="Arial"/>
          <w:szCs w:val="23"/>
          <w:lang w:val="fr-CA"/>
        </w:rPr>
        <w:t>a)</w:t>
      </w:r>
      <w:r w:rsidRPr="003E0DDA">
        <w:rPr>
          <w:rFonts w:ascii="Arial" w:eastAsia="Arial" w:hAnsi="Arial" w:cs="Arial"/>
          <w:szCs w:val="23"/>
          <w:lang w:val="fr-CA"/>
        </w:rPr>
        <w:tab/>
        <w:t xml:space="preserve">soit un avis écrit de la CSCI confirmant que : </w:t>
      </w:r>
    </w:p>
    <w:p w14:paraId="322E3A38" w14:textId="5FF4953A" w:rsidR="005A321B" w:rsidRPr="003E0DDA" w:rsidRDefault="005A321B" w:rsidP="00F01C29">
      <w:pPr>
        <w:autoSpaceDE w:val="0"/>
        <w:autoSpaceDN w:val="0"/>
        <w:adjustRightInd w:val="0"/>
        <w:ind w:left="2160" w:right="-270" w:hanging="720"/>
        <w:rPr>
          <w:rFonts w:ascii="Arial" w:eastAsia="Times New Roman" w:hAnsi="Arial" w:cs="Arial"/>
          <w:bCs/>
          <w:szCs w:val="23"/>
          <w:lang w:val="fr-CA"/>
        </w:rPr>
      </w:pPr>
      <w:r w:rsidRPr="003E0DDA">
        <w:rPr>
          <w:rFonts w:ascii="Arial" w:eastAsia="Arial" w:hAnsi="Arial" w:cs="Arial"/>
          <w:szCs w:val="23"/>
          <w:lang w:val="fr-CA"/>
        </w:rPr>
        <w:t>i)</w:t>
      </w:r>
      <w:r w:rsidRPr="003E0DDA">
        <w:rPr>
          <w:rFonts w:ascii="Arial" w:eastAsia="Arial" w:hAnsi="Arial" w:cs="Arial"/>
          <w:szCs w:val="23"/>
          <w:lang w:val="fr-CA"/>
        </w:rPr>
        <w:tab/>
        <w:t>la Province de ____________ s’est retirée de l’ALEC conformément à l’article 121</w:t>
      </w:r>
      <w:r w:rsidR="00C20778">
        <w:rPr>
          <w:rFonts w:ascii="Arial" w:eastAsia="Arial" w:hAnsi="Arial" w:cs="Arial"/>
          <w:szCs w:val="23"/>
          <w:lang w:val="fr-CA"/>
        </w:rPr>
        <w:t>4</w:t>
      </w:r>
      <w:r w:rsidRPr="003E0DDA">
        <w:rPr>
          <w:rFonts w:ascii="Arial" w:eastAsia="Arial" w:hAnsi="Arial" w:cs="Arial"/>
          <w:szCs w:val="23"/>
          <w:lang w:val="fr-CA"/>
        </w:rPr>
        <w:t xml:space="preserve"> (A</w:t>
      </w:r>
      <w:r w:rsidR="00C41E0C" w:rsidRPr="003E0DDA">
        <w:rPr>
          <w:rFonts w:ascii="Arial" w:eastAsia="Arial" w:hAnsi="Arial" w:cs="Arial"/>
          <w:szCs w:val="23"/>
          <w:lang w:val="fr-CA"/>
        </w:rPr>
        <w:t>dhé</w:t>
      </w:r>
      <w:r w:rsidRPr="003E0DDA">
        <w:rPr>
          <w:rFonts w:ascii="Arial" w:eastAsia="Arial" w:hAnsi="Arial" w:cs="Arial"/>
          <w:szCs w:val="23"/>
          <w:lang w:val="fr-CA"/>
        </w:rPr>
        <w:t>sion et retrait)</w:t>
      </w:r>
    </w:p>
    <w:p w14:paraId="327C33DC" w14:textId="717E6F4B" w:rsidR="005A321B" w:rsidRPr="003E0DDA" w:rsidRDefault="005A321B" w:rsidP="00F01C29">
      <w:pPr>
        <w:autoSpaceDE w:val="0"/>
        <w:autoSpaceDN w:val="0"/>
        <w:adjustRightInd w:val="0"/>
        <w:ind w:left="2160" w:right="-270" w:hanging="720"/>
        <w:rPr>
          <w:rFonts w:ascii="Arial" w:eastAsia="Times New Roman" w:hAnsi="Arial" w:cs="Arial"/>
          <w:bCs/>
          <w:szCs w:val="23"/>
          <w:lang w:val="fr-CA"/>
        </w:rPr>
      </w:pPr>
      <w:r w:rsidRPr="003E0DDA">
        <w:rPr>
          <w:rFonts w:ascii="Arial" w:eastAsia="Times New Roman" w:hAnsi="Arial" w:cs="Arial"/>
          <w:szCs w:val="23"/>
          <w:lang w:val="fr-CA"/>
        </w:rPr>
        <w:t>ii)</w:t>
      </w:r>
      <w:r w:rsidRPr="003E0DDA">
        <w:rPr>
          <w:rFonts w:ascii="Arial" w:eastAsia="Times New Roman" w:hAnsi="Arial" w:cs="Arial"/>
          <w:szCs w:val="23"/>
          <w:lang w:val="fr-CA"/>
        </w:rPr>
        <w:tab/>
        <w:t xml:space="preserve">que la lettre de crédit n’est plus exigée, </w:t>
      </w:r>
    </w:p>
    <w:p w14:paraId="61DE5DA1" w14:textId="77777777" w:rsidR="005A321B" w:rsidRPr="003E0DDA" w:rsidRDefault="005A321B" w:rsidP="005A321B">
      <w:pPr>
        <w:autoSpaceDE w:val="0"/>
        <w:autoSpaceDN w:val="0"/>
        <w:adjustRightInd w:val="0"/>
        <w:ind w:left="720" w:right="-270"/>
        <w:rPr>
          <w:rFonts w:ascii="Arial" w:eastAsia="Times New Roman" w:hAnsi="Arial" w:cs="Arial"/>
          <w:bCs/>
          <w:szCs w:val="23"/>
          <w:lang w:val="fr-CA"/>
        </w:rPr>
      </w:pPr>
    </w:p>
    <w:p w14:paraId="2ABADA1B" w14:textId="49486342" w:rsidR="005A321B" w:rsidRPr="003E0DDA" w:rsidRDefault="005A321B" w:rsidP="00F01C29">
      <w:pPr>
        <w:autoSpaceDE w:val="0"/>
        <w:autoSpaceDN w:val="0"/>
        <w:adjustRightInd w:val="0"/>
        <w:ind w:left="1440" w:right="-272" w:hanging="720"/>
        <w:rPr>
          <w:rFonts w:ascii="Arial" w:eastAsia="Times New Roman" w:hAnsi="Arial" w:cs="Arial"/>
          <w:bCs/>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soit un avis de la CSCI seulement, ou de la Province de ____________ et au moins un autre signataire, confirmant que l’ALEC a pris fin.</w:t>
      </w:r>
    </w:p>
    <w:p w14:paraId="5D4E17DF"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17F6AC97"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PRÉLÈVEMENTS</w:t>
      </w:r>
    </w:p>
    <w:p w14:paraId="6D47E9E1"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7AE45273"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Des prélèvements partiels et multiples sont autorisés en vertu de la présente lettre de crédit et, à chaque prélèvement, la banque notera, en même temps que le paiement demandé par la CSCI, le montant du prélèvement à la lettre de crédit, et la présente lettre de crédit portant cette annotation est retournée par la suite à la CSCI, sauf si le prélèvement est exécuté par télécopieur comme il est décrit ci-dessous.</w:t>
      </w:r>
    </w:p>
    <w:p w14:paraId="243BED68"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2A0F6A5A" w14:textId="41052F30"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L’ensemble de la correspondance ou des documents relatifs aux prélèvements sont présentés à la banque au (adresse) entre 8 h 30 et 17 h (heure locale) au plus tard à la date d’expiration et mentionne la lettre de crédit n</w:t>
      </w:r>
      <w:r w:rsidRPr="003E0DDA">
        <w:rPr>
          <w:rFonts w:ascii="Arial" w:eastAsia="Times New Roman" w:hAnsi="Arial" w:cs="Arial"/>
          <w:szCs w:val="23"/>
          <w:vertAlign w:val="superscript"/>
          <w:lang w:val="fr-CA"/>
        </w:rPr>
        <w:t xml:space="preserve">o </w:t>
      </w:r>
      <w:r w:rsidRPr="003E0DDA">
        <w:rPr>
          <w:rFonts w:ascii="Arial" w:eastAsia="Times New Roman" w:hAnsi="Arial" w:cs="Arial"/>
          <w:szCs w:val="23"/>
          <w:lang w:val="fr-CA"/>
        </w:rPr>
        <w:t xml:space="preserve">_______. Si les documents relatifs aux prélèvements sont présentés par télécopieur, la banque examine seulement les documents ainsi transmis et ne tient compte que de ceux-ci. La CSCI n’est pas tenu de présenter d’autres documents originaux relatifs aux prélèvements. Les paiements sont faits en monnaie canadienne par </w:t>
      </w:r>
      <w:proofErr w:type="spellStart"/>
      <w:r w:rsidRPr="003E0DDA">
        <w:rPr>
          <w:rFonts w:ascii="Arial" w:eastAsia="Times New Roman" w:hAnsi="Arial" w:cs="Arial"/>
          <w:szCs w:val="23"/>
          <w:lang w:val="fr-CA"/>
        </w:rPr>
        <w:t>télévirements</w:t>
      </w:r>
      <w:proofErr w:type="spellEnd"/>
      <w:r w:rsidRPr="003E0DDA">
        <w:rPr>
          <w:rFonts w:ascii="Arial" w:eastAsia="Times New Roman" w:hAnsi="Arial" w:cs="Arial"/>
          <w:szCs w:val="23"/>
          <w:lang w:val="fr-CA"/>
        </w:rPr>
        <w:t xml:space="preserve"> au compte désigné à cette fin par la CSCI dans sa demande de paiement.</w:t>
      </w:r>
    </w:p>
    <w:p w14:paraId="2C6FC1AF"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566618E2"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La présente lettre de crédit n’est pas transférable. La CSCI ne peut céder tout ou partie du produit de tout prélèvement fait en vertu des présentes sans le consentement préalable de la banque.</w:t>
      </w:r>
    </w:p>
    <w:p w14:paraId="25D58CCA"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0C86F070" w14:textId="6FE9999D"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Arial" w:hAnsi="Arial" w:cs="Arial"/>
          <w:szCs w:val="23"/>
          <w:lang w:val="fr-CA"/>
        </w:rPr>
        <w:t>Tout différend lié à la présente lettre de crédit sera tranché conformément aux lois de la Province de ____________. La présente lettre de crédit est assujettie aux « International Standby Practices ISP 98 » (1</w:t>
      </w:r>
      <w:r w:rsidRPr="003E0DDA">
        <w:rPr>
          <w:rFonts w:ascii="Arial" w:eastAsia="Arial" w:hAnsi="Arial" w:cs="Arial"/>
          <w:szCs w:val="23"/>
          <w:vertAlign w:val="superscript"/>
          <w:lang w:val="fr-CA"/>
        </w:rPr>
        <w:t>er</w:t>
      </w:r>
      <w:r w:rsidRPr="003E0DDA">
        <w:rPr>
          <w:rFonts w:ascii="Arial" w:eastAsia="Arial" w:hAnsi="Arial" w:cs="Arial"/>
          <w:szCs w:val="23"/>
          <w:lang w:val="fr-CA"/>
        </w:rPr>
        <w:t xml:space="preserve"> janvier 1999) de la Chambre de commerce internationale, publication numéro 590 (la « publication »), et pour toutes les questions non couvertes par la publication, les lois qui s’appliquent dans la Province de ________ s’appliquent. En cas de conflit, la publication l’emporte.  En cas de conflit, la publication l’emporte.  Les tribunaux de la Province de ___________ ont compétence exclusive en ce qui concerne tout différend découlant de la présente lettre de crédit.</w:t>
      </w:r>
    </w:p>
    <w:p w14:paraId="2FC29E01"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5834515F"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LA PRÉSENTE LETTRE DE CRÉDIT EST NON TRANSFÉRABLE.</w:t>
      </w:r>
    </w:p>
    <w:p w14:paraId="6A228E83"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4AC23219" w14:textId="77777777" w:rsidR="005A321B" w:rsidRPr="003E0DDA" w:rsidRDefault="005A321B" w:rsidP="005A321B">
      <w:pPr>
        <w:autoSpaceDE w:val="0"/>
        <w:autoSpaceDN w:val="0"/>
        <w:adjustRightInd w:val="0"/>
        <w:ind w:left="5040" w:right="-270" w:hanging="5040"/>
        <w:rPr>
          <w:rFonts w:ascii="Arial" w:eastAsia="Times New Roman" w:hAnsi="Arial" w:cs="Arial"/>
          <w:bCs/>
          <w:szCs w:val="23"/>
          <w:lang w:val="fr-CA"/>
        </w:rPr>
      </w:pPr>
      <w:r w:rsidRPr="003E0DDA">
        <w:rPr>
          <w:rFonts w:ascii="Arial" w:eastAsia="Times New Roman" w:hAnsi="Arial" w:cs="Arial"/>
          <w:szCs w:val="23"/>
          <w:lang w:val="fr-CA"/>
        </w:rPr>
        <w:t>LA BANQUE</w:t>
      </w:r>
      <w:r w:rsidRPr="003E0DDA">
        <w:rPr>
          <w:rFonts w:ascii="Arial" w:eastAsia="Times New Roman" w:hAnsi="Arial" w:cs="Arial"/>
          <w:szCs w:val="23"/>
          <w:lang w:val="fr-CA"/>
        </w:rPr>
        <w:tab/>
        <w:t>CORPORATION DU SECRÉTARIAT DU COMMERCE INTÉRIEUR</w:t>
      </w:r>
    </w:p>
    <w:p w14:paraId="1708C240"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4610CA92"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_____________________</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szCs w:val="23"/>
          <w:lang w:val="fr-CA"/>
        </w:rPr>
        <w:tab/>
        <w:t>______________________</w:t>
      </w:r>
    </w:p>
    <w:p w14:paraId="0D381B28"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Vice-président directeur</w:t>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szCs w:val="23"/>
          <w:lang w:val="fr-CA"/>
        </w:rPr>
        <w:tab/>
      </w:r>
      <w:r w:rsidRPr="003E0DDA">
        <w:rPr>
          <w:rFonts w:ascii="Arial" w:eastAsia="Times New Roman" w:hAnsi="Arial" w:cs="Arial"/>
          <w:szCs w:val="23"/>
          <w:lang w:val="fr-CA"/>
        </w:rPr>
        <w:tab/>
      </w:r>
      <w:proofErr w:type="spellStart"/>
      <w:r w:rsidRPr="003E0DDA">
        <w:rPr>
          <w:rFonts w:ascii="Arial" w:eastAsia="Times New Roman" w:hAnsi="Arial" w:cs="Arial"/>
          <w:szCs w:val="23"/>
          <w:lang w:val="fr-CA"/>
        </w:rPr>
        <w:t>Directeur</w:t>
      </w:r>
      <w:proofErr w:type="spellEnd"/>
      <w:r w:rsidRPr="003E0DDA">
        <w:rPr>
          <w:rFonts w:ascii="Arial" w:eastAsia="Times New Roman" w:hAnsi="Arial" w:cs="Arial"/>
          <w:szCs w:val="23"/>
          <w:lang w:val="fr-CA"/>
        </w:rPr>
        <w:t xml:space="preserve"> général</w:t>
      </w:r>
    </w:p>
    <w:p w14:paraId="3C769863"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p>
    <w:p w14:paraId="2CC0D30D" w14:textId="77777777" w:rsidR="005A321B" w:rsidRPr="003E0DDA" w:rsidRDefault="005A321B" w:rsidP="005A321B">
      <w:pPr>
        <w:autoSpaceDE w:val="0"/>
        <w:autoSpaceDN w:val="0"/>
        <w:adjustRightInd w:val="0"/>
        <w:ind w:right="-270"/>
        <w:rPr>
          <w:rFonts w:ascii="Arial" w:eastAsia="Times New Roman" w:hAnsi="Arial" w:cs="Arial"/>
          <w:bCs/>
          <w:szCs w:val="23"/>
          <w:lang w:val="fr-CA"/>
        </w:rPr>
      </w:pPr>
      <w:r w:rsidRPr="003E0DDA">
        <w:rPr>
          <w:rFonts w:ascii="Arial" w:eastAsia="Times New Roman" w:hAnsi="Arial" w:cs="Arial"/>
          <w:szCs w:val="23"/>
          <w:lang w:val="fr-CA"/>
        </w:rPr>
        <w:t>_____________________</w:t>
      </w:r>
    </w:p>
    <w:p w14:paraId="7C6D5F54" w14:textId="77777777" w:rsidR="005A321B" w:rsidRPr="003E0DDA" w:rsidRDefault="005A321B" w:rsidP="005A321B">
      <w:pPr>
        <w:autoSpaceDE w:val="0"/>
        <w:autoSpaceDN w:val="0"/>
        <w:adjustRightInd w:val="0"/>
        <w:ind w:right="-270"/>
        <w:rPr>
          <w:rFonts w:ascii="Arial" w:eastAsia="Times New Roman" w:hAnsi="Arial" w:cs="Arial"/>
          <w:szCs w:val="23"/>
          <w:lang w:val="fr-CA"/>
        </w:rPr>
      </w:pPr>
      <w:r w:rsidRPr="003E0DDA">
        <w:rPr>
          <w:rFonts w:ascii="Arial" w:eastAsia="Times New Roman" w:hAnsi="Arial" w:cs="Arial"/>
          <w:szCs w:val="23"/>
          <w:lang w:val="fr-CA"/>
        </w:rPr>
        <w:t>Vice-président</w:t>
      </w:r>
      <w:r w:rsidRPr="003E0DDA">
        <w:rPr>
          <w:rFonts w:ascii="Arial" w:eastAsia="Times New Roman" w:hAnsi="Arial" w:cs="Arial"/>
          <w:szCs w:val="23"/>
          <w:lang w:val="fr-CA"/>
        </w:rPr>
        <w:br w:type="page"/>
      </w:r>
    </w:p>
    <w:p w14:paraId="0AEF0FE8" w14:textId="6FB71EB5" w:rsidR="005A321B" w:rsidRPr="003E0DDA" w:rsidRDefault="005A321B" w:rsidP="00F52884">
      <w:pPr>
        <w:jc w:val="center"/>
        <w:rPr>
          <w:rFonts w:ascii="Arial" w:eastAsia="Arial" w:hAnsi="Arial" w:cs="Arial"/>
          <w:b/>
          <w:szCs w:val="23"/>
          <w:lang w:val="fr-CA"/>
        </w:rPr>
      </w:pPr>
      <w:bookmarkStart w:id="196" w:name="_Toc357427562"/>
      <w:bookmarkStart w:id="197" w:name="_Toc470079041"/>
      <w:r w:rsidRPr="003E0DDA">
        <w:rPr>
          <w:rFonts w:ascii="Arial" w:eastAsia="Arial" w:hAnsi="Arial" w:cs="Arial"/>
          <w:b/>
          <w:szCs w:val="23"/>
          <w:lang w:val="fr-CA"/>
        </w:rPr>
        <w:lastRenderedPageBreak/>
        <w:t>PIÈCE « A »</w:t>
      </w:r>
      <w:bookmarkEnd w:id="196"/>
      <w:bookmarkEnd w:id="197"/>
    </w:p>
    <w:p w14:paraId="1041EA76" w14:textId="77777777" w:rsidR="005A321B" w:rsidRPr="003E0DDA" w:rsidRDefault="005A321B" w:rsidP="005A321B">
      <w:pPr>
        <w:autoSpaceDE w:val="0"/>
        <w:autoSpaceDN w:val="0"/>
        <w:adjustRightInd w:val="0"/>
        <w:rPr>
          <w:rFonts w:ascii="Arial" w:eastAsia="Times New Roman" w:hAnsi="Arial" w:cs="Arial"/>
          <w:szCs w:val="23"/>
          <w:lang w:val="fr-CA"/>
        </w:rPr>
      </w:pPr>
    </w:p>
    <w:p w14:paraId="4BCC66AA" w14:textId="77777777" w:rsidR="005A321B" w:rsidRPr="003E0DDA" w:rsidRDefault="005A321B" w:rsidP="005A321B">
      <w:pPr>
        <w:autoSpaceDE w:val="0"/>
        <w:autoSpaceDN w:val="0"/>
        <w:adjustRightInd w:val="0"/>
        <w:rPr>
          <w:rFonts w:ascii="Arial" w:eastAsia="Times New Roman" w:hAnsi="Arial" w:cs="Arial"/>
          <w:szCs w:val="23"/>
          <w:lang w:val="fr-CA"/>
        </w:rPr>
      </w:pPr>
    </w:p>
    <w:p w14:paraId="7B8B71A1" w14:textId="07A4F6A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Les signataires de l’Accord de libre-échange canadien</w:t>
      </w:r>
      <w:r w:rsidRPr="003E0DDA">
        <w:rPr>
          <w:rFonts w:ascii="Arial" w:eastAsia="Times New Roman" w:hAnsi="Arial" w:cs="Arial"/>
          <w:i/>
          <w:szCs w:val="23"/>
          <w:lang w:val="fr-CA"/>
        </w:rPr>
        <w:t xml:space="preserve"> </w:t>
      </w:r>
      <w:r w:rsidRPr="003E0DDA">
        <w:rPr>
          <w:rFonts w:ascii="Arial" w:eastAsia="Times New Roman" w:hAnsi="Arial" w:cs="Arial"/>
          <w:szCs w:val="23"/>
          <w:lang w:val="fr-CA"/>
        </w:rPr>
        <w:t>sont les suivants :</w:t>
      </w:r>
    </w:p>
    <w:p w14:paraId="2F932094" w14:textId="77777777" w:rsidR="005A321B" w:rsidRPr="003E0DDA" w:rsidRDefault="005A321B" w:rsidP="005A321B">
      <w:pPr>
        <w:autoSpaceDE w:val="0"/>
        <w:autoSpaceDN w:val="0"/>
        <w:adjustRightInd w:val="0"/>
        <w:rPr>
          <w:rFonts w:ascii="Arial" w:eastAsia="Times New Roman" w:hAnsi="Arial" w:cs="Arial"/>
          <w:szCs w:val="23"/>
          <w:lang w:val="fr-CA"/>
        </w:rPr>
      </w:pPr>
    </w:p>
    <w:p w14:paraId="3A55A79B"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du Canada</w:t>
      </w:r>
    </w:p>
    <w:p w14:paraId="030BB6FC"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l’Ontario</w:t>
      </w:r>
    </w:p>
    <w:p w14:paraId="73779492"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du Québec</w:t>
      </w:r>
    </w:p>
    <w:p w14:paraId="4D8B99A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la Nouvelle-Écosse</w:t>
      </w:r>
    </w:p>
    <w:p w14:paraId="7F91985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du Nouveau-Brunswick</w:t>
      </w:r>
    </w:p>
    <w:p w14:paraId="0F8D4BAC"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du Manitoba</w:t>
      </w:r>
    </w:p>
    <w:p w14:paraId="3A9CBCDB"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la Colombie-Britannique</w:t>
      </w:r>
    </w:p>
    <w:p w14:paraId="2A06005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l’Île-du-Prince-Édouard</w:t>
      </w:r>
    </w:p>
    <w:p w14:paraId="4346E656"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la Saskatchewan</w:t>
      </w:r>
    </w:p>
    <w:p w14:paraId="11FF52F4"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l’Alberta</w:t>
      </w:r>
    </w:p>
    <w:p w14:paraId="0B1E08BA"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 Terre-Neuve-et-Labrador</w:t>
      </w:r>
    </w:p>
    <w:p w14:paraId="1A416FE2"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du Yukon</w:t>
      </w:r>
    </w:p>
    <w:p w14:paraId="5B6E004D" w14:textId="6FFA3F8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des Territoires du Nord-Ouest</w:t>
      </w:r>
    </w:p>
    <w:p w14:paraId="260E6397"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Gouvernement du Nunavut</w:t>
      </w:r>
    </w:p>
    <w:p w14:paraId="110F54A0" w14:textId="77777777" w:rsidR="005A321B" w:rsidRPr="003E0DDA" w:rsidRDefault="005A321B" w:rsidP="005A321B">
      <w:pPr>
        <w:autoSpaceDE w:val="0"/>
        <w:autoSpaceDN w:val="0"/>
        <w:adjustRightInd w:val="0"/>
        <w:rPr>
          <w:rFonts w:ascii="Arial" w:eastAsia="Times New Roman" w:hAnsi="Arial" w:cs="Arial"/>
          <w:szCs w:val="23"/>
          <w:lang w:val="fr-CA"/>
        </w:rPr>
      </w:pPr>
    </w:p>
    <w:p w14:paraId="142E3D84"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br w:type="page"/>
      </w:r>
    </w:p>
    <w:p w14:paraId="4CFABE0E" w14:textId="5E97DEC7" w:rsidR="005A321B" w:rsidRPr="003E0DDA" w:rsidRDefault="005A321B" w:rsidP="00F52884">
      <w:pPr>
        <w:jc w:val="center"/>
        <w:rPr>
          <w:rFonts w:ascii="Arial" w:eastAsia="Arial" w:hAnsi="Arial" w:cs="Arial"/>
          <w:b/>
          <w:szCs w:val="23"/>
          <w:lang w:val="fr-CA"/>
        </w:rPr>
      </w:pPr>
      <w:bookmarkStart w:id="198" w:name="_Toc357427563"/>
      <w:bookmarkStart w:id="199" w:name="_Toc470079042"/>
      <w:r w:rsidRPr="003E0DDA">
        <w:rPr>
          <w:rFonts w:ascii="Arial" w:eastAsia="Arial" w:hAnsi="Arial" w:cs="Arial"/>
          <w:b/>
          <w:szCs w:val="23"/>
          <w:lang w:val="fr-CA"/>
        </w:rPr>
        <w:lastRenderedPageBreak/>
        <w:t>PIÈCE « B »</w:t>
      </w:r>
      <w:bookmarkEnd w:id="198"/>
      <w:bookmarkEnd w:id="199"/>
    </w:p>
    <w:p w14:paraId="4A59F567" w14:textId="77777777" w:rsidR="005A321B" w:rsidRPr="003E0DDA" w:rsidRDefault="005A321B" w:rsidP="005A321B">
      <w:pPr>
        <w:autoSpaceDE w:val="0"/>
        <w:autoSpaceDN w:val="0"/>
        <w:adjustRightInd w:val="0"/>
        <w:jc w:val="center"/>
        <w:rPr>
          <w:rFonts w:ascii="Arial" w:eastAsia="Times New Roman" w:hAnsi="Arial" w:cs="Arial"/>
          <w:b/>
          <w:bCs/>
          <w:szCs w:val="23"/>
          <w:lang w:val="fr-CA"/>
        </w:rPr>
      </w:pPr>
    </w:p>
    <w:p w14:paraId="782853D8" w14:textId="77777777" w:rsidR="005A321B" w:rsidRPr="003E0DDA" w:rsidRDefault="005A321B" w:rsidP="005A321B">
      <w:pPr>
        <w:autoSpaceDE w:val="0"/>
        <w:autoSpaceDN w:val="0"/>
        <w:adjustRightInd w:val="0"/>
        <w:jc w:val="center"/>
        <w:rPr>
          <w:rFonts w:ascii="Arial" w:eastAsia="Times New Roman" w:hAnsi="Arial" w:cs="Arial"/>
          <w:b/>
          <w:bCs/>
          <w:szCs w:val="23"/>
          <w:lang w:val="fr-CA"/>
        </w:rPr>
      </w:pPr>
      <w:r w:rsidRPr="003E0DDA">
        <w:rPr>
          <w:rFonts w:ascii="Arial" w:eastAsia="Times New Roman" w:hAnsi="Arial" w:cs="Arial"/>
          <w:b/>
          <w:bCs/>
          <w:szCs w:val="23"/>
          <w:lang w:val="fr-CA"/>
        </w:rPr>
        <w:t>(Formulaire d’attestation de l’ordonnance sur les sanctions pécuniaires)</w:t>
      </w:r>
    </w:p>
    <w:p w14:paraId="3E258718" w14:textId="77777777" w:rsidR="005A321B" w:rsidRPr="003E0DDA" w:rsidRDefault="005A321B" w:rsidP="005A321B">
      <w:pPr>
        <w:autoSpaceDE w:val="0"/>
        <w:autoSpaceDN w:val="0"/>
        <w:adjustRightInd w:val="0"/>
        <w:jc w:val="center"/>
        <w:rPr>
          <w:rFonts w:ascii="Arial" w:eastAsia="Times New Roman" w:hAnsi="Arial" w:cs="Arial"/>
          <w:b/>
          <w:bCs/>
          <w:szCs w:val="23"/>
          <w:lang w:val="fr-CA"/>
        </w:rPr>
      </w:pPr>
    </w:p>
    <w:p w14:paraId="40BC86D9" w14:textId="77777777" w:rsidR="005A321B" w:rsidRPr="003E0DDA" w:rsidRDefault="005A321B" w:rsidP="005A321B">
      <w:pPr>
        <w:autoSpaceDE w:val="0"/>
        <w:autoSpaceDN w:val="0"/>
        <w:adjustRightInd w:val="0"/>
        <w:jc w:val="center"/>
        <w:rPr>
          <w:rFonts w:ascii="Arial" w:eastAsia="Times New Roman" w:hAnsi="Arial" w:cs="Arial"/>
          <w:bCs/>
          <w:szCs w:val="23"/>
          <w:lang w:val="fr-CA"/>
        </w:rPr>
      </w:pPr>
    </w:p>
    <w:p w14:paraId="1B8E1896" w14:textId="77777777" w:rsidR="005A321B" w:rsidRPr="003E0DDA" w:rsidRDefault="005A321B" w:rsidP="005A321B">
      <w:pPr>
        <w:autoSpaceDE w:val="0"/>
        <w:autoSpaceDN w:val="0"/>
        <w:adjustRightInd w:val="0"/>
        <w:rPr>
          <w:rFonts w:ascii="Arial" w:eastAsia="Times New Roman" w:hAnsi="Arial" w:cs="Arial"/>
          <w:bCs/>
          <w:i/>
          <w:szCs w:val="23"/>
          <w:lang w:val="fr-CA"/>
        </w:rPr>
      </w:pPr>
      <w:r w:rsidRPr="003E0DDA">
        <w:rPr>
          <w:rFonts w:ascii="Arial" w:eastAsia="Times New Roman" w:hAnsi="Arial" w:cs="Arial"/>
          <w:i/>
          <w:iCs/>
          <w:szCs w:val="23"/>
          <w:lang w:val="fr-CA"/>
        </w:rPr>
        <w:t>{À la fin d’une copie d’une ordonnance du groupe spécial de l’observation des décisions, le directeur général du Secrétariat ajoutera l’attestation suivante :}</w:t>
      </w:r>
    </w:p>
    <w:p w14:paraId="3551FF98"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25C7408A"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Je soussigné, _________________________, directeur général de la Corporation du Secrétariat du commerce intérieur, atteste que j’ai comparé le présent document avec l’original de l’ordonnance du groupe spécial de l’observation des décisions en date du _________________________, et atteste qu’il s’agit d’une copie certifiée conforme des présentes.</w:t>
      </w:r>
    </w:p>
    <w:p w14:paraId="6803AB32"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6FCB9ECA"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Signé à __________________ (ville) (_____________) (province ou territoire), le _____________ (date de la signature).</w:t>
      </w:r>
    </w:p>
    <w:p w14:paraId="71978E5C"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5E3D5DAD"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Arial" w:hAnsi="Arial" w:cs="Arial"/>
          <w:szCs w:val="23"/>
          <w:lang w:val="fr-CA"/>
        </w:rPr>
        <w:tab/>
      </w:r>
    </w:p>
    <w:p w14:paraId="733F923B" w14:textId="77777777" w:rsidR="005A321B" w:rsidRPr="003E0DDA" w:rsidRDefault="005A321B" w:rsidP="005A321B">
      <w:pPr>
        <w:autoSpaceDE w:val="0"/>
        <w:autoSpaceDN w:val="0"/>
        <w:adjustRightInd w:val="0"/>
        <w:jc w:val="right"/>
        <w:rPr>
          <w:rFonts w:ascii="Arial" w:eastAsia="Times New Roman" w:hAnsi="Arial" w:cs="Arial"/>
          <w:bCs/>
          <w:szCs w:val="23"/>
          <w:lang w:val="fr-CA"/>
        </w:rPr>
      </w:pPr>
      <w:r w:rsidRPr="003E0DDA">
        <w:rPr>
          <w:rFonts w:ascii="Arial" w:eastAsia="Times New Roman" w:hAnsi="Arial" w:cs="Arial"/>
          <w:szCs w:val="23"/>
          <w:lang w:val="fr-CA"/>
        </w:rPr>
        <w:t>______________________</w:t>
      </w:r>
    </w:p>
    <w:p w14:paraId="68D9E036" w14:textId="77777777" w:rsidR="005A321B" w:rsidRPr="003E0DDA" w:rsidRDefault="005A321B" w:rsidP="005A321B">
      <w:pPr>
        <w:autoSpaceDE w:val="0"/>
        <w:autoSpaceDN w:val="0"/>
        <w:adjustRightInd w:val="0"/>
        <w:jc w:val="right"/>
        <w:rPr>
          <w:rFonts w:ascii="Arial" w:eastAsia="Times New Roman" w:hAnsi="Arial" w:cs="Arial"/>
          <w:bCs/>
          <w:szCs w:val="23"/>
          <w:lang w:val="fr-CA"/>
        </w:rPr>
      </w:pPr>
      <w:r w:rsidRPr="003E0DDA">
        <w:rPr>
          <w:rFonts w:ascii="Arial" w:eastAsia="Times New Roman" w:hAnsi="Arial" w:cs="Arial"/>
          <w:szCs w:val="23"/>
          <w:lang w:val="fr-CA"/>
        </w:rPr>
        <w:t>Directeur général</w:t>
      </w:r>
    </w:p>
    <w:p w14:paraId="097B5E59" w14:textId="77777777" w:rsidR="005A321B" w:rsidRPr="003E0DDA" w:rsidRDefault="005A321B" w:rsidP="005A321B">
      <w:pPr>
        <w:autoSpaceDE w:val="0"/>
        <w:autoSpaceDN w:val="0"/>
        <w:adjustRightInd w:val="0"/>
        <w:jc w:val="right"/>
        <w:rPr>
          <w:rFonts w:ascii="Arial" w:eastAsia="Times New Roman" w:hAnsi="Arial" w:cs="Arial"/>
          <w:bCs/>
          <w:szCs w:val="23"/>
          <w:lang w:val="fr-CA"/>
        </w:rPr>
      </w:pPr>
    </w:p>
    <w:p w14:paraId="5CDF30EE" w14:textId="77777777" w:rsidR="005A321B" w:rsidRPr="003E0DDA" w:rsidRDefault="005A321B" w:rsidP="005A321B">
      <w:pPr>
        <w:autoSpaceDE w:val="0"/>
        <w:autoSpaceDN w:val="0"/>
        <w:adjustRightInd w:val="0"/>
        <w:jc w:val="right"/>
        <w:rPr>
          <w:rFonts w:ascii="Arial" w:eastAsia="Times New Roman" w:hAnsi="Arial" w:cs="Arial"/>
          <w:bCs/>
          <w:szCs w:val="23"/>
          <w:lang w:val="fr-CA"/>
        </w:rPr>
      </w:pPr>
      <w:r w:rsidRPr="003E0DDA">
        <w:rPr>
          <w:rFonts w:ascii="Arial" w:eastAsia="Times New Roman" w:hAnsi="Arial" w:cs="Arial"/>
          <w:szCs w:val="23"/>
          <w:lang w:val="fr-CA"/>
        </w:rPr>
        <w:t>Corporation du Secrétariat du commerce intérieur</w:t>
      </w:r>
    </w:p>
    <w:p w14:paraId="796507EE" w14:textId="01BE49C3" w:rsidR="005A321B" w:rsidRPr="003E0DDA" w:rsidRDefault="005A321B" w:rsidP="005A321B">
      <w:pPr>
        <w:autoSpaceDE w:val="0"/>
        <w:autoSpaceDN w:val="0"/>
        <w:adjustRightInd w:val="0"/>
        <w:jc w:val="right"/>
        <w:rPr>
          <w:rFonts w:ascii="Arial" w:eastAsia="Times New Roman" w:hAnsi="Arial" w:cs="Arial"/>
          <w:szCs w:val="23"/>
          <w:lang w:val="fr-CA"/>
        </w:rPr>
      </w:pPr>
      <w:r w:rsidRPr="003E0DDA">
        <w:rPr>
          <w:rFonts w:ascii="Arial" w:eastAsia="Times New Roman" w:hAnsi="Arial" w:cs="Arial"/>
          <w:szCs w:val="23"/>
          <w:lang w:val="fr-CA"/>
        </w:rPr>
        <w:t>Pièce 101</w:t>
      </w:r>
    </w:p>
    <w:p w14:paraId="33EE1DC3" w14:textId="77777777" w:rsidR="005A321B" w:rsidRPr="003E0DDA" w:rsidRDefault="005A321B" w:rsidP="005A321B">
      <w:pPr>
        <w:autoSpaceDE w:val="0"/>
        <w:autoSpaceDN w:val="0"/>
        <w:adjustRightInd w:val="0"/>
        <w:jc w:val="right"/>
        <w:rPr>
          <w:rFonts w:ascii="Arial" w:eastAsia="Times New Roman" w:hAnsi="Arial" w:cs="Arial"/>
          <w:szCs w:val="23"/>
          <w:lang w:val="fr-CA"/>
        </w:rPr>
      </w:pPr>
      <w:r w:rsidRPr="003E0DDA">
        <w:rPr>
          <w:rFonts w:ascii="Arial" w:eastAsia="Times New Roman" w:hAnsi="Arial" w:cs="Arial"/>
          <w:szCs w:val="23"/>
          <w:lang w:val="fr-CA"/>
        </w:rPr>
        <w:t>605, rue Des Meurons</w:t>
      </w:r>
    </w:p>
    <w:p w14:paraId="50F895AF" w14:textId="77777777" w:rsidR="005A321B" w:rsidRPr="003E0DDA" w:rsidRDefault="005A321B" w:rsidP="005A321B">
      <w:pPr>
        <w:autoSpaceDE w:val="0"/>
        <w:autoSpaceDN w:val="0"/>
        <w:adjustRightInd w:val="0"/>
        <w:jc w:val="right"/>
        <w:rPr>
          <w:rFonts w:ascii="Arial" w:eastAsia="Times New Roman" w:hAnsi="Arial" w:cs="Arial"/>
          <w:szCs w:val="23"/>
          <w:lang w:val="fr-CA"/>
        </w:rPr>
      </w:pPr>
      <w:r w:rsidRPr="003E0DDA">
        <w:rPr>
          <w:rFonts w:ascii="Arial" w:eastAsia="Times New Roman" w:hAnsi="Arial" w:cs="Arial"/>
          <w:szCs w:val="23"/>
          <w:lang w:val="fr-CA"/>
        </w:rPr>
        <w:t>Winnipeg (Manitoba)</w:t>
      </w:r>
    </w:p>
    <w:p w14:paraId="6B933E3A" w14:textId="77777777" w:rsidR="005A321B" w:rsidRPr="003E0DDA" w:rsidRDefault="005A321B" w:rsidP="005A321B">
      <w:pPr>
        <w:autoSpaceDE w:val="0"/>
        <w:autoSpaceDN w:val="0"/>
        <w:adjustRightInd w:val="0"/>
        <w:jc w:val="right"/>
        <w:rPr>
          <w:rFonts w:ascii="Arial" w:eastAsia="Times New Roman" w:hAnsi="Arial" w:cs="Arial"/>
          <w:szCs w:val="23"/>
          <w:lang w:val="fr-CA"/>
        </w:rPr>
      </w:pPr>
      <w:r w:rsidRPr="003E0DDA">
        <w:rPr>
          <w:rFonts w:ascii="Arial" w:eastAsia="Times New Roman" w:hAnsi="Arial" w:cs="Arial"/>
          <w:szCs w:val="23"/>
          <w:lang w:val="fr-CA"/>
        </w:rPr>
        <w:t>R2H 2R1</w:t>
      </w:r>
    </w:p>
    <w:p w14:paraId="0AC7273E"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br w:type="page"/>
      </w:r>
    </w:p>
    <w:p w14:paraId="153925DB" w14:textId="77777777" w:rsidR="005A321B" w:rsidRPr="003E0DDA" w:rsidRDefault="005A321B" w:rsidP="005A321B">
      <w:pPr>
        <w:jc w:val="center"/>
        <w:rPr>
          <w:rFonts w:ascii="Arial" w:eastAsia="Arial" w:hAnsi="Arial" w:cs="Arial"/>
          <w:b/>
          <w:szCs w:val="23"/>
          <w:lang w:val="fr-CA"/>
        </w:rPr>
      </w:pPr>
      <w:bookmarkStart w:id="200" w:name="_Toc357427564"/>
      <w:bookmarkStart w:id="201" w:name="_Toc470079043"/>
      <w:r w:rsidRPr="003E0DDA">
        <w:rPr>
          <w:rFonts w:ascii="Arial" w:eastAsia="Arial" w:hAnsi="Arial" w:cs="Arial"/>
          <w:b/>
          <w:szCs w:val="23"/>
          <w:lang w:val="fr-CA"/>
        </w:rPr>
        <w:lastRenderedPageBreak/>
        <w:t>Annexe 1005.2</w:t>
      </w:r>
      <w:bookmarkStart w:id="202" w:name="_Toc357427565"/>
      <w:bookmarkEnd w:id="200"/>
      <w:bookmarkEnd w:id="201"/>
      <w:r w:rsidRPr="003E0DDA">
        <w:rPr>
          <w:rFonts w:ascii="Arial" w:eastAsia="Arial" w:hAnsi="Arial" w:cs="Arial"/>
          <w:b/>
          <w:szCs w:val="23"/>
          <w:lang w:val="fr-CA"/>
        </w:rPr>
        <w:t xml:space="preserve"> : </w:t>
      </w:r>
      <w:bookmarkStart w:id="203" w:name="_Toc470079044"/>
      <w:r w:rsidRPr="003E0DDA">
        <w:rPr>
          <w:rFonts w:ascii="Arial" w:eastAsia="Arial" w:hAnsi="Arial" w:cs="Arial"/>
          <w:b/>
          <w:szCs w:val="23"/>
          <w:lang w:val="fr-CA"/>
        </w:rPr>
        <w:tab/>
        <w:t>Liste des membres du groupe spécial,</w:t>
      </w:r>
    </w:p>
    <w:p w14:paraId="4C6DFC1A" w14:textId="77777777" w:rsidR="005A321B" w:rsidRPr="003E0DDA" w:rsidRDefault="005A321B" w:rsidP="005A321B">
      <w:pPr>
        <w:jc w:val="center"/>
        <w:rPr>
          <w:rFonts w:ascii="Arial" w:eastAsia="Arial" w:hAnsi="Arial" w:cs="Arial"/>
          <w:b/>
          <w:szCs w:val="23"/>
          <w:lang w:val="fr-CA"/>
        </w:rPr>
      </w:pPr>
      <w:proofErr w:type="gramStart"/>
      <w:r w:rsidRPr="003E0DDA">
        <w:rPr>
          <w:rFonts w:ascii="Arial" w:eastAsia="Arial" w:hAnsi="Arial" w:cs="Arial"/>
          <w:b/>
          <w:szCs w:val="23"/>
          <w:lang w:val="fr-CA"/>
        </w:rPr>
        <w:t>du</w:t>
      </w:r>
      <w:proofErr w:type="gramEnd"/>
      <w:r w:rsidRPr="003E0DDA">
        <w:rPr>
          <w:rFonts w:ascii="Arial" w:eastAsia="Arial" w:hAnsi="Arial" w:cs="Arial"/>
          <w:b/>
          <w:szCs w:val="23"/>
          <w:lang w:val="fr-CA"/>
        </w:rPr>
        <w:t xml:space="preserve"> groupe spécial de l’observation des décisions et</w:t>
      </w:r>
    </w:p>
    <w:p w14:paraId="326D5E78" w14:textId="77777777" w:rsidR="005A321B" w:rsidRPr="003E0DDA" w:rsidRDefault="005A321B" w:rsidP="005A321B">
      <w:pPr>
        <w:jc w:val="center"/>
        <w:rPr>
          <w:rFonts w:ascii="Arial" w:eastAsia="Arial" w:hAnsi="Arial" w:cs="Arial"/>
          <w:b/>
          <w:szCs w:val="23"/>
          <w:lang w:val="fr-CA"/>
        </w:rPr>
      </w:pPr>
      <w:proofErr w:type="gramStart"/>
      <w:r w:rsidRPr="003E0DDA">
        <w:rPr>
          <w:rFonts w:ascii="Arial" w:eastAsia="Arial" w:hAnsi="Arial" w:cs="Arial"/>
          <w:b/>
          <w:szCs w:val="23"/>
          <w:lang w:val="fr-CA"/>
        </w:rPr>
        <w:t>du</w:t>
      </w:r>
      <w:proofErr w:type="gramEnd"/>
      <w:r w:rsidRPr="003E0DDA">
        <w:rPr>
          <w:rFonts w:ascii="Arial" w:eastAsia="Arial" w:hAnsi="Arial" w:cs="Arial"/>
          <w:b/>
          <w:szCs w:val="23"/>
          <w:lang w:val="fr-CA"/>
        </w:rPr>
        <w:t xml:space="preserve"> groupe spécial d’appel</w:t>
      </w:r>
      <w:bookmarkEnd w:id="202"/>
      <w:bookmarkEnd w:id="203"/>
    </w:p>
    <w:p w14:paraId="28CDE016"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7D1A7232" w14:textId="3BA76308"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Les règles 2 à 7 ne s’appliquent qu’à la liste des membres du groupe spécial et du groupe spécial de l’observation des décisions.</w:t>
      </w:r>
    </w:p>
    <w:p w14:paraId="7A9BEFEE" w14:textId="77777777" w:rsidR="005A321B" w:rsidRPr="003E0DDA" w:rsidRDefault="005A321B" w:rsidP="005A321B">
      <w:pPr>
        <w:autoSpaceDE w:val="0"/>
        <w:autoSpaceDN w:val="0"/>
        <w:adjustRightInd w:val="0"/>
        <w:rPr>
          <w:rFonts w:ascii="Arial" w:eastAsia="Times New Roman" w:hAnsi="Arial" w:cs="Arial"/>
          <w:szCs w:val="23"/>
          <w:lang w:val="fr-CA"/>
        </w:rPr>
      </w:pPr>
    </w:p>
    <w:p w14:paraId="4B5082C2"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Chaque Partie a le droit d’y inscrire cinq membres.</w:t>
      </w:r>
    </w:p>
    <w:p w14:paraId="6AB52BB5" w14:textId="77777777" w:rsidR="005A321B" w:rsidRPr="003E0DDA" w:rsidRDefault="005A321B" w:rsidP="005A321B">
      <w:pPr>
        <w:autoSpaceDE w:val="0"/>
        <w:autoSpaceDN w:val="0"/>
        <w:adjustRightInd w:val="0"/>
        <w:rPr>
          <w:rFonts w:ascii="Arial" w:eastAsia="Times New Roman" w:hAnsi="Arial" w:cs="Arial"/>
          <w:szCs w:val="23"/>
          <w:lang w:val="fr-CA"/>
        </w:rPr>
      </w:pPr>
    </w:p>
    <w:p w14:paraId="435AB9C9"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Les membres inscrits sur la liste des membres :</w:t>
      </w:r>
    </w:p>
    <w:p w14:paraId="0A96379A" w14:textId="77777777" w:rsidR="005A321B" w:rsidRPr="003E0DDA" w:rsidRDefault="005A321B" w:rsidP="005A321B">
      <w:pPr>
        <w:autoSpaceDE w:val="0"/>
        <w:autoSpaceDN w:val="0"/>
        <w:adjustRightInd w:val="0"/>
        <w:ind w:left="1152" w:hanging="576"/>
        <w:rPr>
          <w:rFonts w:ascii="Arial" w:eastAsia="Times New Roman" w:hAnsi="Arial" w:cs="Arial"/>
          <w:szCs w:val="23"/>
          <w:lang w:val="fr-CA"/>
        </w:rPr>
      </w:pPr>
    </w:p>
    <w:p w14:paraId="3FDFD1C8" w14:textId="1F8EEE18"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possèdent des connaissances ou de l’expérience dans les questions visées par le présent accord;</w:t>
      </w:r>
    </w:p>
    <w:p w14:paraId="087FC06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804BB42" w14:textId="002BFBBC"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sont indépendants et reçoivent pas d’instructions de l’une ou l’autre des Parties;</w:t>
      </w:r>
    </w:p>
    <w:p w14:paraId="5890A147"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F87F384" w14:textId="326514FE"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sont nommés pour un mandat de cinq ans, renouvelable.</w:t>
      </w:r>
    </w:p>
    <w:p w14:paraId="5D95D6CF" w14:textId="77777777" w:rsidR="005A321B" w:rsidRPr="003E0DDA" w:rsidRDefault="005A321B" w:rsidP="005A321B">
      <w:pPr>
        <w:autoSpaceDE w:val="0"/>
        <w:autoSpaceDN w:val="0"/>
        <w:adjustRightInd w:val="0"/>
        <w:rPr>
          <w:rFonts w:ascii="Arial" w:eastAsia="Times New Roman" w:hAnsi="Arial" w:cs="Arial"/>
          <w:szCs w:val="23"/>
          <w:lang w:val="fr-CA"/>
        </w:rPr>
      </w:pPr>
    </w:p>
    <w:p w14:paraId="585EA474" w14:textId="08EC2D41" w:rsidR="005A321B" w:rsidRPr="003E0DDA" w:rsidRDefault="005A321B" w:rsidP="005A321B">
      <w:pPr>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Au moins un des membres figurant sur la liste de chaque Partie possède des connaissances en droit administratif canadien ou en règlement des différends qui se produisent dans le cadre du droit administratif canadien. Chaque Partie précise quel membre possède cette expérience et met à la disposition des autres Parties ou d’une Personne, à leur demande, les détails concernant cette expérience.</w:t>
      </w:r>
    </w:p>
    <w:p w14:paraId="41D7ED80" w14:textId="77777777" w:rsidR="005A321B" w:rsidRPr="003E0DDA" w:rsidRDefault="005A321B" w:rsidP="005A321B">
      <w:pPr>
        <w:autoSpaceDE w:val="0"/>
        <w:autoSpaceDN w:val="0"/>
        <w:adjustRightInd w:val="0"/>
        <w:rPr>
          <w:rFonts w:ascii="Arial" w:eastAsia="Times New Roman" w:hAnsi="Arial" w:cs="Arial"/>
          <w:szCs w:val="23"/>
          <w:lang w:val="fr-CA"/>
        </w:rPr>
      </w:pPr>
    </w:p>
    <w:p w14:paraId="13BF2EE7" w14:textId="3694BDD3" w:rsidR="005A321B" w:rsidRPr="003E0DDA" w:rsidRDefault="005A321B" w:rsidP="005A321B">
      <w:pPr>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 xml:space="preserve">Chaque Partie s’efforce d’inscrire au moins un membre bilingue (français et anglais) sur la liste. Chaque Partie précise quels membres figurant sur la liste sont bilingues. </w:t>
      </w:r>
    </w:p>
    <w:p w14:paraId="287720DF" w14:textId="77777777" w:rsidR="005A321B" w:rsidRPr="003E0DDA" w:rsidRDefault="005A321B" w:rsidP="005A321B">
      <w:pPr>
        <w:rPr>
          <w:rFonts w:ascii="Arial" w:eastAsia="Times New Roman" w:hAnsi="Arial" w:cs="Arial"/>
          <w:szCs w:val="23"/>
          <w:lang w:val="fr-CA"/>
        </w:rPr>
      </w:pPr>
    </w:p>
    <w:p w14:paraId="7D34D364" w14:textId="5FD21FC3" w:rsidR="005A321B" w:rsidRPr="003E0DDA" w:rsidRDefault="005A321B" w:rsidP="005A321B">
      <w:pPr>
        <w:rPr>
          <w:rFonts w:ascii="Arial" w:eastAsia="Times New Roman" w:hAnsi="Arial" w:cs="Arial"/>
          <w:szCs w:val="23"/>
          <w:lang w:val="fr-CA"/>
        </w:rPr>
      </w:pPr>
      <w:r w:rsidRPr="003E0DDA">
        <w:rPr>
          <w:rFonts w:ascii="Arial" w:eastAsia="Arial" w:hAnsi="Arial" w:cs="Arial"/>
          <w:szCs w:val="23"/>
          <w:lang w:val="fr-CA"/>
        </w:rPr>
        <w:t>6.</w:t>
      </w:r>
      <w:r w:rsidRPr="003E0DDA">
        <w:rPr>
          <w:rFonts w:ascii="Arial" w:eastAsia="Arial" w:hAnsi="Arial" w:cs="Arial"/>
          <w:szCs w:val="23"/>
          <w:lang w:val="fr-CA"/>
        </w:rPr>
        <w:tab/>
        <w:t>S’il y a moins de 18 individus bilingues (français et anglais) inscrits par les Parties sur la liste des membres du groupe spécial</w:t>
      </w:r>
      <w:r w:rsidRPr="003E0DDA">
        <w:rPr>
          <w:rFonts w:ascii="Arial" w:eastAsia="Arial" w:hAnsi="Arial" w:cs="Arial"/>
          <w:b/>
          <w:bCs/>
          <w:szCs w:val="23"/>
          <w:lang w:val="fr-CA"/>
        </w:rPr>
        <w:t xml:space="preserve"> </w:t>
      </w:r>
      <w:r w:rsidRPr="003E0DDA">
        <w:rPr>
          <w:rFonts w:ascii="Arial" w:eastAsia="Arial" w:hAnsi="Arial" w:cs="Arial"/>
          <w:szCs w:val="23"/>
          <w:lang w:val="fr-CA"/>
        </w:rPr>
        <w:t>et du groupe spécial de l’observation des décisions, le Secrétariat dresse une liste supplémentaire d’individus bilingues qui remplissent les conditions pour figurer sur la liste des membres du groupe spécial ou du groupe spécial de l’observation des décisions.  Le Secrétariat présente cette liste aux représentants du commerce intérieur pour approbation, et ces individus approuvés par les représentants du commerce intérieur sont ajoutés à la liste des membres du groupe spécial</w:t>
      </w:r>
      <w:r w:rsidRPr="003E0DDA">
        <w:rPr>
          <w:rFonts w:ascii="Arial" w:eastAsia="Arial" w:hAnsi="Arial" w:cs="Arial"/>
          <w:b/>
          <w:bCs/>
          <w:szCs w:val="23"/>
          <w:lang w:val="fr-CA"/>
        </w:rPr>
        <w:t xml:space="preserve"> </w:t>
      </w:r>
      <w:r w:rsidRPr="003E0DDA">
        <w:rPr>
          <w:rFonts w:ascii="Arial" w:eastAsia="Arial" w:hAnsi="Arial" w:cs="Arial"/>
          <w:szCs w:val="23"/>
          <w:lang w:val="fr-CA"/>
        </w:rPr>
        <w:t>ou du groupe spécial de l’observation des décisions et ils en font partie.  Le Secrétariat peut ajouter des membres à la liste des membres du groupe spécial ou du groupe spécial de l’observation des décisions de cette façon dès qu’il y a moins de 18 membres bilingues inscrits par les Parties sur la liste des membres du groupe spécial et du groupe spécial de l’observation des décisions.</w:t>
      </w:r>
    </w:p>
    <w:p w14:paraId="6E9E8EFF" w14:textId="77777777" w:rsidR="005A321B" w:rsidRPr="003E0DDA" w:rsidRDefault="005A321B" w:rsidP="005A321B">
      <w:pPr>
        <w:autoSpaceDE w:val="0"/>
        <w:autoSpaceDN w:val="0"/>
        <w:adjustRightInd w:val="0"/>
        <w:rPr>
          <w:rFonts w:ascii="Arial" w:eastAsia="Times New Roman" w:hAnsi="Arial" w:cs="Arial"/>
          <w:szCs w:val="23"/>
          <w:lang w:val="fr-CA"/>
        </w:rPr>
      </w:pPr>
    </w:p>
    <w:p w14:paraId="53E0CD96" w14:textId="1B196CF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Lorsqu’un membre inscrit sur la liste n’est plus en mesure d’occuper ses fonctions ou si le mandat d’un membre a pris fin, la Partie qui a inscrit le membre inscrit un membre en remplacement sur la liste des membres.</w:t>
      </w:r>
    </w:p>
    <w:p w14:paraId="723BE48E" w14:textId="77777777" w:rsidR="005A321B" w:rsidRPr="003E0DDA" w:rsidRDefault="005A321B" w:rsidP="005A321B">
      <w:pPr>
        <w:autoSpaceDE w:val="0"/>
        <w:autoSpaceDN w:val="0"/>
        <w:adjustRightInd w:val="0"/>
        <w:rPr>
          <w:rFonts w:ascii="Arial" w:eastAsia="Times New Roman" w:hAnsi="Arial" w:cs="Arial"/>
          <w:szCs w:val="23"/>
          <w:lang w:val="fr-CA"/>
        </w:rPr>
      </w:pPr>
    </w:p>
    <w:p w14:paraId="7EBC1F75" w14:textId="77777777" w:rsidR="005A321B" w:rsidRPr="003E0DDA" w:rsidRDefault="005A321B" w:rsidP="005A321B">
      <w:pPr>
        <w:keepNext/>
        <w:keepLines/>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lastRenderedPageBreak/>
        <w:t>Liste des membres du groupe spécial d’appel</w:t>
      </w:r>
    </w:p>
    <w:p w14:paraId="120FBFB9" w14:textId="77777777" w:rsidR="005A321B" w:rsidRPr="003E0DDA" w:rsidRDefault="005A321B" w:rsidP="005A321B">
      <w:pPr>
        <w:keepNext/>
        <w:keepLines/>
        <w:autoSpaceDE w:val="0"/>
        <w:autoSpaceDN w:val="0"/>
        <w:adjustRightInd w:val="0"/>
        <w:jc w:val="center"/>
        <w:rPr>
          <w:rFonts w:ascii="Arial" w:eastAsia="Times New Roman" w:hAnsi="Arial" w:cs="Arial"/>
          <w:bCs/>
          <w:szCs w:val="23"/>
          <w:u w:val="single"/>
          <w:lang w:val="fr-CA"/>
        </w:rPr>
      </w:pPr>
    </w:p>
    <w:p w14:paraId="013AC532" w14:textId="77777777" w:rsidR="005A321B" w:rsidRPr="003E0DDA" w:rsidRDefault="005A321B" w:rsidP="005A321B">
      <w:pPr>
        <w:keepNext/>
        <w:keepLines/>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8.</w:t>
      </w:r>
      <w:r w:rsidRPr="003E0DDA">
        <w:rPr>
          <w:rFonts w:ascii="Arial" w:eastAsia="Times New Roman" w:hAnsi="Arial" w:cs="Arial"/>
          <w:szCs w:val="23"/>
          <w:lang w:val="fr-CA"/>
        </w:rPr>
        <w:tab/>
        <w:t xml:space="preserve">Les règles </w:t>
      </w:r>
      <w:proofErr w:type="gramStart"/>
      <w:r w:rsidRPr="003E0DDA">
        <w:rPr>
          <w:rFonts w:ascii="Arial" w:eastAsia="Times New Roman" w:hAnsi="Arial" w:cs="Arial"/>
          <w:szCs w:val="23"/>
          <w:lang w:val="fr-CA"/>
        </w:rPr>
        <w:t>9  à</w:t>
      </w:r>
      <w:proofErr w:type="gramEnd"/>
      <w:r w:rsidRPr="003E0DDA">
        <w:rPr>
          <w:rFonts w:ascii="Arial" w:eastAsia="Times New Roman" w:hAnsi="Arial" w:cs="Arial"/>
          <w:szCs w:val="23"/>
          <w:lang w:val="fr-CA"/>
        </w:rPr>
        <w:t xml:space="preserve"> 13 ne s’appliquent qu’aux groupes spéciaux d’appel.</w:t>
      </w:r>
    </w:p>
    <w:p w14:paraId="46ABD05A" w14:textId="77777777" w:rsidR="005A321B" w:rsidRPr="003E0DDA" w:rsidRDefault="005A321B" w:rsidP="005A321B">
      <w:pPr>
        <w:keepNext/>
        <w:keepLines/>
        <w:autoSpaceDE w:val="0"/>
        <w:autoSpaceDN w:val="0"/>
        <w:adjustRightInd w:val="0"/>
        <w:rPr>
          <w:rFonts w:ascii="Arial" w:eastAsia="Times New Roman" w:hAnsi="Arial" w:cs="Arial"/>
          <w:bCs/>
          <w:szCs w:val="23"/>
          <w:lang w:val="fr-CA"/>
        </w:rPr>
      </w:pPr>
    </w:p>
    <w:p w14:paraId="4864E796"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Chaque Partie a le droit d’inscrire cinq membres sur la liste des membres du groupe spécial d’appel.</w:t>
      </w:r>
    </w:p>
    <w:p w14:paraId="62153118" w14:textId="77777777" w:rsidR="005A321B" w:rsidRPr="003E0DDA" w:rsidRDefault="005A321B" w:rsidP="005A321B">
      <w:pPr>
        <w:autoSpaceDE w:val="0"/>
        <w:autoSpaceDN w:val="0"/>
        <w:adjustRightInd w:val="0"/>
        <w:rPr>
          <w:rFonts w:ascii="Arial" w:eastAsia="Times New Roman" w:hAnsi="Arial" w:cs="Arial"/>
          <w:szCs w:val="23"/>
          <w:lang w:val="fr-CA"/>
        </w:rPr>
      </w:pPr>
    </w:p>
    <w:p w14:paraId="62094A1F"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10. </w:t>
      </w:r>
      <w:r w:rsidRPr="003E0DDA">
        <w:rPr>
          <w:rFonts w:ascii="Arial" w:eastAsia="Times New Roman" w:hAnsi="Arial" w:cs="Arial"/>
          <w:szCs w:val="23"/>
          <w:lang w:val="fr-CA"/>
        </w:rPr>
        <w:tab/>
        <w:t>Les membres inscrits sur la liste des membres du groupe spécial d’appel :</w:t>
      </w:r>
    </w:p>
    <w:p w14:paraId="196D7064" w14:textId="77777777" w:rsidR="005A321B" w:rsidRPr="003E0DDA" w:rsidRDefault="005A321B" w:rsidP="005A321B">
      <w:pPr>
        <w:autoSpaceDE w:val="0"/>
        <w:autoSpaceDN w:val="0"/>
        <w:adjustRightInd w:val="0"/>
        <w:rPr>
          <w:rFonts w:ascii="Arial" w:eastAsia="Times New Roman" w:hAnsi="Arial" w:cs="Arial"/>
          <w:szCs w:val="23"/>
          <w:lang w:val="fr-CA"/>
        </w:rPr>
      </w:pPr>
    </w:p>
    <w:p w14:paraId="167D59BD" w14:textId="3976BDAA"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possèdent des connaissances en droit administratif canadien ou en règlement des différends qui se produisent dans le cadre du droit administratif canadien;</w:t>
      </w:r>
    </w:p>
    <w:p w14:paraId="61E85DFB"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A6A5A79" w14:textId="6D3B572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sont indépendants et ne reçoivent pas d’instructions de l’une ou l’autre des Parties;</w:t>
      </w:r>
    </w:p>
    <w:p w14:paraId="4D1DAA3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61742F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sont nommés pour un mandat de cinq ans, renouvelable.</w:t>
      </w:r>
    </w:p>
    <w:p w14:paraId="4571C34B" w14:textId="77777777" w:rsidR="005A321B" w:rsidRPr="003E0DDA" w:rsidRDefault="005A321B" w:rsidP="005A321B">
      <w:pPr>
        <w:autoSpaceDE w:val="0"/>
        <w:autoSpaceDN w:val="0"/>
        <w:adjustRightInd w:val="0"/>
        <w:rPr>
          <w:rFonts w:ascii="Arial" w:eastAsia="Times New Roman" w:hAnsi="Arial" w:cs="Arial"/>
          <w:szCs w:val="23"/>
          <w:lang w:val="fr-CA"/>
        </w:rPr>
      </w:pPr>
    </w:p>
    <w:p w14:paraId="385DF6DA" w14:textId="260CCDB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11.</w:t>
      </w:r>
      <w:r w:rsidRPr="003E0DDA">
        <w:rPr>
          <w:rFonts w:ascii="Arial" w:eastAsia="Times New Roman" w:hAnsi="Arial" w:cs="Arial"/>
          <w:szCs w:val="23"/>
          <w:lang w:val="fr-CA"/>
        </w:rPr>
        <w:tab/>
        <w:t>Chaque Partie s’efforce d’inscrire au moins un membre bilingue (français et anglais) sur la liste des membres du groupe spécial d’appel. Chaque Partie précise quels membres figurant sur la liste des membres du groupe spécial d’appel sont bilingues.</w:t>
      </w:r>
    </w:p>
    <w:p w14:paraId="07D3E489" w14:textId="77777777" w:rsidR="005A321B" w:rsidRPr="003E0DDA" w:rsidRDefault="005A321B" w:rsidP="005A321B">
      <w:pPr>
        <w:autoSpaceDE w:val="0"/>
        <w:autoSpaceDN w:val="0"/>
        <w:adjustRightInd w:val="0"/>
        <w:rPr>
          <w:rFonts w:ascii="Arial" w:eastAsia="Times New Roman" w:hAnsi="Arial" w:cs="Arial"/>
          <w:szCs w:val="23"/>
          <w:lang w:val="fr-CA"/>
        </w:rPr>
      </w:pPr>
    </w:p>
    <w:p w14:paraId="66F31F5A" w14:textId="42934FFD" w:rsidR="005A321B" w:rsidRPr="003E0DDA" w:rsidRDefault="005A321B" w:rsidP="005A321B">
      <w:pPr>
        <w:rPr>
          <w:rFonts w:ascii="Arial" w:eastAsia="Times New Roman" w:hAnsi="Arial" w:cs="Arial"/>
          <w:szCs w:val="23"/>
          <w:lang w:val="fr-CA"/>
        </w:rPr>
      </w:pPr>
      <w:r w:rsidRPr="003E0DDA">
        <w:rPr>
          <w:rFonts w:ascii="Arial" w:eastAsia="Times New Roman" w:hAnsi="Arial" w:cs="Arial"/>
          <w:szCs w:val="23"/>
          <w:lang w:val="fr-CA"/>
        </w:rPr>
        <w:t>12.</w:t>
      </w:r>
      <w:r w:rsidRPr="003E0DDA">
        <w:rPr>
          <w:rFonts w:ascii="Arial" w:eastAsia="Times New Roman" w:hAnsi="Arial" w:cs="Arial"/>
          <w:szCs w:val="23"/>
          <w:lang w:val="fr-CA"/>
        </w:rPr>
        <w:tab/>
        <w:t>S’il y a moins de 18 membres bilingues (français et anglais) inscrits par les Parties sur la liste des membres du groupe spécial d’appel, le Secrétariat dresse une liste supplémentaire d’individus bilingues remplissant les conditions pour figurer sur la liste des membres du groupe spécial d’appel. Le Secrétariat présente cette liste aux représentants du commerce intérieur pour approbation et ces individus approuvés par les représentants du commerce intérieur sont ajoutés à la liste des membres du groupe spécial d’appel et ils en font partie. Le Secrétariat peut ajouter des membres à la liste des membres du groupe spécial d’appel de cette façon dès qu’il y a moins de 18 membres bilingues inscrits par les Parties sur la liste des membres du groupe spécial d’appel.</w:t>
      </w:r>
    </w:p>
    <w:p w14:paraId="1806B9C2" w14:textId="77777777" w:rsidR="005A321B" w:rsidRPr="003E0DDA" w:rsidRDefault="005A321B" w:rsidP="005A321B">
      <w:pPr>
        <w:autoSpaceDE w:val="0"/>
        <w:autoSpaceDN w:val="0"/>
        <w:adjustRightInd w:val="0"/>
        <w:rPr>
          <w:rFonts w:ascii="Arial" w:eastAsia="Times New Roman" w:hAnsi="Arial" w:cs="Arial"/>
          <w:szCs w:val="23"/>
          <w:lang w:val="fr-CA"/>
        </w:rPr>
      </w:pPr>
    </w:p>
    <w:p w14:paraId="5510F6D5" w14:textId="7DA5342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13.</w:t>
      </w:r>
      <w:r w:rsidRPr="003E0DDA">
        <w:rPr>
          <w:rFonts w:ascii="Arial" w:eastAsia="Times New Roman" w:hAnsi="Arial" w:cs="Arial"/>
          <w:szCs w:val="23"/>
          <w:lang w:val="fr-CA"/>
        </w:rPr>
        <w:tab/>
        <w:t>Lorsqu’un membre du groupe spécial d’appel n’est plus en mesure d’occuper ses fonctions ou si le mandat du membre a pris fin, la Partie qui a inscrit le membre inscrit un membre en remplacement sur la liste des membres du groupe spécial d’appel.</w:t>
      </w:r>
    </w:p>
    <w:p w14:paraId="06DA1B6E" w14:textId="77777777" w:rsidR="005A321B" w:rsidRPr="003E0DDA" w:rsidRDefault="005A321B" w:rsidP="005A321B">
      <w:pPr>
        <w:autoSpaceDE w:val="0"/>
        <w:autoSpaceDN w:val="0"/>
        <w:adjustRightInd w:val="0"/>
        <w:rPr>
          <w:rFonts w:ascii="Arial" w:eastAsia="Times New Roman" w:hAnsi="Arial" w:cs="Arial"/>
          <w:szCs w:val="23"/>
          <w:lang w:val="fr-CA"/>
        </w:rPr>
      </w:pPr>
    </w:p>
    <w:p w14:paraId="785AFA76" w14:textId="45CDAC88" w:rsidR="005A321B" w:rsidRPr="003E0DDA" w:rsidRDefault="005A321B" w:rsidP="005A321B">
      <w:pPr>
        <w:jc w:val="center"/>
        <w:rPr>
          <w:rFonts w:ascii="Arial" w:eastAsia="Arial" w:hAnsi="Arial" w:cs="Arial"/>
          <w:b/>
          <w:szCs w:val="23"/>
          <w:lang w:val="fr-CA"/>
        </w:rPr>
      </w:pPr>
      <w:r w:rsidRPr="003E0DDA">
        <w:rPr>
          <w:rFonts w:ascii="Arial" w:eastAsia="Arial" w:hAnsi="Arial" w:cs="Arial"/>
          <w:szCs w:val="23"/>
          <w:lang w:val="fr-CA"/>
        </w:rPr>
        <w:br w:type="page"/>
      </w:r>
      <w:bookmarkStart w:id="204" w:name="_Toc357427566"/>
      <w:bookmarkStart w:id="205" w:name="_Toc470079045"/>
      <w:r w:rsidRPr="003E0DDA">
        <w:rPr>
          <w:rFonts w:ascii="Arial" w:eastAsia="Arial" w:hAnsi="Arial" w:cs="Arial"/>
          <w:b/>
          <w:szCs w:val="23"/>
          <w:lang w:val="fr-CA"/>
        </w:rPr>
        <w:lastRenderedPageBreak/>
        <w:t>Annexe 1007.1 et 1024.1</w:t>
      </w:r>
      <w:bookmarkStart w:id="206" w:name="_Toc357427567"/>
      <w:bookmarkEnd w:id="204"/>
      <w:bookmarkEnd w:id="205"/>
      <w:r w:rsidRPr="003E0DDA">
        <w:rPr>
          <w:rFonts w:ascii="Arial" w:eastAsia="Arial" w:hAnsi="Arial" w:cs="Arial"/>
          <w:b/>
          <w:szCs w:val="23"/>
          <w:lang w:val="fr-CA"/>
        </w:rPr>
        <w:t> </w:t>
      </w:r>
      <w:bookmarkStart w:id="207" w:name="_Toc470079046"/>
      <w:r w:rsidRPr="003E0DDA">
        <w:rPr>
          <w:rFonts w:ascii="Arial" w:eastAsia="Arial" w:hAnsi="Arial" w:cs="Arial"/>
          <w:b/>
          <w:szCs w:val="23"/>
          <w:lang w:val="fr-CA"/>
        </w:rPr>
        <w:t xml:space="preserve">: </w:t>
      </w:r>
      <w:r w:rsidRPr="003E0DDA">
        <w:rPr>
          <w:rFonts w:ascii="Arial" w:eastAsia="Arial" w:hAnsi="Arial" w:cs="Arial"/>
          <w:b/>
          <w:szCs w:val="23"/>
          <w:lang w:val="fr-CA"/>
        </w:rPr>
        <w:tab/>
      </w:r>
      <w:r w:rsidR="00C319A1" w:rsidRPr="003E0DDA">
        <w:rPr>
          <w:rFonts w:ascii="Arial" w:eastAsia="Arial" w:hAnsi="Arial" w:cs="Arial"/>
          <w:b/>
          <w:szCs w:val="23"/>
          <w:lang w:val="fr-CA"/>
        </w:rPr>
        <w:tab/>
      </w:r>
      <w:r w:rsidRPr="003E0DDA">
        <w:rPr>
          <w:rFonts w:ascii="Arial" w:eastAsia="Arial" w:hAnsi="Arial" w:cs="Arial"/>
          <w:b/>
          <w:szCs w:val="23"/>
          <w:lang w:val="fr-CA"/>
        </w:rPr>
        <w:t>Règles de procédure des groupes spéciaux,</w:t>
      </w:r>
    </w:p>
    <w:p w14:paraId="55478736" w14:textId="77777777"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 </w:t>
      </w:r>
      <w:proofErr w:type="gramStart"/>
      <w:r w:rsidRPr="003E0DDA">
        <w:rPr>
          <w:rFonts w:ascii="Arial" w:eastAsia="Arial" w:hAnsi="Arial" w:cs="Arial"/>
          <w:b/>
          <w:szCs w:val="23"/>
          <w:lang w:val="fr-CA"/>
        </w:rPr>
        <w:t>des</w:t>
      </w:r>
      <w:proofErr w:type="gramEnd"/>
      <w:r w:rsidRPr="003E0DDA">
        <w:rPr>
          <w:rFonts w:ascii="Arial" w:eastAsia="Arial" w:hAnsi="Arial" w:cs="Arial"/>
          <w:b/>
          <w:szCs w:val="23"/>
          <w:lang w:val="fr-CA"/>
        </w:rPr>
        <w:t xml:space="preserve"> groupes spéciaux de l’observation des décisions et</w:t>
      </w:r>
    </w:p>
    <w:p w14:paraId="341B16AF" w14:textId="77777777" w:rsidR="005A321B" w:rsidRPr="003E0DDA" w:rsidRDefault="005A321B" w:rsidP="005A321B">
      <w:pPr>
        <w:jc w:val="center"/>
        <w:rPr>
          <w:rFonts w:ascii="Arial" w:eastAsia="Arial" w:hAnsi="Arial" w:cs="Arial"/>
          <w:b/>
          <w:szCs w:val="23"/>
          <w:lang w:val="fr-CA"/>
        </w:rPr>
      </w:pPr>
      <w:proofErr w:type="gramStart"/>
      <w:r w:rsidRPr="003E0DDA">
        <w:rPr>
          <w:rFonts w:ascii="Arial" w:eastAsia="Arial" w:hAnsi="Arial" w:cs="Arial"/>
          <w:b/>
          <w:szCs w:val="23"/>
          <w:lang w:val="fr-CA"/>
        </w:rPr>
        <w:t>des</w:t>
      </w:r>
      <w:proofErr w:type="gramEnd"/>
      <w:r w:rsidRPr="003E0DDA">
        <w:rPr>
          <w:rFonts w:ascii="Arial" w:eastAsia="Arial" w:hAnsi="Arial" w:cs="Arial"/>
          <w:b/>
          <w:szCs w:val="23"/>
          <w:lang w:val="fr-CA"/>
        </w:rPr>
        <w:t xml:space="preserve"> groupes spéciaux d’appel</w:t>
      </w:r>
      <w:bookmarkEnd w:id="206"/>
      <w:bookmarkEnd w:id="207"/>
    </w:p>
    <w:p w14:paraId="0E41F8EA" w14:textId="77777777" w:rsidR="005A321B" w:rsidRPr="003E0DDA" w:rsidRDefault="005A321B" w:rsidP="005A321B">
      <w:pPr>
        <w:autoSpaceDE w:val="0"/>
        <w:autoSpaceDN w:val="0"/>
        <w:adjustRightInd w:val="0"/>
        <w:ind w:firstLine="720"/>
        <w:rPr>
          <w:rFonts w:ascii="Arial" w:eastAsia="Times New Roman" w:hAnsi="Arial" w:cs="Arial"/>
          <w:szCs w:val="23"/>
          <w:lang w:val="fr-CA"/>
        </w:rPr>
      </w:pPr>
    </w:p>
    <w:p w14:paraId="13F6EB79" w14:textId="0CB6D31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Les présentes règles visent l’application des dispositions du présent chapitre relatives aux procédures devant les groupes spéciaux, les groupes spéciaux de l’observation des décisions et des groupes spéciaux d’appel menées au titre du présent chapitre. Les présentes règles ne sauraient être interprétées d’une manière qui étend ou limite la compétence des organes décisionnels.</w:t>
      </w:r>
    </w:p>
    <w:p w14:paraId="02B438DC"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56F5F05D"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Application</w:t>
      </w:r>
    </w:p>
    <w:p w14:paraId="34131294" w14:textId="77777777" w:rsidR="005A321B" w:rsidRPr="003E0DDA" w:rsidRDefault="005A321B" w:rsidP="005A321B">
      <w:pPr>
        <w:autoSpaceDE w:val="0"/>
        <w:autoSpaceDN w:val="0"/>
        <w:adjustRightInd w:val="0"/>
        <w:rPr>
          <w:rFonts w:ascii="Arial" w:eastAsia="Times New Roman" w:hAnsi="Arial" w:cs="Arial"/>
          <w:szCs w:val="23"/>
          <w:lang w:val="fr-CA"/>
        </w:rPr>
      </w:pPr>
    </w:p>
    <w:p w14:paraId="5ABC8CBC" w14:textId="283F4CD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Les présentes règles sont établies au titre de l’article 1007 et de l’article1024 et elles s’appliquent aux procédures sous le régime du présent chapitre.</w:t>
      </w:r>
    </w:p>
    <w:p w14:paraId="0E6FE164"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75266BAD"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Règles générales</w:t>
      </w:r>
    </w:p>
    <w:p w14:paraId="5DFDCE72" w14:textId="77777777" w:rsidR="005A321B" w:rsidRPr="003E0DDA" w:rsidRDefault="005A321B" w:rsidP="005A321B">
      <w:pPr>
        <w:autoSpaceDE w:val="0"/>
        <w:autoSpaceDN w:val="0"/>
        <w:adjustRightInd w:val="0"/>
        <w:rPr>
          <w:rFonts w:ascii="Arial" w:eastAsia="Times New Roman" w:hAnsi="Arial" w:cs="Arial"/>
          <w:szCs w:val="23"/>
          <w:u w:val="single"/>
          <w:lang w:val="fr-CA"/>
        </w:rPr>
      </w:pPr>
    </w:p>
    <w:p w14:paraId="6CE5DC54"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L’organe décisionnel mène la procédure de la façon qu’il estime appropriée, à condition que celle-ci soit aussi transparente que possible, que les Parties participantes ou les participants soient traités sur un pied d’égalité et qu’à toutes les étapes, chaque Partie participante ou participant ait eu la pleine possibilité de présenter sa cause.</w:t>
      </w:r>
    </w:p>
    <w:p w14:paraId="49427874" w14:textId="77777777" w:rsidR="005A321B" w:rsidRPr="003E0DDA" w:rsidRDefault="005A321B" w:rsidP="005A321B">
      <w:pPr>
        <w:autoSpaceDE w:val="0"/>
        <w:autoSpaceDN w:val="0"/>
        <w:adjustRightInd w:val="0"/>
        <w:rPr>
          <w:rFonts w:ascii="Arial" w:eastAsia="Times New Roman" w:hAnsi="Arial" w:cs="Arial"/>
          <w:szCs w:val="23"/>
          <w:lang w:val="fr-CA"/>
        </w:rPr>
      </w:pPr>
    </w:p>
    <w:p w14:paraId="1613D063"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 xml:space="preserve">Interprétation </w:t>
      </w:r>
    </w:p>
    <w:p w14:paraId="112E1C11" w14:textId="77777777" w:rsidR="005A321B" w:rsidRPr="003E0DDA" w:rsidRDefault="005A321B" w:rsidP="005A321B">
      <w:pPr>
        <w:autoSpaceDE w:val="0"/>
        <w:autoSpaceDN w:val="0"/>
        <w:adjustRightInd w:val="0"/>
        <w:rPr>
          <w:rFonts w:ascii="Arial" w:eastAsia="Times New Roman" w:hAnsi="Arial" w:cs="Arial"/>
          <w:szCs w:val="23"/>
          <w:lang w:val="fr-CA"/>
        </w:rPr>
      </w:pPr>
    </w:p>
    <w:p w14:paraId="30F77133" w14:textId="1F72AD1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Les présentes règles reçoivent une interprétation large afin d’assurer la résolution équitable de chaque procédure de la façon la plus transparente, la moins onéreuse et la plus expéditive.</w:t>
      </w:r>
    </w:p>
    <w:p w14:paraId="1FBE6DC6" w14:textId="77777777" w:rsidR="005A321B" w:rsidRPr="003E0DDA" w:rsidRDefault="005A321B" w:rsidP="005A321B">
      <w:pPr>
        <w:autoSpaceDE w:val="0"/>
        <w:autoSpaceDN w:val="0"/>
        <w:adjustRightInd w:val="0"/>
        <w:rPr>
          <w:rFonts w:ascii="Arial" w:eastAsia="Times New Roman" w:hAnsi="Arial" w:cs="Arial"/>
          <w:szCs w:val="23"/>
          <w:lang w:val="fr-CA"/>
        </w:rPr>
      </w:pPr>
    </w:p>
    <w:p w14:paraId="6785F9E7"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Directives sur la procédure</w:t>
      </w:r>
    </w:p>
    <w:p w14:paraId="19D0FCDF" w14:textId="77777777" w:rsidR="005A321B" w:rsidRPr="003E0DDA" w:rsidRDefault="005A321B" w:rsidP="005A321B">
      <w:pPr>
        <w:autoSpaceDE w:val="0"/>
        <w:autoSpaceDN w:val="0"/>
        <w:adjustRightInd w:val="0"/>
        <w:rPr>
          <w:rFonts w:ascii="Arial" w:eastAsia="Times New Roman" w:hAnsi="Arial" w:cs="Arial"/>
          <w:szCs w:val="23"/>
          <w:lang w:val="fr-CA"/>
        </w:rPr>
      </w:pPr>
    </w:p>
    <w:p w14:paraId="0181A459" w14:textId="5050938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Arial" w:hAnsi="Arial" w:cs="Arial"/>
          <w:szCs w:val="23"/>
          <w:lang w:val="fr-CA"/>
        </w:rPr>
        <w:t>4.</w:t>
      </w:r>
      <w:r w:rsidRPr="003E0DDA">
        <w:rPr>
          <w:rFonts w:ascii="Arial" w:eastAsia="Arial" w:hAnsi="Arial" w:cs="Arial"/>
          <w:szCs w:val="23"/>
          <w:lang w:val="fr-CA"/>
        </w:rPr>
        <w:tab/>
        <w:t>Sous réserve de l’article 1007.2 et de l’article 1024.2, s’il est soulevé au cours d’une procédure une question de procédure non réglée par les présentes règles ou seulement réglée en partie par celles-ci, la question est tranchée de la façon dont l’organe décisionnel l’estime raisonnable dans les circonstances et compatible avec les principes de l’équité.</w:t>
      </w:r>
    </w:p>
    <w:p w14:paraId="658A99AF" w14:textId="77777777" w:rsidR="005A321B" w:rsidRPr="003E0DDA" w:rsidRDefault="005A321B" w:rsidP="005A321B">
      <w:pPr>
        <w:autoSpaceDE w:val="0"/>
        <w:autoSpaceDN w:val="0"/>
        <w:adjustRightInd w:val="0"/>
        <w:rPr>
          <w:rFonts w:ascii="Arial" w:eastAsia="Times New Roman" w:hAnsi="Arial" w:cs="Arial"/>
          <w:szCs w:val="23"/>
          <w:lang w:val="fr-CA"/>
        </w:rPr>
      </w:pPr>
    </w:p>
    <w:p w14:paraId="1136C6FD" w14:textId="38490A7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 xml:space="preserve">Sous réserve </w:t>
      </w:r>
      <w:r w:rsidRPr="003E0DDA">
        <w:rPr>
          <w:rFonts w:ascii="Arial" w:eastAsia="Arial" w:hAnsi="Arial" w:cs="Arial"/>
          <w:szCs w:val="23"/>
          <w:lang w:val="fr-CA"/>
        </w:rPr>
        <w:t>de l’article </w:t>
      </w:r>
      <w:r w:rsidRPr="003E0DDA">
        <w:rPr>
          <w:rFonts w:ascii="Arial" w:eastAsia="Times New Roman" w:hAnsi="Arial" w:cs="Arial"/>
          <w:szCs w:val="23"/>
          <w:lang w:val="fr-CA"/>
        </w:rPr>
        <w:t xml:space="preserve">1007.2 et </w:t>
      </w:r>
      <w:r w:rsidRPr="003E0DDA">
        <w:rPr>
          <w:rFonts w:ascii="Arial" w:eastAsia="Arial" w:hAnsi="Arial" w:cs="Arial"/>
          <w:szCs w:val="23"/>
          <w:lang w:val="fr-CA"/>
        </w:rPr>
        <w:t>de l’article </w:t>
      </w:r>
      <w:r w:rsidRPr="003E0DDA">
        <w:rPr>
          <w:rFonts w:ascii="Arial" w:eastAsia="Times New Roman" w:hAnsi="Arial" w:cs="Arial"/>
          <w:szCs w:val="23"/>
          <w:lang w:val="fr-CA"/>
        </w:rPr>
        <w:t>1024.2, pour régler une question d’une façon plus expéditive, et qui soit raisonnable dans les circonstances et compatible avec les principes de l’équité, l’organe décisionnel peut modifier ou compléter les présentes règles, s’il est juste et équitable de le faire.</w:t>
      </w:r>
    </w:p>
    <w:p w14:paraId="7D7C92E0"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 </w:t>
      </w:r>
    </w:p>
    <w:p w14:paraId="2F1B99B5"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Jonction de procédures</w:t>
      </w:r>
    </w:p>
    <w:p w14:paraId="50E471D2" w14:textId="77777777" w:rsidR="005A321B" w:rsidRPr="003E0DDA" w:rsidRDefault="005A321B" w:rsidP="005A321B">
      <w:pPr>
        <w:autoSpaceDE w:val="0"/>
        <w:autoSpaceDN w:val="0"/>
        <w:adjustRightInd w:val="0"/>
        <w:rPr>
          <w:rFonts w:ascii="Arial" w:eastAsia="Times New Roman" w:hAnsi="Arial" w:cs="Arial"/>
          <w:szCs w:val="23"/>
          <w:lang w:val="fr-CA"/>
        </w:rPr>
      </w:pPr>
    </w:p>
    <w:p w14:paraId="66EF608D" w14:textId="3E470D0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 xml:space="preserve">Le groupe spécial peut, sur demande écrite de l’une des Parties au différend ou de l’un des litigants, et après avoir entendu les observations des Parties au différend ou des litigants, joindre deux ou plusieurs procédures en vue de leur règlement plus expéditif, si dans les circonstances la jonction de procédures est raisonnable et compatible avec les principes de l’équité. </w:t>
      </w:r>
    </w:p>
    <w:p w14:paraId="0857E435" w14:textId="77777777" w:rsidR="005A321B" w:rsidRPr="003E0DDA" w:rsidRDefault="005A321B" w:rsidP="005A321B">
      <w:pPr>
        <w:autoSpaceDE w:val="0"/>
        <w:autoSpaceDN w:val="0"/>
        <w:adjustRightInd w:val="0"/>
        <w:rPr>
          <w:rFonts w:ascii="Arial" w:eastAsia="Times New Roman" w:hAnsi="Arial" w:cs="Arial"/>
          <w:szCs w:val="23"/>
          <w:lang w:val="fr-CA"/>
        </w:rPr>
      </w:pPr>
    </w:p>
    <w:p w14:paraId="2EDA76B5" w14:textId="77777777" w:rsidR="005A321B" w:rsidRPr="003E0DDA" w:rsidRDefault="005A321B" w:rsidP="005A321B">
      <w:pPr>
        <w:keepNext/>
        <w:keepLines/>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lastRenderedPageBreak/>
        <w:t>Ajout de Parties ou Personnes à une procédure</w:t>
      </w:r>
    </w:p>
    <w:p w14:paraId="0E08D31A" w14:textId="77777777" w:rsidR="005A321B" w:rsidRPr="003E0DDA" w:rsidRDefault="005A321B" w:rsidP="005A321B">
      <w:pPr>
        <w:keepNext/>
        <w:keepLines/>
        <w:autoSpaceDE w:val="0"/>
        <w:autoSpaceDN w:val="0"/>
        <w:adjustRightInd w:val="0"/>
        <w:rPr>
          <w:rFonts w:ascii="Arial" w:eastAsia="Times New Roman" w:hAnsi="Arial" w:cs="Arial"/>
          <w:szCs w:val="23"/>
          <w:lang w:val="fr-CA"/>
        </w:rPr>
      </w:pPr>
    </w:p>
    <w:p w14:paraId="03973BA7" w14:textId="77777777" w:rsidR="005A321B" w:rsidRPr="003E0DDA" w:rsidRDefault="005A321B" w:rsidP="005A321B">
      <w:pPr>
        <w:keepNext/>
        <w:keepLines/>
        <w:autoSpaceDE w:val="0"/>
        <w:autoSpaceDN w:val="0"/>
        <w:adjustRightInd w:val="0"/>
        <w:rPr>
          <w:rFonts w:ascii="Arial" w:eastAsia="Times New Roman" w:hAnsi="Arial" w:cs="Arial"/>
          <w:i/>
          <w:szCs w:val="23"/>
          <w:lang w:val="fr-CA"/>
        </w:rPr>
      </w:pPr>
      <w:r w:rsidRPr="003E0DDA">
        <w:rPr>
          <w:rFonts w:ascii="Arial" w:eastAsia="Times New Roman" w:hAnsi="Arial" w:cs="Arial"/>
          <w:i/>
          <w:iCs/>
          <w:szCs w:val="23"/>
          <w:lang w:val="fr-CA"/>
        </w:rPr>
        <w:t>Parties en tant qu’intervenants — Procédure du groupe spécial</w:t>
      </w:r>
    </w:p>
    <w:p w14:paraId="5BD839C7" w14:textId="77777777" w:rsidR="005A321B" w:rsidRPr="003E0DDA" w:rsidRDefault="005A321B" w:rsidP="005A321B">
      <w:pPr>
        <w:keepNext/>
        <w:keepLines/>
        <w:autoSpaceDE w:val="0"/>
        <w:autoSpaceDN w:val="0"/>
        <w:adjustRightInd w:val="0"/>
        <w:rPr>
          <w:rFonts w:ascii="Arial" w:eastAsia="Times New Roman" w:hAnsi="Arial" w:cs="Arial"/>
          <w:szCs w:val="23"/>
          <w:lang w:val="fr-CA"/>
        </w:rPr>
      </w:pPr>
    </w:p>
    <w:p w14:paraId="112D6568" w14:textId="79993D78" w:rsidR="005A321B" w:rsidRPr="003E0DDA" w:rsidRDefault="005A321B" w:rsidP="005A321B">
      <w:pPr>
        <w:keepNext/>
        <w:keepLines/>
        <w:autoSpaceDE w:val="0"/>
        <w:autoSpaceDN w:val="0"/>
        <w:adjustRightInd w:val="0"/>
        <w:rPr>
          <w:rFonts w:ascii="Arial" w:eastAsia="Arial" w:hAnsi="Arial" w:cs="Arial"/>
          <w:szCs w:val="23"/>
          <w:lang w:val="fr-CA"/>
        </w:rPr>
      </w:pPr>
      <w:r w:rsidRPr="003E0DDA">
        <w:rPr>
          <w:rFonts w:ascii="Arial" w:eastAsia="Arial" w:hAnsi="Arial" w:cs="Arial"/>
          <w:szCs w:val="23"/>
          <w:lang w:val="fr-CA"/>
        </w:rPr>
        <w:t>7.</w:t>
      </w:r>
      <w:r w:rsidRPr="003E0DDA">
        <w:rPr>
          <w:rFonts w:ascii="Arial" w:eastAsia="Arial" w:hAnsi="Arial" w:cs="Arial"/>
          <w:szCs w:val="23"/>
          <w:lang w:val="fr-CA"/>
        </w:rPr>
        <w:tab/>
        <w:t xml:space="preserve">Le groupe spécial peut, sur demande écrite de l’une des Parties n’ayant pas fourni l’avis écrit requis sous le régime de l’article 1004.9 ou de l’article 1023.1, ajouter la Partie à titre d’intervenant à la procédure du groupe spécial dans les cas suivants : </w:t>
      </w:r>
    </w:p>
    <w:p w14:paraId="1597FFA8" w14:textId="77777777" w:rsidR="005A321B" w:rsidRPr="003E0DDA" w:rsidRDefault="005A321B" w:rsidP="005A321B">
      <w:pPr>
        <w:autoSpaceDE w:val="0"/>
        <w:autoSpaceDN w:val="0"/>
        <w:adjustRightInd w:val="0"/>
        <w:rPr>
          <w:rFonts w:ascii="Arial" w:eastAsia="Times New Roman" w:hAnsi="Arial" w:cs="Arial"/>
          <w:szCs w:val="23"/>
          <w:lang w:val="fr-CA"/>
        </w:rPr>
      </w:pPr>
    </w:p>
    <w:p w14:paraId="03377E57" w14:textId="2C2B21E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si la Partie a un intérêt substantiel dans la question faisant l’objet du différend au sens </w:t>
      </w:r>
      <w:r w:rsidRPr="003E0DDA">
        <w:rPr>
          <w:rFonts w:ascii="Arial" w:eastAsia="Arial" w:hAnsi="Arial" w:cs="Arial"/>
          <w:szCs w:val="23"/>
          <w:lang w:val="fr-CA"/>
        </w:rPr>
        <w:t>de l’article</w:t>
      </w:r>
      <w:r w:rsidRPr="003E0DDA">
        <w:rPr>
          <w:rFonts w:ascii="Arial" w:eastAsia="Times New Roman" w:hAnsi="Arial" w:cs="Arial"/>
          <w:szCs w:val="23"/>
          <w:lang w:val="fr-CA"/>
        </w:rPr>
        <w:t> 1004.11 ou</w:t>
      </w:r>
      <w:r w:rsidRPr="003E0DDA">
        <w:rPr>
          <w:rFonts w:ascii="Arial" w:eastAsia="Arial" w:hAnsi="Arial" w:cs="Arial"/>
          <w:szCs w:val="23"/>
          <w:lang w:val="fr-CA"/>
        </w:rPr>
        <w:t xml:space="preserve"> de l’article</w:t>
      </w:r>
      <w:r w:rsidRPr="003E0DDA">
        <w:rPr>
          <w:rFonts w:ascii="Arial" w:eastAsia="Times New Roman" w:hAnsi="Arial" w:cs="Arial"/>
          <w:szCs w:val="23"/>
          <w:lang w:val="fr-CA"/>
        </w:rPr>
        <w:t xml:space="preserve"> 1023.3; </w:t>
      </w:r>
    </w:p>
    <w:p w14:paraId="02F68CD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7853D7E" w14:textId="17E207C1"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si dans les circonstances l’ajout est raisonnable et compatible avec les principes de l’équité.</w:t>
      </w:r>
    </w:p>
    <w:p w14:paraId="5D94D625" w14:textId="77777777" w:rsidR="005A321B" w:rsidRPr="003E0DDA" w:rsidRDefault="005A321B" w:rsidP="005A321B">
      <w:pPr>
        <w:autoSpaceDE w:val="0"/>
        <w:autoSpaceDN w:val="0"/>
        <w:adjustRightInd w:val="0"/>
        <w:rPr>
          <w:rFonts w:ascii="Arial" w:eastAsia="Times New Roman" w:hAnsi="Arial" w:cs="Arial"/>
          <w:szCs w:val="23"/>
          <w:lang w:val="fr-CA"/>
        </w:rPr>
      </w:pPr>
    </w:p>
    <w:p w14:paraId="31E837A9" w14:textId="5550463D" w:rsidR="005A321B" w:rsidRPr="003E0DDA" w:rsidRDefault="005A321B" w:rsidP="005A321B">
      <w:pPr>
        <w:autoSpaceDE w:val="0"/>
        <w:autoSpaceDN w:val="0"/>
        <w:adjustRightInd w:val="0"/>
        <w:rPr>
          <w:rFonts w:ascii="Arial" w:eastAsia="Times New Roman" w:hAnsi="Arial" w:cs="Arial"/>
          <w:i/>
          <w:szCs w:val="23"/>
          <w:lang w:val="fr-CA"/>
        </w:rPr>
      </w:pPr>
      <w:r w:rsidRPr="003E0DDA">
        <w:rPr>
          <w:rFonts w:ascii="Arial" w:eastAsia="Times New Roman" w:hAnsi="Arial" w:cs="Arial"/>
          <w:i/>
          <w:iCs/>
          <w:szCs w:val="23"/>
          <w:lang w:val="fr-CA"/>
        </w:rPr>
        <w:t>Parties à titre d’intervenants — Autres procédures</w:t>
      </w:r>
    </w:p>
    <w:p w14:paraId="34AC2FA7"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4CACEAAA" w14:textId="2E5F1A1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8.</w:t>
      </w:r>
      <w:r w:rsidRPr="003E0DDA">
        <w:rPr>
          <w:rFonts w:ascii="Arial" w:eastAsia="Times New Roman" w:hAnsi="Arial" w:cs="Arial"/>
          <w:szCs w:val="23"/>
          <w:lang w:val="fr-CA"/>
        </w:rPr>
        <w:tab/>
        <w:t>Un organe décisionnel peut, sur demande écrite de l’une des Parties, ajouter la Partie à titre d’intervenant à une autre procédure si dans les circonstances l’ajout est raisonnable et compatible avec les principes de l’équité.</w:t>
      </w:r>
    </w:p>
    <w:p w14:paraId="20B36329" w14:textId="77777777" w:rsidR="005A321B" w:rsidRPr="003E0DDA" w:rsidRDefault="005A321B" w:rsidP="005A321B">
      <w:pPr>
        <w:autoSpaceDE w:val="0"/>
        <w:autoSpaceDN w:val="0"/>
        <w:adjustRightInd w:val="0"/>
        <w:rPr>
          <w:rFonts w:ascii="Arial" w:eastAsia="Times New Roman" w:hAnsi="Arial" w:cs="Arial"/>
          <w:szCs w:val="23"/>
          <w:lang w:val="fr-CA"/>
        </w:rPr>
      </w:pPr>
    </w:p>
    <w:p w14:paraId="1CEFE8D9" w14:textId="77777777" w:rsidR="005A321B" w:rsidRPr="003E0DDA" w:rsidRDefault="005A321B" w:rsidP="005A321B">
      <w:pPr>
        <w:autoSpaceDE w:val="0"/>
        <w:autoSpaceDN w:val="0"/>
        <w:adjustRightInd w:val="0"/>
        <w:rPr>
          <w:rFonts w:ascii="Arial" w:eastAsia="Times New Roman" w:hAnsi="Arial" w:cs="Arial"/>
          <w:i/>
          <w:szCs w:val="23"/>
          <w:lang w:val="fr-CA"/>
        </w:rPr>
      </w:pPr>
      <w:r w:rsidRPr="003E0DDA">
        <w:rPr>
          <w:rFonts w:ascii="Arial" w:eastAsia="Times New Roman" w:hAnsi="Arial" w:cs="Arial"/>
          <w:i/>
          <w:iCs/>
          <w:szCs w:val="23"/>
          <w:lang w:val="fr-CA"/>
        </w:rPr>
        <w:t>Parties plaignantes — Procédure du groupe spécial</w:t>
      </w:r>
    </w:p>
    <w:p w14:paraId="3AC49537" w14:textId="77777777" w:rsidR="005A321B" w:rsidRPr="003E0DDA" w:rsidRDefault="005A321B" w:rsidP="005A321B">
      <w:pPr>
        <w:autoSpaceDE w:val="0"/>
        <w:autoSpaceDN w:val="0"/>
        <w:adjustRightInd w:val="0"/>
        <w:rPr>
          <w:rFonts w:ascii="Arial" w:eastAsia="Times New Roman" w:hAnsi="Arial" w:cs="Arial"/>
          <w:szCs w:val="23"/>
          <w:lang w:val="fr-CA"/>
        </w:rPr>
      </w:pPr>
    </w:p>
    <w:p w14:paraId="229D244B" w14:textId="5C20442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Le groupe spécial peut, sur demande écrite d’un participant aux consultations qui n’a pas fourni l’avis écrit requis sous le régime de l’article 1004.10, ajouter le participant aux consultations à titre de Partie plaignante à la procédure si dans les circonstances l’ajout est raisonnable et compatible avec les principes de l’équité.</w:t>
      </w:r>
    </w:p>
    <w:p w14:paraId="01860566" w14:textId="77777777" w:rsidR="005A321B" w:rsidRPr="003E0DDA" w:rsidRDefault="005A321B" w:rsidP="005A321B">
      <w:pPr>
        <w:autoSpaceDE w:val="0"/>
        <w:autoSpaceDN w:val="0"/>
        <w:adjustRightInd w:val="0"/>
        <w:rPr>
          <w:rFonts w:ascii="Arial" w:eastAsia="Times New Roman" w:hAnsi="Arial" w:cs="Arial"/>
          <w:szCs w:val="23"/>
          <w:lang w:val="fr-CA"/>
        </w:rPr>
      </w:pPr>
    </w:p>
    <w:p w14:paraId="0D89DDB8" w14:textId="77777777" w:rsidR="005A321B" w:rsidRPr="003E0DDA" w:rsidRDefault="005A321B" w:rsidP="005A321B">
      <w:pPr>
        <w:autoSpaceDE w:val="0"/>
        <w:autoSpaceDN w:val="0"/>
        <w:adjustRightInd w:val="0"/>
        <w:rPr>
          <w:rFonts w:ascii="Arial" w:eastAsia="Times New Roman" w:hAnsi="Arial" w:cs="Arial"/>
          <w:i/>
          <w:szCs w:val="23"/>
          <w:lang w:val="fr-CA"/>
        </w:rPr>
      </w:pPr>
      <w:r w:rsidRPr="003E0DDA">
        <w:rPr>
          <w:rFonts w:ascii="Arial" w:eastAsia="Times New Roman" w:hAnsi="Arial" w:cs="Arial"/>
          <w:i/>
          <w:iCs/>
          <w:szCs w:val="23"/>
          <w:lang w:val="fr-CA"/>
        </w:rPr>
        <w:t>Personnes — Procédure du groupe spécial</w:t>
      </w:r>
    </w:p>
    <w:p w14:paraId="7D0B9024" w14:textId="77777777" w:rsidR="005A321B" w:rsidRPr="003E0DDA" w:rsidRDefault="005A321B" w:rsidP="005A321B">
      <w:pPr>
        <w:autoSpaceDE w:val="0"/>
        <w:autoSpaceDN w:val="0"/>
        <w:adjustRightInd w:val="0"/>
        <w:rPr>
          <w:rFonts w:ascii="Arial" w:eastAsia="Times New Roman" w:hAnsi="Arial" w:cs="Arial"/>
          <w:szCs w:val="23"/>
          <w:lang w:val="fr-CA"/>
        </w:rPr>
      </w:pPr>
    </w:p>
    <w:p w14:paraId="3FA5B88A" w14:textId="009DD9F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10.</w:t>
      </w:r>
      <w:r w:rsidRPr="003E0DDA">
        <w:rPr>
          <w:rFonts w:ascii="Arial" w:eastAsia="Times New Roman" w:hAnsi="Arial" w:cs="Arial"/>
          <w:szCs w:val="23"/>
          <w:lang w:val="fr-CA"/>
        </w:rPr>
        <w:tab/>
        <w:t>Le groupe spécial peut, sur demande écrite d’une Personne, ajouter la Personne à titre d’intervenant ou de personne plaignante à une procédure si dans les circonstances l’ajout est raisonnable et compatible avec les principes de l’équité.</w:t>
      </w:r>
    </w:p>
    <w:p w14:paraId="53A56750"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0B795875"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Prorogation ou abrégement des délais</w:t>
      </w:r>
    </w:p>
    <w:p w14:paraId="494345AA" w14:textId="77777777" w:rsidR="005A321B" w:rsidRPr="003E0DDA" w:rsidRDefault="005A321B" w:rsidP="005A321B">
      <w:pPr>
        <w:autoSpaceDE w:val="0"/>
        <w:autoSpaceDN w:val="0"/>
        <w:adjustRightInd w:val="0"/>
        <w:rPr>
          <w:rFonts w:ascii="Arial" w:eastAsia="Times New Roman" w:hAnsi="Arial" w:cs="Arial"/>
          <w:szCs w:val="23"/>
          <w:lang w:val="fr-CA"/>
        </w:rPr>
      </w:pPr>
    </w:p>
    <w:p w14:paraId="34D45756" w14:textId="6ECB30C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11.</w:t>
      </w:r>
      <w:r w:rsidRPr="003E0DDA">
        <w:rPr>
          <w:rFonts w:ascii="Arial" w:eastAsia="Times New Roman" w:hAnsi="Arial" w:cs="Arial"/>
          <w:szCs w:val="23"/>
          <w:lang w:val="fr-CA"/>
        </w:rPr>
        <w:tab/>
        <w:t xml:space="preserve">Si cela est juste et équitable et après avoir donné aux Parties participantes ou aux participants, selon le cas, la possibilité de fournir des commentaires, l’organe décisionnel peut proroger ou abréger les délais prévus par les présentes règles ou autrement fixés par l’organe décisionnel, avant ou après son expiration.  </w:t>
      </w:r>
    </w:p>
    <w:p w14:paraId="51274A25" w14:textId="77777777" w:rsidR="005A321B" w:rsidRPr="003E0DDA" w:rsidRDefault="005A321B" w:rsidP="005A321B">
      <w:pPr>
        <w:autoSpaceDE w:val="0"/>
        <w:autoSpaceDN w:val="0"/>
        <w:adjustRightInd w:val="0"/>
        <w:rPr>
          <w:rFonts w:ascii="Arial" w:eastAsia="Times New Roman" w:hAnsi="Arial" w:cs="Arial"/>
          <w:szCs w:val="23"/>
          <w:lang w:val="fr-CA"/>
        </w:rPr>
      </w:pPr>
    </w:p>
    <w:p w14:paraId="6B54475A"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 xml:space="preserve">Vice de forme et irrégularité </w:t>
      </w:r>
    </w:p>
    <w:p w14:paraId="1B4246B4" w14:textId="77777777" w:rsidR="005A321B" w:rsidRPr="003E0DDA" w:rsidRDefault="005A321B" w:rsidP="005A321B">
      <w:pPr>
        <w:autoSpaceDE w:val="0"/>
        <w:autoSpaceDN w:val="0"/>
        <w:adjustRightInd w:val="0"/>
        <w:rPr>
          <w:rFonts w:ascii="Arial" w:eastAsia="Times New Roman" w:hAnsi="Arial" w:cs="Arial"/>
          <w:szCs w:val="23"/>
          <w:lang w:val="fr-CA"/>
        </w:rPr>
      </w:pPr>
    </w:p>
    <w:p w14:paraId="589F165F"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12.</w:t>
      </w:r>
      <w:r w:rsidRPr="003E0DDA">
        <w:rPr>
          <w:rFonts w:ascii="Arial" w:eastAsia="Times New Roman" w:hAnsi="Arial" w:cs="Arial"/>
          <w:szCs w:val="23"/>
          <w:lang w:val="fr-CA"/>
        </w:rPr>
        <w:tab/>
        <w:t>Aucune procédure ne peut être déclarée invalide en raison d’un vice de forme ou d’une irrégularité technique.</w:t>
      </w:r>
    </w:p>
    <w:p w14:paraId="6A2A1014" w14:textId="77777777" w:rsidR="005A321B" w:rsidRPr="003E0DDA" w:rsidRDefault="005A321B" w:rsidP="005A321B">
      <w:pPr>
        <w:autoSpaceDE w:val="0"/>
        <w:autoSpaceDN w:val="0"/>
        <w:adjustRightInd w:val="0"/>
        <w:rPr>
          <w:rFonts w:ascii="Arial" w:eastAsia="Times New Roman" w:hAnsi="Arial" w:cs="Arial"/>
          <w:szCs w:val="23"/>
          <w:lang w:val="fr-CA"/>
        </w:rPr>
      </w:pPr>
    </w:p>
    <w:p w14:paraId="6AB7B9BD" w14:textId="77777777" w:rsidR="005A321B" w:rsidRPr="003E0DDA" w:rsidRDefault="005A321B" w:rsidP="005A321B">
      <w:pPr>
        <w:keepNext/>
        <w:keepLines/>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lastRenderedPageBreak/>
        <w:t>Fonctions du Secrétariat</w:t>
      </w:r>
    </w:p>
    <w:p w14:paraId="255D65C6" w14:textId="77777777" w:rsidR="005A321B" w:rsidRPr="003E0DDA" w:rsidRDefault="005A321B" w:rsidP="005A321B">
      <w:pPr>
        <w:keepNext/>
        <w:keepLines/>
        <w:autoSpaceDE w:val="0"/>
        <w:autoSpaceDN w:val="0"/>
        <w:adjustRightInd w:val="0"/>
        <w:rPr>
          <w:rFonts w:ascii="Arial" w:eastAsia="Times New Roman" w:hAnsi="Arial" w:cs="Arial"/>
          <w:b/>
          <w:bCs/>
          <w:szCs w:val="23"/>
          <w:lang w:val="fr-CA"/>
        </w:rPr>
      </w:pPr>
    </w:p>
    <w:p w14:paraId="0B1615CE" w14:textId="4F027F85" w:rsidR="005A321B" w:rsidRPr="003E0DDA" w:rsidRDefault="005A321B" w:rsidP="005A321B">
      <w:pPr>
        <w:keepNext/>
        <w:keepLines/>
        <w:rPr>
          <w:rFonts w:ascii="Arial" w:eastAsia="Times New Roman" w:hAnsi="Arial" w:cs="Arial"/>
          <w:bCs/>
          <w:szCs w:val="23"/>
          <w:lang w:val="fr-CA"/>
        </w:rPr>
      </w:pPr>
      <w:r w:rsidRPr="003E0DDA">
        <w:rPr>
          <w:rFonts w:ascii="Arial" w:eastAsia="Times New Roman" w:hAnsi="Arial" w:cs="Arial"/>
          <w:szCs w:val="23"/>
          <w:lang w:val="fr-CA"/>
        </w:rPr>
        <w:t>13.</w:t>
      </w:r>
      <w:r w:rsidRPr="003E0DDA">
        <w:rPr>
          <w:rFonts w:ascii="Arial" w:eastAsia="Times New Roman" w:hAnsi="Arial" w:cs="Arial"/>
          <w:szCs w:val="23"/>
          <w:lang w:val="fr-CA"/>
        </w:rPr>
        <w:tab/>
        <w:t>Le Secrétariat apporte un soutien administratif aux procédures, il prend notamment les arrangements nécessaires pour la tenue des conférences préparatoires à l’audience et des audiences orales fixées par l’organe décisionnel, de concert avec les Parties participantes ou les participants, et pour les séances de l’organe décisionnel.</w:t>
      </w:r>
    </w:p>
    <w:p w14:paraId="694F2E24" w14:textId="7CAC55F6" w:rsidR="005A321B" w:rsidRPr="003E0DDA" w:rsidRDefault="005A321B" w:rsidP="005A321B">
      <w:pPr>
        <w:spacing w:before="100" w:beforeAutospacing="1" w:after="100" w:afterAutospacing="1"/>
        <w:rPr>
          <w:rFonts w:ascii="Arial" w:eastAsia="Times New Roman" w:hAnsi="Arial" w:cs="Arial"/>
          <w:bCs/>
          <w:szCs w:val="23"/>
          <w:lang w:val="fr-CA"/>
        </w:rPr>
      </w:pPr>
      <w:r w:rsidRPr="003E0DDA">
        <w:rPr>
          <w:rFonts w:ascii="Arial" w:eastAsia="Times New Roman" w:hAnsi="Arial" w:cs="Arial"/>
          <w:szCs w:val="23"/>
          <w:lang w:val="fr-CA"/>
        </w:rPr>
        <w:t>14.</w:t>
      </w:r>
      <w:r w:rsidRPr="003E0DDA">
        <w:rPr>
          <w:rFonts w:ascii="Arial" w:eastAsia="Times New Roman" w:hAnsi="Arial" w:cs="Arial"/>
          <w:szCs w:val="23"/>
          <w:lang w:val="fr-CA"/>
        </w:rPr>
        <w:tab/>
        <w:t xml:space="preserve">Le Secrétariat tient pour chaque procédure un dossier comprenant tous les documents pertinents, y compris les originaux ou les copies produits au cours de cette procédure. Si cela est nécessaire, le Secrétariat peut attester des copies certifiées conformes à l’original. Tous les documents produits portent un timbre du Secrétariat où figurent le numéro d’identification du dossier, ainsi que la date et l’heure de sa réception. </w:t>
      </w:r>
    </w:p>
    <w:p w14:paraId="1DA9FEA9" w14:textId="5C835FD6" w:rsidR="005A321B" w:rsidRPr="003E0DDA" w:rsidRDefault="005A321B" w:rsidP="005A321B">
      <w:pPr>
        <w:spacing w:before="100" w:beforeAutospacing="1" w:after="100" w:afterAutospacing="1"/>
        <w:rPr>
          <w:rFonts w:ascii="Arial" w:eastAsia="Times New Roman" w:hAnsi="Arial" w:cs="Arial"/>
          <w:bCs/>
          <w:szCs w:val="23"/>
          <w:lang w:val="fr-CA"/>
        </w:rPr>
      </w:pPr>
      <w:r w:rsidRPr="003E0DDA">
        <w:rPr>
          <w:rFonts w:ascii="Arial" w:eastAsia="Arial" w:hAnsi="Arial" w:cs="Arial"/>
          <w:szCs w:val="23"/>
          <w:lang w:val="fr-CA"/>
        </w:rPr>
        <w:t>15.</w:t>
      </w:r>
      <w:r w:rsidRPr="003E0DDA">
        <w:rPr>
          <w:rFonts w:ascii="Arial" w:eastAsia="Arial" w:hAnsi="Arial" w:cs="Arial"/>
          <w:szCs w:val="23"/>
          <w:lang w:val="fr-CA"/>
        </w:rPr>
        <w:tab/>
        <w:t xml:space="preserve">Le Secrétariat transmet copie d’une demande d’établissement d’un groupe spécial conformément </w:t>
      </w:r>
      <w:r w:rsidRPr="003E0DDA">
        <w:rPr>
          <w:rFonts w:ascii="Arial" w:eastAsia="Times New Roman" w:hAnsi="Arial" w:cs="Arial"/>
          <w:szCs w:val="23"/>
          <w:lang w:val="fr-CA"/>
        </w:rPr>
        <w:t>à l’article</w:t>
      </w:r>
      <w:r w:rsidRPr="003E0DDA">
        <w:rPr>
          <w:rFonts w:ascii="Arial" w:eastAsia="Arial" w:hAnsi="Arial" w:cs="Arial"/>
          <w:szCs w:val="23"/>
          <w:lang w:val="fr-CA"/>
        </w:rPr>
        <w:t> 1004.1 ou</w:t>
      </w:r>
      <w:r w:rsidRPr="003E0DDA">
        <w:rPr>
          <w:rFonts w:ascii="Arial" w:eastAsia="Times New Roman" w:hAnsi="Arial" w:cs="Arial"/>
          <w:szCs w:val="23"/>
          <w:lang w:val="fr-CA"/>
        </w:rPr>
        <w:t xml:space="preserve"> à l’article</w:t>
      </w:r>
      <w:r w:rsidRPr="003E0DDA">
        <w:rPr>
          <w:rFonts w:ascii="Arial" w:eastAsia="Arial" w:hAnsi="Arial" w:cs="Arial"/>
          <w:szCs w:val="23"/>
          <w:lang w:val="fr-CA"/>
        </w:rPr>
        <w:t xml:space="preserve"> 1018.1, d’un groupe spécial de l’observation des décisions conformément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1010.9 ou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1027.9, d’un groupe spécial </w:t>
      </w:r>
      <w:r w:rsidRPr="003E0DDA">
        <w:rPr>
          <w:rFonts w:ascii="Arial" w:eastAsia="Arial" w:hAnsi="Arial" w:cs="Arial"/>
          <w:bCs/>
          <w:szCs w:val="23"/>
          <w:lang w:val="fr-CA"/>
        </w:rPr>
        <w:t>sommaire</w:t>
      </w:r>
      <w:r w:rsidRPr="003E0DDA">
        <w:rPr>
          <w:rFonts w:ascii="Arial" w:eastAsia="Arial" w:hAnsi="Arial" w:cs="Arial"/>
          <w:szCs w:val="23"/>
          <w:lang w:val="fr-CA"/>
        </w:rPr>
        <w:t xml:space="preserve"> conformément à l’article 1020.1 et d’un avis d’appel conformément </w:t>
      </w:r>
      <w:r w:rsidRPr="003E0DDA">
        <w:rPr>
          <w:rFonts w:ascii="Arial" w:eastAsia="Times New Roman" w:hAnsi="Arial" w:cs="Arial"/>
          <w:szCs w:val="23"/>
          <w:lang w:val="fr-CA"/>
        </w:rPr>
        <w:t>à l’article</w:t>
      </w:r>
      <w:r w:rsidRPr="003E0DDA">
        <w:rPr>
          <w:rFonts w:ascii="Arial" w:eastAsia="Arial" w:hAnsi="Arial" w:cs="Arial"/>
          <w:szCs w:val="23"/>
          <w:lang w:val="fr-CA"/>
        </w:rPr>
        <w:t> 1009.2 ou</w:t>
      </w:r>
      <w:r w:rsidRPr="003E0DDA">
        <w:rPr>
          <w:rFonts w:ascii="Arial" w:eastAsia="Times New Roman" w:hAnsi="Arial" w:cs="Arial"/>
          <w:szCs w:val="23"/>
          <w:lang w:val="fr-CA"/>
        </w:rPr>
        <w:t xml:space="preserve"> à l’article</w:t>
      </w:r>
      <w:r w:rsidRPr="003E0DDA">
        <w:rPr>
          <w:rFonts w:ascii="Arial" w:eastAsia="Arial" w:hAnsi="Arial" w:cs="Arial"/>
          <w:szCs w:val="23"/>
          <w:lang w:val="fr-CA"/>
        </w:rPr>
        <w:t xml:space="preserve"> 1026.2, aux Parties et aux participants qui sont des Personnes n’ayant pas fait la demande ni fourni d’avis d’appel </w:t>
      </w:r>
      <w:r w:rsidRPr="003E0DDA">
        <w:rPr>
          <w:rFonts w:ascii="Arial" w:eastAsia="Times New Roman" w:hAnsi="Arial" w:cs="Arial"/>
          <w:szCs w:val="23"/>
          <w:lang w:val="fr-CA"/>
        </w:rPr>
        <w:t>dans les moindres délais</w:t>
      </w:r>
      <w:r w:rsidRPr="003E0DDA">
        <w:rPr>
          <w:rFonts w:ascii="Arial" w:eastAsia="Arial" w:hAnsi="Arial" w:cs="Arial"/>
          <w:szCs w:val="23"/>
          <w:lang w:val="fr-CA"/>
        </w:rPr>
        <w:t xml:space="preserve"> après avoir reçu la demande ou l’avis. </w:t>
      </w:r>
    </w:p>
    <w:p w14:paraId="1D9B5C3C" w14:textId="0D0DF9A4" w:rsidR="005A321B" w:rsidRPr="003E0DDA" w:rsidRDefault="005A321B" w:rsidP="005A321B">
      <w:pPr>
        <w:spacing w:before="100" w:beforeAutospacing="1" w:after="100" w:afterAutospacing="1"/>
        <w:rPr>
          <w:rFonts w:ascii="Arial" w:eastAsia="Times New Roman" w:hAnsi="Arial" w:cs="Arial"/>
          <w:bCs/>
          <w:szCs w:val="23"/>
          <w:lang w:val="fr-CA"/>
        </w:rPr>
      </w:pPr>
      <w:r w:rsidRPr="003E0DDA">
        <w:rPr>
          <w:rFonts w:ascii="Arial" w:eastAsia="Times New Roman" w:hAnsi="Arial" w:cs="Arial"/>
          <w:szCs w:val="23"/>
          <w:lang w:val="fr-CA"/>
        </w:rPr>
        <w:t>16.</w:t>
      </w:r>
      <w:r w:rsidRPr="003E0DDA">
        <w:rPr>
          <w:rFonts w:ascii="Arial" w:eastAsia="Times New Roman" w:hAnsi="Arial" w:cs="Arial"/>
          <w:szCs w:val="23"/>
          <w:lang w:val="fr-CA"/>
        </w:rPr>
        <w:tab/>
        <w:t>Le Secrétariat transmet copie des autres documents et observations déposés au Secrétariat dans une procédure, et des rapports, décisions, ordonnances et directives ou autres communications écrites (que ce soit sur des questions de procédure ou autres) provenant de l’organe décisionnel, aux Parties participantes ou aux participants, selon le cas, dans les moindres délais après réception de ces documents, observations, rapports, décisions, ordonnances et directives ou autres communications écrites.  Si une ordonnance sur les sanctions pécuniaires a été rendue par un groupe spécial de l’observation des décisions ou qu’une ordonnance sur les dépens prévus au tarif ou les frais supplémentaires a été rendue par un organe décisionnel, le Secrétariat transmet une copie certifiée conforme de l’ordonnance à chaque Partie participante ou participant touché par l’ordonnance.</w:t>
      </w:r>
    </w:p>
    <w:p w14:paraId="6C2E1E2B" w14:textId="5913A0B0" w:rsidR="005A321B" w:rsidRPr="003E0DDA" w:rsidRDefault="005A321B" w:rsidP="005A321B">
      <w:pPr>
        <w:spacing w:before="100" w:beforeAutospacing="1" w:after="100" w:afterAutospacing="1"/>
        <w:rPr>
          <w:rFonts w:ascii="Arial" w:eastAsia="Times New Roman" w:hAnsi="Arial" w:cs="Arial"/>
          <w:bCs/>
          <w:szCs w:val="23"/>
          <w:lang w:val="fr-CA"/>
        </w:rPr>
      </w:pPr>
      <w:r w:rsidRPr="003E0DDA">
        <w:rPr>
          <w:rFonts w:ascii="Arial" w:eastAsia="Times New Roman" w:hAnsi="Arial" w:cs="Arial"/>
          <w:szCs w:val="23"/>
          <w:lang w:val="fr-CA"/>
        </w:rPr>
        <w:t>17.</w:t>
      </w:r>
      <w:r w:rsidRPr="003E0DDA">
        <w:rPr>
          <w:rFonts w:ascii="Arial" w:eastAsia="Times New Roman" w:hAnsi="Arial" w:cs="Arial"/>
          <w:szCs w:val="23"/>
          <w:lang w:val="fr-CA"/>
        </w:rPr>
        <w:tab/>
        <w:t xml:space="preserve">Le Secrétariat avise en temps opportun les Parties participantes ou les participants de la date, de l’heure et du lieu (ou des coordonnées téléphoniques, le cas échéant) des conférences préparatoires à l’audience, audiences orales ou autres séances devant l’organe décisionnel, fixées par l’organe décisionnel de concert avec les Parties participantes ou les participants.  </w:t>
      </w:r>
    </w:p>
    <w:p w14:paraId="4048568D" w14:textId="61086D42" w:rsidR="005A321B" w:rsidRPr="003E0DDA" w:rsidRDefault="005A321B" w:rsidP="005A321B">
      <w:pPr>
        <w:spacing w:before="100" w:beforeAutospacing="1" w:after="100" w:afterAutospacing="1"/>
        <w:rPr>
          <w:rFonts w:ascii="Arial" w:eastAsia="Times New Roman" w:hAnsi="Arial" w:cs="Arial"/>
          <w:bCs/>
          <w:i/>
          <w:szCs w:val="23"/>
          <w:lang w:val="fr-CA"/>
        </w:rPr>
      </w:pPr>
      <w:r w:rsidRPr="003E0DDA">
        <w:rPr>
          <w:rFonts w:ascii="Arial" w:eastAsia="Times New Roman" w:hAnsi="Arial" w:cs="Arial"/>
          <w:szCs w:val="23"/>
          <w:lang w:val="fr-CA"/>
        </w:rPr>
        <w:t>18.</w:t>
      </w:r>
      <w:r w:rsidRPr="003E0DDA">
        <w:rPr>
          <w:rFonts w:ascii="Arial" w:eastAsia="Times New Roman" w:hAnsi="Arial" w:cs="Arial"/>
          <w:szCs w:val="23"/>
          <w:lang w:val="fr-CA"/>
        </w:rPr>
        <w:tab/>
        <w:t xml:space="preserve">Le Secrétariat verse au dossier tous les rapports et toutes les décisions, ordonnances et directives et communications écrites de l’organe décisionnel. </w:t>
      </w:r>
    </w:p>
    <w:p w14:paraId="322D2DAC" w14:textId="6E00E934" w:rsidR="005A321B" w:rsidRPr="003E0DDA" w:rsidRDefault="005A321B" w:rsidP="005A321B">
      <w:pPr>
        <w:spacing w:before="100" w:beforeAutospacing="1" w:after="100" w:afterAutospacing="1"/>
        <w:rPr>
          <w:rFonts w:ascii="Arial" w:eastAsia="Arial" w:hAnsi="Arial" w:cs="Arial"/>
          <w:szCs w:val="23"/>
          <w:lang w:val="fr-CA"/>
        </w:rPr>
      </w:pPr>
      <w:r w:rsidRPr="003E0DDA">
        <w:rPr>
          <w:rFonts w:ascii="Arial" w:eastAsia="Arial" w:hAnsi="Arial" w:cs="Arial"/>
          <w:szCs w:val="23"/>
          <w:lang w:val="fr-CA"/>
        </w:rPr>
        <w:t>19.</w:t>
      </w:r>
      <w:r w:rsidRPr="003E0DDA">
        <w:rPr>
          <w:rFonts w:ascii="Arial" w:eastAsia="Arial" w:hAnsi="Arial" w:cs="Arial"/>
          <w:szCs w:val="23"/>
          <w:lang w:val="fr-CA"/>
        </w:rPr>
        <w:tab/>
        <w:t xml:space="preserve">Si le destinataire de la plainte a déposé une lettre de crédit conformément au sous-alinéa </w:t>
      </w:r>
      <w:proofErr w:type="gramStart"/>
      <w:r w:rsidRPr="003E0DDA">
        <w:rPr>
          <w:rFonts w:ascii="Arial" w:eastAsia="Arial" w:hAnsi="Arial" w:cs="Arial"/>
          <w:szCs w:val="23"/>
          <w:lang w:val="fr-CA"/>
        </w:rPr>
        <w:t>1001.4c)ii</w:t>
      </w:r>
      <w:proofErr w:type="gramEnd"/>
      <w:r w:rsidRPr="003E0DDA">
        <w:rPr>
          <w:rFonts w:ascii="Arial" w:eastAsia="Arial" w:hAnsi="Arial" w:cs="Arial"/>
          <w:szCs w:val="23"/>
          <w:lang w:val="fr-CA"/>
        </w:rPr>
        <w:t xml:space="preserve">) et omet de se conformer à l’ordonnance sur les sanctions pécuniaires dans le délai prévu </w:t>
      </w:r>
      <w:r w:rsidRPr="003E0DDA">
        <w:rPr>
          <w:rFonts w:ascii="Arial" w:eastAsia="Times New Roman" w:hAnsi="Arial" w:cs="Arial"/>
          <w:szCs w:val="23"/>
          <w:lang w:val="fr-CA"/>
        </w:rPr>
        <w:t>à l’article </w:t>
      </w:r>
      <w:r w:rsidRPr="003E0DDA">
        <w:rPr>
          <w:rFonts w:ascii="Arial" w:eastAsia="Arial" w:hAnsi="Arial" w:cs="Arial"/>
          <w:szCs w:val="23"/>
          <w:lang w:val="fr-CA"/>
        </w:rPr>
        <w:t xml:space="preserve">1012.3 ou </w:t>
      </w:r>
      <w:r w:rsidRPr="003E0DDA">
        <w:rPr>
          <w:rFonts w:ascii="Arial" w:eastAsia="Times New Roman" w:hAnsi="Arial" w:cs="Arial"/>
          <w:szCs w:val="23"/>
          <w:lang w:val="fr-CA"/>
        </w:rPr>
        <w:t>à l’article </w:t>
      </w:r>
      <w:r w:rsidRPr="003E0DDA">
        <w:rPr>
          <w:rFonts w:ascii="Arial" w:eastAsia="Arial" w:hAnsi="Arial" w:cs="Arial"/>
          <w:szCs w:val="23"/>
          <w:lang w:val="fr-CA"/>
        </w:rPr>
        <w:t>1029.5, le Secrétariat exige, dans les sept  jours qui suivent ce délai, le paiement conformément à la procédure énoncée dans la lettre de crédit. Le Secrétariat avise le destinataire de la plainte que sa lettre de crédit a été présentée à l’institution financière pour paiement.</w:t>
      </w:r>
    </w:p>
    <w:p w14:paraId="0A3E0025"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lastRenderedPageBreak/>
        <w:t>Traduction et interprétation</w:t>
      </w:r>
    </w:p>
    <w:p w14:paraId="07984B0F" w14:textId="682329FC" w:rsidR="005A321B" w:rsidRPr="003E0DDA" w:rsidRDefault="005A321B" w:rsidP="005A321B">
      <w:pPr>
        <w:spacing w:before="100" w:beforeAutospacing="1" w:after="100" w:afterAutospacing="1"/>
        <w:rPr>
          <w:rFonts w:ascii="Arial" w:eastAsia="Times New Roman" w:hAnsi="Arial" w:cs="Arial"/>
          <w:szCs w:val="23"/>
          <w:lang w:val="fr-CA"/>
        </w:rPr>
      </w:pPr>
      <w:r w:rsidRPr="003E0DDA">
        <w:rPr>
          <w:rFonts w:ascii="Arial" w:eastAsia="Times New Roman" w:hAnsi="Arial" w:cs="Arial"/>
          <w:szCs w:val="23"/>
          <w:lang w:val="fr-CA"/>
        </w:rPr>
        <w:t>20.</w:t>
      </w:r>
      <w:r w:rsidRPr="003E0DDA">
        <w:rPr>
          <w:rFonts w:ascii="Arial" w:eastAsia="Times New Roman" w:hAnsi="Arial" w:cs="Arial"/>
          <w:szCs w:val="23"/>
          <w:lang w:val="fr-CA"/>
        </w:rPr>
        <w:tab/>
        <w:t>Les observations et documents écrits déposés par une Partie participante ou un participant relativement à une procédure ou au cours de celle-ci, peuvent être rédigés, et les audiences orales peuvent se dérouler, en français ou en anglais.</w:t>
      </w:r>
    </w:p>
    <w:p w14:paraId="78843A17" w14:textId="5005FDA0" w:rsidR="005A321B" w:rsidRPr="003E0DDA" w:rsidRDefault="005A321B" w:rsidP="005A321B">
      <w:pPr>
        <w:spacing w:before="100" w:beforeAutospacing="1" w:after="100" w:afterAutospacing="1"/>
        <w:rPr>
          <w:rFonts w:ascii="Arial" w:eastAsia="Times New Roman" w:hAnsi="Arial" w:cs="Arial"/>
          <w:szCs w:val="23"/>
          <w:lang w:val="fr-CA"/>
        </w:rPr>
      </w:pPr>
      <w:r w:rsidRPr="003E0DDA">
        <w:rPr>
          <w:rFonts w:ascii="Arial" w:eastAsia="Times New Roman" w:hAnsi="Arial" w:cs="Arial"/>
          <w:szCs w:val="23"/>
          <w:lang w:val="fr-CA"/>
        </w:rPr>
        <w:t>21.</w:t>
      </w:r>
      <w:r w:rsidRPr="003E0DDA">
        <w:rPr>
          <w:rFonts w:ascii="Arial" w:eastAsia="Times New Roman" w:hAnsi="Arial" w:cs="Arial"/>
          <w:szCs w:val="23"/>
          <w:lang w:val="fr-CA"/>
        </w:rPr>
        <w:tab/>
        <w:t>Le Secrétariat assure l’interprétation et la traduction, selon le cas, des observations et documents écrits, des audiences orales et des rapports des organes décisionnels si une Partie participante, un participant ou un membre de l’organe décisionnel le demande. Les Parties participantes et les participants sont encouragés à fournir leurs documents et observations en français et en anglais, chaque fois que possible.</w:t>
      </w:r>
    </w:p>
    <w:p w14:paraId="03B574AD" w14:textId="213778E9" w:rsidR="005A321B" w:rsidRPr="003E0DDA" w:rsidRDefault="005A321B" w:rsidP="005A321B">
      <w:pPr>
        <w:rPr>
          <w:rFonts w:ascii="Arial" w:eastAsia="Times New Roman" w:hAnsi="Arial" w:cs="Arial"/>
          <w:szCs w:val="23"/>
          <w:lang w:val="fr-CA"/>
        </w:rPr>
      </w:pPr>
      <w:r w:rsidRPr="003E0DDA">
        <w:rPr>
          <w:rFonts w:ascii="Arial" w:eastAsia="Times New Roman" w:hAnsi="Arial" w:cs="Arial"/>
          <w:szCs w:val="23"/>
          <w:lang w:val="fr-CA"/>
        </w:rPr>
        <w:t>22.</w:t>
      </w:r>
      <w:r w:rsidRPr="003E0DDA">
        <w:rPr>
          <w:rFonts w:ascii="Arial" w:eastAsia="Times New Roman" w:hAnsi="Arial" w:cs="Arial"/>
          <w:szCs w:val="23"/>
          <w:lang w:val="fr-CA"/>
        </w:rPr>
        <w:tab/>
        <w:t>Lorsqu’un rapport de l’organe décisionnel est rendu public, il est publié simultanément en français et en anglais. Chaque version fait également foi.</w:t>
      </w:r>
    </w:p>
    <w:p w14:paraId="6349CF1C"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219B6334"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Fonctionnement d’un organe décisionnel</w:t>
      </w:r>
    </w:p>
    <w:p w14:paraId="6139894C" w14:textId="77777777" w:rsidR="005A321B" w:rsidRPr="003E0DDA" w:rsidRDefault="005A321B" w:rsidP="005A321B">
      <w:pPr>
        <w:autoSpaceDE w:val="0"/>
        <w:autoSpaceDN w:val="0"/>
        <w:adjustRightInd w:val="0"/>
        <w:rPr>
          <w:rFonts w:ascii="Arial" w:eastAsia="Times New Roman" w:hAnsi="Arial" w:cs="Arial"/>
          <w:szCs w:val="23"/>
          <w:lang w:val="fr-CA"/>
        </w:rPr>
      </w:pPr>
    </w:p>
    <w:p w14:paraId="7755066B"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23.</w:t>
      </w:r>
      <w:r w:rsidRPr="003E0DDA">
        <w:rPr>
          <w:rFonts w:ascii="Arial" w:eastAsia="Times New Roman" w:hAnsi="Arial" w:cs="Arial"/>
          <w:szCs w:val="23"/>
          <w:lang w:val="fr-CA"/>
        </w:rPr>
        <w:tab/>
        <w:t>Le président d’un organe décisionnel préside toutes les séances.</w:t>
      </w:r>
    </w:p>
    <w:p w14:paraId="13E42099" w14:textId="77777777" w:rsidR="005A321B" w:rsidRPr="003E0DDA" w:rsidRDefault="005A321B" w:rsidP="005A321B">
      <w:pPr>
        <w:autoSpaceDE w:val="0"/>
        <w:autoSpaceDN w:val="0"/>
        <w:adjustRightInd w:val="0"/>
        <w:rPr>
          <w:rFonts w:ascii="Arial" w:eastAsia="Times New Roman" w:hAnsi="Arial" w:cs="Arial"/>
          <w:szCs w:val="23"/>
          <w:lang w:val="fr-CA"/>
        </w:rPr>
      </w:pPr>
    </w:p>
    <w:p w14:paraId="31C34C73"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24.</w:t>
      </w:r>
      <w:r w:rsidRPr="003E0DDA">
        <w:rPr>
          <w:rFonts w:ascii="Arial" w:eastAsia="Times New Roman" w:hAnsi="Arial" w:cs="Arial"/>
          <w:szCs w:val="23"/>
          <w:lang w:val="fr-CA"/>
        </w:rPr>
        <w:tab/>
        <w:t>Le président d’un organe décisionnel fixe la date et l’heure de ses audiences en conformité avec les présentes règles et après consultation des autres membres de l’organe décisionnel, des Parties participantes ou des participants, selon le cas, et du Secrétariat.</w:t>
      </w:r>
    </w:p>
    <w:p w14:paraId="2C589A77" w14:textId="77777777" w:rsidR="005A321B" w:rsidRPr="003E0DDA" w:rsidRDefault="005A321B" w:rsidP="005A321B">
      <w:pPr>
        <w:autoSpaceDE w:val="0"/>
        <w:autoSpaceDN w:val="0"/>
        <w:adjustRightInd w:val="0"/>
        <w:rPr>
          <w:rFonts w:ascii="Arial" w:eastAsia="Times New Roman" w:hAnsi="Arial" w:cs="Arial"/>
          <w:szCs w:val="23"/>
          <w:lang w:val="fr-CA"/>
        </w:rPr>
      </w:pPr>
    </w:p>
    <w:p w14:paraId="5E2A9408"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25.</w:t>
      </w:r>
      <w:r w:rsidRPr="003E0DDA">
        <w:rPr>
          <w:rFonts w:ascii="Arial" w:eastAsia="Times New Roman" w:hAnsi="Arial" w:cs="Arial"/>
          <w:szCs w:val="23"/>
          <w:lang w:val="fr-CA"/>
        </w:rPr>
        <w:tab/>
        <w:t>Sauf dans la mesure où un organe décisionnel donne une directive contraire, les audiences sont publiques.</w:t>
      </w:r>
    </w:p>
    <w:p w14:paraId="227DD7B7" w14:textId="77777777" w:rsidR="005A321B" w:rsidRPr="003E0DDA" w:rsidRDefault="005A321B" w:rsidP="005A321B">
      <w:pPr>
        <w:autoSpaceDE w:val="0"/>
        <w:autoSpaceDN w:val="0"/>
        <w:adjustRightInd w:val="0"/>
        <w:rPr>
          <w:rFonts w:ascii="Arial" w:eastAsia="Times New Roman" w:hAnsi="Arial" w:cs="Arial"/>
          <w:szCs w:val="23"/>
          <w:lang w:val="fr-CA"/>
        </w:rPr>
      </w:pPr>
    </w:p>
    <w:p w14:paraId="50C95508" w14:textId="6826387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26.</w:t>
      </w:r>
      <w:r w:rsidRPr="003E0DDA">
        <w:rPr>
          <w:rFonts w:ascii="Arial" w:eastAsia="Times New Roman" w:hAnsi="Arial" w:cs="Arial"/>
          <w:szCs w:val="23"/>
          <w:lang w:val="fr-CA"/>
        </w:rPr>
        <w:tab/>
        <w:t>Si le rapport d’un organe décisionnel n’est pas unanime, le rapport précise quels sont les membres appuyant chaque avis.</w:t>
      </w:r>
    </w:p>
    <w:p w14:paraId="56CFEDAB" w14:textId="77777777" w:rsidR="005A321B" w:rsidRPr="003E0DDA" w:rsidRDefault="005A321B" w:rsidP="005A321B">
      <w:pPr>
        <w:autoSpaceDE w:val="0"/>
        <w:autoSpaceDN w:val="0"/>
        <w:adjustRightInd w:val="0"/>
        <w:rPr>
          <w:rFonts w:ascii="Arial" w:eastAsia="Times New Roman" w:hAnsi="Arial" w:cs="Arial"/>
          <w:szCs w:val="23"/>
          <w:lang w:val="fr-CA"/>
        </w:rPr>
      </w:pPr>
    </w:p>
    <w:p w14:paraId="01DDAA3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27.</w:t>
      </w:r>
      <w:r w:rsidRPr="003E0DDA">
        <w:rPr>
          <w:rFonts w:ascii="Arial" w:eastAsia="Times New Roman" w:hAnsi="Arial" w:cs="Arial"/>
          <w:szCs w:val="23"/>
          <w:lang w:val="fr-CA"/>
        </w:rPr>
        <w:tab/>
        <w:t>Les séances d’un organe décisionnel et les conférences préparatoires à l’audience devant un organe décisionnel, mais pas les audiences, peuvent être menées au moyen de conférences téléphoniques ou de dispositifs électroniques.</w:t>
      </w:r>
    </w:p>
    <w:p w14:paraId="2FD6D0F3" w14:textId="77777777" w:rsidR="005A321B" w:rsidRPr="003E0DDA" w:rsidRDefault="005A321B" w:rsidP="005A321B">
      <w:pPr>
        <w:autoSpaceDE w:val="0"/>
        <w:autoSpaceDN w:val="0"/>
        <w:adjustRightInd w:val="0"/>
        <w:rPr>
          <w:rFonts w:ascii="Arial" w:eastAsia="Times New Roman" w:hAnsi="Arial" w:cs="Arial"/>
          <w:szCs w:val="23"/>
          <w:lang w:val="fr-CA"/>
        </w:rPr>
      </w:pPr>
    </w:p>
    <w:p w14:paraId="5F1AC82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28.</w:t>
      </w:r>
      <w:r w:rsidRPr="003E0DDA">
        <w:rPr>
          <w:rFonts w:ascii="Arial" w:eastAsia="Times New Roman" w:hAnsi="Arial" w:cs="Arial"/>
          <w:szCs w:val="23"/>
          <w:lang w:val="fr-CA"/>
        </w:rPr>
        <w:tab/>
        <w:t xml:space="preserve">Un organe décisionnel peut, pour régler des questions administratives courantes, adopter ses propres procédures internes. </w:t>
      </w:r>
    </w:p>
    <w:p w14:paraId="217C8045"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40518838"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Confidentialité</w:t>
      </w:r>
    </w:p>
    <w:p w14:paraId="12E3AC2E" w14:textId="77777777" w:rsidR="005A321B" w:rsidRPr="003E0DDA" w:rsidRDefault="005A321B" w:rsidP="005A321B">
      <w:pPr>
        <w:autoSpaceDE w:val="0"/>
        <w:autoSpaceDN w:val="0"/>
        <w:adjustRightInd w:val="0"/>
        <w:rPr>
          <w:rFonts w:ascii="Arial" w:eastAsia="Times New Roman" w:hAnsi="Arial" w:cs="Arial"/>
          <w:szCs w:val="23"/>
          <w:lang w:val="fr-CA"/>
        </w:rPr>
      </w:pPr>
    </w:p>
    <w:p w14:paraId="43512066" w14:textId="2871C0D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29.</w:t>
      </w:r>
      <w:r w:rsidRPr="003E0DDA">
        <w:rPr>
          <w:rFonts w:ascii="Arial" w:eastAsia="Times New Roman" w:hAnsi="Arial" w:cs="Arial"/>
          <w:szCs w:val="23"/>
          <w:lang w:val="fr-CA"/>
        </w:rPr>
        <w:tab/>
        <w:t>Si une Partie participante ou un participant indique qu’il faut traiter de façon confidentielle un renseignement contenu dans des documents déposés au Secrétariat ou transmis aux autres Parties participantes ou participants, relativement à une procédure,</w:t>
      </w:r>
    </w:p>
    <w:p w14:paraId="1A54D208"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430A42BD" w14:textId="2EFF387E"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soit en raison de sa nature commerciale délicate ou de la protection que lui accorde la loi par ailleurs;</w:t>
      </w:r>
    </w:p>
    <w:p w14:paraId="7BAF319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B0E3B09" w14:textId="10270B73"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soit parce que sa divulgation pourrait nuire à des relations ou à des obligations intergouvernementales,</w:t>
      </w:r>
    </w:p>
    <w:p w14:paraId="3BFB7F58" w14:textId="77777777" w:rsidR="005A321B" w:rsidRPr="003E0DDA" w:rsidRDefault="005A321B" w:rsidP="005A321B">
      <w:pPr>
        <w:autoSpaceDE w:val="0"/>
        <w:autoSpaceDN w:val="0"/>
        <w:adjustRightInd w:val="0"/>
        <w:rPr>
          <w:rFonts w:ascii="Arial" w:eastAsia="Times New Roman" w:hAnsi="Arial" w:cs="Arial"/>
          <w:szCs w:val="23"/>
          <w:lang w:val="fr-CA"/>
        </w:rPr>
      </w:pPr>
    </w:p>
    <w:p w14:paraId="3A5119DA" w14:textId="4D2C1F91"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szCs w:val="23"/>
          <w:lang w:val="fr-CA"/>
        </w:rPr>
        <w:lastRenderedPageBreak/>
        <w:t>le</w:t>
      </w:r>
      <w:proofErr w:type="gramEnd"/>
      <w:r w:rsidRPr="003E0DDA">
        <w:rPr>
          <w:rFonts w:ascii="Arial" w:eastAsia="Times New Roman" w:hAnsi="Arial" w:cs="Arial"/>
          <w:szCs w:val="23"/>
          <w:lang w:val="fr-CA"/>
        </w:rPr>
        <w:t xml:space="preserve"> Secrétariat, l’organe décisionnel et les autres Parties participantes ou les autres participants prennent toutes les dispositions nécessaires pour en assurer la confidentialité et peuvent, à cette fin, conclure des ententes préparatoires à l’audience.</w:t>
      </w:r>
    </w:p>
    <w:p w14:paraId="54599397" w14:textId="77777777" w:rsidR="005A321B" w:rsidRPr="003E0DDA" w:rsidRDefault="005A321B" w:rsidP="005A321B">
      <w:pPr>
        <w:autoSpaceDE w:val="0"/>
        <w:autoSpaceDN w:val="0"/>
        <w:adjustRightInd w:val="0"/>
        <w:rPr>
          <w:rFonts w:ascii="Arial" w:eastAsia="Times New Roman" w:hAnsi="Arial" w:cs="Arial"/>
          <w:szCs w:val="23"/>
          <w:lang w:val="fr-CA"/>
        </w:rPr>
      </w:pPr>
    </w:p>
    <w:p w14:paraId="0B7FE811" w14:textId="02C1108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30.</w:t>
      </w:r>
      <w:r w:rsidRPr="003E0DDA">
        <w:rPr>
          <w:rFonts w:ascii="Arial" w:eastAsia="Times New Roman" w:hAnsi="Arial" w:cs="Arial"/>
          <w:szCs w:val="23"/>
          <w:lang w:val="fr-CA"/>
        </w:rPr>
        <w:tab/>
        <w:t>Une Partie participante ou un participant peut divulguer à d’autres Personnes les renseignements relatifs à une procédure qu’il considère nécessaires pour préparer sa cause, mais prend toutefois toutes les dispositions nécessaires pour faire en sorte que ces autres Personnes respectent la confidentialité des renseignements communiqués.</w:t>
      </w:r>
    </w:p>
    <w:p w14:paraId="44F69058" w14:textId="77777777" w:rsidR="005A321B" w:rsidRPr="003E0DDA" w:rsidRDefault="005A321B" w:rsidP="005A321B">
      <w:pPr>
        <w:autoSpaceDE w:val="0"/>
        <w:autoSpaceDN w:val="0"/>
        <w:adjustRightInd w:val="0"/>
        <w:rPr>
          <w:rFonts w:ascii="Arial" w:eastAsia="Times New Roman" w:hAnsi="Arial" w:cs="Arial"/>
          <w:szCs w:val="23"/>
          <w:lang w:val="fr-CA"/>
        </w:rPr>
      </w:pPr>
    </w:p>
    <w:p w14:paraId="420C5457" w14:textId="28FCA48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31.</w:t>
      </w:r>
      <w:r w:rsidRPr="003E0DDA">
        <w:rPr>
          <w:rFonts w:ascii="Arial" w:eastAsia="Times New Roman" w:hAnsi="Arial" w:cs="Arial"/>
          <w:szCs w:val="23"/>
          <w:lang w:val="fr-CA"/>
        </w:rPr>
        <w:tab/>
        <w:t>Le Secrétariat prend toutes les dispositions nécessaires pour faire en sorte que les experts, interprètes, traducteurs, sténographes et autres individus dont il retient les services respectent la confidentialité de tout renseignement désigné comme confidentiel.</w:t>
      </w:r>
    </w:p>
    <w:p w14:paraId="6E0C554F" w14:textId="77777777" w:rsidR="005A321B" w:rsidRPr="003E0DDA" w:rsidRDefault="005A321B" w:rsidP="005A321B">
      <w:pPr>
        <w:autoSpaceDE w:val="0"/>
        <w:autoSpaceDN w:val="0"/>
        <w:adjustRightInd w:val="0"/>
        <w:rPr>
          <w:rFonts w:ascii="Arial" w:eastAsia="Times New Roman" w:hAnsi="Arial" w:cs="Arial"/>
          <w:szCs w:val="23"/>
          <w:lang w:val="fr-CA"/>
        </w:rPr>
      </w:pPr>
    </w:p>
    <w:p w14:paraId="6A31B161" w14:textId="28EBD7E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32.</w:t>
      </w:r>
      <w:r w:rsidRPr="003E0DDA">
        <w:rPr>
          <w:rFonts w:ascii="Arial" w:eastAsia="Times New Roman" w:hAnsi="Arial" w:cs="Arial"/>
          <w:szCs w:val="23"/>
          <w:lang w:val="fr-CA"/>
        </w:rPr>
        <w:tab/>
        <w:t>Sur demande d’une autre Partie participante ou d’un autre participant, une Partie participante ou un participant remet dans les moindres délais</w:t>
      </w:r>
      <w:r w:rsidRPr="003E0DDA" w:rsidDel="00835B03">
        <w:rPr>
          <w:rFonts w:ascii="Arial" w:eastAsia="Times New Roman" w:hAnsi="Arial" w:cs="Arial"/>
          <w:szCs w:val="23"/>
          <w:lang w:val="fr-CA"/>
        </w:rPr>
        <w:t xml:space="preserve"> </w:t>
      </w:r>
      <w:r w:rsidRPr="003E0DDA">
        <w:rPr>
          <w:rFonts w:ascii="Arial" w:eastAsia="Times New Roman" w:hAnsi="Arial" w:cs="Arial"/>
          <w:szCs w:val="23"/>
          <w:lang w:val="fr-CA"/>
        </w:rPr>
        <w:t>aux autres Parties participantes ou aux autres participants et au Secrétariat un résumé non confidentiel de ses observations écrites.</w:t>
      </w:r>
    </w:p>
    <w:p w14:paraId="0F6ED5D8" w14:textId="77777777" w:rsidR="005A321B" w:rsidRPr="003E0DDA" w:rsidRDefault="005A321B" w:rsidP="005A321B">
      <w:pPr>
        <w:autoSpaceDE w:val="0"/>
        <w:autoSpaceDN w:val="0"/>
        <w:adjustRightInd w:val="0"/>
        <w:rPr>
          <w:rFonts w:ascii="Arial" w:eastAsia="Times New Roman" w:hAnsi="Arial" w:cs="Arial"/>
          <w:szCs w:val="23"/>
          <w:lang w:val="fr-CA"/>
        </w:rPr>
      </w:pPr>
    </w:p>
    <w:p w14:paraId="2A0E7FC2" w14:textId="082C5B4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33.</w:t>
      </w:r>
      <w:r w:rsidRPr="003E0DDA">
        <w:rPr>
          <w:rFonts w:ascii="Arial" w:eastAsia="Times New Roman" w:hAnsi="Arial" w:cs="Arial"/>
          <w:szCs w:val="23"/>
          <w:lang w:val="fr-CA"/>
        </w:rPr>
        <w:tab/>
        <w:t>L’organe décisionnel met à la disposition du public les observations écrites des Parties participantes ou des participants, au plus tard, au début des audiences tenues devant lui, à l’exception de certaines parties des observations écrites contenant des renseignements de nature privée ou confidentielle, comme il est décrit à la règle 29.</w:t>
      </w:r>
    </w:p>
    <w:p w14:paraId="0948097A" w14:textId="77777777" w:rsidR="005A321B" w:rsidRPr="003E0DDA" w:rsidRDefault="005A321B" w:rsidP="005A321B">
      <w:pPr>
        <w:autoSpaceDE w:val="0"/>
        <w:autoSpaceDN w:val="0"/>
        <w:adjustRightInd w:val="0"/>
        <w:rPr>
          <w:rFonts w:ascii="Arial" w:eastAsia="Times New Roman" w:hAnsi="Arial" w:cs="Arial"/>
          <w:szCs w:val="23"/>
          <w:lang w:val="fr-CA"/>
        </w:rPr>
      </w:pPr>
    </w:p>
    <w:p w14:paraId="2BA03230"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Interdiction de communiquer avec un membre de l’organe décisionnel</w:t>
      </w:r>
    </w:p>
    <w:p w14:paraId="3BB21D00" w14:textId="77777777" w:rsidR="005A321B" w:rsidRPr="003E0DDA" w:rsidRDefault="005A321B" w:rsidP="005A321B">
      <w:pPr>
        <w:autoSpaceDE w:val="0"/>
        <w:autoSpaceDN w:val="0"/>
        <w:adjustRightInd w:val="0"/>
        <w:rPr>
          <w:rFonts w:ascii="Arial" w:eastAsia="Times New Roman" w:hAnsi="Arial" w:cs="Arial"/>
          <w:b/>
          <w:bCs/>
          <w:szCs w:val="23"/>
          <w:u w:val="single"/>
          <w:lang w:val="fr-CA"/>
        </w:rPr>
      </w:pPr>
    </w:p>
    <w:p w14:paraId="3B0F605E" w14:textId="5EB93F8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34.</w:t>
      </w:r>
      <w:r w:rsidRPr="003E0DDA">
        <w:rPr>
          <w:rFonts w:ascii="Arial" w:eastAsia="Times New Roman" w:hAnsi="Arial" w:cs="Arial"/>
          <w:szCs w:val="23"/>
          <w:lang w:val="fr-CA"/>
        </w:rPr>
        <w:tab/>
        <w:t>La Personne ou la Partie qui entend nommer un membre de l’organe décisionnel, conformément à toute disposition du présent chapitre, ne communique pas avec le membre de l’organe décisionnel éventuel pour discuter de sa nomination, de toute autre question afférente au différend ou de toute question que devra trancher l’organe décisionnel.</w:t>
      </w:r>
    </w:p>
    <w:p w14:paraId="57F0C80B" w14:textId="77777777" w:rsidR="005A321B" w:rsidRPr="003E0DDA" w:rsidRDefault="005A321B" w:rsidP="005A321B">
      <w:pPr>
        <w:autoSpaceDE w:val="0"/>
        <w:autoSpaceDN w:val="0"/>
        <w:adjustRightInd w:val="0"/>
        <w:rPr>
          <w:rFonts w:ascii="Arial" w:eastAsia="Times New Roman" w:hAnsi="Arial" w:cs="Arial"/>
          <w:szCs w:val="23"/>
          <w:lang w:val="fr-CA"/>
        </w:rPr>
      </w:pPr>
    </w:p>
    <w:p w14:paraId="4B373C4A"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Procédures du groupe spécial : Observations écrites</w:t>
      </w:r>
    </w:p>
    <w:p w14:paraId="2110CB1C" w14:textId="77777777" w:rsidR="005A321B" w:rsidRPr="003E0DDA" w:rsidRDefault="005A321B" w:rsidP="005A321B">
      <w:pPr>
        <w:autoSpaceDE w:val="0"/>
        <w:autoSpaceDN w:val="0"/>
        <w:adjustRightInd w:val="0"/>
        <w:rPr>
          <w:rFonts w:ascii="Arial" w:eastAsia="Times New Roman" w:hAnsi="Arial" w:cs="Arial"/>
          <w:szCs w:val="23"/>
          <w:lang w:val="fr-CA"/>
        </w:rPr>
      </w:pPr>
    </w:p>
    <w:p w14:paraId="1C4CBE0D" w14:textId="57C46F8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35.</w:t>
      </w:r>
      <w:r w:rsidRPr="003E0DDA">
        <w:rPr>
          <w:rFonts w:ascii="Arial" w:eastAsia="Times New Roman" w:hAnsi="Arial" w:cs="Arial"/>
          <w:szCs w:val="23"/>
          <w:lang w:val="fr-CA"/>
        </w:rPr>
        <w:tab/>
        <w:t>La Partie au différend qui a demandé l’établissement d’un groupe spécial dépose, dans les 45 jours qui suivent la date à laquelle elle a remis la demande au Secrétariat, ses observations écrites au Secrétariat, lequel en transmet copie aux autres Parties participantes ou aux autres participants. La Partie au différend ou le litigant inclut dans ses observations toute preuve documentaire, y compris les dépositions de témoins et rapports d’experts qu’il entend invoquer à l’appui de sa plainte.</w:t>
      </w:r>
    </w:p>
    <w:p w14:paraId="4723BA23" w14:textId="77777777" w:rsidR="005A321B" w:rsidRPr="003E0DDA" w:rsidRDefault="005A321B" w:rsidP="005A321B">
      <w:pPr>
        <w:autoSpaceDE w:val="0"/>
        <w:autoSpaceDN w:val="0"/>
        <w:adjustRightInd w:val="0"/>
        <w:rPr>
          <w:rFonts w:ascii="Arial" w:eastAsia="Times New Roman" w:hAnsi="Arial" w:cs="Arial"/>
          <w:szCs w:val="23"/>
          <w:lang w:val="fr-CA"/>
        </w:rPr>
      </w:pPr>
    </w:p>
    <w:p w14:paraId="40A89A25" w14:textId="4D3C949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36.</w:t>
      </w:r>
      <w:r w:rsidRPr="003E0DDA">
        <w:rPr>
          <w:rFonts w:ascii="Arial" w:eastAsia="Times New Roman" w:hAnsi="Arial" w:cs="Arial"/>
          <w:szCs w:val="23"/>
          <w:lang w:val="fr-CA"/>
        </w:rPr>
        <w:tab/>
        <w:t xml:space="preserve">Les observations écrites des autres Parties participantes ou autres participants sont déposées au Secrétariat comme suit : </w:t>
      </w:r>
    </w:p>
    <w:p w14:paraId="1F2E5795" w14:textId="77777777" w:rsidR="005A321B" w:rsidRPr="003E0DDA" w:rsidRDefault="005A321B" w:rsidP="005A321B">
      <w:pPr>
        <w:autoSpaceDE w:val="0"/>
        <w:autoSpaceDN w:val="0"/>
        <w:adjustRightInd w:val="0"/>
        <w:rPr>
          <w:rFonts w:ascii="Arial" w:eastAsia="Times New Roman" w:hAnsi="Arial" w:cs="Arial"/>
          <w:szCs w:val="23"/>
          <w:lang w:val="fr-CA"/>
        </w:rPr>
      </w:pPr>
    </w:p>
    <w:p w14:paraId="4FE2B64F" w14:textId="43A25DC5"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dans le cas d’une Partie qui a présenté un avis écrit de son intention de se joindre à la procédure du groupe spécial à titre d’intervenant, en application </w:t>
      </w:r>
      <w:r w:rsidRPr="003E0DDA">
        <w:rPr>
          <w:rFonts w:ascii="Arial" w:eastAsia="Arial" w:hAnsi="Arial" w:cs="Arial"/>
          <w:szCs w:val="23"/>
          <w:lang w:val="fr-CA"/>
        </w:rPr>
        <w:t>de l’article </w:t>
      </w:r>
      <w:r w:rsidRPr="003E0DDA">
        <w:rPr>
          <w:rFonts w:ascii="Arial" w:eastAsia="Times New Roman" w:hAnsi="Arial" w:cs="Arial"/>
          <w:szCs w:val="23"/>
          <w:lang w:val="fr-CA"/>
        </w:rPr>
        <w:t xml:space="preserve">1004.9 ou </w:t>
      </w:r>
      <w:r w:rsidRPr="003E0DDA">
        <w:rPr>
          <w:rFonts w:ascii="Arial" w:eastAsia="Arial" w:hAnsi="Arial" w:cs="Arial"/>
          <w:szCs w:val="23"/>
          <w:lang w:val="fr-CA"/>
        </w:rPr>
        <w:t>de l’article </w:t>
      </w:r>
      <w:r w:rsidRPr="003E0DDA">
        <w:rPr>
          <w:rFonts w:ascii="Arial" w:eastAsia="Times New Roman" w:hAnsi="Arial" w:cs="Arial"/>
          <w:szCs w:val="23"/>
          <w:lang w:val="fr-CA"/>
        </w:rPr>
        <w:t>1023.1, dans les 21 jours qui suivent le dépôt des observations écrites initiales au Secrétariat;</w:t>
      </w:r>
    </w:p>
    <w:p w14:paraId="4778E3F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3CE70D2"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 xml:space="preserve">dans le cas d’un participant aux consultations qui a présenté un avis écrit de son intention de se joindre à la procédure du groupe spécial à titre de Partie </w:t>
      </w:r>
      <w:r w:rsidRPr="003E0DDA">
        <w:rPr>
          <w:rFonts w:ascii="Arial" w:eastAsia="Times New Roman" w:hAnsi="Arial" w:cs="Arial"/>
          <w:szCs w:val="23"/>
          <w:lang w:val="fr-CA"/>
        </w:rPr>
        <w:lastRenderedPageBreak/>
        <w:t>plaignante, en application de l’article 1004.10, dans les 21 jours qui suivent le dépôt des observations écrites initiales au Secrétariat;</w:t>
      </w:r>
    </w:p>
    <w:p w14:paraId="21CAE5F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FE4AE4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 xml:space="preserve">dans le cas du destinataire de la plainte, dans les 45 jours qui suivent le dépôt des observations écrites initiales au Secrétariat par une Partie au différend ou un litigant, </w:t>
      </w:r>
    </w:p>
    <w:p w14:paraId="02FF0EE6" w14:textId="77777777" w:rsidR="005A321B" w:rsidRPr="003E0DDA" w:rsidRDefault="005A321B" w:rsidP="005A321B">
      <w:pPr>
        <w:autoSpaceDE w:val="0"/>
        <w:autoSpaceDN w:val="0"/>
        <w:adjustRightInd w:val="0"/>
        <w:rPr>
          <w:rFonts w:ascii="Arial" w:eastAsia="Times New Roman" w:hAnsi="Arial" w:cs="Arial"/>
          <w:szCs w:val="23"/>
          <w:lang w:val="fr-CA"/>
        </w:rPr>
      </w:pPr>
    </w:p>
    <w:p w14:paraId="0DEB4215" w14:textId="2AC805A7"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szCs w:val="23"/>
          <w:lang w:val="fr-CA"/>
        </w:rPr>
        <w:t>et</w:t>
      </w:r>
      <w:proofErr w:type="gramEnd"/>
      <w:r w:rsidRPr="003E0DDA">
        <w:rPr>
          <w:rFonts w:ascii="Arial" w:eastAsia="Times New Roman" w:hAnsi="Arial" w:cs="Arial"/>
          <w:szCs w:val="23"/>
          <w:lang w:val="fr-CA"/>
        </w:rPr>
        <w:t xml:space="preserve"> le Secrétariat transmet des copies des observations écrites à chacune des Parties participantes ou à chacun des participants. Les Parties participantes ou les participants incluent dans leurs observations toute preuve documentaire, y compris les dépositions de témoins et rapports d’experts qu’ils entendent invoquer à l’appui de leurs positions respectives.</w:t>
      </w:r>
    </w:p>
    <w:p w14:paraId="1552DFC6" w14:textId="77777777" w:rsidR="005A321B" w:rsidRPr="003E0DDA" w:rsidRDefault="005A321B" w:rsidP="005A321B">
      <w:pPr>
        <w:autoSpaceDE w:val="0"/>
        <w:autoSpaceDN w:val="0"/>
        <w:adjustRightInd w:val="0"/>
        <w:rPr>
          <w:rFonts w:ascii="Arial" w:eastAsia="Times New Roman" w:hAnsi="Arial" w:cs="Arial"/>
          <w:szCs w:val="23"/>
          <w:lang w:val="fr-CA"/>
        </w:rPr>
      </w:pPr>
    </w:p>
    <w:p w14:paraId="275F65A1" w14:textId="57613EE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37.</w:t>
      </w:r>
      <w:r w:rsidRPr="003E0DDA">
        <w:rPr>
          <w:rFonts w:ascii="Arial" w:eastAsia="Times New Roman" w:hAnsi="Arial" w:cs="Arial"/>
          <w:szCs w:val="23"/>
          <w:lang w:val="fr-CA"/>
        </w:rPr>
        <w:tab/>
        <w:t>Le groupe spécial peut autoriser d’autres observations écrites et fixer une date de dépôt à cet égard. Les Parties participantes ou participants autorisés à faire d’autres observations écrites incluent dans leurs observations toute autre preuve documentaire, y compris les dépositions de témoins et rapports d’experts qu’ils entendent invoquer.</w:t>
      </w:r>
    </w:p>
    <w:p w14:paraId="11CA9BE5" w14:textId="77777777" w:rsidR="005A321B" w:rsidRPr="003E0DDA" w:rsidRDefault="005A321B" w:rsidP="005A321B">
      <w:pPr>
        <w:autoSpaceDE w:val="0"/>
        <w:autoSpaceDN w:val="0"/>
        <w:adjustRightInd w:val="0"/>
        <w:rPr>
          <w:rFonts w:ascii="Arial" w:eastAsia="Times New Roman" w:hAnsi="Arial" w:cs="Arial"/>
          <w:szCs w:val="23"/>
          <w:lang w:val="fr-CA"/>
        </w:rPr>
      </w:pPr>
    </w:p>
    <w:p w14:paraId="24CB61D5" w14:textId="2D07061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38.</w:t>
      </w:r>
      <w:r w:rsidRPr="003E0DDA">
        <w:rPr>
          <w:rFonts w:ascii="Arial" w:eastAsia="Times New Roman" w:hAnsi="Arial" w:cs="Arial"/>
          <w:szCs w:val="23"/>
          <w:lang w:val="fr-CA"/>
        </w:rPr>
        <w:tab/>
        <w:t>La preuve documentaire qui n’est pas incluse dans les observations des Parties participantes ou des participants ne peut pas être introduite sans la permission de l’organe décisionnel. Lorsqu’un organe décisionnel accorde cette permission, il autorise aussi, s’il l’estime approprié, les autres Parties participantes ou autres participants à soumettre de brèves réponses aux éléments de preuve récemment introduits.</w:t>
      </w:r>
    </w:p>
    <w:p w14:paraId="2974E05A"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 </w:t>
      </w:r>
    </w:p>
    <w:p w14:paraId="03CFAA7A" w14:textId="67D029D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39.</w:t>
      </w:r>
      <w:r w:rsidRPr="003E0DDA">
        <w:rPr>
          <w:rFonts w:ascii="Arial" w:eastAsia="Times New Roman" w:hAnsi="Arial" w:cs="Arial"/>
          <w:szCs w:val="23"/>
          <w:lang w:val="fr-CA"/>
        </w:rPr>
        <w:tab/>
        <w:t>Le groupe spécial convoque à une conférence préparatoire à l’audience les Parties participantes ou les participants en vue :</w:t>
      </w:r>
    </w:p>
    <w:p w14:paraId="50CBAC43" w14:textId="77777777" w:rsidR="005A321B" w:rsidRPr="003E0DDA" w:rsidRDefault="005A321B" w:rsidP="005A321B">
      <w:pPr>
        <w:autoSpaceDE w:val="0"/>
        <w:autoSpaceDN w:val="0"/>
        <w:adjustRightInd w:val="0"/>
        <w:rPr>
          <w:rFonts w:ascii="Arial" w:eastAsia="Times New Roman" w:hAnsi="Arial" w:cs="Arial"/>
          <w:szCs w:val="23"/>
          <w:lang w:val="fr-CA"/>
        </w:rPr>
      </w:pPr>
    </w:p>
    <w:p w14:paraId="309C6B0B" w14:textId="3B8EAAD0"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d’établir la date de l’audience qui est fixée dans les 30 jours après la date à laquelle les dernières observations écrites ont été reçues par le Secrétariat et, dans toute la mesure raisonnable et possible sur le plan pratique, qui est adaptée aux calendriers des Parties participantes ou participants et de leurs représentants;</w:t>
      </w:r>
    </w:p>
    <w:p w14:paraId="7BC363A1"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11D20124" w14:textId="6B3BCFF1"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d’établir le lieu de l’audience;</w:t>
      </w:r>
    </w:p>
    <w:p w14:paraId="40827A0D"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6891127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 xml:space="preserve">de préciser, dans la mesure du possible, les Parties participantes ou participants à la procédure du groupe spécial; </w:t>
      </w:r>
    </w:p>
    <w:p w14:paraId="207F80C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67D438A" w14:textId="48014FCD"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d) </w:t>
      </w:r>
      <w:r w:rsidRPr="003E0DDA">
        <w:rPr>
          <w:rFonts w:ascii="Arial" w:eastAsia="Times New Roman" w:hAnsi="Arial" w:cs="Arial"/>
          <w:szCs w:val="23"/>
          <w:lang w:val="fr-CA"/>
        </w:rPr>
        <w:tab/>
        <w:t>de déterminer le nombre d’individus, y compris les avocats et les observateurs, que les Parties participantes ou les participants s’attendent à voir assister à l’audience;</w:t>
      </w:r>
    </w:p>
    <w:p w14:paraId="1E94E3C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0F2BFDA" w14:textId="755F52B9"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 xml:space="preserve">de fixer le temps qui sera attribué à l’audience dans son ensemble, après avoir reçu une estimation du temps nécessaire pour les observations orales de chaque Partie participante ou participant; </w:t>
      </w:r>
    </w:p>
    <w:p w14:paraId="0BB6EC62"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3972B72" w14:textId="3E7F0A5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f)</w:t>
      </w:r>
      <w:r w:rsidRPr="003E0DDA">
        <w:rPr>
          <w:rFonts w:ascii="Arial" w:eastAsia="Times New Roman" w:hAnsi="Arial" w:cs="Arial"/>
          <w:szCs w:val="23"/>
          <w:lang w:val="fr-CA"/>
        </w:rPr>
        <w:tab/>
        <w:t xml:space="preserve">de décider des dispositions à prendre ou des ententes préparatoires à l’audience qui sont requises pour protéger la confidentialité des </w:t>
      </w:r>
      <w:r w:rsidRPr="003E0DDA">
        <w:rPr>
          <w:rFonts w:ascii="Arial" w:eastAsia="Times New Roman" w:hAnsi="Arial" w:cs="Arial"/>
          <w:szCs w:val="23"/>
          <w:lang w:val="fr-CA"/>
        </w:rPr>
        <w:lastRenderedPageBreak/>
        <w:t xml:space="preserve">renseignements devant être traités comme confidentiels, selon une Partie participante ou un participant, conformément à la règle 29. </w:t>
      </w:r>
    </w:p>
    <w:p w14:paraId="596A5E99" w14:textId="77777777" w:rsidR="005A321B" w:rsidRPr="003E0DDA" w:rsidRDefault="005A321B" w:rsidP="005A321B">
      <w:pPr>
        <w:autoSpaceDE w:val="0"/>
        <w:autoSpaceDN w:val="0"/>
        <w:adjustRightInd w:val="0"/>
        <w:rPr>
          <w:rFonts w:ascii="Arial" w:eastAsia="Times New Roman" w:hAnsi="Arial" w:cs="Arial"/>
          <w:szCs w:val="23"/>
          <w:lang w:val="fr-CA"/>
        </w:rPr>
      </w:pPr>
    </w:p>
    <w:p w14:paraId="60BBF789"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40.</w:t>
      </w:r>
      <w:r w:rsidRPr="003E0DDA">
        <w:rPr>
          <w:rFonts w:ascii="Arial" w:eastAsia="Times New Roman" w:hAnsi="Arial" w:cs="Arial"/>
          <w:szCs w:val="23"/>
          <w:lang w:val="fr-CA"/>
        </w:rPr>
        <w:tab/>
        <w:t>Le groupe spécial peut convoquer une ou plusieurs conférences préparatoires à l’audience pour décider de ce qui suit :</w:t>
      </w:r>
    </w:p>
    <w:p w14:paraId="26142873" w14:textId="77777777" w:rsidR="005A321B" w:rsidRPr="003E0DDA" w:rsidRDefault="005A321B" w:rsidP="005A321B">
      <w:pPr>
        <w:autoSpaceDE w:val="0"/>
        <w:autoSpaceDN w:val="0"/>
        <w:adjustRightInd w:val="0"/>
        <w:rPr>
          <w:rFonts w:ascii="Arial" w:eastAsia="Times New Roman" w:hAnsi="Arial" w:cs="Arial"/>
          <w:szCs w:val="23"/>
          <w:lang w:val="fr-CA"/>
        </w:rPr>
      </w:pPr>
    </w:p>
    <w:p w14:paraId="6E6089E8" w14:textId="2ABC15F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si une Partie plaignante a un lien direct et substantiel avec une Personne, au sens </w:t>
      </w:r>
      <w:r w:rsidRPr="003E0DDA">
        <w:rPr>
          <w:rFonts w:ascii="Arial" w:eastAsia="Arial" w:hAnsi="Arial" w:cs="Arial"/>
          <w:szCs w:val="23"/>
          <w:lang w:val="fr-CA"/>
        </w:rPr>
        <w:t>de l’article </w:t>
      </w:r>
      <w:r w:rsidRPr="003E0DDA">
        <w:rPr>
          <w:rFonts w:ascii="Arial" w:eastAsia="Times New Roman" w:hAnsi="Arial" w:cs="Arial"/>
          <w:szCs w:val="23"/>
          <w:lang w:val="fr-CA"/>
        </w:rPr>
        <w:t xml:space="preserve">1004.6, </w:t>
      </w:r>
      <w:r w:rsidRPr="003E0DDA">
        <w:rPr>
          <w:rFonts w:ascii="Arial" w:eastAsia="Arial" w:hAnsi="Arial" w:cs="Arial"/>
          <w:szCs w:val="23"/>
          <w:lang w:val="fr-CA"/>
        </w:rPr>
        <w:t>de l’article </w:t>
      </w:r>
      <w:r w:rsidRPr="003E0DDA">
        <w:rPr>
          <w:rFonts w:ascii="Arial" w:eastAsia="Times New Roman" w:hAnsi="Arial" w:cs="Arial"/>
          <w:szCs w:val="23"/>
          <w:lang w:val="fr-CA"/>
        </w:rPr>
        <w:t xml:space="preserve">1004.7 ou </w:t>
      </w:r>
      <w:r w:rsidRPr="003E0DDA">
        <w:rPr>
          <w:rFonts w:ascii="Arial" w:eastAsia="Arial" w:hAnsi="Arial" w:cs="Arial"/>
          <w:szCs w:val="23"/>
          <w:lang w:val="fr-CA"/>
        </w:rPr>
        <w:t>de l’article </w:t>
      </w:r>
      <w:r w:rsidRPr="003E0DDA">
        <w:rPr>
          <w:rFonts w:ascii="Arial" w:eastAsia="Times New Roman" w:hAnsi="Arial" w:cs="Arial"/>
          <w:szCs w:val="23"/>
          <w:lang w:val="fr-CA"/>
        </w:rPr>
        <w:t>1004.8;</w:t>
      </w:r>
    </w:p>
    <w:p w14:paraId="08978A1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8992AC3" w14:textId="63250013"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si une Partie a un intérêt substantiel dans la question faisant l’objet du différend, au sens </w:t>
      </w:r>
      <w:r w:rsidRPr="003E0DDA">
        <w:rPr>
          <w:rFonts w:ascii="Arial" w:eastAsia="Arial" w:hAnsi="Arial" w:cs="Arial"/>
          <w:szCs w:val="23"/>
          <w:lang w:val="fr-CA"/>
        </w:rPr>
        <w:t>de l’article </w:t>
      </w:r>
      <w:r w:rsidRPr="003E0DDA">
        <w:rPr>
          <w:rFonts w:ascii="Arial" w:eastAsia="Times New Roman" w:hAnsi="Arial" w:cs="Arial"/>
          <w:szCs w:val="23"/>
          <w:lang w:val="fr-CA"/>
        </w:rPr>
        <w:t>1004.11 ou</w:t>
      </w:r>
      <w:r w:rsidRPr="003E0DDA">
        <w:rPr>
          <w:rFonts w:ascii="Arial" w:eastAsia="Arial" w:hAnsi="Arial" w:cs="Arial"/>
          <w:szCs w:val="23"/>
          <w:lang w:val="fr-CA"/>
        </w:rPr>
        <w:t xml:space="preserve"> de l’article</w:t>
      </w:r>
      <w:r w:rsidRPr="003E0DDA">
        <w:rPr>
          <w:rFonts w:ascii="Arial" w:eastAsia="Times New Roman" w:hAnsi="Arial" w:cs="Arial"/>
          <w:szCs w:val="23"/>
          <w:lang w:val="fr-CA"/>
        </w:rPr>
        <w:t> 1023.3;</w:t>
      </w:r>
    </w:p>
    <w:p w14:paraId="670A3A3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E68B68A" w14:textId="1D80B91D"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si une Partie devrait être autorisée à se joindre à titre d’intervenant à la procédure du groupe spécial, au titre de la règle 7;</w:t>
      </w:r>
    </w:p>
    <w:p w14:paraId="622F7C1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2B83B6C" w14:textId="6E4A49B3"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 xml:space="preserve">si un participant aux consultations devrait être autorisé à se joindre à titre d’intervenant à la procédure du groupe spécial, au titre de la règle 9; </w:t>
      </w:r>
    </w:p>
    <w:p w14:paraId="00CC798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F5DE01E" w14:textId="4845CAB2"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si une Personne qui a demandé de se joindre à une procédure du groupe spécial à titre d’intervenant ou de personne plaignante, au titre de la règle 10, devrait être autorisée à le faire;</w:t>
      </w:r>
    </w:p>
    <w:p w14:paraId="0F6BB6B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24D6B4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f)</w:t>
      </w:r>
      <w:r w:rsidRPr="003E0DDA">
        <w:rPr>
          <w:rFonts w:ascii="Arial" w:eastAsia="Times New Roman" w:hAnsi="Arial" w:cs="Arial"/>
          <w:szCs w:val="23"/>
          <w:lang w:val="fr-CA"/>
        </w:rPr>
        <w:tab/>
        <w:t>qui fera des observations orales au nom des Parties participantes ou des participants, et quel sera leur rôle;</w:t>
      </w:r>
    </w:p>
    <w:p w14:paraId="5F19C36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A6B531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g) </w:t>
      </w:r>
      <w:r w:rsidRPr="003E0DDA">
        <w:rPr>
          <w:rFonts w:ascii="Arial" w:eastAsia="Times New Roman" w:hAnsi="Arial" w:cs="Arial"/>
          <w:szCs w:val="23"/>
          <w:lang w:val="fr-CA"/>
        </w:rPr>
        <w:tab/>
        <w:t xml:space="preserve">l’ordre dans lequel les Parties participantes ou participants seront entendus à l’audience; </w:t>
      </w:r>
    </w:p>
    <w:p w14:paraId="025F641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08E7109"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h)</w:t>
      </w:r>
      <w:r w:rsidRPr="003E0DDA">
        <w:rPr>
          <w:rFonts w:ascii="Arial" w:eastAsia="Times New Roman" w:hAnsi="Arial" w:cs="Arial"/>
          <w:szCs w:val="23"/>
          <w:lang w:val="fr-CA"/>
        </w:rPr>
        <w:tab/>
        <w:t xml:space="preserve">sous réserve de la règle 43, si une question dans la procédure est visée par la portée du présent accord; </w:t>
      </w:r>
    </w:p>
    <w:p w14:paraId="13933B1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124EC384" w14:textId="387DEFEC"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i)</w:t>
      </w:r>
      <w:r w:rsidRPr="003E0DDA">
        <w:rPr>
          <w:rFonts w:ascii="Arial" w:eastAsia="Times New Roman" w:hAnsi="Arial" w:cs="Arial"/>
          <w:szCs w:val="23"/>
          <w:lang w:val="fr-CA"/>
        </w:rPr>
        <w:tab/>
        <w:t>s’il convient de permettre d’autres observations écrites et, dans ce cas, de fixer leur date de dépôt;</w:t>
      </w:r>
    </w:p>
    <w:p w14:paraId="72AF507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AAF5AF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j)</w:t>
      </w:r>
      <w:r w:rsidRPr="003E0DDA">
        <w:rPr>
          <w:rFonts w:ascii="Arial" w:eastAsia="Times New Roman" w:hAnsi="Arial" w:cs="Arial"/>
          <w:szCs w:val="23"/>
          <w:lang w:val="fr-CA"/>
        </w:rPr>
        <w:tab/>
        <w:t>toute question concernant l’échange de renseignements ou d’éléments de preuve par les Parties participantes ou les participants;</w:t>
      </w:r>
    </w:p>
    <w:p w14:paraId="4442BA1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EE9A27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k)</w:t>
      </w:r>
      <w:r w:rsidRPr="003E0DDA">
        <w:rPr>
          <w:rFonts w:ascii="Arial" w:eastAsia="Times New Roman" w:hAnsi="Arial" w:cs="Arial"/>
          <w:szCs w:val="23"/>
          <w:lang w:val="fr-CA"/>
        </w:rPr>
        <w:tab/>
        <w:t>toute autre question pertinente à la procédure.</w:t>
      </w:r>
    </w:p>
    <w:p w14:paraId="740AFCE8" w14:textId="77777777" w:rsidR="005A321B" w:rsidRPr="003E0DDA" w:rsidRDefault="005A321B" w:rsidP="005A321B">
      <w:pPr>
        <w:autoSpaceDE w:val="0"/>
        <w:autoSpaceDN w:val="0"/>
        <w:adjustRightInd w:val="0"/>
        <w:rPr>
          <w:rFonts w:ascii="Arial" w:eastAsia="Times New Roman" w:hAnsi="Arial" w:cs="Arial"/>
          <w:szCs w:val="23"/>
          <w:lang w:val="fr-CA"/>
        </w:rPr>
      </w:pPr>
    </w:p>
    <w:p w14:paraId="64954145" w14:textId="431D923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41.</w:t>
      </w:r>
      <w:r w:rsidRPr="003E0DDA">
        <w:rPr>
          <w:rFonts w:ascii="Arial" w:eastAsia="Times New Roman" w:hAnsi="Arial" w:cs="Arial"/>
          <w:szCs w:val="23"/>
          <w:lang w:val="fr-CA"/>
        </w:rPr>
        <w:tab/>
        <w:t>Si une question de procédure est soulevée par une Partie participante ou un participant avant l’audience, le groupe spécial, dans les moindres délais</w:t>
      </w:r>
      <w:r w:rsidRPr="003E0DDA" w:rsidDel="0009175F">
        <w:rPr>
          <w:rFonts w:ascii="Arial" w:eastAsia="Times New Roman" w:hAnsi="Arial" w:cs="Arial"/>
          <w:szCs w:val="23"/>
          <w:lang w:val="fr-CA"/>
        </w:rPr>
        <w:t>, convoque</w:t>
      </w:r>
      <w:r w:rsidRPr="003E0DDA">
        <w:rPr>
          <w:rFonts w:ascii="Arial" w:eastAsia="Times New Roman" w:hAnsi="Arial" w:cs="Arial"/>
          <w:szCs w:val="23"/>
          <w:lang w:val="fr-CA"/>
        </w:rPr>
        <w:t xml:space="preserve"> à nouveau une conférence préparatoire à l’audience pour traiter la question en consultation avec les Parties participantes ou les participants.</w:t>
      </w:r>
    </w:p>
    <w:p w14:paraId="4CF5F0F9" w14:textId="77777777" w:rsidR="005A321B" w:rsidRPr="003E0DDA" w:rsidRDefault="005A321B" w:rsidP="005A321B">
      <w:pPr>
        <w:autoSpaceDE w:val="0"/>
        <w:autoSpaceDN w:val="0"/>
        <w:adjustRightInd w:val="0"/>
        <w:rPr>
          <w:rFonts w:ascii="Arial" w:eastAsia="Times New Roman" w:hAnsi="Arial" w:cs="Arial"/>
          <w:szCs w:val="23"/>
          <w:lang w:val="fr-CA"/>
        </w:rPr>
      </w:pPr>
    </w:p>
    <w:p w14:paraId="122A526F" w14:textId="112CB38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42.</w:t>
      </w:r>
      <w:r w:rsidRPr="003E0DDA">
        <w:rPr>
          <w:rFonts w:ascii="Arial" w:eastAsia="Times New Roman" w:hAnsi="Arial" w:cs="Arial"/>
          <w:szCs w:val="23"/>
          <w:lang w:val="fr-CA"/>
        </w:rPr>
        <w:tab/>
        <w:t xml:space="preserve">Le Secrétariat constitue et tient une transcription de chaque conférence préparatoire à l’audience. L’organe décisionnel présente un dossier écrit des décisions qu’il a prises pendant la conférence préparatoire à l’audience, ou après celle-ci, dans la mesure où elles concernent des questions soulevées au cours de la conférence préparatoire à l’audience. Le </w:t>
      </w:r>
      <w:r w:rsidRPr="003E0DDA">
        <w:rPr>
          <w:rFonts w:ascii="Arial" w:eastAsia="Times New Roman" w:hAnsi="Arial" w:cs="Arial"/>
          <w:szCs w:val="23"/>
          <w:lang w:val="fr-CA"/>
        </w:rPr>
        <w:lastRenderedPageBreak/>
        <w:t>Secrétariat remet dans les moindres délais</w:t>
      </w:r>
      <w:r w:rsidRPr="003E0DDA" w:rsidDel="00065A1C">
        <w:rPr>
          <w:rFonts w:ascii="Arial" w:eastAsia="Times New Roman" w:hAnsi="Arial" w:cs="Arial"/>
          <w:szCs w:val="23"/>
          <w:lang w:val="fr-CA"/>
        </w:rPr>
        <w:t xml:space="preserve"> </w:t>
      </w:r>
      <w:r w:rsidRPr="003E0DDA">
        <w:rPr>
          <w:rFonts w:ascii="Arial" w:eastAsia="Times New Roman" w:hAnsi="Arial" w:cs="Arial"/>
          <w:szCs w:val="23"/>
          <w:lang w:val="fr-CA"/>
        </w:rPr>
        <w:t>ce dossier de conférence préparatoire à l’audience aux Parties participantes ou aux participants.</w:t>
      </w:r>
    </w:p>
    <w:p w14:paraId="7CA914DB" w14:textId="77777777" w:rsidR="005A321B" w:rsidRPr="003E0DDA" w:rsidRDefault="005A321B" w:rsidP="005A321B">
      <w:pPr>
        <w:autoSpaceDE w:val="0"/>
        <w:autoSpaceDN w:val="0"/>
        <w:adjustRightInd w:val="0"/>
        <w:rPr>
          <w:rFonts w:ascii="Arial" w:eastAsia="Times New Roman" w:hAnsi="Arial" w:cs="Arial"/>
          <w:szCs w:val="23"/>
          <w:lang w:val="fr-CA"/>
        </w:rPr>
      </w:pPr>
    </w:p>
    <w:p w14:paraId="7D922006" w14:textId="22C58C4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43.</w:t>
      </w:r>
      <w:r w:rsidRPr="003E0DDA">
        <w:rPr>
          <w:rFonts w:ascii="Arial" w:eastAsia="Times New Roman" w:hAnsi="Arial" w:cs="Arial"/>
          <w:szCs w:val="23"/>
          <w:lang w:val="fr-CA"/>
        </w:rPr>
        <w:tab/>
        <w:t>Aux fins de l’alinéa h) de la règle 40, « portée » s’entend de la gamme des droits et des obligations inclus au présent accord. Le groupe spécial peut refuser de rendre une détermination sous le régime de l’alinéa h) de la règle 40 au stade de la conférence préparatoire à l’audience et ordonner plutôt que la question soit traitée lors de l’audience devant le groupe spécial.</w:t>
      </w:r>
    </w:p>
    <w:p w14:paraId="69E379CB"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56C44513"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Procédures du groupe spécial : Audience</w:t>
      </w:r>
    </w:p>
    <w:p w14:paraId="429ACC0F" w14:textId="77777777" w:rsidR="005A321B" w:rsidRPr="003E0DDA" w:rsidRDefault="005A321B" w:rsidP="005A321B">
      <w:pPr>
        <w:autoSpaceDE w:val="0"/>
        <w:autoSpaceDN w:val="0"/>
        <w:adjustRightInd w:val="0"/>
        <w:rPr>
          <w:rFonts w:ascii="Arial" w:eastAsia="Times New Roman" w:hAnsi="Arial" w:cs="Arial"/>
          <w:szCs w:val="23"/>
          <w:lang w:val="fr-CA"/>
        </w:rPr>
      </w:pPr>
    </w:p>
    <w:p w14:paraId="47933357" w14:textId="0FA2D7B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44.</w:t>
      </w:r>
      <w:r w:rsidRPr="003E0DDA">
        <w:rPr>
          <w:rFonts w:ascii="Arial" w:eastAsia="Times New Roman" w:hAnsi="Arial" w:cs="Arial"/>
          <w:szCs w:val="23"/>
          <w:lang w:val="fr-CA"/>
        </w:rPr>
        <w:tab/>
        <w:t>Sauf convention contraire des Parties participantes ou participants, l’audience est tenue dans la capitale du destinataire de la plainte.</w:t>
      </w:r>
    </w:p>
    <w:p w14:paraId="75256CEA" w14:textId="77777777" w:rsidR="005A321B" w:rsidRPr="003E0DDA" w:rsidRDefault="005A321B" w:rsidP="005A321B">
      <w:pPr>
        <w:autoSpaceDE w:val="0"/>
        <w:autoSpaceDN w:val="0"/>
        <w:adjustRightInd w:val="0"/>
        <w:rPr>
          <w:rFonts w:ascii="Arial" w:eastAsia="Times New Roman" w:hAnsi="Arial" w:cs="Arial"/>
          <w:szCs w:val="23"/>
          <w:lang w:val="fr-CA"/>
        </w:rPr>
      </w:pPr>
    </w:p>
    <w:p w14:paraId="37D044D2" w14:textId="6522221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45.</w:t>
      </w:r>
      <w:r w:rsidRPr="003E0DDA">
        <w:rPr>
          <w:rFonts w:ascii="Arial" w:eastAsia="Times New Roman" w:hAnsi="Arial" w:cs="Arial"/>
          <w:szCs w:val="23"/>
          <w:lang w:val="fr-CA"/>
        </w:rPr>
        <w:tab/>
        <w:t>Les membres de l’organe décisionnel sont présents à l’audience.  Les Parties participantes ou les litigants qui n’ont pas déposé d’observations ne peuvent pas présenter d’arguments oraux sans le consentement du groupe spécial et des autres Parties participantes ou litigants.</w:t>
      </w:r>
    </w:p>
    <w:p w14:paraId="4BECF0D9" w14:textId="77777777" w:rsidR="005A321B" w:rsidRPr="003E0DDA" w:rsidRDefault="005A321B" w:rsidP="005A321B">
      <w:pPr>
        <w:autoSpaceDE w:val="0"/>
        <w:autoSpaceDN w:val="0"/>
        <w:adjustRightInd w:val="0"/>
        <w:rPr>
          <w:rFonts w:ascii="Arial" w:eastAsia="Times New Roman" w:hAnsi="Arial" w:cs="Arial"/>
          <w:szCs w:val="23"/>
          <w:lang w:val="fr-CA"/>
        </w:rPr>
      </w:pPr>
    </w:p>
    <w:p w14:paraId="5BE09663" w14:textId="6875F44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46.</w:t>
      </w:r>
      <w:r w:rsidRPr="003E0DDA">
        <w:rPr>
          <w:rFonts w:ascii="Arial" w:eastAsia="Times New Roman" w:hAnsi="Arial" w:cs="Arial"/>
          <w:szCs w:val="23"/>
          <w:lang w:val="fr-CA"/>
        </w:rPr>
        <w:tab/>
        <w:t>La participation par un intervenant à une procédure de groupe spécial au titre de la partie B est limitée aux observations écrites prévues à la règle 36a).</w:t>
      </w:r>
    </w:p>
    <w:p w14:paraId="51F640D6" w14:textId="77777777" w:rsidR="005A321B" w:rsidRPr="003E0DDA" w:rsidRDefault="005A321B" w:rsidP="005A321B">
      <w:pPr>
        <w:autoSpaceDE w:val="0"/>
        <w:autoSpaceDN w:val="0"/>
        <w:adjustRightInd w:val="0"/>
        <w:rPr>
          <w:rFonts w:ascii="Arial" w:eastAsia="Times New Roman" w:hAnsi="Arial" w:cs="Arial"/>
          <w:szCs w:val="23"/>
          <w:lang w:val="fr-CA"/>
        </w:rPr>
      </w:pPr>
    </w:p>
    <w:p w14:paraId="6F2228A8" w14:textId="1028FAA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47.</w:t>
      </w:r>
      <w:r w:rsidRPr="003E0DDA">
        <w:rPr>
          <w:rFonts w:ascii="Arial" w:eastAsia="Times New Roman" w:hAnsi="Arial" w:cs="Arial"/>
          <w:szCs w:val="23"/>
          <w:lang w:val="fr-CA"/>
        </w:rPr>
        <w:tab/>
        <w:t>Sauf dans la mesure où un organe décisionnel donne une directive contraire, l’audience est menée selon l’ordre suivant :</w:t>
      </w:r>
    </w:p>
    <w:p w14:paraId="0C7EA9D9" w14:textId="77777777" w:rsidR="005A321B" w:rsidRPr="003E0DDA" w:rsidRDefault="005A321B" w:rsidP="005A321B">
      <w:pPr>
        <w:autoSpaceDE w:val="0"/>
        <w:autoSpaceDN w:val="0"/>
        <w:adjustRightInd w:val="0"/>
        <w:rPr>
          <w:rFonts w:ascii="Arial" w:eastAsia="Times New Roman" w:hAnsi="Arial" w:cs="Arial"/>
          <w:szCs w:val="23"/>
          <w:lang w:val="fr-CA"/>
        </w:rPr>
      </w:pPr>
    </w:p>
    <w:p w14:paraId="7246A43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argument de la Partie plaignante ou de la personne plaignante;</w:t>
      </w:r>
    </w:p>
    <w:p w14:paraId="1B16257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BA870FE" w14:textId="0F2558C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présentation de tout intervenant qui s’est joint à une procédure du groupe spécial sous le régime </w:t>
      </w:r>
      <w:r w:rsidRPr="003E0DDA">
        <w:rPr>
          <w:rFonts w:ascii="Arial" w:eastAsia="Arial" w:hAnsi="Arial" w:cs="Arial"/>
          <w:szCs w:val="23"/>
          <w:lang w:val="fr-CA"/>
        </w:rPr>
        <w:t>de l’article</w:t>
      </w:r>
      <w:r w:rsidRPr="003E0DDA">
        <w:rPr>
          <w:rFonts w:ascii="Arial" w:eastAsia="Times New Roman" w:hAnsi="Arial" w:cs="Arial"/>
          <w:szCs w:val="23"/>
          <w:lang w:val="fr-CA"/>
        </w:rPr>
        <w:t> 1004.9 ou</w:t>
      </w:r>
      <w:r w:rsidRPr="003E0DDA">
        <w:rPr>
          <w:rFonts w:ascii="Arial" w:eastAsia="Arial" w:hAnsi="Arial" w:cs="Arial"/>
          <w:szCs w:val="23"/>
          <w:lang w:val="fr-CA"/>
        </w:rPr>
        <w:t xml:space="preserve"> de l’article</w:t>
      </w:r>
      <w:r w:rsidRPr="003E0DDA">
        <w:rPr>
          <w:rFonts w:ascii="Arial" w:eastAsia="Times New Roman" w:hAnsi="Arial" w:cs="Arial"/>
          <w:szCs w:val="23"/>
          <w:lang w:val="fr-CA"/>
        </w:rPr>
        <w:t xml:space="preserve"> 1023 ou des règles 7 ou 8 (avec la permission prévue à la règle 62, le cas échéant); </w:t>
      </w:r>
    </w:p>
    <w:p w14:paraId="4803988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CFFBEEC"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argument du destinataire de la plainte;</w:t>
      </w:r>
    </w:p>
    <w:p w14:paraId="0A4C46F1"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B4A51E9"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 xml:space="preserve">d) </w:t>
      </w:r>
      <w:r w:rsidRPr="003E0DDA">
        <w:rPr>
          <w:rFonts w:ascii="Arial" w:eastAsia="Times New Roman" w:hAnsi="Arial" w:cs="Arial"/>
          <w:szCs w:val="23"/>
          <w:lang w:val="fr-CA"/>
        </w:rPr>
        <w:tab/>
        <w:t>réplique de la Partie plaignante ou de la personne plaignante.</w:t>
      </w:r>
    </w:p>
    <w:p w14:paraId="5D3520A0" w14:textId="77777777" w:rsidR="005A321B" w:rsidRPr="003E0DDA" w:rsidRDefault="005A321B" w:rsidP="005A321B">
      <w:pPr>
        <w:autoSpaceDE w:val="0"/>
        <w:autoSpaceDN w:val="0"/>
        <w:adjustRightInd w:val="0"/>
        <w:rPr>
          <w:rFonts w:ascii="Arial" w:eastAsia="Times New Roman" w:hAnsi="Arial" w:cs="Arial"/>
          <w:szCs w:val="23"/>
          <w:lang w:val="fr-CA"/>
        </w:rPr>
      </w:pPr>
    </w:p>
    <w:p w14:paraId="5A3170D1" w14:textId="66C48A5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48.</w:t>
      </w:r>
      <w:r w:rsidRPr="003E0DDA">
        <w:rPr>
          <w:rFonts w:ascii="Arial" w:eastAsia="Times New Roman" w:hAnsi="Arial" w:cs="Arial"/>
          <w:szCs w:val="23"/>
          <w:lang w:val="fr-CA"/>
        </w:rPr>
        <w:tab/>
        <w:t xml:space="preserve">Les arguments oraux ne portent que sur les points du différend.  </w:t>
      </w:r>
    </w:p>
    <w:p w14:paraId="35C1E1D6" w14:textId="77777777" w:rsidR="005A321B" w:rsidRPr="003E0DDA" w:rsidRDefault="005A321B" w:rsidP="005A321B">
      <w:pPr>
        <w:autoSpaceDE w:val="0"/>
        <w:autoSpaceDN w:val="0"/>
        <w:adjustRightInd w:val="0"/>
        <w:rPr>
          <w:rFonts w:ascii="Arial" w:eastAsia="Times New Roman" w:hAnsi="Arial" w:cs="Arial"/>
          <w:szCs w:val="23"/>
          <w:lang w:val="fr-CA"/>
        </w:rPr>
      </w:pPr>
    </w:p>
    <w:p w14:paraId="6A019566" w14:textId="768728A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49.</w:t>
      </w:r>
      <w:r w:rsidRPr="003E0DDA">
        <w:rPr>
          <w:rFonts w:ascii="Arial" w:eastAsia="Times New Roman" w:hAnsi="Arial" w:cs="Arial"/>
          <w:szCs w:val="23"/>
          <w:lang w:val="fr-CA"/>
        </w:rPr>
        <w:tab/>
        <w:t xml:space="preserve">Lorsque des services d’interprétation ou de traduction sont utilisés au cours d’une audience, un organe décisionnel fait en sorte d’octroyer aux Parties participantes ou participants qui ont besoin de ces services suffisamment de temps additionnel pour qu’ils puissent présenter leurs arguments, déclarations ou répliques et pour qu’ils puissent suivre les arguments, présentations ou répliques présentés par les autres Parties participantes ou participants. </w:t>
      </w:r>
    </w:p>
    <w:p w14:paraId="59CD4EE8"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345906DA"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Procédures du groupe spécial : Observations écrites supplémentaires</w:t>
      </w:r>
    </w:p>
    <w:p w14:paraId="5668BA9A" w14:textId="77777777" w:rsidR="005A321B" w:rsidRPr="003E0DDA" w:rsidRDefault="005A321B" w:rsidP="005A321B">
      <w:pPr>
        <w:autoSpaceDE w:val="0"/>
        <w:autoSpaceDN w:val="0"/>
        <w:adjustRightInd w:val="0"/>
        <w:rPr>
          <w:rFonts w:ascii="Arial" w:eastAsia="Times New Roman" w:hAnsi="Arial" w:cs="Arial"/>
          <w:szCs w:val="23"/>
          <w:lang w:val="fr-CA"/>
        </w:rPr>
      </w:pPr>
    </w:p>
    <w:p w14:paraId="0ACB84E2" w14:textId="319E614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50.</w:t>
      </w:r>
      <w:r w:rsidRPr="003E0DDA">
        <w:rPr>
          <w:rFonts w:ascii="Arial" w:eastAsia="Times New Roman" w:hAnsi="Arial" w:cs="Arial"/>
          <w:szCs w:val="23"/>
          <w:lang w:val="fr-CA"/>
        </w:rPr>
        <w:tab/>
        <w:t xml:space="preserve">En tout temps au cours d’une procédure, le groupe spécial peut adresser des questions par écrit à un ou à plusieurs des Parties participantes ou participants. Le groupe spécial remet les questions écrites aux Parties participantes ou participants concernés, par </w:t>
      </w:r>
      <w:r w:rsidRPr="003E0DDA">
        <w:rPr>
          <w:rFonts w:ascii="Arial" w:eastAsia="Times New Roman" w:hAnsi="Arial" w:cs="Arial"/>
          <w:szCs w:val="23"/>
          <w:lang w:val="fr-CA"/>
        </w:rPr>
        <w:lastRenderedPageBreak/>
        <w:t>l’intermédiaire du Secrétariat, lequel en fournit aussi copie aux autres Parties participantes ou participants.</w:t>
      </w:r>
    </w:p>
    <w:p w14:paraId="3CB58AE6" w14:textId="77777777" w:rsidR="005A321B" w:rsidRPr="003E0DDA" w:rsidRDefault="005A321B" w:rsidP="005A321B">
      <w:pPr>
        <w:autoSpaceDE w:val="0"/>
        <w:autoSpaceDN w:val="0"/>
        <w:adjustRightInd w:val="0"/>
        <w:rPr>
          <w:rFonts w:ascii="Arial" w:eastAsia="Times New Roman" w:hAnsi="Arial" w:cs="Arial"/>
          <w:szCs w:val="23"/>
          <w:lang w:val="fr-CA"/>
        </w:rPr>
      </w:pPr>
    </w:p>
    <w:p w14:paraId="1B9E6742" w14:textId="4535041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51.</w:t>
      </w:r>
      <w:r w:rsidRPr="003E0DDA">
        <w:rPr>
          <w:rFonts w:ascii="Arial" w:eastAsia="Times New Roman" w:hAnsi="Arial" w:cs="Arial"/>
          <w:szCs w:val="23"/>
          <w:lang w:val="fr-CA"/>
        </w:rPr>
        <w:tab/>
        <w:t>La Partie participante ou le participant auquel sont adressées les questions écrites du groupe spécial remet une copie de ses réponses par écrit au Secrétariat, lequel en fournit copie aux autres Parties participantes ou participants. Chaque autre Partie participante ou participant se voit alors donner la possibilité de commentaires écrits sur la réplique dans les cinq jours de la date de remise.</w:t>
      </w:r>
    </w:p>
    <w:p w14:paraId="26EC1051"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493AB5E3"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Procédures du groupe spécial : Rapport du groupe spécial</w:t>
      </w:r>
    </w:p>
    <w:p w14:paraId="6C60A3B9" w14:textId="77777777" w:rsidR="005A321B" w:rsidRPr="003E0DDA" w:rsidRDefault="005A321B" w:rsidP="005A321B">
      <w:pPr>
        <w:autoSpaceDE w:val="0"/>
        <w:autoSpaceDN w:val="0"/>
        <w:adjustRightInd w:val="0"/>
        <w:rPr>
          <w:rFonts w:ascii="Arial" w:eastAsia="Times New Roman" w:hAnsi="Arial" w:cs="Arial"/>
          <w:szCs w:val="23"/>
          <w:lang w:val="fr-CA"/>
        </w:rPr>
      </w:pPr>
    </w:p>
    <w:p w14:paraId="5275DD60" w14:textId="1C97704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52.</w:t>
      </w:r>
      <w:r w:rsidRPr="003E0DDA">
        <w:rPr>
          <w:rFonts w:ascii="Arial" w:eastAsia="Times New Roman" w:hAnsi="Arial" w:cs="Arial"/>
          <w:szCs w:val="23"/>
          <w:lang w:val="fr-CA"/>
        </w:rPr>
        <w:tab/>
        <w:t>Le rapport est présenté dans les 45 jours qui suivent la date de la clôture de l’audience ou dans un autre délai dont peuvent convenir les Parties au différend ou les litigants.</w:t>
      </w:r>
    </w:p>
    <w:p w14:paraId="2868A3F6"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5166CC0A"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Avis de suspension et négociation d’un règlement mutuellement satisfaisant</w:t>
      </w:r>
    </w:p>
    <w:p w14:paraId="6FAE73E5"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12A11759" w14:textId="0E31DE9F"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 xml:space="preserve">53. </w:t>
      </w:r>
      <w:r w:rsidRPr="003E0DDA">
        <w:rPr>
          <w:rFonts w:ascii="Arial" w:eastAsia="Times New Roman" w:hAnsi="Arial" w:cs="Arial"/>
          <w:szCs w:val="23"/>
          <w:lang w:val="fr-CA"/>
        </w:rPr>
        <w:tab/>
        <w:t>Les Parties au différend ou les litigants, ou certains d’entre eux, qui conviennent, en tout temps avant la présentation du rapport de l’organe décisionnel, de suspendre les procédures de règlement des différends pour négocier ou obtenir un règlement mutuellement satisfaisant du différend, donnent une notification écrite de leur consentement à suspendre les procédures au Secrétariat et à tout autre Partie au différend ou litigant.</w:t>
      </w:r>
    </w:p>
    <w:p w14:paraId="49096E40"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09D75A94" w14:textId="0EB11CA3"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54.</w:t>
      </w:r>
      <w:r w:rsidRPr="003E0DDA">
        <w:rPr>
          <w:rFonts w:ascii="Arial" w:eastAsia="Times New Roman" w:hAnsi="Arial" w:cs="Arial"/>
          <w:szCs w:val="23"/>
          <w:lang w:val="fr-CA"/>
        </w:rPr>
        <w:tab/>
        <w:t>La Partie au différend ou le litigant qui ne consent pas à la suspension avise les autres Parties au différend ou les autres litigants et le Secrétariat, par écrit, de son opposition dans les 7 jours qui suivent la réception de la notification donnée sous le régime de la règle 53. À la réception de l’avis, les Parties au différend et les litigants qui consentent à la suspension demandent à l’organe décisionnel de rendre une ordonnance de suspension de la procédure.</w:t>
      </w:r>
    </w:p>
    <w:p w14:paraId="25BAA4A0"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044A6532" w14:textId="50D568B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55.</w:t>
      </w:r>
      <w:r w:rsidRPr="003E0DDA">
        <w:rPr>
          <w:rFonts w:ascii="Arial" w:eastAsia="Times New Roman" w:hAnsi="Arial" w:cs="Arial"/>
          <w:szCs w:val="23"/>
          <w:lang w:val="fr-CA"/>
        </w:rPr>
        <w:tab/>
        <w:t>Si une demande est faite au titre de la règle 54, l’organe décisionnel décide s’il ordonne une suspension de la procédure de règlement des différends conformément à l’article 1010.4 ou à l’article 1027.4.</w:t>
      </w:r>
    </w:p>
    <w:p w14:paraId="3518E530"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171D3ADB" w14:textId="0243D4EF"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56.</w:t>
      </w:r>
      <w:r w:rsidRPr="003E0DDA">
        <w:rPr>
          <w:rFonts w:ascii="Arial" w:eastAsia="Times New Roman" w:hAnsi="Arial" w:cs="Arial"/>
          <w:szCs w:val="23"/>
          <w:lang w:val="fr-CA"/>
        </w:rPr>
        <w:tab/>
        <w:t>Si les procédures ont été suspendues avec le consentement des Parties au différend ou des litigants, l’une des Parties au différend ou l’un des litigants peut retirer son consentement et reprendre les procédures en tout temps, sous réserve des directives procédurales données par l’organe décisionnel.</w:t>
      </w:r>
    </w:p>
    <w:p w14:paraId="5767A3EC"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3E086FB3" w14:textId="278AB250"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57.</w:t>
      </w:r>
      <w:r w:rsidRPr="003E0DDA">
        <w:rPr>
          <w:rFonts w:ascii="Arial" w:eastAsia="Times New Roman" w:hAnsi="Arial" w:cs="Arial"/>
          <w:szCs w:val="23"/>
          <w:lang w:val="fr-CA"/>
        </w:rPr>
        <w:tab/>
        <w:t xml:space="preserve">Si les procédures ont été suspendues conformément à une ordonnance de l’organe décisionnel au titre de la règle 55, une Partie au différend ou un litigant visé par l’ordonnance peut, sur avis écrit aux autres Parties au différend ou aux autres litigants et au Secrétariat, demander à l’organe décisionnel de mettre fin à la suspension dans les 36 mois qui suivent la date de la suspension.  </w:t>
      </w:r>
    </w:p>
    <w:p w14:paraId="64B1ED22"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18E319A8" w14:textId="77777777" w:rsidR="005A321B" w:rsidRPr="003E0DDA" w:rsidRDefault="005A321B" w:rsidP="005A321B">
      <w:pPr>
        <w:keepNext/>
        <w:keepLines/>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lastRenderedPageBreak/>
        <w:t xml:space="preserve">Groupe spécial d’appel : Avis d’appel </w:t>
      </w:r>
    </w:p>
    <w:p w14:paraId="5B5BEF83" w14:textId="77777777" w:rsidR="005A321B" w:rsidRPr="003E0DDA" w:rsidRDefault="005A321B" w:rsidP="005A321B">
      <w:pPr>
        <w:keepNext/>
        <w:keepLines/>
        <w:autoSpaceDE w:val="0"/>
        <w:autoSpaceDN w:val="0"/>
        <w:adjustRightInd w:val="0"/>
        <w:rPr>
          <w:rFonts w:ascii="Arial" w:eastAsia="Times New Roman" w:hAnsi="Arial" w:cs="Arial"/>
          <w:bCs/>
          <w:szCs w:val="23"/>
          <w:lang w:val="fr-CA"/>
        </w:rPr>
      </w:pPr>
    </w:p>
    <w:p w14:paraId="7100583E" w14:textId="0EE76D59" w:rsidR="005A321B" w:rsidRPr="003E0DDA" w:rsidRDefault="005A321B" w:rsidP="005A321B">
      <w:pPr>
        <w:keepNext/>
        <w:keepLines/>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58.</w:t>
      </w:r>
      <w:r w:rsidRPr="003E0DDA">
        <w:rPr>
          <w:rFonts w:ascii="Arial" w:eastAsia="Times New Roman" w:hAnsi="Arial" w:cs="Arial"/>
          <w:szCs w:val="23"/>
          <w:lang w:val="fr-CA"/>
        </w:rPr>
        <w:tab/>
        <w:t xml:space="preserve">La Partie au différend ou le litigant qui décide d’interjeter appel donne au Secrétariat et aux autres Parties participantes ou participants un avis d’appel qui décrit brièvement les motifs de l’appel et la réparation demandée. </w:t>
      </w:r>
    </w:p>
    <w:p w14:paraId="354632B1"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611386FE"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59.</w:t>
      </w:r>
      <w:r w:rsidRPr="003E0DDA">
        <w:rPr>
          <w:rFonts w:ascii="Arial" w:eastAsia="Times New Roman" w:hAnsi="Arial" w:cs="Arial"/>
          <w:szCs w:val="23"/>
          <w:lang w:val="fr-CA"/>
        </w:rPr>
        <w:tab/>
        <w:t>Aucun appel ne peut être interjeté si aucun avis d’appel n’a été remis au Secrétariat dans les 30 jours qui suivent la présentation du rapport.</w:t>
      </w:r>
    </w:p>
    <w:p w14:paraId="452E9E2F"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287737BC"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Groupe spécial d’appel : Observations écrites</w:t>
      </w:r>
    </w:p>
    <w:p w14:paraId="00A1E5CB"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5DF93C97"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60.</w:t>
      </w:r>
      <w:r w:rsidRPr="003E0DDA">
        <w:rPr>
          <w:rFonts w:ascii="Arial" w:eastAsia="Times New Roman" w:hAnsi="Arial" w:cs="Arial"/>
          <w:szCs w:val="23"/>
          <w:lang w:val="fr-CA"/>
        </w:rPr>
        <w:tab/>
        <w:t xml:space="preserve">L’appelant fournit des observations écrites à l’appui de son appel à l’intimé, aux autres Parties participantes ou participants et au Secrétariat, dans les 75 jours qui suivent la date du rapport. </w:t>
      </w:r>
    </w:p>
    <w:p w14:paraId="3D964E44"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4A454ABD" w14:textId="355257C8"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61.</w:t>
      </w:r>
      <w:r w:rsidRPr="003E0DDA">
        <w:rPr>
          <w:rFonts w:ascii="Arial" w:eastAsia="Times New Roman" w:hAnsi="Arial" w:cs="Arial"/>
          <w:szCs w:val="23"/>
          <w:lang w:val="fr-CA"/>
        </w:rPr>
        <w:tab/>
        <w:t>L’intimé fournit, et un intervenant peut fournir, une réponse écrite à l’appelant, aux autres Parties participantes ou participants et au Secrétariat, dans les 45 jours qui suivent la réception des observations de l’appelant.</w:t>
      </w:r>
    </w:p>
    <w:p w14:paraId="5F510BCD"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433E9AD4"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62.</w:t>
      </w:r>
      <w:r w:rsidRPr="003E0DDA">
        <w:rPr>
          <w:rFonts w:ascii="Arial" w:eastAsia="Times New Roman" w:hAnsi="Arial" w:cs="Arial"/>
          <w:szCs w:val="23"/>
          <w:lang w:val="fr-CA"/>
        </w:rPr>
        <w:tab/>
        <w:t>La participation d’un intervenant au processus d’appel est limitée à la réponse écrite énoncée à la règle 61, sauf si l’intervenant demande à participer oralement à l’audience, et si le groupe spécial d’appel le lui permet.</w:t>
      </w:r>
    </w:p>
    <w:p w14:paraId="53C68B4F"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02DB3CCE"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Groupe spécial d’appel : Audience</w:t>
      </w:r>
    </w:p>
    <w:p w14:paraId="2FB85BEA"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4EAAF8E0"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63.</w:t>
      </w:r>
      <w:r w:rsidRPr="003E0DDA">
        <w:rPr>
          <w:rFonts w:ascii="Arial" w:eastAsia="Times New Roman" w:hAnsi="Arial" w:cs="Arial"/>
          <w:szCs w:val="23"/>
          <w:lang w:val="fr-CA"/>
        </w:rPr>
        <w:tab/>
        <w:t>À la réception de l’avis d’appel par le Secrétariat, une audience devant le groupe spécial d’appel est convoquée sans délai.</w:t>
      </w:r>
    </w:p>
    <w:p w14:paraId="101A8431"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644E04F8"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64.</w:t>
      </w:r>
      <w:r w:rsidRPr="003E0DDA">
        <w:rPr>
          <w:rFonts w:ascii="Arial" w:eastAsia="Times New Roman" w:hAnsi="Arial" w:cs="Arial"/>
          <w:szCs w:val="23"/>
          <w:lang w:val="fr-CA"/>
        </w:rPr>
        <w:tab/>
        <w:t xml:space="preserve">Sauf dans la mesure où le groupe spécial d’appel donne une directive contraire : </w:t>
      </w:r>
    </w:p>
    <w:p w14:paraId="20218EA3"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4269D64F" w14:textId="32FE7331"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l’audience est tenue dans la capitale de l’intimé dans le cadre de l’appel;</w:t>
      </w:r>
    </w:p>
    <w:p w14:paraId="714F7F65"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11D738B6" w14:textId="6695E8FA" w:rsidR="005A321B" w:rsidRPr="003E0DDA" w:rsidRDefault="005A321B" w:rsidP="00F01C29">
      <w:pPr>
        <w:autoSpaceDE w:val="0"/>
        <w:autoSpaceDN w:val="0"/>
        <w:adjustRightInd w:val="0"/>
        <w:ind w:left="1440" w:hanging="720"/>
        <w:rPr>
          <w:rFonts w:ascii="Arial" w:eastAsia="Times New Roman" w:hAnsi="Arial" w:cs="Arial"/>
          <w:szCs w:val="23"/>
          <w:u w:val="single"/>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l’audience est menée selon l’ordre suivant : l’argument oral de l’appelant suivi de l’argument oral de l’intimé.</w:t>
      </w:r>
    </w:p>
    <w:p w14:paraId="08A74AB4"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14E991CB" w14:textId="77777777"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Groupe spécial d’appel : Rapport d’appel</w:t>
      </w:r>
    </w:p>
    <w:p w14:paraId="5F8AC746"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6A0BC0EA" w14:textId="2017B848"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 xml:space="preserve">65. </w:t>
      </w:r>
      <w:r w:rsidRPr="003E0DDA">
        <w:rPr>
          <w:rFonts w:ascii="Arial" w:eastAsia="Times New Roman" w:hAnsi="Arial" w:cs="Arial"/>
          <w:szCs w:val="23"/>
          <w:lang w:val="fr-CA"/>
        </w:rPr>
        <w:tab/>
        <w:t xml:space="preserve">Le groupe spécial d’appel présente un rapport d’appel dans les 90 jours qui suivent la clôture de l’audience. </w:t>
      </w:r>
    </w:p>
    <w:p w14:paraId="5FF4ADD8"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48BE1355"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b/>
          <w:bCs/>
          <w:szCs w:val="23"/>
          <w:lang w:val="fr-CA"/>
        </w:rPr>
        <w:t>Procédures du groupe spécial de l’observation des décisions : Observations écrites et audience (facultative)</w:t>
      </w:r>
    </w:p>
    <w:p w14:paraId="3EF871E1"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5C35A1F3" w14:textId="6BC66FB8"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66.</w:t>
      </w:r>
      <w:r w:rsidRPr="003E0DDA">
        <w:rPr>
          <w:rFonts w:ascii="Arial" w:eastAsia="Times New Roman" w:hAnsi="Arial" w:cs="Arial"/>
          <w:szCs w:val="23"/>
          <w:lang w:val="fr-CA"/>
        </w:rPr>
        <w:tab/>
        <w:t>La Partie au différend ou le litigant qui présente une demande d’établissement d’un groupe spécial de l’observation des décisions présente cette demande par écrit, la transmet aux autres Parties au différend ou aux autres litigants et au Secrétariat et y inclut des observations écrites à l’appui de sa position.</w:t>
      </w:r>
    </w:p>
    <w:p w14:paraId="1092BF9F"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68CDF028" w14:textId="7D0CEAD5"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lastRenderedPageBreak/>
        <w:t>67.</w:t>
      </w:r>
      <w:r w:rsidRPr="003E0DDA">
        <w:rPr>
          <w:rFonts w:ascii="Arial" w:eastAsia="Times New Roman" w:hAnsi="Arial" w:cs="Arial"/>
          <w:szCs w:val="23"/>
          <w:lang w:val="fr-CA"/>
        </w:rPr>
        <w:tab/>
        <w:t>Les membres qui ont déjà siégé au groupe spécial siègent à nouveau au groupe spécial de l’observation des décisions. Si un ou plusieurs membres du groupe spécial ne sont plus disponibles pour siéger au groupe spécial de l’observation des décisions, des membres sont nommés conformément à la procédure énoncée à la règle 74.</w:t>
      </w:r>
    </w:p>
    <w:p w14:paraId="3F830D9E" w14:textId="77777777" w:rsidR="005A321B" w:rsidRPr="003E0DDA" w:rsidRDefault="005A321B" w:rsidP="005A321B">
      <w:pPr>
        <w:autoSpaceDE w:val="0"/>
        <w:autoSpaceDN w:val="0"/>
        <w:adjustRightInd w:val="0"/>
        <w:rPr>
          <w:rFonts w:ascii="Arial" w:eastAsia="Times New Roman" w:hAnsi="Arial" w:cs="Arial"/>
          <w:bCs/>
          <w:i/>
          <w:szCs w:val="23"/>
          <w:lang w:val="fr-CA"/>
        </w:rPr>
      </w:pPr>
    </w:p>
    <w:p w14:paraId="21AE2D22" w14:textId="5C21398F"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68.</w:t>
      </w:r>
      <w:r w:rsidRPr="003E0DDA">
        <w:rPr>
          <w:rFonts w:ascii="Arial" w:eastAsia="Times New Roman" w:hAnsi="Arial" w:cs="Arial"/>
          <w:szCs w:val="23"/>
          <w:lang w:val="fr-CA"/>
        </w:rPr>
        <w:tab/>
        <w:t>Une Partie au différend ou un litigant qui a reçu une notification d’une demande d’établissement d’un groupe spécial de l’observation des décisions peut, dans les 60 jours qui suivent la réception de cet avis, fournir une réplique écrite aux observations transmises conformément à la règle 66 et la remettre aux autres Parties au différend ou aux autres litigants et au Secrétariat.</w:t>
      </w:r>
    </w:p>
    <w:p w14:paraId="320636D0"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33718BA6" w14:textId="01AA051C"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Procédures du groupe spécial de l’observation des décisions : Rapport sur la conformité</w:t>
      </w:r>
    </w:p>
    <w:p w14:paraId="26074117"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7F58C467" w14:textId="012B1358"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69.</w:t>
      </w:r>
      <w:r w:rsidRPr="003E0DDA">
        <w:rPr>
          <w:rFonts w:ascii="Arial" w:eastAsia="Times New Roman" w:hAnsi="Arial" w:cs="Arial"/>
          <w:szCs w:val="23"/>
          <w:lang w:val="fr-CA"/>
        </w:rPr>
        <w:tab/>
        <w:t>Le groupe spécial de l’observation des décisions examine les observations des Parties au différend et des litigants et peut leur demander des éclaircissements écrits. Le groupe spécial de l’observation des décisions peut aussi, à sa discrétion, convoquer une audience avec les Parties au différend ou les litigants.</w:t>
      </w:r>
    </w:p>
    <w:p w14:paraId="0B739457" w14:textId="77777777" w:rsidR="005A321B" w:rsidRPr="003E0DDA" w:rsidRDefault="005A321B" w:rsidP="005A321B">
      <w:pPr>
        <w:autoSpaceDE w:val="0"/>
        <w:autoSpaceDN w:val="0"/>
        <w:adjustRightInd w:val="0"/>
        <w:rPr>
          <w:rFonts w:ascii="Arial" w:eastAsia="Times New Roman" w:hAnsi="Arial" w:cs="Arial"/>
          <w:bCs/>
          <w:szCs w:val="23"/>
          <w:lang w:val="fr-CA"/>
        </w:rPr>
      </w:pPr>
    </w:p>
    <w:p w14:paraId="6C0E76E3" w14:textId="77777777"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70.</w:t>
      </w:r>
      <w:r w:rsidRPr="003E0DDA">
        <w:rPr>
          <w:rFonts w:ascii="Arial" w:eastAsia="Times New Roman" w:hAnsi="Arial" w:cs="Arial"/>
          <w:szCs w:val="23"/>
          <w:lang w:val="fr-CA"/>
        </w:rPr>
        <w:tab/>
        <w:t>Le groupe spécial de l’observation des décisions présente un rapport sur la conformité dans les 45 jours de l’échéance du délai pour la présentation d’observations par les Parties au différend ou les litigants, conformément à la règle 68 ou, si une audience sur la conformité est tenue, dans les 45 jours qui suivent la clôture de l’audience.</w:t>
      </w:r>
    </w:p>
    <w:p w14:paraId="01F3E5E5"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04C72663" w14:textId="77777777" w:rsidR="005A321B" w:rsidRPr="003E0DDA" w:rsidRDefault="005A321B" w:rsidP="005A321B">
      <w:pPr>
        <w:rPr>
          <w:rFonts w:ascii="Arial" w:eastAsia="Times New Roman" w:hAnsi="Arial" w:cs="Arial"/>
          <w:b/>
          <w:bCs/>
          <w:szCs w:val="23"/>
          <w:lang w:val="fr-CA"/>
        </w:rPr>
      </w:pPr>
      <w:r w:rsidRPr="003E0DDA">
        <w:rPr>
          <w:rFonts w:ascii="Arial" w:eastAsia="Times New Roman" w:hAnsi="Arial" w:cs="Arial"/>
          <w:b/>
          <w:bCs/>
          <w:szCs w:val="23"/>
          <w:lang w:val="fr-CA"/>
        </w:rPr>
        <w:t>Désistement</w:t>
      </w:r>
    </w:p>
    <w:p w14:paraId="67184D2D" w14:textId="77777777" w:rsidR="005A321B" w:rsidRPr="003E0DDA" w:rsidRDefault="005A321B" w:rsidP="005A321B">
      <w:pPr>
        <w:autoSpaceDE w:val="0"/>
        <w:autoSpaceDN w:val="0"/>
        <w:adjustRightInd w:val="0"/>
        <w:rPr>
          <w:rFonts w:ascii="Arial" w:eastAsia="Times New Roman" w:hAnsi="Arial" w:cs="Arial"/>
          <w:bCs/>
          <w:szCs w:val="23"/>
          <w:u w:val="single"/>
          <w:lang w:val="fr-CA"/>
        </w:rPr>
      </w:pPr>
    </w:p>
    <w:p w14:paraId="2A55A46F" w14:textId="135E1555" w:rsidR="005A321B" w:rsidRPr="003E0DDA" w:rsidRDefault="005A321B" w:rsidP="005A321B">
      <w:pPr>
        <w:autoSpaceDE w:val="0"/>
        <w:autoSpaceDN w:val="0"/>
        <w:adjustRightInd w:val="0"/>
        <w:rPr>
          <w:rFonts w:ascii="Arial" w:eastAsia="Times New Roman" w:hAnsi="Arial" w:cs="Arial"/>
          <w:bCs/>
          <w:szCs w:val="23"/>
          <w:lang w:val="fr-CA"/>
        </w:rPr>
      </w:pPr>
      <w:r w:rsidRPr="003E0DDA">
        <w:rPr>
          <w:rFonts w:ascii="Arial" w:eastAsia="Times New Roman" w:hAnsi="Arial" w:cs="Arial"/>
          <w:szCs w:val="23"/>
          <w:lang w:val="fr-CA"/>
        </w:rPr>
        <w:t>71.</w:t>
      </w:r>
      <w:r w:rsidRPr="003E0DDA">
        <w:rPr>
          <w:rFonts w:ascii="Arial" w:eastAsia="Times New Roman" w:hAnsi="Arial" w:cs="Arial"/>
          <w:szCs w:val="23"/>
          <w:lang w:val="fr-CA"/>
        </w:rPr>
        <w:tab/>
        <w:t xml:space="preserve">La Partie au différend ou le litigant qui entend se désister de la procédure dépose au Secrétariat un avis de désistement et fournit le même jour une copie aux autres Parties au différend ou aux autres litigants. </w:t>
      </w:r>
    </w:p>
    <w:p w14:paraId="329212DD" w14:textId="77777777" w:rsidR="005A321B" w:rsidRPr="003E0DDA" w:rsidRDefault="005A321B" w:rsidP="005A321B">
      <w:pPr>
        <w:autoSpaceDE w:val="0"/>
        <w:autoSpaceDN w:val="0"/>
        <w:adjustRightInd w:val="0"/>
        <w:rPr>
          <w:rFonts w:ascii="Arial" w:eastAsia="Times New Roman" w:hAnsi="Arial" w:cs="Arial"/>
          <w:b/>
          <w:bCs/>
          <w:szCs w:val="23"/>
          <w:lang w:val="fr-CA"/>
        </w:rPr>
      </w:pPr>
    </w:p>
    <w:p w14:paraId="28EA6847" w14:textId="1B65146E" w:rsidR="005A321B" w:rsidRPr="003E0DDA" w:rsidRDefault="005A321B" w:rsidP="005A321B">
      <w:pPr>
        <w:autoSpaceDE w:val="0"/>
        <w:autoSpaceDN w:val="0"/>
        <w:adjustRightInd w:val="0"/>
        <w:rPr>
          <w:rFonts w:ascii="Arial" w:eastAsia="Times New Roman" w:hAnsi="Arial" w:cs="Arial"/>
          <w:b/>
          <w:bCs/>
          <w:szCs w:val="23"/>
          <w:lang w:val="fr-CA"/>
        </w:rPr>
      </w:pPr>
      <w:r w:rsidRPr="003E0DDA">
        <w:rPr>
          <w:rFonts w:ascii="Arial" w:eastAsia="Times New Roman" w:hAnsi="Arial" w:cs="Arial"/>
          <w:b/>
          <w:bCs/>
          <w:szCs w:val="23"/>
          <w:lang w:val="fr-CA"/>
        </w:rPr>
        <w:t>Réunion d’un groupe spécial au titre de l’article 1013</w:t>
      </w:r>
    </w:p>
    <w:p w14:paraId="43AF23EA" w14:textId="77777777" w:rsidR="005A321B" w:rsidRPr="003E0DDA" w:rsidRDefault="005A321B" w:rsidP="005A321B">
      <w:pPr>
        <w:autoSpaceDE w:val="0"/>
        <w:autoSpaceDN w:val="0"/>
        <w:adjustRightInd w:val="0"/>
        <w:rPr>
          <w:rFonts w:ascii="Arial" w:eastAsia="Times New Roman" w:hAnsi="Arial" w:cs="Arial"/>
          <w:szCs w:val="23"/>
          <w:lang w:val="fr-CA"/>
        </w:rPr>
      </w:pPr>
    </w:p>
    <w:p w14:paraId="3101A3B9"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r w:rsidRPr="003E0DDA">
        <w:rPr>
          <w:rFonts w:ascii="Arial" w:eastAsia="Times New Roman" w:hAnsi="Arial" w:cs="Arial"/>
          <w:szCs w:val="23"/>
          <w:lang w:val="fr-CA"/>
        </w:rPr>
        <w:t>72.</w:t>
      </w:r>
      <w:r w:rsidRPr="003E0DDA">
        <w:rPr>
          <w:rFonts w:ascii="Arial" w:eastAsia="Times New Roman" w:hAnsi="Arial" w:cs="Arial"/>
          <w:szCs w:val="23"/>
          <w:lang w:val="fr-CA"/>
        </w:rPr>
        <w:tab/>
        <w:t>Si un groupe spécial est réuni par le Comité :</w:t>
      </w:r>
    </w:p>
    <w:p w14:paraId="26F2B046" w14:textId="77777777" w:rsidR="005A321B" w:rsidRPr="003E0DDA" w:rsidRDefault="005A321B" w:rsidP="005A321B">
      <w:pPr>
        <w:autoSpaceDE w:val="0"/>
        <w:autoSpaceDN w:val="0"/>
        <w:adjustRightInd w:val="0"/>
        <w:rPr>
          <w:rFonts w:ascii="Arial" w:eastAsia="Times New Roman" w:hAnsi="Arial" w:cs="Arial"/>
          <w:szCs w:val="23"/>
          <w:lang w:val="fr-CA"/>
        </w:rPr>
      </w:pPr>
    </w:p>
    <w:p w14:paraId="47612C85" w14:textId="0FCD7C6E"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soit au titre de l’article 1013.5 afin de décider si la suspension des avantages ou la prise de mesures de rétorsion par une Partie plaignante ou la Partie de la personne plaignante est manifestement excessive;</w:t>
      </w:r>
    </w:p>
    <w:p w14:paraId="75F5C1E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01CC815" w14:textId="592B51D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soit au titre de l’article 1013.7 afin de décider si les moyens pris par le destinataire de la plainte en vue de régler le différend sont suffisants ou satisfaisants,</w:t>
      </w:r>
    </w:p>
    <w:p w14:paraId="1B34AF90" w14:textId="77777777" w:rsidR="005A321B" w:rsidRPr="003E0DDA" w:rsidRDefault="005A321B" w:rsidP="005A321B">
      <w:pPr>
        <w:autoSpaceDE w:val="0"/>
        <w:autoSpaceDN w:val="0"/>
        <w:adjustRightInd w:val="0"/>
        <w:ind w:hanging="720"/>
        <w:rPr>
          <w:rFonts w:ascii="Arial" w:eastAsia="Times New Roman" w:hAnsi="Arial" w:cs="Arial"/>
          <w:szCs w:val="23"/>
          <w:lang w:val="fr-CA"/>
        </w:rPr>
      </w:pPr>
    </w:p>
    <w:p w14:paraId="4F3FEA5F" w14:textId="77777777"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szCs w:val="23"/>
          <w:lang w:val="fr-CA"/>
        </w:rPr>
        <w:t>le</w:t>
      </w:r>
      <w:proofErr w:type="gramEnd"/>
      <w:r w:rsidRPr="003E0DDA">
        <w:rPr>
          <w:rFonts w:ascii="Arial" w:eastAsia="Times New Roman" w:hAnsi="Arial" w:cs="Arial"/>
          <w:szCs w:val="23"/>
          <w:lang w:val="fr-CA"/>
        </w:rPr>
        <w:t xml:space="preserve"> groupe spécial rend sa décision dans les 45 jours qui suivent la date à laquelle la question lui a été soumise.</w:t>
      </w:r>
    </w:p>
    <w:p w14:paraId="620F2E27" w14:textId="77777777" w:rsidR="005A321B" w:rsidRPr="003E0DDA" w:rsidRDefault="005A321B" w:rsidP="005A321B">
      <w:pPr>
        <w:autoSpaceDE w:val="0"/>
        <w:autoSpaceDN w:val="0"/>
        <w:adjustRightInd w:val="0"/>
        <w:rPr>
          <w:rFonts w:ascii="Arial" w:eastAsia="Times New Roman" w:hAnsi="Arial" w:cs="Arial"/>
          <w:szCs w:val="23"/>
          <w:lang w:val="fr-CA"/>
        </w:rPr>
      </w:pPr>
    </w:p>
    <w:p w14:paraId="7B6A80BB" w14:textId="356570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73.</w:t>
      </w:r>
      <w:r w:rsidRPr="003E0DDA">
        <w:rPr>
          <w:rFonts w:ascii="Arial" w:eastAsia="Times New Roman" w:hAnsi="Arial" w:cs="Arial"/>
          <w:szCs w:val="23"/>
          <w:lang w:val="fr-CA"/>
        </w:rPr>
        <w:tab/>
        <w:t xml:space="preserve">Le plus tôt possible après avoir été réuni en application </w:t>
      </w:r>
      <w:r w:rsidRPr="003E0DDA">
        <w:rPr>
          <w:rFonts w:ascii="Arial" w:eastAsia="Arial" w:hAnsi="Arial" w:cs="Arial"/>
          <w:szCs w:val="23"/>
          <w:lang w:val="fr-CA"/>
        </w:rPr>
        <w:t>de l’article</w:t>
      </w:r>
      <w:r w:rsidRPr="003E0DDA">
        <w:rPr>
          <w:rFonts w:ascii="Arial" w:eastAsia="Times New Roman" w:hAnsi="Arial" w:cs="Arial"/>
          <w:szCs w:val="23"/>
          <w:lang w:val="fr-CA"/>
        </w:rPr>
        <w:t xml:space="preserve"> 1013.5 ou </w:t>
      </w:r>
      <w:r w:rsidRPr="003E0DDA">
        <w:rPr>
          <w:rFonts w:ascii="Arial" w:eastAsia="Arial" w:hAnsi="Arial" w:cs="Arial"/>
          <w:szCs w:val="23"/>
          <w:lang w:val="fr-CA"/>
        </w:rPr>
        <w:t>de l’article </w:t>
      </w:r>
      <w:r w:rsidRPr="003E0DDA">
        <w:rPr>
          <w:rFonts w:ascii="Arial" w:eastAsia="Times New Roman" w:hAnsi="Arial" w:cs="Arial"/>
          <w:szCs w:val="23"/>
          <w:lang w:val="fr-CA"/>
        </w:rPr>
        <w:t>1013.7, le groupe spécial détermine la façon selon laquelle il entend procéder et en donne notification aux Parties participantes ou participants par l’intermédiaire du Secrétariat.</w:t>
      </w:r>
    </w:p>
    <w:p w14:paraId="3FD97BB9" w14:textId="77777777" w:rsidR="005A321B" w:rsidRPr="003E0DDA" w:rsidRDefault="005A321B" w:rsidP="005A321B">
      <w:pPr>
        <w:autoSpaceDE w:val="0"/>
        <w:autoSpaceDN w:val="0"/>
        <w:adjustRightInd w:val="0"/>
        <w:rPr>
          <w:rFonts w:ascii="Arial" w:eastAsia="Times New Roman" w:hAnsi="Arial" w:cs="Arial"/>
          <w:szCs w:val="23"/>
          <w:lang w:val="fr-CA"/>
        </w:rPr>
      </w:pPr>
    </w:p>
    <w:p w14:paraId="156C305E"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lastRenderedPageBreak/>
        <w:t>Non-disponibilité d’un membre de groupe spécial</w:t>
      </w:r>
    </w:p>
    <w:p w14:paraId="7288368D" w14:textId="77777777" w:rsidR="005A321B" w:rsidRPr="003E0DDA" w:rsidRDefault="005A321B" w:rsidP="005A321B">
      <w:pPr>
        <w:autoSpaceDE w:val="0"/>
        <w:autoSpaceDN w:val="0"/>
        <w:adjustRightInd w:val="0"/>
        <w:rPr>
          <w:rFonts w:ascii="Arial" w:eastAsia="Times New Roman" w:hAnsi="Arial" w:cs="Arial"/>
          <w:szCs w:val="23"/>
          <w:lang w:val="fr-CA"/>
        </w:rPr>
      </w:pPr>
    </w:p>
    <w:p w14:paraId="6EA1A619" w14:textId="0F9860D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74.</w:t>
      </w:r>
      <w:r w:rsidRPr="003E0DDA">
        <w:rPr>
          <w:rFonts w:ascii="Arial" w:eastAsia="Times New Roman" w:hAnsi="Arial" w:cs="Arial"/>
          <w:szCs w:val="23"/>
          <w:lang w:val="fr-CA"/>
        </w:rPr>
        <w:tab/>
        <w:t>Si un organe décisionnel a été convoqué ou convoqué de nouveau, conformément à une disposition du présent chapitre et que, pour toute raison, un membre de l’organe décisionnel est dans l’incapacité de participer à nouveau, un membre remplaçant est nommé en suivant le même processus qui a été utilisé pour la nomination initiale du membre.</w:t>
      </w:r>
    </w:p>
    <w:p w14:paraId="4A6DF60E" w14:textId="77777777" w:rsidR="005A321B" w:rsidRPr="003E0DDA" w:rsidRDefault="005A321B" w:rsidP="005A321B">
      <w:pPr>
        <w:autoSpaceDE w:val="0"/>
        <w:autoSpaceDN w:val="0"/>
        <w:adjustRightInd w:val="0"/>
        <w:rPr>
          <w:rFonts w:ascii="Arial" w:eastAsia="Times New Roman" w:hAnsi="Arial" w:cs="Arial"/>
          <w:szCs w:val="23"/>
          <w:lang w:val="fr-CA"/>
        </w:rPr>
      </w:pPr>
    </w:p>
    <w:p w14:paraId="7785635B" w14:textId="77777777" w:rsidR="005A321B" w:rsidRPr="003E0DDA" w:rsidRDefault="005A321B" w:rsidP="005A321B">
      <w:pPr>
        <w:autoSpaceDE w:val="0"/>
        <w:autoSpaceDN w:val="0"/>
        <w:adjustRightInd w:val="0"/>
        <w:rPr>
          <w:rFonts w:ascii="Arial" w:eastAsia="Times New Roman" w:hAnsi="Arial" w:cs="Arial"/>
          <w:szCs w:val="23"/>
          <w:lang w:val="fr-CA"/>
        </w:rPr>
      </w:pPr>
    </w:p>
    <w:p w14:paraId="534185F4" w14:textId="63C9041B" w:rsidR="005A321B" w:rsidRPr="003E0DDA" w:rsidRDefault="005A321B" w:rsidP="005A321B">
      <w:pPr>
        <w:jc w:val="center"/>
        <w:rPr>
          <w:rFonts w:ascii="Arial" w:eastAsia="Arial" w:hAnsi="Arial" w:cs="Arial"/>
          <w:b/>
          <w:szCs w:val="23"/>
          <w:lang w:val="fr-CA"/>
        </w:rPr>
      </w:pPr>
      <w:bookmarkStart w:id="208" w:name="_Toc357427568"/>
      <w:bookmarkStart w:id="209" w:name="_Toc470079047"/>
      <w:r w:rsidRPr="003E0DDA">
        <w:rPr>
          <w:rFonts w:ascii="Arial" w:eastAsia="Arial" w:hAnsi="Arial" w:cs="Arial"/>
          <w:b/>
          <w:szCs w:val="23"/>
          <w:lang w:val="fr-CA"/>
        </w:rPr>
        <w:br w:type="page"/>
      </w:r>
      <w:r w:rsidRPr="003E0DDA">
        <w:rPr>
          <w:rFonts w:ascii="Arial" w:eastAsia="Arial" w:hAnsi="Arial" w:cs="Arial"/>
          <w:b/>
          <w:szCs w:val="23"/>
          <w:lang w:val="fr-CA"/>
        </w:rPr>
        <w:lastRenderedPageBreak/>
        <w:t>Annexe 1011.2 et 1028.2</w:t>
      </w:r>
      <w:bookmarkStart w:id="210" w:name="_Toc357427569"/>
      <w:bookmarkEnd w:id="208"/>
      <w:bookmarkEnd w:id="209"/>
      <w:r w:rsidRPr="003E0DDA">
        <w:rPr>
          <w:rFonts w:ascii="Arial" w:eastAsia="Arial" w:hAnsi="Arial" w:cs="Arial"/>
          <w:b/>
          <w:szCs w:val="23"/>
          <w:lang w:val="fr-CA"/>
        </w:rPr>
        <w:t xml:space="preserve"> : </w:t>
      </w:r>
      <w:bookmarkStart w:id="211" w:name="_Toc470079048"/>
      <w:r w:rsidRPr="003E0DDA">
        <w:rPr>
          <w:rFonts w:ascii="Arial" w:eastAsia="Arial" w:hAnsi="Arial" w:cs="Arial"/>
          <w:b/>
          <w:szCs w:val="23"/>
          <w:lang w:val="fr-CA"/>
        </w:rPr>
        <w:tab/>
      </w:r>
      <w:r w:rsidR="00AD7BB1" w:rsidRPr="003E0DDA">
        <w:rPr>
          <w:rFonts w:ascii="Arial" w:eastAsia="Arial" w:hAnsi="Arial" w:cs="Arial"/>
          <w:b/>
          <w:szCs w:val="23"/>
          <w:lang w:val="fr-CA"/>
        </w:rPr>
        <w:tab/>
      </w:r>
      <w:r w:rsidRPr="003E0DDA">
        <w:rPr>
          <w:rFonts w:ascii="Arial" w:eastAsia="Arial" w:hAnsi="Arial" w:cs="Arial"/>
          <w:b/>
          <w:szCs w:val="23"/>
          <w:lang w:val="fr-CA"/>
        </w:rPr>
        <w:t>Catégories de sanctions pécuniaires</w:t>
      </w:r>
      <w:bookmarkEnd w:id="210"/>
      <w:bookmarkEnd w:id="211"/>
    </w:p>
    <w:p w14:paraId="13BCD110" w14:textId="77777777" w:rsidR="005A321B" w:rsidRPr="003E0DDA" w:rsidRDefault="005A321B" w:rsidP="005A321B">
      <w:pPr>
        <w:autoSpaceDE w:val="0"/>
        <w:autoSpaceDN w:val="0"/>
        <w:adjustRightInd w:val="0"/>
        <w:rPr>
          <w:rFonts w:ascii="Arial" w:eastAsia="Times New Roman" w:hAnsi="Arial" w:cs="Arial"/>
          <w:b/>
          <w:szCs w:val="23"/>
          <w:lang w:val="fr-CA"/>
        </w:rPr>
      </w:pPr>
    </w:p>
    <w:p w14:paraId="4DAD0A1C" w14:textId="61E0B75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Les catégories qui suivent, fondées sur la taille de la population d’une Partie déterminée de temps à autre par la version la plus récente du Recensement du Canada, publié par Statistique Canada, représentent les sanctions pécuniaires maximales qu’un groupe spécial de l’observation des décisions peut ordonner, au cas par cas, aux Parties en défaut de se conformer aux décisions :</w:t>
      </w:r>
    </w:p>
    <w:p w14:paraId="0269AFF7" w14:textId="77777777" w:rsidR="005A321B" w:rsidRPr="003E0DDA" w:rsidRDefault="005A321B" w:rsidP="005A321B">
      <w:pPr>
        <w:autoSpaceDE w:val="0"/>
        <w:autoSpaceDN w:val="0"/>
        <w:adjustRightInd w:val="0"/>
        <w:rPr>
          <w:rFonts w:ascii="Arial" w:eastAsia="Times New Roman" w:hAnsi="Arial" w:cs="Arial"/>
          <w:szCs w:val="23"/>
          <w:lang w:val="fr-CA"/>
        </w:rPr>
      </w:pPr>
    </w:p>
    <w:p w14:paraId="2B903767" w14:textId="04E7669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 xml:space="preserve">Population ne dépassant pas </w:t>
      </w:r>
      <w:r w:rsidR="001C0611" w:rsidRPr="003E0DDA">
        <w:rPr>
          <w:rFonts w:ascii="Arial" w:eastAsia="Times New Roman" w:hAnsi="Arial" w:cs="Arial"/>
          <w:szCs w:val="23"/>
          <w:lang w:val="fr-CA"/>
        </w:rPr>
        <w:t xml:space="preserve">les </w:t>
      </w:r>
      <w:r w:rsidRPr="003E0DDA">
        <w:rPr>
          <w:rFonts w:ascii="Arial" w:eastAsia="Times New Roman" w:hAnsi="Arial" w:cs="Arial"/>
          <w:szCs w:val="23"/>
          <w:lang w:val="fr-CA"/>
        </w:rPr>
        <w:t>100 000 individus : sanction maximale de 250 000 $;</w:t>
      </w:r>
    </w:p>
    <w:p w14:paraId="56AA2563" w14:textId="77777777" w:rsidR="005A321B" w:rsidRPr="003E0DDA" w:rsidRDefault="005A321B" w:rsidP="005A321B">
      <w:pPr>
        <w:autoSpaceDE w:val="0"/>
        <w:autoSpaceDN w:val="0"/>
        <w:adjustRightInd w:val="0"/>
        <w:rPr>
          <w:rFonts w:ascii="Arial" w:eastAsia="Times New Roman" w:hAnsi="Arial" w:cs="Arial"/>
          <w:szCs w:val="23"/>
          <w:lang w:val="fr-CA"/>
        </w:rPr>
      </w:pPr>
    </w:p>
    <w:p w14:paraId="586935EF" w14:textId="630CEEF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Population dépassant les 100 000 individus, mais ne dépassant pas les 300 000 individus : sanction maximale de 333 000 $;</w:t>
      </w:r>
    </w:p>
    <w:p w14:paraId="5746EC09" w14:textId="77777777" w:rsidR="005A321B" w:rsidRPr="003E0DDA" w:rsidRDefault="005A321B" w:rsidP="005A321B">
      <w:pPr>
        <w:autoSpaceDE w:val="0"/>
        <w:autoSpaceDN w:val="0"/>
        <w:adjustRightInd w:val="0"/>
        <w:rPr>
          <w:rFonts w:ascii="Arial" w:eastAsia="Times New Roman" w:hAnsi="Arial" w:cs="Arial"/>
          <w:szCs w:val="23"/>
          <w:lang w:val="fr-CA"/>
        </w:rPr>
      </w:pPr>
    </w:p>
    <w:p w14:paraId="56DA09C8" w14:textId="3BD78BE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Population dépassant les 300 000 individus, mais ne dépassant pas les 550 000 individus : sanction maximale de 500 000$;</w:t>
      </w:r>
    </w:p>
    <w:p w14:paraId="05B628CF" w14:textId="77777777" w:rsidR="005A321B" w:rsidRPr="003E0DDA" w:rsidRDefault="005A321B" w:rsidP="005A321B">
      <w:pPr>
        <w:autoSpaceDE w:val="0"/>
        <w:autoSpaceDN w:val="0"/>
        <w:adjustRightInd w:val="0"/>
        <w:rPr>
          <w:rFonts w:ascii="Arial" w:eastAsia="Times New Roman" w:hAnsi="Arial" w:cs="Arial"/>
          <w:szCs w:val="23"/>
          <w:lang w:val="fr-CA"/>
        </w:rPr>
      </w:pPr>
    </w:p>
    <w:p w14:paraId="384836EF" w14:textId="5718E2B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Population dépassant les 550 </w:t>
      </w:r>
      <w:proofErr w:type="gramStart"/>
      <w:r w:rsidRPr="003E0DDA">
        <w:rPr>
          <w:rFonts w:ascii="Arial" w:eastAsia="Times New Roman" w:hAnsi="Arial" w:cs="Arial"/>
          <w:szCs w:val="23"/>
          <w:lang w:val="fr-CA"/>
        </w:rPr>
        <w:t>000  individus</w:t>
      </w:r>
      <w:proofErr w:type="gramEnd"/>
      <w:r w:rsidRPr="003E0DDA">
        <w:rPr>
          <w:rFonts w:ascii="Arial" w:eastAsia="Times New Roman" w:hAnsi="Arial" w:cs="Arial"/>
          <w:szCs w:val="23"/>
          <w:lang w:val="fr-CA"/>
        </w:rPr>
        <w:t>, mais ne dépassant pas les 1 500 000 individus : sanction maximale de 2 000 000 $;</w:t>
      </w:r>
    </w:p>
    <w:p w14:paraId="45704F55" w14:textId="77777777" w:rsidR="005A321B" w:rsidRPr="003E0DDA" w:rsidRDefault="005A321B" w:rsidP="005A321B">
      <w:pPr>
        <w:autoSpaceDE w:val="0"/>
        <w:autoSpaceDN w:val="0"/>
        <w:adjustRightInd w:val="0"/>
        <w:rPr>
          <w:rFonts w:ascii="Arial" w:eastAsia="Times New Roman" w:hAnsi="Arial" w:cs="Arial"/>
          <w:szCs w:val="23"/>
          <w:lang w:val="fr-CA"/>
        </w:rPr>
      </w:pPr>
    </w:p>
    <w:p w14:paraId="00A047ED" w14:textId="18CFD01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Population dépassant les 1 500 </w:t>
      </w:r>
      <w:proofErr w:type="gramStart"/>
      <w:r w:rsidRPr="003E0DDA">
        <w:rPr>
          <w:rFonts w:ascii="Arial" w:eastAsia="Times New Roman" w:hAnsi="Arial" w:cs="Arial"/>
          <w:szCs w:val="23"/>
          <w:lang w:val="fr-CA"/>
        </w:rPr>
        <w:t>000  individus</w:t>
      </w:r>
      <w:proofErr w:type="gramEnd"/>
      <w:r w:rsidRPr="003E0DDA">
        <w:rPr>
          <w:rFonts w:ascii="Arial" w:eastAsia="Times New Roman" w:hAnsi="Arial" w:cs="Arial"/>
          <w:szCs w:val="23"/>
          <w:lang w:val="fr-CA"/>
        </w:rPr>
        <w:t> : sanction maximale de 10 000 000 $.</w:t>
      </w:r>
    </w:p>
    <w:p w14:paraId="1FF3EC9F" w14:textId="77777777" w:rsidR="005A321B" w:rsidRPr="003E0DDA" w:rsidRDefault="005A321B" w:rsidP="005A321B">
      <w:pPr>
        <w:autoSpaceDE w:val="0"/>
        <w:autoSpaceDN w:val="0"/>
        <w:adjustRightInd w:val="0"/>
        <w:rPr>
          <w:rFonts w:ascii="Arial" w:eastAsia="Times New Roman" w:hAnsi="Arial" w:cs="Arial"/>
          <w:szCs w:val="23"/>
          <w:lang w:val="fr-CA"/>
        </w:rPr>
      </w:pPr>
    </w:p>
    <w:p w14:paraId="6BC958F7" w14:textId="77777777" w:rsidR="005A321B" w:rsidRPr="003E0DDA" w:rsidRDefault="005A321B" w:rsidP="005A321B">
      <w:pPr>
        <w:jc w:val="center"/>
        <w:rPr>
          <w:rFonts w:ascii="Arial" w:eastAsia="Arial" w:hAnsi="Arial" w:cs="Arial"/>
          <w:b/>
          <w:szCs w:val="23"/>
          <w:lang w:val="fr-CA"/>
        </w:rPr>
      </w:pPr>
      <w:r w:rsidRPr="003E0DDA">
        <w:rPr>
          <w:rFonts w:ascii="Arial" w:eastAsia="Arial" w:hAnsi="Arial" w:cs="Arial"/>
          <w:szCs w:val="23"/>
          <w:lang w:val="fr-CA"/>
        </w:rPr>
        <w:br w:type="page"/>
      </w:r>
      <w:bookmarkStart w:id="212" w:name="_Toc470079049"/>
      <w:bookmarkStart w:id="213" w:name="_Toc357427570"/>
      <w:r w:rsidRPr="003E0DDA">
        <w:rPr>
          <w:rFonts w:ascii="Arial" w:eastAsia="Arial" w:hAnsi="Arial" w:cs="Arial"/>
          <w:b/>
          <w:szCs w:val="23"/>
          <w:lang w:val="fr-CA"/>
        </w:rPr>
        <w:lastRenderedPageBreak/>
        <w:t xml:space="preserve">Annexe </w:t>
      </w:r>
      <w:bookmarkStart w:id="214" w:name="_Toc357427571"/>
      <w:bookmarkEnd w:id="212"/>
      <w:bookmarkEnd w:id="213"/>
      <w:r w:rsidRPr="003E0DDA">
        <w:rPr>
          <w:rFonts w:ascii="Arial" w:eastAsia="Arial" w:hAnsi="Arial" w:cs="Arial"/>
          <w:b/>
          <w:szCs w:val="23"/>
          <w:lang w:val="fr-CA"/>
        </w:rPr>
        <w:t>1020 :</w:t>
      </w:r>
      <w:bookmarkStart w:id="215" w:name="_Toc470079050"/>
      <w:r w:rsidRPr="003E0DDA">
        <w:rPr>
          <w:rFonts w:ascii="Arial" w:eastAsia="Arial" w:hAnsi="Arial" w:cs="Arial"/>
          <w:b/>
          <w:szCs w:val="23"/>
          <w:lang w:val="fr-CA"/>
        </w:rPr>
        <w:t xml:space="preserve"> </w:t>
      </w:r>
      <w:r w:rsidRPr="003E0DDA">
        <w:rPr>
          <w:rFonts w:ascii="Arial" w:eastAsia="Arial" w:hAnsi="Arial" w:cs="Arial"/>
          <w:b/>
          <w:szCs w:val="23"/>
          <w:lang w:val="fr-CA"/>
        </w:rPr>
        <w:tab/>
        <w:t>Rejet sommaire des procédure</w:t>
      </w:r>
      <w:bookmarkEnd w:id="214"/>
      <w:r w:rsidRPr="003E0DDA">
        <w:rPr>
          <w:rFonts w:ascii="Arial" w:eastAsia="Arial" w:hAnsi="Arial" w:cs="Arial"/>
          <w:b/>
          <w:szCs w:val="23"/>
          <w:lang w:val="fr-CA"/>
        </w:rPr>
        <w:t>s</w:t>
      </w:r>
      <w:bookmarkEnd w:id="215"/>
    </w:p>
    <w:p w14:paraId="2666F2D5" w14:textId="77777777" w:rsidR="005A321B" w:rsidRPr="003E0DDA" w:rsidRDefault="005A321B" w:rsidP="005A321B">
      <w:pPr>
        <w:autoSpaceDE w:val="0"/>
        <w:autoSpaceDN w:val="0"/>
        <w:adjustRightInd w:val="0"/>
        <w:rPr>
          <w:rFonts w:ascii="Arial" w:eastAsia="Arial" w:hAnsi="Arial" w:cs="Arial"/>
          <w:szCs w:val="23"/>
          <w:lang w:val="fr-CA"/>
        </w:rPr>
      </w:pPr>
    </w:p>
    <w:p w14:paraId="567E913F" w14:textId="429E34EA"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1. </w:t>
      </w:r>
      <w:r w:rsidRPr="003E0DDA">
        <w:rPr>
          <w:rFonts w:ascii="Arial" w:eastAsia="Arial" w:hAnsi="Arial" w:cs="Arial"/>
          <w:szCs w:val="23"/>
          <w:lang w:val="fr-CA"/>
        </w:rPr>
        <w:tab/>
        <w:t>Le destinataire de la plainte présente sa demande de rejet sommaire des procédures, indiquant les motifs de sa demande en application de l’article 1020, par écrit au Secrétariat et au groupe spécial, et envoie une copie à la personne plaignante et à tout intervenant. La demande est appuyée par des observations écrites n’excédant pas 20 pages, et accompagnée de pièces, énonçant les motifs du destinataire de la plainte pour le rejet sommaire des procédures en application de l’article 1020.</w:t>
      </w:r>
    </w:p>
    <w:p w14:paraId="5096FCBF" w14:textId="77777777"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 </w:t>
      </w:r>
    </w:p>
    <w:p w14:paraId="4B6B0394" w14:textId="7F060B56"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 2. </w:t>
      </w:r>
      <w:r w:rsidRPr="003E0DDA">
        <w:rPr>
          <w:rFonts w:ascii="Arial" w:eastAsia="Arial" w:hAnsi="Arial" w:cs="Arial"/>
          <w:szCs w:val="23"/>
          <w:lang w:val="fr-CA"/>
        </w:rPr>
        <w:tab/>
        <w:t xml:space="preserve">Dans les 15 jours suivant la réception de la demande de rejet sommaire, la personne plaignante peut présenter une réponse à la demande de rejet sommaire par écrit au Secrétariat et au groupe spécial, et en envoyer une copie au destinataire de la plainte et à tout intervenant. La réponse n’excède pas 20 pages. </w:t>
      </w:r>
    </w:p>
    <w:p w14:paraId="63751696" w14:textId="77777777" w:rsidR="005A321B" w:rsidRPr="003E0DDA" w:rsidRDefault="005A321B" w:rsidP="005A321B">
      <w:pPr>
        <w:autoSpaceDE w:val="0"/>
        <w:autoSpaceDN w:val="0"/>
        <w:adjustRightInd w:val="0"/>
        <w:rPr>
          <w:rFonts w:ascii="Arial" w:eastAsia="Arial" w:hAnsi="Arial" w:cs="Arial"/>
          <w:szCs w:val="23"/>
          <w:lang w:val="fr-CA"/>
        </w:rPr>
      </w:pPr>
    </w:p>
    <w:p w14:paraId="1DF05FD2" w14:textId="25EDE345"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3. </w:t>
      </w:r>
      <w:r w:rsidRPr="003E0DDA">
        <w:rPr>
          <w:rFonts w:ascii="Arial" w:eastAsia="Arial" w:hAnsi="Arial" w:cs="Arial"/>
          <w:szCs w:val="23"/>
          <w:lang w:val="fr-CA"/>
        </w:rPr>
        <w:tab/>
        <w:t>Le groupe spécial effectue son examen en se fondant uniquement sur les observations écrites, y compris les documents d’appui.</w:t>
      </w:r>
    </w:p>
    <w:p w14:paraId="2998C146" w14:textId="77777777" w:rsidR="005A321B" w:rsidRPr="003E0DDA" w:rsidRDefault="005A321B" w:rsidP="005A321B">
      <w:pPr>
        <w:autoSpaceDE w:val="0"/>
        <w:autoSpaceDN w:val="0"/>
        <w:adjustRightInd w:val="0"/>
        <w:rPr>
          <w:rFonts w:ascii="Arial" w:eastAsia="Arial" w:hAnsi="Arial" w:cs="Arial"/>
          <w:szCs w:val="23"/>
          <w:lang w:val="fr-CA"/>
        </w:rPr>
      </w:pPr>
    </w:p>
    <w:p w14:paraId="643B66EE" w14:textId="27E3CEEC"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4. </w:t>
      </w:r>
      <w:r w:rsidRPr="003E0DDA">
        <w:rPr>
          <w:rFonts w:ascii="Arial" w:eastAsia="Arial" w:hAnsi="Arial" w:cs="Arial"/>
          <w:szCs w:val="23"/>
          <w:lang w:val="fr-CA"/>
        </w:rPr>
        <w:tab/>
        <w:t xml:space="preserve">Si tous les documents nécessaires ne sont pas joints à la demande, ou si la demande et les documents qui s’y rattachent ne sont pas remplis de façon claire et adéquate, le groupe spécial peut demander à la Personne, à la Partie de la Personne ou au destinataire de la plainte de fournir d’autres documents, renseignements ou éclaircissements. </w:t>
      </w:r>
    </w:p>
    <w:p w14:paraId="55E8A3C2" w14:textId="77777777" w:rsidR="005A321B" w:rsidRPr="003E0DDA" w:rsidRDefault="005A321B" w:rsidP="005A321B">
      <w:pPr>
        <w:autoSpaceDE w:val="0"/>
        <w:autoSpaceDN w:val="0"/>
        <w:adjustRightInd w:val="0"/>
        <w:rPr>
          <w:rFonts w:ascii="Arial" w:eastAsia="Arial" w:hAnsi="Arial" w:cs="Arial"/>
          <w:szCs w:val="23"/>
          <w:lang w:val="fr-CA"/>
        </w:rPr>
      </w:pPr>
    </w:p>
    <w:p w14:paraId="58DF2783" w14:textId="3204DF41"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5.</w:t>
      </w:r>
      <w:r w:rsidRPr="003E0DDA">
        <w:rPr>
          <w:rFonts w:ascii="Arial" w:eastAsia="Arial" w:hAnsi="Arial" w:cs="Arial"/>
          <w:szCs w:val="23"/>
          <w:lang w:val="fr-CA"/>
        </w:rPr>
        <w:tab/>
        <w:t>Le groupe spécial peut demander une téléconférence ou une brève audience avec les litigants et, le cas échéant, la Partie de la Personne, et demander des renseignements ou des éclaircissements additionnels sur la question.</w:t>
      </w:r>
    </w:p>
    <w:p w14:paraId="03FBA4DC" w14:textId="77777777" w:rsidR="005A321B" w:rsidRPr="003E0DDA" w:rsidRDefault="005A321B" w:rsidP="005A321B">
      <w:pPr>
        <w:autoSpaceDE w:val="0"/>
        <w:autoSpaceDN w:val="0"/>
        <w:adjustRightInd w:val="0"/>
        <w:rPr>
          <w:rFonts w:ascii="Arial" w:eastAsia="Arial" w:hAnsi="Arial" w:cs="Arial"/>
          <w:szCs w:val="23"/>
          <w:lang w:val="fr-CA"/>
        </w:rPr>
      </w:pPr>
    </w:p>
    <w:p w14:paraId="67F03E59" w14:textId="100A3782"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6.</w:t>
      </w:r>
      <w:r w:rsidRPr="003E0DDA">
        <w:rPr>
          <w:rFonts w:ascii="Arial" w:eastAsia="Arial" w:hAnsi="Arial" w:cs="Arial"/>
          <w:szCs w:val="23"/>
          <w:lang w:val="fr-CA"/>
        </w:rPr>
        <w:tab/>
        <w:t xml:space="preserve">Si la documentation originalement fournie par un plaignant au titre de l’article 1016.3 ou de l’article 1018.1 est incomplète, le groupe spécial, ou le président si la question est entendue seule, peut, à sa discrétion, autoriser la Personne à rectifier des lacunes mineures et, si celles-ci sont rectifiées de manière à respecter les exigences prévues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1016.3 ou </w:t>
      </w:r>
      <w:r w:rsidRPr="003E0DDA">
        <w:rPr>
          <w:rFonts w:ascii="Arial" w:eastAsia="Times New Roman" w:hAnsi="Arial" w:cs="Arial"/>
          <w:szCs w:val="23"/>
          <w:lang w:val="fr-CA"/>
        </w:rPr>
        <w:t>à l’article </w:t>
      </w:r>
      <w:r w:rsidRPr="003E0DDA">
        <w:rPr>
          <w:rFonts w:ascii="Arial" w:eastAsia="Arial" w:hAnsi="Arial" w:cs="Arial"/>
          <w:szCs w:val="23"/>
          <w:lang w:val="fr-CA"/>
        </w:rPr>
        <w:t>1018.1, autoriser la poursuite des procédures. Les lacunes et les dispositions prises par le plaignant pour rectifier ces lacunes devraient être clairement indiquées dans le rapport du groupe spécial présenté en application de l’article 1021.</w:t>
      </w:r>
    </w:p>
    <w:p w14:paraId="0694BF8A" w14:textId="77777777" w:rsidR="005A321B" w:rsidRPr="003E0DDA" w:rsidRDefault="005A321B" w:rsidP="005A321B">
      <w:pPr>
        <w:autoSpaceDE w:val="0"/>
        <w:autoSpaceDN w:val="0"/>
        <w:adjustRightInd w:val="0"/>
        <w:rPr>
          <w:rFonts w:ascii="Arial" w:eastAsia="Arial" w:hAnsi="Arial" w:cs="Arial"/>
          <w:szCs w:val="23"/>
          <w:lang w:val="fr-CA"/>
        </w:rPr>
      </w:pPr>
    </w:p>
    <w:p w14:paraId="1384D77E" w14:textId="218FEDFF"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7. </w:t>
      </w:r>
      <w:r w:rsidRPr="003E0DDA">
        <w:rPr>
          <w:rFonts w:ascii="Arial" w:eastAsia="Arial" w:hAnsi="Arial" w:cs="Arial"/>
          <w:szCs w:val="23"/>
          <w:lang w:val="fr-CA"/>
        </w:rPr>
        <w:tab/>
        <w:t xml:space="preserve">Concernant les demandes faites en application de l’alinéa 1020.1e), lorsque le groupe spécial ne peut établir s’il est interdit à la Personne d’engager des procédures conformément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1016.4,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1016.5,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1033.6 ou </w:t>
      </w:r>
      <w:r w:rsidRPr="003E0DDA">
        <w:rPr>
          <w:rFonts w:ascii="Arial" w:eastAsia="Times New Roman" w:hAnsi="Arial" w:cs="Arial"/>
          <w:szCs w:val="23"/>
          <w:lang w:val="fr-CA"/>
        </w:rPr>
        <w:t>à l’article</w:t>
      </w:r>
      <w:r w:rsidRPr="003E0DDA">
        <w:rPr>
          <w:rFonts w:ascii="Arial" w:eastAsia="Arial" w:hAnsi="Arial" w:cs="Arial"/>
          <w:szCs w:val="23"/>
          <w:lang w:val="fr-CA"/>
        </w:rPr>
        <w:t xml:space="preserve"> 1033.8 sur la seule base des observations écrites et des documents d’appui et aurait besoin de précisions, le groupe spécial refuse la demande de rejet sommaire et autorise que la question soit déterminée par le groupe spécial dans son rapport final.  Le groupe spécial fournit les motifs de sa décision dans son rapport présenté en application de l’article 1021. </w:t>
      </w:r>
    </w:p>
    <w:p w14:paraId="6A4BC5C0" w14:textId="77777777" w:rsidR="005A321B" w:rsidRPr="003E0DDA" w:rsidRDefault="005A321B" w:rsidP="005A321B">
      <w:pPr>
        <w:autoSpaceDE w:val="0"/>
        <w:autoSpaceDN w:val="0"/>
        <w:adjustRightInd w:val="0"/>
        <w:rPr>
          <w:rFonts w:ascii="Arial" w:eastAsia="Arial" w:hAnsi="Arial" w:cs="Arial"/>
          <w:szCs w:val="23"/>
          <w:lang w:val="fr-CA"/>
        </w:rPr>
      </w:pPr>
    </w:p>
    <w:p w14:paraId="77EE53CD" w14:textId="77777777"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8. </w:t>
      </w:r>
      <w:r w:rsidRPr="003E0DDA">
        <w:rPr>
          <w:rFonts w:ascii="Arial" w:eastAsia="Arial" w:hAnsi="Arial" w:cs="Arial"/>
          <w:szCs w:val="23"/>
          <w:lang w:val="fr-CA"/>
        </w:rPr>
        <w:tab/>
        <w:t>Dans le cadre de l’examen de la plainte, le groupe spécial examine seulement si les motifs de la demande de rejet sommaire de la procédure respectent l’article 1020.1, et non le bien-fondé de la plainte.</w:t>
      </w:r>
    </w:p>
    <w:p w14:paraId="0D11E5BF" w14:textId="77777777" w:rsidR="005A321B" w:rsidRPr="003E0DDA" w:rsidRDefault="005A321B" w:rsidP="005A321B">
      <w:pPr>
        <w:autoSpaceDE w:val="0"/>
        <w:autoSpaceDN w:val="0"/>
        <w:adjustRightInd w:val="0"/>
        <w:rPr>
          <w:rFonts w:ascii="Arial" w:eastAsia="Arial" w:hAnsi="Arial" w:cs="Arial"/>
          <w:szCs w:val="23"/>
          <w:lang w:val="fr-CA"/>
        </w:rPr>
      </w:pPr>
    </w:p>
    <w:p w14:paraId="02A7970C" w14:textId="29AA2415"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lastRenderedPageBreak/>
        <w:t xml:space="preserve">9. </w:t>
      </w:r>
      <w:r w:rsidRPr="003E0DDA">
        <w:rPr>
          <w:rFonts w:ascii="Arial" w:eastAsia="Arial" w:hAnsi="Arial" w:cs="Arial"/>
          <w:szCs w:val="23"/>
          <w:lang w:val="fr-CA"/>
        </w:rPr>
        <w:tab/>
        <w:t>Le groupe spécial remet un rapport dans les 45 jours, comme le prévoit l’article 1021.1, et, dans des circonstances exceptionnelles, dans les 60 jours, si les litigants en conviennent.</w:t>
      </w:r>
    </w:p>
    <w:p w14:paraId="725A65D9" w14:textId="77777777" w:rsidR="005A321B" w:rsidRPr="003E0DDA" w:rsidRDefault="005A321B" w:rsidP="005A321B">
      <w:pPr>
        <w:autoSpaceDE w:val="0"/>
        <w:autoSpaceDN w:val="0"/>
        <w:adjustRightInd w:val="0"/>
        <w:rPr>
          <w:rFonts w:ascii="Arial" w:eastAsia="Arial" w:hAnsi="Arial" w:cs="Arial"/>
          <w:szCs w:val="23"/>
          <w:lang w:val="fr-CA"/>
        </w:rPr>
      </w:pPr>
    </w:p>
    <w:p w14:paraId="11022269" w14:textId="7F37084D"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10. </w:t>
      </w:r>
      <w:r w:rsidRPr="003E0DDA">
        <w:rPr>
          <w:rFonts w:ascii="Arial" w:eastAsia="Arial" w:hAnsi="Arial" w:cs="Arial"/>
          <w:szCs w:val="23"/>
          <w:lang w:val="fr-CA"/>
        </w:rPr>
        <w:tab/>
        <w:t>Si la demande de rejet sommaire est acceptée dans son ensemble, le groupe spécial indique les dépens accordés dans son rapport. Si la demande de rejet sommaire est acceptée en partie ou rejetée, le groupe spécial indique plutôt les dépens accordés dans le rapport du groupe spécial présenté en application de l’article 1025.</w:t>
      </w:r>
    </w:p>
    <w:p w14:paraId="19EEC1D5" w14:textId="77777777" w:rsidR="005A321B" w:rsidRPr="003E0DDA" w:rsidRDefault="005A321B" w:rsidP="005A321B">
      <w:pPr>
        <w:autoSpaceDE w:val="0"/>
        <w:autoSpaceDN w:val="0"/>
        <w:adjustRightInd w:val="0"/>
        <w:rPr>
          <w:rFonts w:ascii="Arial" w:eastAsia="Arial" w:hAnsi="Arial" w:cs="Arial"/>
          <w:szCs w:val="23"/>
          <w:lang w:val="fr-CA"/>
        </w:rPr>
      </w:pPr>
    </w:p>
    <w:p w14:paraId="778EB7E1" w14:textId="7D466788" w:rsidR="005A321B" w:rsidRPr="003E0DDA" w:rsidRDefault="005A321B" w:rsidP="005A321B">
      <w:pPr>
        <w:autoSpaceDE w:val="0"/>
        <w:autoSpaceDN w:val="0"/>
        <w:adjustRightInd w:val="0"/>
        <w:rPr>
          <w:rFonts w:ascii="Arial" w:eastAsia="Arial" w:hAnsi="Arial" w:cs="Arial"/>
          <w:szCs w:val="23"/>
          <w:lang w:val="fr-CA"/>
        </w:rPr>
      </w:pPr>
      <w:r w:rsidRPr="003E0DDA">
        <w:rPr>
          <w:rFonts w:ascii="Arial" w:eastAsia="Arial" w:hAnsi="Arial" w:cs="Arial"/>
          <w:szCs w:val="23"/>
          <w:lang w:val="fr-CA"/>
        </w:rPr>
        <w:t xml:space="preserve">11. </w:t>
      </w:r>
      <w:r w:rsidRPr="003E0DDA">
        <w:rPr>
          <w:rFonts w:ascii="Arial" w:eastAsia="Arial" w:hAnsi="Arial" w:cs="Arial"/>
          <w:szCs w:val="23"/>
          <w:lang w:val="fr-CA"/>
        </w:rPr>
        <w:tab/>
        <w:t>Le Secrétariat rend public le rapport du groupe spécial dans les sept jours de la réception d’un avis de celui-ci.</w:t>
      </w:r>
    </w:p>
    <w:p w14:paraId="39313916" w14:textId="77777777" w:rsidR="005A321B" w:rsidRPr="003E0DDA" w:rsidRDefault="005A321B" w:rsidP="005A321B">
      <w:pPr>
        <w:autoSpaceDE w:val="0"/>
        <w:autoSpaceDN w:val="0"/>
        <w:adjustRightInd w:val="0"/>
        <w:rPr>
          <w:rFonts w:ascii="Arial" w:eastAsia="Arial" w:hAnsi="Arial" w:cs="Arial"/>
          <w:szCs w:val="23"/>
          <w:lang w:val="fr-CA"/>
        </w:rPr>
      </w:pPr>
    </w:p>
    <w:p w14:paraId="3067CEB2" w14:textId="22CC6B73" w:rsidR="005A321B" w:rsidRPr="003E0DDA" w:rsidRDefault="005A321B" w:rsidP="005A321B">
      <w:pPr>
        <w:rPr>
          <w:rFonts w:ascii="Arial" w:eastAsia="Times New Roman" w:hAnsi="Arial" w:cs="Arial"/>
          <w:szCs w:val="23"/>
          <w:lang w:val="fr-CA"/>
        </w:rPr>
      </w:pPr>
      <w:r w:rsidRPr="003E0DDA">
        <w:rPr>
          <w:rFonts w:ascii="Arial" w:eastAsia="Times New Roman" w:hAnsi="Arial" w:cs="Arial"/>
          <w:szCs w:val="23"/>
          <w:lang w:val="fr-CA"/>
        </w:rPr>
        <w:t>12.</w:t>
      </w:r>
      <w:r w:rsidRPr="003E0DDA">
        <w:rPr>
          <w:rFonts w:ascii="Arial" w:eastAsia="Times New Roman" w:hAnsi="Arial" w:cs="Arial"/>
          <w:szCs w:val="23"/>
          <w:lang w:val="fr-CA"/>
        </w:rPr>
        <w:tab/>
        <w:t>Sauf disposition contraire dans la présente annexe, les dispositions du présent chapitre, y compris les règles de procédure de l’annexe 1007.1 et 1024.1 s’appliquent, avec les modifications qui peuvent être requises, à une procédure de rejet sommaire.</w:t>
      </w:r>
    </w:p>
    <w:p w14:paraId="19714401" w14:textId="77777777" w:rsidR="005A321B" w:rsidRPr="003E0DDA" w:rsidRDefault="005A321B" w:rsidP="005A321B">
      <w:pPr>
        <w:autoSpaceDE w:val="0"/>
        <w:autoSpaceDN w:val="0"/>
        <w:adjustRightInd w:val="0"/>
        <w:rPr>
          <w:rFonts w:ascii="Arial" w:eastAsia="Times New Roman" w:hAnsi="Arial" w:cs="Arial"/>
          <w:szCs w:val="23"/>
          <w:u w:val="single"/>
          <w:lang w:val="fr-CA"/>
        </w:rPr>
      </w:pPr>
    </w:p>
    <w:p w14:paraId="294A9CD4" w14:textId="7525D328" w:rsidR="005A321B" w:rsidRPr="003E0DDA" w:rsidRDefault="005A321B" w:rsidP="005A321B">
      <w:pPr>
        <w:autoSpaceDE w:val="0"/>
        <w:autoSpaceDN w:val="0"/>
        <w:adjustRightInd w:val="0"/>
        <w:jc w:val="center"/>
        <w:rPr>
          <w:rFonts w:ascii="Arial" w:eastAsia="Arial" w:hAnsi="Arial" w:cs="Arial"/>
          <w:b/>
          <w:szCs w:val="23"/>
          <w:lang w:val="fr-CA"/>
        </w:rPr>
      </w:pPr>
      <w:r w:rsidRPr="003E0DDA">
        <w:rPr>
          <w:rFonts w:ascii="Arial" w:eastAsia="Times New Roman" w:hAnsi="Arial" w:cs="Arial"/>
          <w:szCs w:val="23"/>
          <w:lang w:val="fr-CA"/>
        </w:rPr>
        <w:br w:type="page"/>
      </w:r>
      <w:bookmarkStart w:id="216" w:name="_Toc357427574"/>
      <w:bookmarkStart w:id="217" w:name="_Toc470079051"/>
      <w:r w:rsidRPr="003E0DDA">
        <w:rPr>
          <w:rFonts w:ascii="Arial" w:eastAsia="Arial" w:hAnsi="Arial" w:cs="Arial"/>
          <w:b/>
          <w:szCs w:val="23"/>
          <w:lang w:val="fr-CA"/>
        </w:rPr>
        <w:lastRenderedPageBreak/>
        <w:t xml:space="preserve">Annexe </w:t>
      </w:r>
      <w:bookmarkStart w:id="218" w:name="_Toc357427575"/>
      <w:bookmarkEnd w:id="216"/>
      <w:bookmarkEnd w:id="217"/>
      <w:r w:rsidRPr="003E0DDA">
        <w:rPr>
          <w:rFonts w:ascii="Arial" w:eastAsia="Arial" w:hAnsi="Arial" w:cs="Arial"/>
          <w:b/>
          <w:szCs w:val="23"/>
          <w:lang w:val="fr-CA"/>
        </w:rPr>
        <w:t>1037 :</w:t>
      </w:r>
      <w:bookmarkStart w:id="219" w:name="_Toc470079052"/>
      <w:r w:rsidRPr="003E0DDA">
        <w:rPr>
          <w:rFonts w:ascii="Arial" w:eastAsia="Arial" w:hAnsi="Arial" w:cs="Arial"/>
          <w:b/>
          <w:szCs w:val="23"/>
          <w:lang w:val="fr-CA"/>
        </w:rPr>
        <w:t xml:space="preserve"> </w:t>
      </w:r>
      <w:r w:rsidR="00AD7BB1" w:rsidRPr="003E0DDA">
        <w:rPr>
          <w:rFonts w:ascii="Arial" w:eastAsia="Arial" w:hAnsi="Arial" w:cs="Arial"/>
          <w:b/>
          <w:szCs w:val="23"/>
          <w:lang w:val="fr-CA"/>
        </w:rPr>
        <w:tab/>
      </w:r>
      <w:r w:rsidRPr="003E0DDA">
        <w:rPr>
          <w:rFonts w:ascii="Arial" w:eastAsia="Arial" w:hAnsi="Arial" w:cs="Arial"/>
          <w:b/>
          <w:szCs w:val="23"/>
          <w:lang w:val="fr-CA"/>
        </w:rPr>
        <w:t>Code de conduite pour les membres</w:t>
      </w:r>
      <w:bookmarkEnd w:id="218"/>
      <w:bookmarkEnd w:id="219"/>
    </w:p>
    <w:p w14:paraId="2E6F28EA" w14:textId="77777777" w:rsidR="005A321B" w:rsidRPr="003E0DDA" w:rsidRDefault="005A321B" w:rsidP="005A321B">
      <w:pPr>
        <w:jc w:val="center"/>
        <w:rPr>
          <w:rFonts w:ascii="Arial" w:eastAsia="Times New Roman" w:hAnsi="Arial" w:cs="Arial"/>
          <w:b/>
          <w:szCs w:val="23"/>
          <w:lang w:val="fr-CA"/>
        </w:rPr>
      </w:pPr>
    </w:p>
    <w:p w14:paraId="79815FD0" w14:textId="77777777" w:rsidR="005A321B" w:rsidRPr="003E0DDA" w:rsidRDefault="005A321B" w:rsidP="005A321B">
      <w:pPr>
        <w:jc w:val="center"/>
        <w:rPr>
          <w:rFonts w:ascii="Arial" w:eastAsia="Times New Roman" w:hAnsi="Arial" w:cs="Arial"/>
          <w:b/>
          <w:szCs w:val="23"/>
          <w:lang w:val="fr-CA"/>
        </w:rPr>
      </w:pPr>
      <w:r w:rsidRPr="003E0DDA">
        <w:rPr>
          <w:rFonts w:ascii="Arial" w:eastAsia="Times New Roman" w:hAnsi="Arial" w:cs="Arial"/>
          <w:b/>
          <w:bCs/>
          <w:szCs w:val="23"/>
          <w:lang w:val="fr-CA"/>
        </w:rPr>
        <w:t>PRÉAMBULE</w:t>
      </w:r>
    </w:p>
    <w:p w14:paraId="7345A15A" w14:textId="77777777" w:rsidR="005A321B" w:rsidRPr="003E0DDA" w:rsidRDefault="005A321B" w:rsidP="005A321B">
      <w:pPr>
        <w:autoSpaceDE w:val="0"/>
        <w:autoSpaceDN w:val="0"/>
        <w:adjustRightInd w:val="0"/>
        <w:rPr>
          <w:rFonts w:ascii="Arial" w:eastAsia="Times New Roman" w:hAnsi="Arial" w:cs="Arial"/>
          <w:szCs w:val="23"/>
          <w:lang w:val="fr-CA"/>
        </w:rPr>
      </w:pPr>
    </w:p>
    <w:p w14:paraId="514BDE06" w14:textId="4A3C862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Les Parties attachent de l’importance à l’intégrité et à l’impartialité des procédures menées conformément aux dispositions du présent chapitre. Le présent code de conduite est établi afin d’assurer le respect de ces principes.</w:t>
      </w:r>
    </w:p>
    <w:p w14:paraId="66916E69" w14:textId="77777777" w:rsidR="005A321B" w:rsidRPr="003E0DDA" w:rsidRDefault="005A321B" w:rsidP="005A321B">
      <w:pPr>
        <w:autoSpaceDE w:val="0"/>
        <w:autoSpaceDN w:val="0"/>
        <w:adjustRightInd w:val="0"/>
        <w:rPr>
          <w:rFonts w:ascii="Arial" w:eastAsia="Times New Roman" w:hAnsi="Arial" w:cs="Arial"/>
          <w:szCs w:val="23"/>
          <w:lang w:val="fr-CA"/>
        </w:rPr>
      </w:pPr>
    </w:p>
    <w:p w14:paraId="74459100" w14:textId="0EF3606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Le présent code de conduite a pour objet d’aider le Comité, le Secrétariat et les membres des organes décisionnels dans l’application des procédures de règlement des différends concernant les organes décisionnels sous le régime du présent chapitre.</w:t>
      </w:r>
    </w:p>
    <w:p w14:paraId="2BD8AB8E" w14:textId="77777777" w:rsidR="005A321B" w:rsidRPr="003E0DDA" w:rsidRDefault="005A321B" w:rsidP="005A321B">
      <w:pPr>
        <w:autoSpaceDE w:val="0"/>
        <w:autoSpaceDN w:val="0"/>
        <w:adjustRightInd w:val="0"/>
        <w:rPr>
          <w:rFonts w:ascii="Arial" w:eastAsia="Times New Roman" w:hAnsi="Arial" w:cs="Arial"/>
          <w:szCs w:val="23"/>
          <w:lang w:val="fr-CA"/>
        </w:rPr>
      </w:pPr>
    </w:p>
    <w:p w14:paraId="323A387C" w14:textId="0E133CA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Le principe fondamental du présent code de conduite veut qu’un candidat ou un membre divulgue l’existence de tout intérêt, toute relation ou toute affaire vraisemblablement susceptible d’affecter son indépendance ou son impartialité, c’est-à-dire qui crée une crainte raisonnable de partialité ou une apparence de conduite répréhensible.</w:t>
      </w:r>
    </w:p>
    <w:p w14:paraId="7E95B4F9" w14:textId="77777777" w:rsidR="005A321B" w:rsidRPr="003E0DDA" w:rsidRDefault="005A321B" w:rsidP="005A321B">
      <w:pPr>
        <w:autoSpaceDE w:val="0"/>
        <w:autoSpaceDN w:val="0"/>
        <w:adjustRightInd w:val="0"/>
        <w:rPr>
          <w:rFonts w:ascii="Arial" w:eastAsia="Times New Roman" w:hAnsi="Arial" w:cs="Arial"/>
          <w:szCs w:val="23"/>
          <w:lang w:val="fr-CA"/>
        </w:rPr>
      </w:pPr>
    </w:p>
    <w:p w14:paraId="504CC30B" w14:textId="400AC93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Il y a crainte raisonnable de partialité lorsqu’une personne raisonnable, au fait de toutes les circonstances pertinentes que révélerait une enquête raisonnable, conclurait raisonnablement qu’un candidat ou un membre a un intérêt, une relation ou une affaire susceptible d’affecter l’exercice des fonctions publiques du candidat ou du membre.</w:t>
      </w:r>
    </w:p>
    <w:p w14:paraId="2BE37050" w14:textId="77777777" w:rsidR="005A321B" w:rsidRPr="003E0DDA" w:rsidRDefault="005A321B" w:rsidP="005A321B">
      <w:pPr>
        <w:autoSpaceDE w:val="0"/>
        <w:autoSpaceDN w:val="0"/>
        <w:adjustRightInd w:val="0"/>
        <w:rPr>
          <w:rFonts w:ascii="Arial" w:eastAsia="Times New Roman" w:hAnsi="Arial" w:cs="Arial"/>
          <w:szCs w:val="23"/>
          <w:lang w:val="fr-CA"/>
        </w:rPr>
      </w:pPr>
    </w:p>
    <w:p w14:paraId="4F587571" w14:textId="607F903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L’obligation de divulgation ne devrait toutefois pas recevoir une interprétation si large que le fardeau de la divulgation empêche pour ainsi dire des personnes d’offrir leurs services comme membres, privant ainsi les Parties et les participants des services de ceux qui pourraient être les plus aptes à agir comme membres. Par conséquent, les candidats et les membres ne devraient pas être tenus de divulguer des intérêts, relations ou affaires ayant une incidence insignifiante sur leur rôle dans la procédure.</w:t>
      </w:r>
    </w:p>
    <w:p w14:paraId="0F9E5BBA" w14:textId="77777777" w:rsidR="005A321B" w:rsidRPr="003E0DDA" w:rsidRDefault="005A321B" w:rsidP="005A321B">
      <w:pPr>
        <w:autoSpaceDE w:val="0"/>
        <w:autoSpaceDN w:val="0"/>
        <w:adjustRightInd w:val="0"/>
        <w:rPr>
          <w:rFonts w:ascii="Arial" w:eastAsia="Times New Roman" w:hAnsi="Arial" w:cs="Arial"/>
          <w:szCs w:val="23"/>
          <w:lang w:val="fr-CA"/>
        </w:rPr>
      </w:pPr>
    </w:p>
    <w:p w14:paraId="4931A2B8"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r>
      <w:r w:rsidRPr="003E0DDA">
        <w:rPr>
          <w:rFonts w:ascii="Arial" w:eastAsia="Times New Roman" w:hAnsi="Arial" w:cs="Arial"/>
          <w:bCs/>
          <w:iCs/>
          <w:szCs w:val="23"/>
          <w:lang w:val="fr-CA"/>
        </w:rPr>
        <w:t>Tout au long de la procédure, les candidats et les membres ont l’obligation permanente de divulguer par écrit tout intérêt, toute relation ou toute affaire de nature à avoir une incidence sur l’intégrité ou l’impartialité du processus de règlement des différends.</w:t>
      </w:r>
    </w:p>
    <w:p w14:paraId="103C56DF" w14:textId="77777777" w:rsidR="005A321B" w:rsidRPr="003E0DDA" w:rsidRDefault="005A321B" w:rsidP="005A321B">
      <w:pPr>
        <w:autoSpaceDE w:val="0"/>
        <w:autoSpaceDN w:val="0"/>
        <w:adjustRightInd w:val="0"/>
        <w:rPr>
          <w:rFonts w:ascii="Arial" w:eastAsia="Times New Roman" w:hAnsi="Arial" w:cs="Arial"/>
          <w:szCs w:val="23"/>
          <w:lang w:val="fr-CA"/>
        </w:rPr>
      </w:pPr>
    </w:p>
    <w:p w14:paraId="75DD5D4F" w14:textId="65F9439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r>
      <w:r w:rsidRPr="003E0DDA">
        <w:rPr>
          <w:rFonts w:ascii="Arial" w:eastAsia="Times New Roman" w:hAnsi="Arial" w:cs="Arial"/>
          <w:iCs/>
          <w:szCs w:val="23"/>
          <w:lang w:val="fr-CA"/>
        </w:rPr>
        <w:t>Le présent code de conduite n’établit pas dans quelles circonstances les Parties déclareront qu’un candidat ou un membre est inadmissible à être nommé, ou à siéger, à titre de membre d’un organe décisionnel sur la seule base des divulgations faites, ni si elles peuvent le faire.</w:t>
      </w:r>
    </w:p>
    <w:p w14:paraId="485197A9" w14:textId="77777777" w:rsidR="005A321B" w:rsidRPr="003E0DDA" w:rsidRDefault="005A321B" w:rsidP="005A321B">
      <w:pPr>
        <w:autoSpaceDE w:val="0"/>
        <w:autoSpaceDN w:val="0"/>
        <w:adjustRightInd w:val="0"/>
        <w:rPr>
          <w:rFonts w:ascii="Arial" w:eastAsia="Times New Roman" w:hAnsi="Arial" w:cs="Arial"/>
          <w:szCs w:val="23"/>
          <w:lang w:val="fr-CA"/>
        </w:rPr>
      </w:pPr>
    </w:p>
    <w:p w14:paraId="7D3400E3" w14:textId="373A79FB"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1 : </w:t>
      </w:r>
      <w:r w:rsidR="00AD7BB1" w:rsidRPr="003E0DDA">
        <w:rPr>
          <w:rFonts w:ascii="Arial" w:eastAsia="Arial" w:hAnsi="Arial" w:cs="Arial"/>
          <w:b/>
          <w:szCs w:val="23"/>
          <w:lang w:val="fr-CA"/>
        </w:rPr>
        <w:tab/>
      </w:r>
      <w:r w:rsidRPr="003E0DDA">
        <w:rPr>
          <w:rFonts w:ascii="Arial" w:eastAsia="Arial" w:hAnsi="Arial" w:cs="Arial"/>
          <w:b/>
          <w:szCs w:val="23"/>
          <w:lang w:val="fr-CA"/>
        </w:rPr>
        <w:t>Interprétation</w:t>
      </w:r>
    </w:p>
    <w:p w14:paraId="4F130424" w14:textId="77777777" w:rsidR="005A321B" w:rsidRPr="003E0DDA" w:rsidRDefault="005A321B" w:rsidP="005A321B">
      <w:pPr>
        <w:autoSpaceDE w:val="0"/>
        <w:autoSpaceDN w:val="0"/>
        <w:adjustRightInd w:val="0"/>
        <w:rPr>
          <w:rFonts w:ascii="Arial" w:eastAsia="Times New Roman" w:hAnsi="Arial" w:cs="Arial"/>
          <w:szCs w:val="23"/>
          <w:lang w:val="fr-CA"/>
        </w:rPr>
      </w:pPr>
    </w:p>
    <w:p w14:paraId="2792C6B3"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Les définitions suivantes s’appliquent au présent code de conduite.</w:t>
      </w:r>
    </w:p>
    <w:p w14:paraId="44DD90E7" w14:textId="77777777" w:rsidR="005A321B" w:rsidRPr="003E0DDA" w:rsidRDefault="005A321B" w:rsidP="005A321B">
      <w:pPr>
        <w:autoSpaceDE w:val="0"/>
        <w:autoSpaceDN w:val="0"/>
        <w:adjustRightInd w:val="0"/>
        <w:rPr>
          <w:rFonts w:ascii="Arial" w:eastAsia="Times New Roman" w:hAnsi="Arial" w:cs="Arial"/>
          <w:szCs w:val="23"/>
          <w:lang w:val="fr-CA"/>
        </w:rPr>
      </w:pPr>
    </w:p>
    <w:p w14:paraId="030CB986" w14:textId="66F07B5D"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candidat</w:t>
      </w:r>
      <w:proofErr w:type="gramEnd"/>
      <w:r w:rsidRPr="003E0DDA">
        <w:rPr>
          <w:rFonts w:ascii="Arial" w:eastAsia="Times New Roman" w:hAnsi="Arial" w:cs="Arial"/>
          <w:bCs/>
          <w:szCs w:val="23"/>
          <w:lang w:val="fr-CA"/>
        </w:rPr>
        <w:t> :</w:t>
      </w:r>
    </w:p>
    <w:p w14:paraId="1A3607B9" w14:textId="77777777" w:rsidR="005A321B" w:rsidRPr="003E0DDA" w:rsidRDefault="005A321B" w:rsidP="005A321B">
      <w:pPr>
        <w:autoSpaceDE w:val="0"/>
        <w:autoSpaceDN w:val="0"/>
        <w:adjustRightInd w:val="0"/>
        <w:rPr>
          <w:rFonts w:ascii="Arial" w:eastAsia="Times New Roman" w:hAnsi="Arial" w:cs="Arial"/>
          <w:szCs w:val="23"/>
          <w:lang w:val="fr-CA"/>
        </w:rPr>
      </w:pPr>
    </w:p>
    <w:p w14:paraId="25D306F9" w14:textId="32B97BB3" w:rsidR="005A321B" w:rsidRPr="003E0DDA" w:rsidRDefault="005A321B" w:rsidP="005A321B">
      <w:pPr>
        <w:autoSpaceDE w:val="0"/>
        <w:autoSpaceDN w:val="0"/>
        <w:adjustRightInd w:val="0"/>
        <w:ind w:left="1304" w:hanging="629"/>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un individu dont le nom figure sur une liste de membres établie conformément à l’annexe 1005.2;</w:t>
      </w:r>
    </w:p>
    <w:p w14:paraId="2BBF42DE"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63751244" w14:textId="2D226F0A" w:rsidR="005A321B" w:rsidRPr="003E0DDA" w:rsidRDefault="005A321B" w:rsidP="005A321B">
      <w:pPr>
        <w:autoSpaceDE w:val="0"/>
        <w:autoSpaceDN w:val="0"/>
        <w:adjustRightInd w:val="0"/>
        <w:ind w:left="1304" w:hanging="629"/>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un individu dont la nomination à titre de membre d’un organe décisionnel est envisagée, conformément à l’annexe 1005.2;</w:t>
      </w:r>
    </w:p>
    <w:p w14:paraId="1D4AAFD2" w14:textId="77777777" w:rsidR="005A321B" w:rsidRPr="003E0DDA" w:rsidRDefault="005A321B" w:rsidP="005A321B">
      <w:pPr>
        <w:autoSpaceDE w:val="0"/>
        <w:autoSpaceDN w:val="0"/>
        <w:adjustRightInd w:val="0"/>
        <w:rPr>
          <w:rFonts w:ascii="Arial" w:eastAsia="Times New Roman" w:hAnsi="Arial" w:cs="Arial"/>
          <w:szCs w:val="23"/>
          <w:lang w:val="fr-CA"/>
        </w:rPr>
      </w:pPr>
    </w:p>
    <w:p w14:paraId="5547BB18" w14:textId="1760FA4C"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famille</w:t>
      </w:r>
      <w:proofErr w:type="gramEnd"/>
      <w:r w:rsidRPr="003E0DDA">
        <w:rPr>
          <w:rFonts w:ascii="Arial" w:eastAsia="Times New Roman" w:hAnsi="Arial" w:cs="Arial"/>
          <w:szCs w:val="23"/>
          <w:lang w:val="fr-CA"/>
        </w:rPr>
        <w:t xml:space="preserve"> Deux individus  ou plus qui sont unis entre eux par les liens du sang, du mariage ou de l’adoption;</w:t>
      </w:r>
    </w:p>
    <w:p w14:paraId="3BE15D36" w14:textId="77777777" w:rsidR="005A321B" w:rsidRPr="003E0DDA" w:rsidRDefault="005A321B" w:rsidP="005A321B">
      <w:pPr>
        <w:autoSpaceDE w:val="0"/>
        <w:autoSpaceDN w:val="0"/>
        <w:adjustRightInd w:val="0"/>
        <w:rPr>
          <w:rFonts w:ascii="Arial" w:eastAsia="Times New Roman" w:hAnsi="Arial" w:cs="Arial"/>
          <w:szCs w:val="23"/>
          <w:lang w:val="fr-CA"/>
        </w:rPr>
      </w:pPr>
    </w:p>
    <w:p w14:paraId="4FC1C41F" w14:textId="052BBFDB"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membre</w:t>
      </w:r>
      <w:proofErr w:type="gramEnd"/>
      <w:r w:rsidRPr="003E0DDA">
        <w:rPr>
          <w:rFonts w:ascii="Arial" w:eastAsia="Times New Roman" w:hAnsi="Arial" w:cs="Arial"/>
          <w:szCs w:val="23"/>
          <w:lang w:val="fr-CA"/>
        </w:rPr>
        <w:t xml:space="preserve"> </w:t>
      </w:r>
      <w:proofErr w:type="spellStart"/>
      <w:r w:rsidRPr="003E0DDA">
        <w:rPr>
          <w:rFonts w:ascii="Arial" w:eastAsia="Times New Roman" w:hAnsi="Arial" w:cs="Arial"/>
          <w:szCs w:val="23"/>
          <w:lang w:val="fr-CA"/>
        </w:rPr>
        <w:t>Membre</w:t>
      </w:r>
      <w:proofErr w:type="spellEnd"/>
      <w:r w:rsidRPr="003E0DDA">
        <w:rPr>
          <w:rFonts w:ascii="Arial" w:eastAsia="Times New Roman" w:hAnsi="Arial" w:cs="Arial"/>
          <w:szCs w:val="23"/>
          <w:lang w:val="fr-CA"/>
        </w:rPr>
        <w:t xml:space="preserve"> d’un organe décisionnel établi au titre du présent accord.</w:t>
      </w:r>
    </w:p>
    <w:p w14:paraId="578DBB7E" w14:textId="77777777" w:rsidR="005A321B" w:rsidRPr="003E0DDA" w:rsidRDefault="005A321B" w:rsidP="005A321B">
      <w:pPr>
        <w:autoSpaceDE w:val="0"/>
        <w:autoSpaceDN w:val="0"/>
        <w:adjustRightInd w:val="0"/>
        <w:rPr>
          <w:rFonts w:ascii="Arial" w:eastAsia="Times New Roman" w:hAnsi="Arial" w:cs="Arial"/>
          <w:szCs w:val="23"/>
          <w:lang w:val="fr-CA"/>
        </w:rPr>
      </w:pPr>
    </w:p>
    <w:p w14:paraId="735EAFA1" w14:textId="4004F302" w:rsidR="005A321B" w:rsidRPr="003E0DDA" w:rsidRDefault="005A321B" w:rsidP="005A321B">
      <w:pPr>
        <w:autoSpaceDE w:val="0"/>
        <w:autoSpaceDN w:val="0"/>
        <w:adjustRightInd w:val="0"/>
        <w:rPr>
          <w:rFonts w:ascii="Arial" w:eastAsia="Times New Roman" w:hAnsi="Arial" w:cs="Arial"/>
          <w:szCs w:val="23"/>
          <w:lang w:val="fr-CA"/>
        </w:rPr>
      </w:pPr>
      <w:proofErr w:type="gramStart"/>
      <w:r w:rsidRPr="003E0DDA">
        <w:rPr>
          <w:rFonts w:ascii="Arial" w:eastAsia="Times New Roman" w:hAnsi="Arial" w:cs="Arial"/>
          <w:b/>
          <w:bCs/>
          <w:szCs w:val="23"/>
          <w:lang w:val="fr-CA"/>
        </w:rPr>
        <w:t>personnel</w:t>
      </w:r>
      <w:proofErr w:type="gramEnd"/>
      <w:r w:rsidRPr="003E0DDA">
        <w:rPr>
          <w:rFonts w:ascii="Arial" w:eastAsia="Times New Roman" w:hAnsi="Arial" w:cs="Arial"/>
          <w:szCs w:val="23"/>
          <w:lang w:val="fr-CA"/>
        </w:rPr>
        <w:t xml:space="preserve"> Désigne, en ce qui concerne un membre, des individus sous la direction et le contrôle du membre.</w:t>
      </w:r>
    </w:p>
    <w:p w14:paraId="1284B20C" w14:textId="77777777" w:rsidR="005A321B" w:rsidRPr="003E0DDA" w:rsidRDefault="005A321B" w:rsidP="005A321B">
      <w:pPr>
        <w:autoSpaceDE w:val="0"/>
        <w:autoSpaceDN w:val="0"/>
        <w:adjustRightInd w:val="0"/>
        <w:rPr>
          <w:rFonts w:ascii="Arial" w:eastAsia="Times New Roman" w:hAnsi="Arial" w:cs="Arial"/>
          <w:szCs w:val="23"/>
          <w:lang w:val="fr-CA"/>
        </w:rPr>
      </w:pPr>
    </w:p>
    <w:p w14:paraId="07AF21E5" w14:textId="18EB7476"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2 : </w:t>
      </w:r>
      <w:r w:rsidR="00AD7BB1" w:rsidRPr="003E0DDA">
        <w:rPr>
          <w:rFonts w:ascii="Arial" w:eastAsia="Arial" w:hAnsi="Arial" w:cs="Arial"/>
          <w:b/>
          <w:szCs w:val="23"/>
          <w:lang w:val="fr-CA"/>
        </w:rPr>
        <w:tab/>
      </w:r>
      <w:r w:rsidRPr="003E0DDA">
        <w:rPr>
          <w:rFonts w:ascii="Arial" w:eastAsia="Arial" w:hAnsi="Arial" w:cs="Arial"/>
          <w:b/>
          <w:szCs w:val="23"/>
          <w:lang w:val="fr-CA"/>
        </w:rPr>
        <w:t>Responsabilité à l’égard du processus</w:t>
      </w:r>
    </w:p>
    <w:p w14:paraId="64B4161F" w14:textId="77777777" w:rsidR="005A321B" w:rsidRPr="003E0DDA" w:rsidRDefault="005A321B" w:rsidP="005A321B">
      <w:pPr>
        <w:autoSpaceDE w:val="0"/>
        <w:autoSpaceDN w:val="0"/>
        <w:adjustRightInd w:val="0"/>
        <w:rPr>
          <w:rFonts w:ascii="Arial" w:eastAsia="Times New Roman" w:hAnsi="Arial" w:cs="Arial"/>
          <w:szCs w:val="23"/>
          <w:lang w:val="fr-CA"/>
        </w:rPr>
      </w:pPr>
    </w:p>
    <w:p w14:paraId="6BC18B7C" w14:textId="260B7F0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 xml:space="preserve">Chacun des candidats, membres et ancien membres </w:t>
      </w:r>
      <w:proofErr w:type="gramStart"/>
      <w:r w:rsidRPr="003E0DDA">
        <w:rPr>
          <w:rFonts w:ascii="Arial" w:eastAsia="Times New Roman" w:hAnsi="Arial" w:cs="Arial"/>
          <w:szCs w:val="23"/>
          <w:lang w:val="fr-CA"/>
        </w:rPr>
        <w:t>a</w:t>
      </w:r>
      <w:proofErr w:type="gramEnd"/>
      <w:r w:rsidRPr="003E0DDA">
        <w:rPr>
          <w:rFonts w:ascii="Arial" w:eastAsia="Times New Roman" w:hAnsi="Arial" w:cs="Arial"/>
          <w:szCs w:val="23"/>
          <w:lang w:val="fr-CA"/>
        </w:rPr>
        <w:t xml:space="preserve"> la responsabilité d’éviter toute conduite répréhensible et apparence de conduite répréhensible, et observe des normes de conduite élevées de façon à préserver l’intégrité et l’impartialité du processus de règlement des différends.</w:t>
      </w:r>
    </w:p>
    <w:p w14:paraId="7B110749" w14:textId="77777777" w:rsidR="005A321B" w:rsidRPr="003E0DDA" w:rsidRDefault="005A321B" w:rsidP="005A321B">
      <w:pPr>
        <w:autoSpaceDE w:val="0"/>
        <w:autoSpaceDN w:val="0"/>
        <w:adjustRightInd w:val="0"/>
        <w:rPr>
          <w:rFonts w:ascii="Arial" w:eastAsia="Times New Roman" w:hAnsi="Arial" w:cs="Arial"/>
          <w:szCs w:val="23"/>
          <w:lang w:val="fr-CA"/>
        </w:rPr>
      </w:pPr>
    </w:p>
    <w:p w14:paraId="57516372" w14:textId="2E0E1785"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3 : </w:t>
      </w:r>
      <w:r w:rsidR="00AD7BB1" w:rsidRPr="003E0DDA">
        <w:rPr>
          <w:rFonts w:ascii="Arial" w:eastAsia="Arial" w:hAnsi="Arial" w:cs="Arial"/>
          <w:b/>
          <w:szCs w:val="23"/>
          <w:lang w:val="fr-CA"/>
        </w:rPr>
        <w:tab/>
      </w:r>
      <w:r w:rsidRPr="003E0DDA">
        <w:rPr>
          <w:rFonts w:ascii="Arial" w:eastAsia="Arial" w:hAnsi="Arial" w:cs="Arial"/>
          <w:b/>
          <w:szCs w:val="23"/>
          <w:lang w:val="fr-CA"/>
        </w:rPr>
        <w:t>Obligation de divulgation</w:t>
      </w:r>
    </w:p>
    <w:p w14:paraId="6860E3DA" w14:textId="77777777" w:rsidR="005A321B" w:rsidRPr="003E0DDA" w:rsidRDefault="005A321B" w:rsidP="005A321B">
      <w:pPr>
        <w:autoSpaceDE w:val="0"/>
        <w:autoSpaceDN w:val="0"/>
        <w:adjustRightInd w:val="0"/>
        <w:rPr>
          <w:rFonts w:ascii="Arial" w:eastAsia="Times New Roman" w:hAnsi="Arial" w:cs="Arial"/>
          <w:szCs w:val="23"/>
          <w:lang w:val="fr-CA"/>
        </w:rPr>
      </w:pPr>
    </w:p>
    <w:p w14:paraId="6812216C"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bCs/>
          <w:szCs w:val="23"/>
          <w:lang w:val="fr-CA"/>
        </w:rPr>
        <w:t>Obligation de divulgation initiale</w:t>
      </w:r>
    </w:p>
    <w:p w14:paraId="1A991669" w14:textId="77777777" w:rsidR="005A321B" w:rsidRPr="003E0DDA" w:rsidRDefault="005A321B" w:rsidP="005A321B">
      <w:pPr>
        <w:autoSpaceDE w:val="0"/>
        <w:autoSpaceDN w:val="0"/>
        <w:adjustRightInd w:val="0"/>
        <w:rPr>
          <w:rFonts w:ascii="Arial" w:eastAsia="Times New Roman" w:hAnsi="Arial" w:cs="Arial"/>
          <w:szCs w:val="23"/>
          <w:lang w:val="fr-CA"/>
        </w:rPr>
      </w:pPr>
    </w:p>
    <w:p w14:paraId="7DFD7C61" w14:textId="303C957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Le candidat divulgue tout intérêt, toute relation ou toute affaire vraisemblablement susceptible d’affecter son indépendance ou son impartialité, ou qui risque de créer une crainte raisonnable de partialité ou une apparence de conduite répréhensible dans la procédure. À cette fin, un candidat déploie tous les efforts raisonnables pour prendre connaissance de ces intérêts, relations et affaires.</w:t>
      </w:r>
    </w:p>
    <w:p w14:paraId="009984F6" w14:textId="77777777" w:rsidR="005A321B" w:rsidRPr="003E0DDA" w:rsidRDefault="005A321B" w:rsidP="005A321B">
      <w:pPr>
        <w:autoSpaceDE w:val="0"/>
        <w:autoSpaceDN w:val="0"/>
        <w:adjustRightInd w:val="0"/>
        <w:rPr>
          <w:rFonts w:ascii="Arial" w:eastAsia="Times New Roman" w:hAnsi="Arial" w:cs="Arial"/>
          <w:szCs w:val="23"/>
          <w:lang w:val="fr-CA"/>
        </w:rPr>
      </w:pPr>
    </w:p>
    <w:p w14:paraId="1C8E7E40" w14:textId="76D000C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Lorsqu’il est pressenti pour devenir membre d’un organe décisionnel et à la demande du Secrétariat, le candidat divulgue les intérêts, relations et affaires de cette nature en remplissant une déclaration de divulgation initiale fournie par le Secrétariat et en la lui expédiant.</w:t>
      </w:r>
    </w:p>
    <w:p w14:paraId="218E2F86" w14:textId="77777777" w:rsidR="005A321B" w:rsidRPr="003E0DDA" w:rsidRDefault="005A321B" w:rsidP="005A321B">
      <w:pPr>
        <w:autoSpaceDE w:val="0"/>
        <w:autoSpaceDN w:val="0"/>
        <w:adjustRightInd w:val="0"/>
        <w:rPr>
          <w:rFonts w:ascii="Arial" w:eastAsia="Times New Roman" w:hAnsi="Arial" w:cs="Arial"/>
          <w:szCs w:val="23"/>
          <w:lang w:val="fr-CA"/>
        </w:rPr>
      </w:pPr>
    </w:p>
    <w:p w14:paraId="66C1F797" w14:textId="2C3132E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Sans limiter la généralité des dispositions précédentes, le candidat divulgue les intérêts, relations et affaires suivants :</w:t>
      </w:r>
    </w:p>
    <w:p w14:paraId="3A443E20" w14:textId="77777777" w:rsidR="005A321B" w:rsidRPr="003E0DDA" w:rsidRDefault="005A321B" w:rsidP="005A321B">
      <w:pPr>
        <w:autoSpaceDE w:val="0"/>
        <w:autoSpaceDN w:val="0"/>
        <w:adjustRightInd w:val="0"/>
        <w:rPr>
          <w:rFonts w:ascii="Arial" w:eastAsia="Times New Roman" w:hAnsi="Arial" w:cs="Arial"/>
          <w:szCs w:val="23"/>
          <w:lang w:val="fr-CA"/>
        </w:rPr>
      </w:pPr>
    </w:p>
    <w:p w14:paraId="671020BF" w14:textId="767BBE68"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tout intérêt financier ou personnel :</w:t>
      </w:r>
    </w:p>
    <w:p w14:paraId="70C53865" w14:textId="77777777" w:rsidR="005A321B" w:rsidRPr="003E0DDA" w:rsidRDefault="005A321B" w:rsidP="005A321B">
      <w:pPr>
        <w:autoSpaceDE w:val="0"/>
        <w:autoSpaceDN w:val="0"/>
        <w:adjustRightInd w:val="0"/>
        <w:rPr>
          <w:rFonts w:ascii="Arial" w:eastAsia="Times New Roman" w:hAnsi="Arial" w:cs="Arial"/>
          <w:szCs w:val="23"/>
          <w:lang w:val="fr-CA"/>
        </w:rPr>
      </w:pPr>
    </w:p>
    <w:p w14:paraId="7F34311B" w14:textId="51550692" w:rsidR="000F70F1" w:rsidRPr="003E0DDA" w:rsidRDefault="005A321B" w:rsidP="000F70F1">
      <w:pPr>
        <w:pStyle w:val="ListParagraph"/>
        <w:keepNext/>
        <w:numPr>
          <w:ilvl w:val="0"/>
          <w:numId w:val="429"/>
        </w:numPr>
        <w:autoSpaceDE w:val="0"/>
        <w:autoSpaceDN w:val="0"/>
        <w:adjustRightInd w:val="0"/>
        <w:ind w:hanging="551"/>
        <w:rPr>
          <w:rFonts w:ascii="Arial" w:eastAsia="Times New Roman" w:hAnsi="Arial" w:cs="Arial"/>
          <w:szCs w:val="23"/>
          <w:lang w:val="fr-CA"/>
        </w:rPr>
      </w:pPr>
      <w:proofErr w:type="gramStart"/>
      <w:r w:rsidRPr="003E0DDA">
        <w:rPr>
          <w:rFonts w:ascii="Arial" w:eastAsia="Times New Roman" w:hAnsi="Arial" w:cs="Arial"/>
          <w:szCs w:val="23"/>
          <w:lang w:val="fr-CA"/>
        </w:rPr>
        <w:t>découlant</w:t>
      </w:r>
      <w:proofErr w:type="gramEnd"/>
      <w:r w:rsidRPr="003E0DDA">
        <w:rPr>
          <w:rFonts w:ascii="Arial" w:eastAsia="Times New Roman" w:hAnsi="Arial" w:cs="Arial"/>
          <w:szCs w:val="23"/>
          <w:lang w:val="fr-CA"/>
        </w:rPr>
        <w:t xml:space="preserve"> d’une relation personnelle, professionnelle ou autre qu’il a avec des Personnes ayant un lien avec la procédure ou qui peuvent tirer avantage de son issue,</w:t>
      </w:r>
    </w:p>
    <w:p w14:paraId="30A0D557" w14:textId="77777777" w:rsidR="000F70F1" w:rsidRPr="003E0DDA" w:rsidRDefault="000F70F1" w:rsidP="000F70F1">
      <w:pPr>
        <w:pStyle w:val="ListParagraph"/>
        <w:keepNext/>
        <w:autoSpaceDE w:val="0"/>
        <w:autoSpaceDN w:val="0"/>
        <w:adjustRightInd w:val="0"/>
        <w:ind w:left="2171" w:hanging="551"/>
        <w:rPr>
          <w:rFonts w:ascii="Arial" w:eastAsia="Times New Roman" w:hAnsi="Arial" w:cs="Arial"/>
          <w:szCs w:val="23"/>
          <w:lang w:val="fr-CA"/>
        </w:rPr>
      </w:pPr>
    </w:p>
    <w:p w14:paraId="64921DD3" w14:textId="45E9E0C9" w:rsidR="005A321B" w:rsidRPr="003E0DDA" w:rsidRDefault="005A321B" w:rsidP="000F70F1">
      <w:pPr>
        <w:pStyle w:val="ListParagraph"/>
        <w:keepNext/>
        <w:numPr>
          <w:ilvl w:val="0"/>
          <w:numId w:val="429"/>
        </w:numPr>
        <w:autoSpaceDE w:val="0"/>
        <w:autoSpaceDN w:val="0"/>
        <w:adjustRightInd w:val="0"/>
        <w:ind w:hanging="551"/>
        <w:rPr>
          <w:rFonts w:ascii="Arial" w:eastAsia="Times New Roman" w:hAnsi="Arial" w:cs="Arial"/>
          <w:szCs w:val="23"/>
          <w:lang w:val="fr-CA"/>
        </w:rPr>
      </w:pPr>
      <w:proofErr w:type="gramStart"/>
      <w:r w:rsidRPr="003E0DDA">
        <w:rPr>
          <w:rFonts w:ascii="Arial" w:eastAsia="Times New Roman" w:hAnsi="Arial" w:cs="Arial"/>
          <w:szCs w:val="23"/>
          <w:lang w:val="fr-CA"/>
        </w:rPr>
        <w:t>découlant</w:t>
      </w:r>
      <w:proofErr w:type="gramEnd"/>
      <w:r w:rsidRPr="003E0DDA">
        <w:rPr>
          <w:rFonts w:ascii="Arial" w:eastAsia="Times New Roman" w:hAnsi="Arial" w:cs="Arial"/>
          <w:szCs w:val="23"/>
          <w:lang w:val="fr-CA"/>
        </w:rPr>
        <w:t xml:space="preserve"> de tout point litigieux, susceptible d’être tranché au cours de la procédure pour laquelle le candidat est pressenti, ou dans une autre procédure ou dans une procédure administrative ou judiciaire intérieure qui porte sur des points semblables;</w:t>
      </w:r>
    </w:p>
    <w:p w14:paraId="548F0A55" w14:textId="77777777" w:rsidR="005A321B" w:rsidRPr="003E0DDA" w:rsidRDefault="005A321B" w:rsidP="005A321B">
      <w:pPr>
        <w:autoSpaceDE w:val="0"/>
        <w:autoSpaceDN w:val="0"/>
        <w:adjustRightInd w:val="0"/>
        <w:rPr>
          <w:rFonts w:ascii="Arial" w:eastAsia="Times New Roman" w:hAnsi="Arial" w:cs="Arial"/>
          <w:szCs w:val="23"/>
          <w:lang w:val="fr-CA"/>
        </w:rPr>
      </w:pPr>
    </w:p>
    <w:p w14:paraId="0E8C4130" w14:textId="29C3198A"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tout intérêt financier d’un de ses employeurs, associés ou partenaires commerciaux ou des membres de sa famille :</w:t>
      </w:r>
    </w:p>
    <w:p w14:paraId="35AD8DE7" w14:textId="77777777" w:rsidR="005A321B" w:rsidRPr="003E0DDA" w:rsidRDefault="005A321B" w:rsidP="005A321B">
      <w:pPr>
        <w:autoSpaceDE w:val="0"/>
        <w:autoSpaceDN w:val="0"/>
        <w:adjustRightInd w:val="0"/>
        <w:rPr>
          <w:rFonts w:ascii="Arial" w:eastAsia="Times New Roman" w:hAnsi="Arial" w:cs="Arial"/>
          <w:szCs w:val="23"/>
          <w:lang w:val="fr-CA"/>
        </w:rPr>
      </w:pPr>
    </w:p>
    <w:p w14:paraId="3BE0C0DB" w14:textId="69058589" w:rsidR="000F70F1" w:rsidRPr="003E0DDA" w:rsidRDefault="005A321B" w:rsidP="000F70F1">
      <w:pPr>
        <w:pStyle w:val="ListParagraph"/>
        <w:keepNext/>
        <w:numPr>
          <w:ilvl w:val="0"/>
          <w:numId w:val="430"/>
        </w:numPr>
        <w:autoSpaceDE w:val="0"/>
        <w:autoSpaceDN w:val="0"/>
        <w:adjustRightInd w:val="0"/>
        <w:ind w:hanging="540"/>
        <w:rPr>
          <w:rFonts w:ascii="Arial" w:eastAsia="Times New Roman" w:hAnsi="Arial" w:cs="Arial"/>
          <w:szCs w:val="23"/>
          <w:lang w:val="fr-CA"/>
        </w:rPr>
      </w:pPr>
      <w:proofErr w:type="gramStart"/>
      <w:r w:rsidRPr="003E0DDA">
        <w:rPr>
          <w:rFonts w:ascii="Arial" w:eastAsia="Times New Roman" w:hAnsi="Arial" w:cs="Arial"/>
          <w:szCs w:val="23"/>
          <w:lang w:val="fr-CA"/>
        </w:rPr>
        <w:lastRenderedPageBreak/>
        <w:t>découlant</w:t>
      </w:r>
      <w:proofErr w:type="gramEnd"/>
      <w:r w:rsidRPr="003E0DDA">
        <w:rPr>
          <w:rFonts w:ascii="Arial" w:eastAsia="Times New Roman" w:hAnsi="Arial" w:cs="Arial"/>
          <w:szCs w:val="23"/>
          <w:lang w:val="fr-CA"/>
        </w:rPr>
        <w:t xml:space="preserve"> d’une relation personnelle, professionnelle ou autre avec des Personnes ayant un lien avec la procédure ou qui peuvent tirer avantage</w:t>
      </w:r>
      <w:r w:rsidR="000F70F1" w:rsidRPr="003E0DDA">
        <w:rPr>
          <w:rFonts w:ascii="Arial" w:eastAsia="Times New Roman" w:hAnsi="Arial" w:cs="Arial"/>
          <w:szCs w:val="23"/>
          <w:lang w:val="fr-CA"/>
        </w:rPr>
        <w:t xml:space="preserve"> de son issue,</w:t>
      </w:r>
    </w:p>
    <w:p w14:paraId="36C1C7F3" w14:textId="77777777" w:rsidR="000F70F1" w:rsidRPr="003E0DDA" w:rsidRDefault="000F70F1" w:rsidP="000F70F1">
      <w:pPr>
        <w:pStyle w:val="ListParagraph"/>
        <w:keepNext/>
        <w:autoSpaceDE w:val="0"/>
        <w:autoSpaceDN w:val="0"/>
        <w:adjustRightInd w:val="0"/>
        <w:ind w:left="2160" w:hanging="540"/>
        <w:rPr>
          <w:rFonts w:ascii="Arial" w:eastAsia="Times New Roman" w:hAnsi="Arial" w:cs="Arial"/>
          <w:szCs w:val="23"/>
          <w:lang w:val="fr-CA"/>
        </w:rPr>
      </w:pPr>
    </w:p>
    <w:p w14:paraId="0B9FB59E" w14:textId="39C7AA65" w:rsidR="005A321B" w:rsidRPr="003E0DDA" w:rsidRDefault="005A321B" w:rsidP="000F70F1">
      <w:pPr>
        <w:pStyle w:val="ListParagraph"/>
        <w:keepNext/>
        <w:numPr>
          <w:ilvl w:val="0"/>
          <w:numId w:val="430"/>
        </w:numPr>
        <w:autoSpaceDE w:val="0"/>
        <w:autoSpaceDN w:val="0"/>
        <w:adjustRightInd w:val="0"/>
        <w:ind w:hanging="540"/>
        <w:rPr>
          <w:rFonts w:ascii="Arial" w:eastAsia="Times New Roman" w:hAnsi="Arial" w:cs="Arial"/>
          <w:szCs w:val="23"/>
          <w:lang w:val="fr-CA"/>
        </w:rPr>
      </w:pPr>
      <w:proofErr w:type="gramStart"/>
      <w:r w:rsidRPr="003E0DDA">
        <w:rPr>
          <w:rFonts w:ascii="Arial" w:eastAsia="Times New Roman" w:hAnsi="Arial" w:cs="Arial"/>
          <w:szCs w:val="23"/>
          <w:lang w:val="fr-CA"/>
        </w:rPr>
        <w:t>découlant</w:t>
      </w:r>
      <w:proofErr w:type="gramEnd"/>
      <w:r w:rsidRPr="003E0DDA">
        <w:rPr>
          <w:rFonts w:ascii="Arial" w:eastAsia="Times New Roman" w:hAnsi="Arial" w:cs="Arial"/>
          <w:szCs w:val="23"/>
          <w:lang w:val="fr-CA"/>
        </w:rPr>
        <w:t xml:space="preserve"> de tout point litigieux, susceptible d’être tranché au cours de la procédure pour laquelle le candidat est pressenti, ou dans une autre procédure ou dans une procédure administrative ou judiciaire intérieure qui porte sur des points semblables;</w:t>
      </w:r>
    </w:p>
    <w:p w14:paraId="09071FC8" w14:textId="77777777" w:rsidR="005A321B" w:rsidRPr="003E0DDA" w:rsidRDefault="005A321B" w:rsidP="005A321B">
      <w:pPr>
        <w:autoSpaceDE w:val="0"/>
        <w:autoSpaceDN w:val="0"/>
        <w:adjustRightInd w:val="0"/>
        <w:ind w:left="2160" w:hanging="720"/>
        <w:rPr>
          <w:rFonts w:ascii="Arial" w:eastAsia="Times New Roman" w:hAnsi="Arial" w:cs="Arial"/>
          <w:szCs w:val="23"/>
          <w:lang w:val="fr-CA"/>
        </w:rPr>
      </w:pPr>
    </w:p>
    <w:p w14:paraId="715AE3AA" w14:textId="564B5F32"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toute relation financière, commerciale, professionnelle, familiale ou sociale passée ou présente avec les Parties participantes ou les participants dans la procédure, ou leurs représentants ou avocats, ou toute relation de même nature concernant un de ses employeurs, associés ou partenaires commerciaux ou des membres de sa famille;</w:t>
      </w:r>
    </w:p>
    <w:p w14:paraId="46DCF0C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50F1F6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tout acte de représentation à titre de porte-parole officiel, de conseiller juridique ou autre à l’égard d’un point en litige dans la procédure ou visant les mêmes produits ou services.</w:t>
      </w:r>
    </w:p>
    <w:p w14:paraId="5033681C" w14:textId="77777777" w:rsidR="005A321B" w:rsidRPr="003E0DDA" w:rsidRDefault="005A321B" w:rsidP="005A321B">
      <w:pPr>
        <w:autoSpaceDE w:val="0"/>
        <w:autoSpaceDN w:val="0"/>
        <w:adjustRightInd w:val="0"/>
        <w:rPr>
          <w:rFonts w:ascii="Arial" w:eastAsia="Times New Roman" w:hAnsi="Arial" w:cs="Arial"/>
          <w:szCs w:val="23"/>
          <w:lang w:val="fr-CA"/>
        </w:rPr>
      </w:pPr>
    </w:p>
    <w:p w14:paraId="5F2DE9E3"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Obligation de divulgation supplémentaire</w:t>
      </w:r>
    </w:p>
    <w:p w14:paraId="7F72A2FF" w14:textId="77777777" w:rsidR="005A321B" w:rsidRPr="003E0DDA" w:rsidRDefault="005A321B" w:rsidP="005A321B">
      <w:pPr>
        <w:autoSpaceDE w:val="0"/>
        <w:autoSpaceDN w:val="0"/>
        <w:adjustRightInd w:val="0"/>
        <w:rPr>
          <w:rFonts w:ascii="Arial" w:eastAsia="Times New Roman" w:hAnsi="Arial" w:cs="Arial"/>
          <w:szCs w:val="23"/>
          <w:lang w:val="fr-CA"/>
        </w:rPr>
      </w:pPr>
    </w:p>
    <w:p w14:paraId="6BE4024D" w14:textId="09D91B9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Le membre ayant pris part à une procédure divulgue, après avoir reçu communication des observations écrites et observations en réponse des Parties participantes ou participants, tout intérêt, acte de porte-parole ou de représentation, notamment ceux qui sont mentionnés aux sous-alinéas 5</w:t>
      </w:r>
      <w:proofErr w:type="gramStart"/>
      <w:r w:rsidRPr="003E0DDA">
        <w:rPr>
          <w:rFonts w:ascii="Arial" w:eastAsia="Times New Roman" w:hAnsi="Arial" w:cs="Arial"/>
          <w:szCs w:val="23"/>
          <w:lang w:val="fr-CA"/>
        </w:rPr>
        <w:t>a)ii</w:t>
      </w:r>
      <w:proofErr w:type="gramEnd"/>
      <w:r w:rsidRPr="003E0DDA">
        <w:rPr>
          <w:rFonts w:ascii="Arial" w:eastAsia="Times New Roman" w:hAnsi="Arial" w:cs="Arial"/>
          <w:szCs w:val="23"/>
          <w:lang w:val="fr-CA"/>
        </w:rPr>
        <w:t>) et 5b)ii) ou à l’alinéa 5d), en remplissant une déclaration de divulgation supplémentaire fournie par le Secrétariat et en la lui expédiant.</w:t>
      </w:r>
    </w:p>
    <w:p w14:paraId="253932F2" w14:textId="77777777" w:rsidR="005A321B" w:rsidRPr="003E0DDA" w:rsidRDefault="005A321B" w:rsidP="005A321B">
      <w:pPr>
        <w:autoSpaceDE w:val="0"/>
        <w:autoSpaceDN w:val="0"/>
        <w:adjustRightInd w:val="0"/>
        <w:rPr>
          <w:rFonts w:ascii="Arial" w:eastAsia="Times New Roman" w:hAnsi="Arial" w:cs="Arial"/>
          <w:szCs w:val="23"/>
          <w:lang w:val="fr-CA"/>
        </w:rPr>
      </w:pPr>
    </w:p>
    <w:p w14:paraId="1E6421D7"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b/>
          <w:bCs/>
          <w:szCs w:val="23"/>
          <w:lang w:val="fr-CA"/>
        </w:rPr>
        <w:t>Obligation de divulgation permanente</w:t>
      </w:r>
    </w:p>
    <w:p w14:paraId="02730A3A" w14:textId="77777777" w:rsidR="005A321B" w:rsidRPr="003E0DDA" w:rsidRDefault="005A321B" w:rsidP="005A321B">
      <w:pPr>
        <w:autoSpaceDE w:val="0"/>
        <w:autoSpaceDN w:val="0"/>
        <w:adjustRightInd w:val="0"/>
        <w:rPr>
          <w:rFonts w:ascii="Arial" w:eastAsia="Times New Roman" w:hAnsi="Arial" w:cs="Arial"/>
          <w:szCs w:val="23"/>
          <w:lang w:val="fr-CA"/>
        </w:rPr>
      </w:pPr>
    </w:p>
    <w:p w14:paraId="125C13BD" w14:textId="5EB17018"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Après sa nomination, le membre continue à déployer tous les efforts raisonnables pour prendre connaissance des intérêts, relations ou affaires mentionnés à l’article 3 et il en fait la divulgation. L’obligation de divulgation est une obligation permanente qui exige du membre qu’il divulgue ces intérêts, relations et affaires pouvant survenir à toute étape de la procédure.</w:t>
      </w:r>
    </w:p>
    <w:p w14:paraId="716DE3C5" w14:textId="77777777" w:rsidR="005A321B" w:rsidRPr="003E0DDA" w:rsidRDefault="005A321B" w:rsidP="005A321B">
      <w:pPr>
        <w:autoSpaceDE w:val="0"/>
        <w:autoSpaceDN w:val="0"/>
        <w:adjustRightInd w:val="0"/>
        <w:rPr>
          <w:rFonts w:ascii="Arial" w:eastAsia="Times New Roman" w:hAnsi="Arial" w:cs="Arial"/>
          <w:szCs w:val="23"/>
          <w:lang w:val="fr-CA"/>
        </w:rPr>
      </w:pPr>
    </w:p>
    <w:p w14:paraId="1FC7F08F" w14:textId="61D8F54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8.</w:t>
      </w:r>
      <w:r w:rsidRPr="003E0DDA">
        <w:rPr>
          <w:rFonts w:ascii="Arial" w:eastAsia="Times New Roman" w:hAnsi="Arial" w:cs="Arial"/>
          <w:szCs w:val="23"/>
          <w:lang w:val="fr-CA"/>
        </w:rPr>
        <w:tab/>
        <w:t>Le membre divulgue par écrit ces intérêts, relations et affaires en les communiquant au Secrétariat pour qu’ils puissent être examinés par les Parties concernées.</w:t>
      </w:r>
    </w:p>
    <w:p w14:paraId="54645851" w14:textId="77777777" w:rsidR="005A321B" w:rsidRPr="003E0DDA" w:rsidRDefault="005A321B" w:rsidP="005A321B">
      <w:pPr>
        <w:autoSpaceDE w:val="0"/>
        <w:autoSpaceDN w:val="0"/>
        <w:adjustRightInd w:val="0"/>
        <w:rPr>
          <w:rFonts w:ascii="Arial" w:eastAsia="Times New Roman" w:hAnsi="Arial" w:cs="Arial"/>
          <w:szCs w:val="23"/>
          <w:lang w:val="fr-CA"/>
        </w:rPr>
      </w:pPr>
    </w:p>
    <w:p w14:paraId="289D0860" w14:textId="3BB0675D"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4 : </w:t>
      </w:r>
      <w:r w:rsidR="00AD7BB1" w:rsidRPr="003E0DDA">
        <w:rPr>
          <w:rFonts w:ascii="Arial" w:eastAsia="Arial" w:hAnsi="Arial" w:cs="Arial"/>
          <w:b/>
          <w:szCs w:val="23"/>
          <w:lang w:val="fr-CA"/>
        </w:rPr>
        <w:tab/>
      </w:r>
      <w:r w:rsidRPr="003E0DDA">
        <w:rPr>
          <w:rFonts w:ascii="Arial" w:eastAsia="Arial" w:hAnsi="Arial" w:cs="Arial"/>
          <w:b/>
          <w:szCs w:val="23"/>
          <w:lang w:val="fr-CA"/>
        </w:rPr>
        <w:t>Accomplissement des fonctions des candidats et des membres</w:t>
      </w:r>
    </w:p>
    <w:p w14:paraId="2B570266" w14:textId="77777777" w:rsidR="005A321B" w:rsidRPr="003E0DDA" w:rsidRDefault="005A321B" w:rsidP="005A321B">
      <w:pPr>
        <w:autoSpaceDE w:val="0"/>
        <w:autoSpaceDN w:val="0"/>
        <w:adjustRightInd w:val="0"/>
        <w:rPr>
          <w:rFonts w:ascii="Arial" w:eastAsia="Times New Roman" w:hAnsi="Arial" w:cs="Arial"/>
          <w:szCs w:val="23"/>
          <w:lang w:val="fr-CA"/>
        </w:rPr>
      </w:pPr>
    </w:p>
    <w:p w14:paraId="4403CD62" w14:textId="0BA2B66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Le candidat qui accepte d’être nommé à titre de membre est disponible pour exercer, et il exerce, ses fonctions à titre de membre avec minutie et diligence tout au long de la procédure.</w:t>
      </w:r>
    </w:p>
    <w:p w14:paraId="60EB09A2" w14:textId="77777777" w:rsidR="005A321B" w:rsidRPr="003E0DDA" w:rsidRDefault="005A321B" w:rsidP="005A321B">
      <w:pPr>
        <w:autoSpaceDE w:val="0"/>
        <w:autoSpaceDN w:val="0"/>
        <w:adjustRightInd w:val="0"/>
        <w:rPr>
          <w:rFonts w:ascii="Arial" w:eastAsia="Times New Roman" w:hAnsi="Arial" w:cs="Arial"/>
          <w:szCs w:val="23"/>
          <w:lang w:val="fr-CA"/>
        </w:rPr>
      </w:pPr>
    </w:p>
    <w:p w14:paraId="33DD6E4F" w14:textId="3121C56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10.</w:t>
      </w:r>
      <w:r w:rsidRPr="003E0DDA">
        <w:rPr>
          <w:rFonts w:ascii="Arial" w:eastAsia="Times New Roman" w:hAnsi="Arial" w:cs="Arial"/>
          <w:szCs w:val="23"/>
          <w:lang w:val="fr-CA"/>
        </w:rPr>
        <w:tab/>
        <w:t>Le membre s’acquitte de toutes ses fonctions avec équité et diligence et respecte les dispositions du présent chapitre, les règles applicables et le Code de conduite.</w:t>
      </w:r>
    </w:p>
    <w:p w14:paraId="50DD9A19" w14:textId="77777777" w:rsidR="005A321B" w:rsidRPr="003E0DDA" w:rsidRDefault="005A321B" w:rsidP="005A321B">
      <w:pPr>
        <w:autoSpaceDE w:val="0"/>
        <w:autoSpaceDN w:val="0"/>
        <w:adjustRightInd w:val="0"/>
        <w:rPr>
          <w:rFonts w:ascii="Arial" w:eastAsia="Times New Roman" w:hAnsi="Arial" w:cs="Arial"/>
          <w:szCs w:val="23"/>
          <w:lang w:val="fr-CA"/>
        </w:rPr>
      </w:pPr>
    </w:p>
    <w:p w14:paraId="606DA345" w14:textId="779DE0E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lastRenderedPageBreak/>
        <w:t>11.</w:t>
      </w:r>
      <w:r w:rsidRPr="003E0DDA">
        <w:rPr>
          <w:rFonts w:ascii="Arial" w:eastAsia="Times New Roman" w:hAnsi="Arial" w:cs="Arial"/>
          <w:szCs w:val="23"/>
          <w:lang w:val="fr-CA"/>
        </w:rPr>
        <w:tab/>
        <w:t>Le membre n’empêche pas d’autres membres de participer à tous les aspects de la procédure.</w:t>
      </w:r>
    </w:p>
    <w:p w14:paraId="691D8760" w14:textId="77777777" w:rsidR="005A321B" w:rsidRPr="003E0DDA" w:rsidRDefault="005A321B" w:rsidP="005A321B">
      <w:pPr>
        <w:autoSpaceDE w:val="0"/>
        <w:autoSpaceDN w:val="0"/>
        <w:adjustRightInd w:val="0"/>
        <w:rPr>
          <w:rFonts w:ascii="Arial" w:eastAsia="Times New Roman" w:hAnsi="Arial" w:cs="Arial"/>
          <w:szCs w:val="23"/>
          <w:lang w:val="fr-CA"/>
        </w:rPr>
      </w:pPr>
    </w:p>
    <w:p w14:paraId="2CDF4AA3" w14:textId="620CB15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12.</w:t>
      </w:r>
      <w:r w:rsidRPr="003E0DDA">
        <w:rPr>
          <w:rFonts w:ascii="Arial" w:eastAsia="Times New Roman" w:hAnsi="Arial" w:cs="Arial"/>
          <w:szCs w:val="23"/>
          <w:lang w:val="fr-CA"/>
        </w:rPr>
        <w:tab/>
        <w:t>Le membre ne tient compte que des questions qui sont soulevées au cours de la procédure et qui sont nécessaires pour rendre une décision, et il ne délègue cette fonction à aucun autre individu, sauf dans la mesure permise par les règles applicables. Un membre rend sa décision en s’appuyant seulement sur le contenu du dossier officiel.</w:t>
      </w:r>
    </w:p>
    <w:p w14:paraId="0D3F241D" w14:textId="77777777" w:rsidR="005A321B" w:rsidRPr="003E0DDA" w:rsidRDefault="005A321B" w:rsidP="005A321B">
      <w:pPr>
        <w:autoSpaceDE w:val="0"/>
        <w:autoSpaceDN w:val="0"/>
        <w:adjustRightInd w:val="0"/>
        <w:rPr>
          <w:rFonts w:ascii="Arial" w:eastAsia="Times New Roman" w:hAnsi="Arial" w:cs="Arial"/>
          <w:szCs w:val="23"/>
          <w:lang w:val="fr-CA"/>
        </w:rPr>
      </w:pPr>
    </w:p>
    <w:p w14:paraId="4A59184B" w14:textId="0299646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13.</w:t>
      </w:r>
      <w:r w:rsidRPr="003E0DDA">
        <w:rPr>
          <w:rFonts w:ascii="Arial" w:eastAsia="Times New Roman" w:hAnsi="Arial" w:cs="Arial"/>
          <w:szCs w:val="23"/>
          <w:lang w:val="fr-CA"/>
        </w:rPr>
        <w:tab/>
        <w:t>Le membre prend tous les moyens nécessaires pour faire en sorte que son personnel respecte les parties 2, 3 et 7 du présent code de conduite.</w:t>
      </w:r>
    </w:p>
    <w:p w14:paraId="5705D215" w14:textId="77777777" w:rsidR="005A321B" w:rsidRPr="003E0DDA" w:rsidRDefault="005A321B" w:rsidP="005A321B">
      <w:pPr>
        <w:autoSpaceDE w:val="0"/>
        <w:autoSpaceDN w:val="0"/>
        <w:adjustRightInd w:val="0"/>
        <w:rPr>
          <w:rFonts w:ascii="Arial" w:eastAsia="Times New Roman" w:hAnsi="Arial" w:cs="Arial"/>
          <w:szCs w:val="23"/>
          <w:lang w:val="fr-CA"/>
        </w:rPr>
      </w:pPr>
    </w:p>
    <w:p w14:paraId="15594B7E" w14:textId="58CB23E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14.</w:t>
      </w:r>
      <w:r w:rsidRPr="003E0DDA">
        <w:rPr>
          <w:rFonts w:ascii="Arial" w:eastAsia="Times New Roman" w:hAnsi="Arial" w:cs="Arial"/>
          <w:szCs w:val="23"/>
          <w:lang w:val="fr-CA"/>
        </w:rPr>
        <w:tab/>
        <w:t>Le membre s’abstient de toute communication au sujet de la procédure qui va au-delà la portée de l’examen devant l’organe décisionnel. Le membre n’a aucune communication avec une Partie participante ou un participant, sauf en présence de tous les autres membres, Parties participantes et participants.</w:t>
      </w:r>
    </w:p>
    <w:p w14:paraId="1DB1EEC7" w14:textId="77777777" w:rsidR="005A321B" w:rsidRPr="003E0DDA" w:rsidRDefault="005A321B" w:rsidP="005A321B">
      <w:pPr>
        <w:autoSpaceDE w:val="0"/>
        <w:autoSpaceDN w:val="0"/>
        <w:adjustRightInd w:val="0"/>
        <w:rPr>
          <w:rFonts w:ascii="Arial" w:eastAsia="Times New Roman" w:hAnsi="Arial" w:cs="Arial"/>
          <w:szCs w:val="23"/>
          <w:lang w:val="fr-CA"/>
        </w:rPr>
      </w:pPr>
    </w:p>
    <w:p w14:paraId="4E21FF24" w14:textId="72C9BF30"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15.</w:t>
      </w:r>
      <w:r w:rsidRPr="003E0DDA">
        <w:rPr>
          <w:rFonts w:ascii="Arial" w:eastAsia="Times New Roman" w:hAnsi="Arial" w:cs="Arial"/>
          <w:szCs w:val="23"/>
          <w:lang w:val="fr-CA"/>
        </w:rPr>
        <w:tab/>
        <w:t>Le candidat ou le membre ne communique aucun renseignement sur des dérogations réelles ou potentielles au présent code de conduite si ce n’est au Secrétariat lorsque cette communication est nécessaire pour permettre d’évaluer si le candidat ou le membre visé a dérogé au présent code de conduite ou risque de le faire.</w:t>
      </w:r>
    </w:p>
    <w:p w14:paraId="0945E06C" w14:textId="77777777" w:rsidR="005A321B" w:rsidRPr="003E0DDA" w:rsidRDefault="005A321B" w:rsidP="005A321B">
      <w:pPr>
        <w:autoSpaceDE w:val="0"/>
        <w:autoSpaceDN w:val="0"/>
        <w:adjustRightInd w:val="0"/>
        <w:rPr>
          <w:rFonts w:ascii="Arial" w:eastAsia="Times New Roman" w:hAnsi="Arial" w:cs="Arial"/>
          <w:szCs w:val="23"/>
          <w:lang w:val="fr-CA"/>
        </w:rPr>
      </w:pPr>
    </w:p>
    <w:p w14:paraId="58BF48A1" w14:textId="77777777"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5 : </w:t>
      </w:r>
      <w:r w:rsidRPr="003E0DDA">
        <w:rPr>
          <w:rFonts w:ascii="Arial" w:eastAsia="Arial" w:hAnsi="Arial" w:cs="Arial"/>
          <w:b/>
          <w:szCs w:val="23"/>
          <w:lang w:val="fr-CA"/>
        </w:rPr>
        <w:tab/>
        <w:t>Indépendance et impartialité des membres</w:t>
      </w:r>
    </w:p>
    <w:p w14:paraId="3D522793" w14:textId="77777777" w:rsidR="005A321B" w:rsidRPr="003E0DDA" w:rsidRDefault="005A321B" w:rsidP="005A321B">
      <w:pPr>
        <w:autoSpaceDE w:val="0"/>
        <w:autoSpaceDN w:val="0"/>
        <w:adjustRightInd w:val="0"/>
        <w:rPr>
          <w:rFonts w:ascii="Arial" w:eastAsia="Times New Roman" w:hAnsi="Arial" w:cs="Arial"/>
          <w:szCs w:val="23"/>
          <w:lang w:val="fr-CA"/>
        </w:rPr>
      </w:pPr>
    </w:p>
    <w:p w14:paraId="13C4F923" w14:textId="5EDD248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16.</w:t>
      </w:r>
      <w:r w:rsidRPr="003E0DDA">
        <w:rPr>
          <w:rFonts w:ascii="Arial" w:eastAsia="Times New Roman" w:hAnsi="Arial" w:cs="Arial"/>
          <w:szCs w:val="23"/>
          <w:lang w:val="fr-CA"/>
        </w:rPr>
        <w:tab/>
        <w:t>Le membre est indépendant et impartial. Il agit équitablement et évite de créer une crainte raisonnable de partialité ou une apparence de conduite répréhensible.</w:t>
      </w:r>
    </w:p>
    <w:p w14:paraId="0696792D" w14:textId="77777777" w:rsidR="005A321B" w:rsidRPr="003E0DDA" w:rsidRDefault="005A321B" w:rsidP="005A321B">
      <w:pPr>
        <w:autoSpaceDE w:val="0"/>
        <w:autoSpaceDN w:val="0"/>
        <w:adjustRightInd w:val="0"/>
        <w:rPr>
          <w:rFonts w:ascii="Arial" w:eastAsia="Times New Roman" w:hAnsi="Arial" w:cs="Arial"/>
          <w:szCs w:val="23"/>
          <w:lang w:val="fr-CA"/>
        </w:rPr>
      </w:pPr>
    </w:p>
    <w:p w14:paraId="55B3756F" w14:textId="5BAF5C6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17.</w:t>
      </w:r>
      <w:r w:rsidRPr="003E0DDA">
        <w:rPr>
          <w:rFonts w:ascii="Arial" w:eastAsia="Times New Roman" w:hAnsi="Arial" w:cs="Arial"/>
          <w:szCs w:val="23"/>
          <w:lang w:val="fr-CA"/>
        </w:rPr>
        <w:tab/>
        <w:t>Le membre ne laisse pas son intérêt personnel, des pressions extérieures, des considérations politiques, l’indignation publique, la loyauté envers une Partie ou la peur de la critique exercer une influence sur lui.</w:t>
      </w:r>
    </w:p>
    <w:p w14:paraId="60AD051B" w14:textId="77777777" w:rsidR="005A321B" w:rsidRPr="003E0DDA" w:rsidRDefault="005A321B" w:rsidP="005A321B">
      <w:pPr>
        <w:autoSpaceDE w:val="0"/>
        <w:autoSpaceDN w:val="0"/>
        <w:adjustRightInd w:val="0"/>
        <w:rPr>
          <w:rFonts w:ascii="Arial" w:eastAsia="Times New Roman" w:hAnsi="Arial" w:cs="Arial"/>
          <w:szCs w:val="23"/>
          <w:lang w:val="fr-CA"/>
        </w:rPr>
      </w:pPr>
    </w:p>
    <w:p w14:paraId="68A9B838" w14:textId="380919F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18.</w:t>
      </w:r>
      <w:r w:rsidRPr="003E0DDA">
        <w:rPr>
          <w:rFonts w:ascii="Arial" w:eastAsia="Times New Roman" w:hAnsi="Arial" w:cs="Arial"/>
          <w:szCs w:val="23"/>
          <w:lang w:val="fr-CA"/>
        </w:rPr>
        <w:tab/>
        <w:t>Le membre, directement ou indirectement, n’engage pas d’obligation ni n’accepte un avantage susceptible de quelque façon de nuire ou de sembler nuire à l’exercice adéquat de ses fonctions.</w:t>
      </w:r>
    </w:p>
    <w:p w14:paraId="520D2D43" w14:textId="77777777" w:rsidR="005A321B" w:rsidRPr="003E0DDA" w:rsidRDefault="005A321B" w:rsidP="005A321B">
      <w:pPr>
        <w:autoSpaceDE w:val="0"/>
        <w:autoSpaceDN w:val="0"/>
        <w:adjustRightInd w:val="0"/>
        <w:rPr>
          <w:rFonts w:ascii="Arial" w:eastAsia="Times New Roman" w:hAnsi="Arial" w:cs="Arial"/>
          <w:szCs w:val="23"/>
          <w:lang w:val="fr-CA"/>
        </w:rPr>
      </w:pPr>
    </w:p>
    <w:p w14:paraId="5E8E32EA" w14:textId="31F0ED21"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19.</w:t>
      </w:r>
      <w:r w:rsidRPr="003E0DDA">
        <w:rPr>
          <w:rFonts w:ascii="Arial" w:eastAsia="Times New Roman" w:hAnsi="Arial" w:cs="Arial"/>
          <w:szCs w:val="23"/>
          <w:lang w:val="fr-CA"/>
        </w:rPr>
        <w:tab/>
        <w:t>Le membre n’utilise pas son poste de membre de l’organe décisionnel pour promouvoir quelque intérêt personnel ou privé. Le membre évite toute action qui pourrait donner l’impression que d’autres sont dans une position spéciale pour exercer une influence sur lui. Le membre met tout en œuvre pour empêcher ou dissuader les autres de prétendre qu’ils sont dans une telle position.</w:t>
      </w:r>
    </w:p>
    <w:p w14:paraId="1044111B" w14:textId="77777777" w:rsidR="005A321B" w:rsidRPr="003E0DDA" w:rsidRDefault="005A321B" w:rsidP="005A321B">
      <w:pPr>
        <w:autoSpaceDE w:val="0"/>
        <w:autoSpaceDN w:val="0"/>
        <w:adjustRightInd w:val="0"/>
        <w:rPr>
          <w:rFonts w:ascii="Arial" w:eastAsia="Times New Roman" w:hAnsi="Arial" w:cs="Arial"/>
          <w:szCs w:val="23"/>
          <w:lang w:val="fr-CA"/>
        </w:rPr>
      </w:pPr>
    </w:p>
    <w:p w14:paraId="1E50E0F9" w14:textId="02C5CBF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20.</w:t>
      </w:r>
      <w:r w:rsidRPr="003E0DDA">
        <w:rPr>
          <w:rFonts w:ascii="Arial" w:eastAsia="Times New Roman" w:hAnsi="Arial" w:cs="Arial"/>
          <w:szCs w:val="23"/>
          <w:lang w:val="fr-CA"/>
        </w:rPr>
        <w:tab/>
        <w:t>Le membre ne permet pas que des relations ou des responsabilités financières, commerciales, professionnelles, familiales ou sociales passées ou présentes influent sur sa conduite ou son jugement.</w:t>
      </w:r>
    </w:p>
    <w:p w14:paraId="1FD371B9" w14:textId="77777777" w:rsidR="005A321B" w:rsidRPr="003E0DDA" w:rsidRDefault="005A321B" w:rsidP="005A321B">
      <w:pPr>
        <w:autoSpaceDE w:val="0"/>
        <w:autoSpaceDN w:val="0"/>
        <w:adjustRightInd w:val="0"/>
        <w:rPr>
          <w:rFonts w:ascii="Arial" w:eastAsia="Times New Roman" w:hAnsi="Arial" w:cs="Arial"/>
          <w:szCs w:val="23"/>
          <w:lang w:val="fr-CA"/>
        </w:rPr>
      </w:pPr>
    </w:p>
    <w:p w14:paraId="0DBE81B4" w14:textId="788994A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21.</w:t>
      </w:r>
      <w:r w:rsidRPr="003E0DDA">
        <w:rPr>
          <w:rFonts w:ascii="Arial" w:eastAsia="Times New Roman" w:hAnsi="Arial" w:cs="Arial"/>
          <w:szCs w:val="23"/>
          <w:lang w:val="fr-CA"/>
        </w:rPr>
        <w:tab/>
        <w:t>Le membre évite de s’engager dans des relations ou d’acquérir des intérêts financiers ou personnels vraisemblablement susceptibles d’affecter son impartialité ou qui risquent de créer une crainte raisonnable de partialité ou une apparence de conduite répréhensible.</w:t>
      </w:r>
    </w:p>
    <w:p w14:paraId="60829268" w14:textId="77777777" w:rsidR="005A321B" w:rsidRPr="003E0DDA" w:rsidRDefault="005A321B" w:rsidP="005A321B">
      <w:pPr>
        <w:autoSpaceDE w:val="0"/>
        <w:autoSpaceDN w:val="0"/>
        <w:adjustRightInd w:val="0"/>
        <w:rPr>
          <w:rFonts w:ascii="Arial" w:eastAsia="Times New Roman" w:hAnsi="Arial" w:cs="Arial"/>
          <w:szCs w:val="23"/>
          <w:lang w:val="fr-CA"/>
        </w:rPr>
      </w:pPr>
    </w:p>
    <w:p w14:paraId="0C378C95" w14:textId="174CE321"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lastRenderedPageBreak/>
        <w:t xml:space="preserve">Partie 6 : </w:t>
      </w:r>
      <w:r w:rsidR="00AD7BB1" w:rsidRPr="003E0DDA">
        <w:rPr>
          <w:rFonts w:ascii="Arial" w:eastAsia="Arial" w:hAnsi="Arial" w:cs="Arial"/>
          <w:b/>
          <w:szCs w:val="23"/>
          <w:lang w:val="fr-CA"/>
        </w:rPr>
        <w:tab/>
      </w:r>
      <w:r w:rsidRPr="003E0DDA">
        <w:rPr>
          <w:rFonts w:ascii="Arial" w:eastAsia="Arial" w:hAnsi="Arial" w:cs="Arial"/>
          <w:b/>
          <w:szCs w:val="23"/>
          <w:lang w:val="fr-CA"/>
        </w:rPr>
        <w:t>Conduite après la procédure</w:t>
      </w:r>
    </w:p>
    <w:p w14:paraId="4A18D9B7" w14:textId="77777777" w:rsidR="005A321B" w:rsidRPr="003E0DDA" w:rsidRDefault="005A321B" w:rsidP="005A321B">
      <w:pPr>
        <w:autoSpaceDE w:val="0"/>
        <w:autoSpaceDN w:val="0"/>
        <w:adjustRightInd w:val="0"/>
        <w:rPr>
          <w:rFonts w:ascii="Arial" w:eastAsia="Times New Roman" w:hAnsi="Arial" w:cs="Arial"/>
          <w:szCs w:val="23"/>
          <w:lang w:val="fr-CA"/>
        </w:rPr>
      </w:pPr>
    </w:p>
    <w:p w14:paraId="3665140D" w14:textId="003ADE9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22.</w:t>
      </w:r>
      <w:r w:rsidRPr="003E0DDA">
        <w:rPr>
          <w:rFonts w:ascii="Arial" w:eastAsia="Times New Roman" w:hAnsi="Arial" w:cs="Arial"/>
          <w:szCs w:val="23"/>
          <w:lang w:val="fr-CA"/>
        </w:rPr>
        <w:tab/>
        <w:t>Pendant une période d’un an à compter de la clôture d’une procédure, il est interdit à un ancien membre de conseiller ou de représenter personnellement une Partie participante ou un participant à la procédure à l’égard de points qui ont été soulevés au cours de la procédure.</w:t>
      </w:r>
    </w:p>
    <w:p w14:paraId="5EBF1701" w14:textId="77777777" w:rsidR="005A321B" w:rsidRPr="003E0DDA" w:rsidRDefault="005A321B" w:rsidP="005A321B">
      <w:pPr>
        <w:autoSpaceDE w:val="0"/>
        <w:autoSpaceDN w:val="0"/>
        <w:adjustRightInd w:val="0"/>
        <w:rPr>
          <w:rFonts w:ascii="Arial" w:eastAsia="Times New Roman" w:hAnsi="Arial" w:cs="Arial"/>
          <w:szCs w:val="23"/>
          <w:lang w:val="fr-CA"/>
        </w:rPr>
      </w:pPr>
    </w:p>
    <w:p w14:paraId="63E26ADC" w14:textId="64EB04E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23.</w:t>
      </w:r>
      <w:r w:rsidRPr="003E0DDA">
        <w:rPr>
          <w:rFonts w:ascii="Arial" w:eastAsia="Times New Roman" w:hAnsi="Arial" w:cs="Arial"/>
          <w:szCs w:val="23"/>
          <w:lang w:val="fr-CA"/>
        </w:rPr>
        <w:tab/>
        <w:t>Le membre ou l’ancien membre ne représente pas une Partie participante ou un participant dans une procédure portant sur les points en litige soulevés devant l’organe décisionnel, ou dans une procédure administrative ou une procédure judiciaire intérieure portant sur des points semblables.</w:t>
      </w:r>
    </w:p>
    <w:p w14:paraId="002A708A" w14:textId="77777777" w:rsidR="005A321B" w:rsidRPr="003E0DDA" w:rsidRDefault="005A321B" w:rsidP="005A321B">
      <w:pPr>
        <w:autoSpaceDE w:val="0"/>
        <w:autoSpaceDN w:val="0"/>
        <w:adjustRightInd w:val="0"/>
        <w:rPr>
          <w:rFonts w:ascii="Arial" w:eastAsia="Times New Roman" w:hAnsi="Arial" w:cs="Arial"/>
          <w:szCs w:val="23"/>
          <w:lang w:val="fr-CA"/>
        </w:rPr>
      </w:pPr>
    </w:p>
    <w:p w14:paraId="772BFFD9" w14:textId="36517E2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24.</w:t>
      </w:r>
      <w:r w:rsidRPr="003E0DDA">
        <w:rPr>
          <w:rFonts w:ascii="Arial" w:eastAsia="Times New Roman" w:hAnsi="Arial" w:cs="Arial"/>
          <w:szCs w:val="23"/>
          <w:lang w:val="fr-CA"/>
        </w:rPr>
        <w:tab/>
        <w:t>L’ancien membre évite toute action susceptible de donner l’impression qu’il était partial dans l’exercice de ses fonctions de membre ou qu’il pourrait tirer avantage de la décision de l’organe décisionnel.</w:t>
      </w:r>
    </w:p>
    <w:p w14:paraId="6E031DFE" w14:textId="77777777" w:rsidR="005A321B" w:rsidRPr="003E0DDA" w:rsidRDefault="005A321B" w:rsidP="005A321B">
      <w:pPr>
        <w:jc w:val="center"/>
        <w:rPr>
          <w:rFonts w:ascii="Arial" w:eastAsia="Arial" w:hAnsi="Arial" w:cs="Arial"/>
          <w:b/>
          <w:szCs w:val="23"/>
          <w:lang w:val="fr-CA"/>
        </w:rPr>
      </w:pPr>
    </w:p>
    <w:p w14:paraId="08A292BC" w14:textId="6BC93D2D" w:rsidR="005A321B" w:rsidRPr="003E0DDA" w:rsidRDefault="005A321B" w:rsidP="005A321B">
      <w:pPr>
        <w:jc w:val="center"/>
        <w:rPr>
          <w:rFonts w:ascii="Arial" w:eastAsia="Arial" w:hAnsi="Arial" w:cs="Arial"/>
          <w:b/>
          <w:szCs w:val="23"/>
          <w:lang w:val="fr-CA"/>
        </w:rPr>
      </w:pPr>
      <w:r w:rsidRPr="003E0DDA">
        <w:rPr>
          <w:rFonts w:ascii="Arial" w:eastAsia="Arial" w:hAnsi="Arial" w:cs="Arial"/>
          <w:b/>
          <w:bCs/>
          <w:szCs w:val="23"/>
          <w:lang w:val="fr-CA"/>
        </w:rPr>
        <w:t xml:space="preserve">Partie 7 : </w:t>
      </w:r>
      <w:r w:rsidR="00AD7BB1" w:rsidRPr="003E0DDA">
        <w:rPr>
          <w:rFonts w:ascii="Arial" w:eastAsia="Arial" w:hAnsi="Arial" w:cs="Arial"/>
          <w:b/>
          <w:bCs/>
          <w:szCs w:val="23"/>
          <w:lang w:val="fr-CA"/>
        </w:rPr>
        <w:tab/>
      </w:r>
      <w:r w:rsidRPr="003E0DDA">
        <w:rPr>
          <w:rFonts w:ascii="Arial" w:eastAsia="Arial" w:hAnsi="Arial" w:cs="Arial"/>
          <w:b/>
          <w:bCs/>
          <w:szCs w:val="23"/>
          <w:lang w:val="fr-CA"/>
        </w:rPr>
        <w:t>Maintien de la confidentialité</w:t>
      </w:r>
    </w:p>
    <w:p w14:paraId="5FE3FAB4" w14:textId="77777777" w:rsidR="005A321B" w:rsidRPr="003E0DDA" w:rsidRDefault="005A321B" w:rsidP="005A321B">
      <w:pPr>
        <w:autoSpaceDE w:val="0"/>
        <w:autoSpaceDN w:val="0"/>
        <w:adjustRightInd w:val="0"/>
        <w:rPr>
          <w:rFonts w:ascii="Arial" w:eastAsia="Times New Roman" w:hAnsi="Arial" w:cs="Arial"/>
          <w:szCs w:val="23"/>
          <w:lang w:val="fr-CA"/>
        </w:rPr>
      </w:pPr>
    </w:p>
    <w:p w14:paraId="4815C560" w14:textId="7B9A7CBA"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25.</w:t>
      </w:r>
      <w:r w:rsidRPr="003E0DDA">
        <w:rPr>
          <w:rFonts w:ascii="Arial" w:eastAsia="Times New Roman" w:hAnsi="Arial" w:cs="Arial"/>
          <w:szCs w:val="23"/>
          <w:lang w:val="fr-CA"/>
        </w:rPr>
        <w:tab/>
        <w:t>À aucun moment, le membre ou l’ancien membre ne divulgue ou utilise des renseignements non publics concernant la procédure ou obtenus au cours de la procédure, sauf pour les fins de cette procédure, ni ne divulgue ou utilise de tels renseignements pour en tirer un avantage personnel ou permettre à d’autres d’en tirer avantage ou pour nuire aux intérêts d’autrui.</w:t>
      </w:r>
    </w:p>
    <w:p w14:paraId="0641C2A1" w14:textId="77777777" w:rsidR="005A321B" w:rsidRPr="003E0DDA" w:rsidRDefault="005A321B" w:rsidP="005A321B">
      <w:pPr>
        <w:autoSpaceDE w:val="0"/>
        <w:autoSpaceDN w:val="0"/>
        <w:adjustRightInd w:val="0"/>
        <w:rPr>
          <w:rFonts w:ascii="Arial" w:eastAsia="Times New Roman" w:hAnsi="Arial" w:cs="Arial"/>
          <w:szCs w:val="23"/>
          <w:lang w:val="fr-CA"/>
        </w:rPr>
      </w:pPr>
    </w:p>
    <w:p w14:paraId="23D44A4B" w14:textId="3BE7246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26.</w:t>
      </w:r>
      <w:r w:rsidRPr="003E0DDA">
        <w:rPr>
          <w:rFonts w:ascii="Arial" w:eastAsia="Times New Roman" w:hAnsi="Arial" w:cs="Arial"/>
          <w:szCs w:val="23"/>
          <w:lang w:val="fr-CA"/>
        </w:rPr>
        <w:tab/>
        <w:t>Le membre ne divulgue pas les rapports ou décisions d’un organe décisionnel avant que le Secrétariat ne les ait présentés.</w:t>
      </w:r>
    </w:p>
    <w:p w14:paraId="2232F4BE" w14:textId="77777777" w:rsidR="005A321B" w:rsidRPr="003E0DDA" w:rsidRDefault="005A321B" w:rsidP="005A321B">
      <w:pPr>
        <w:autoSpaceDE w:val="0"/>
        <w:autoSpaceDN w:val="0"/>
        <w:adjustRightInd w:val="0"/>
        <w:rPr>
          <w:rFonts w:ascii="Arial" w:eastAsia="Times New Roman" w:hAnsi="Arial" w:cs="Arial"/>
          <w:szCs w:val="23"/>
          <w:lang w:val="fr-CA"/>
        </w:rPr>
      </w:pPr>
    </w:p>
    <w:p w14:paraId="17E3DA2B" w14:textId="6FFA5AB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27.</w:t>
      </w:r>
      <w:r w:rsidRPr="003E0DDA">
        <w:rPr>
          <w:rFonts w:ascii="Arial" w:eastAsia="Times New Roman" w:hAnsi="Arial" w:cs="Arial"/>
          <w:szCs w:val="23"/>
          <w:lang w:val="fr-CA"/>
        </w:rPr>
        <w:tab/>
        <w:t>Le membre ou l’ancien membre ne divulgue pas les délibérations en cours d’un organe décisionnel, sauf lorsque la loi l’exige.</w:t>
      </w:r>
    </w:p>
    <w:p w14:paraId="1B355F7E" w14:textId="77777777" w:rsidR="005A321B" w:rsidRPr="003E0DDA" w:rsidRDefault="005A321B" w:rsidP="005A321B">
      <w:pPr>
        <w:autoSpaceDE w:val="0"/>
        <w:autoSpaceDN w:val="0"/>
        <w:adjustRightInd w:val="0"/>
        <w:rPr>
          <w:rFonts w:ascii="Arial" w:eastAsia="Times New Roman" w:hAnsi="Arial" w:cs="Arial"/>
          <w:szCs w:val="23"/>
          <w:lang w:val="fr-CA"/>
        </w:rPr>
      </w:pPr>
    </w:p>
    <w:p w14:paraId="699D1D44" w14:textId="21F961ED"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8 : </w:t>
      </w:r>
      <w:r w:rsidR="00AD7BB1" w:rsidRPr="003E0DDA">
        <w:rPr>
          <w:rFonts w:ascii="Arial" w:eastAsia="Arial" w:hAnsi="Arial" w:cs="Arial"/>
          <w:b/>
          <w:szCs w:val="23"/>
          <w:lang w:val="fr-CA"/>
        </w:rPr>
        <w:tab/>
      </w:r>
      <w:r w:rsidRPr="003E0DDA">
        <w:rPr>
          <w:rFonts w:ascii="Arial" w:eastAsia="Arial" w:hAnsi="Arial" w:cs="Arial"/>
          <w:b/>
          <w:szCs w:val="23"/>
          <w:lang w:val="fr-CA"/>
        </w:rPr>
        <w:t>Responsabilités du personnel</w:t>
      </w:r>
    </w:p>
    <w:p w14:paraId="4B78B842" w14:textId="77777777" w:rsidR="005A321B" w:rsidRPr="003E0DDA" w:rsidRDefault="005A321B" w:rsidP="005A321B">
      <w:pPr>
        <w:autoSpaceDE w:val="0"/>
        <w:autoSpaceDN w:val="0"/>
        <w:adjustRightInd w:val="0"/>
        <w:rPr>
          <w:rFonts w:ascii="Arial" w:eastAsia="Times New Roman" w:hAnsi="Arial" w:cs="Arial"/>
          <w:szCs w:val="23"/>
          <w:lang w:val="fr-CA"/>
        </w:rPr>
      </w:pPr>
    </w:p>
    <w:p w14:paraId="71418DCC" w14:textId="20DC658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28.</w:t>
      </w:r>
      <w:r w:rsidRPr="003E0DDA">
        <w:rPr>
          <w:rFonts w:ascii="Arial" w:eastAsia="Times New Roman" w:hAnsi="Arial" w:cs="Arial"/>
          <w:szCs w:val="23"/>
          <w:lang w:val="fr-CA"/>
        </w:rPr>
        <w:tab/>
        <w:t>Les parties 2 et 7 du présent code de conduite s’appliquent aussi aux membres du personnel. La partie 3 s’applique aux membres du personnel qui ne sont pas tenus de produire des déclarations de divulgation, mais qui ont l’obligation initiale et permanente de divulguer aux membres de l’organe décisionnel les intérêts, relations ou affaires pouvant influer sur l’intégrité ou l’impartialité du processus de règlement des différends.</w:t>
      </w:r>
    </w:p>
    <w:p w14:paraId="7AE9B26F" w14:textId="77777777" w:rsidR="005A321B" w:rsidRPr="003E0DDA" w:rsidRDefault="005A321B" w:rsidP="005A321B">
      <w:pPr>
        <w:autoSpaceDE w:val="0"/>
        <w:autoSpaceDN w:val="0"/>
        <w:adjustRightInd w:val="0"/>
        <w:rPr>
          <w:rFonts w:ascii="Arial" w:eastAsia="Times New Roman" w:hAnsi="Arial" w:cs="Arial"/>
          <w:szCs w:val="23"/>
          <w:lang w:val="fr-CA"/>
        </w:rPr>
      </w:pPr>
    </w:p>
    <w:p w14:paraId="726F38BE" w14:textId="422FC26F" w:rsidR="005A321B" w:rsidRPr="003E0DDA" w:rsidRDefault="005A321B" w:rsidP="005A321B">
      <w:pPr>
        <w:jc w:val="center"/>
        <w:rPr>
          <w:rFonts w:ascii="Arial" w:eastAsia="Arial" w:hAnsi="Arial" w:cs="Arial"/>
          <w:b/>
          <w:szCs w:val="23"/>
          <w:lang w:val="fr-CA"/>
        </w:rPr>
      </w:pPr>
      <w:r w:rsidRPr="003E0DDA">
        <w:rPr>
          <w:rFonts w:ascii="Arial" w:eastAsia="Arial" w:hAnsi="Arial" w:cs="Arial"/>
          <w:b/>
          <w:szCs w:val="23"/>
          <w:lang w:val="fr-CA"/>
        </w:rPr>
        <w:t xml:space="preserve">Partie 9 : </w:t>
      </w:r>
      <w:r w:rsidR="00AD7BB1" w:rsidRPr="003E0DDA">
        <w:rPr>
          <w:rFonts w:ascii="Arial" w:eastAsia="Arial" w:hAnsi="Arial" w:cs="Arial"/>
          <w:b/>
          <w:szCs w:val="23"/>
          <w:lang w:val="fr-CA"/>
        </w:rPr>
        <w:tab/>
      </w:r>
      <w:r w:rsidRPr="003E0DDA">
        <w:rPr>
          <w:rFonts w:ascii="Arial" w:eastAsia="Arial" w:hAnsi="Arial" w:cs="Arial"/>
          <w:b/>
          <w:szCs w:val="23"/>
          <w:lang w:val="fr-CA"/>
        </w:rPr>
        <w:t>Responsabilités du Secrétariat et violations du Code de conduite</w:t>
      </w:r>
    </w:p>
    <w:p w14:paraId="2FE0CAEF" w14:textId="77777777" w:rsidR="005A321B" w:rsidRPr="003E0DDA" w:rsidRDefault="005A321B" w:rsidP="005A321B">
      <w:pPr>
        <w:autoSpaceDE w:val="0"/>
        <w:autoSpaceDN w:val="0"/>
        <w:adjustRightInd w:val="0"/>
        <w:rPr>
          <w:rFonts w:ascii="Arial" w:eastAsia="Times New Roman" w:hAnsi="Arial" w:cs="Arial"/>
          <w:szCs w:val="23"/>
          <w:lang w:val="fr-CA"/>
        </w:rPr>
      </w:pPr>
    </w:p>
    <w:p w14:paraId="5DD5FAAE" w14:textId="4F65BE5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29.</w:t>
      </w:r>
      <w:r w:rsidRPr="003E0DDA">
        <w:rPr>
          <w:rFonts w:ascii="Arial" w:eastAsia="Times New Roman" w:hAnsi="Arial" w:cs="Arial"/>
          <w:szCs w:val="23"/>
          <w:lang w:val="fr-CA"/>
        </w:rPr>
        <w:tab/>
        <w:t>Le Secrétariat prend tous les moyens nécessaires pour protéger la confidentialité des déclarations de divulgation et de toute divulgation subséquente.</w:t>
      </w:r>
    </w:p>
    <w:p w14:paraId="74FEC677" w14:textId="77777777" w:rsidR="005A321B" w:rsidRPr="003E0DDA" w:rsidRDefault="005A321B" w:rsidP="005A321B">
      <w:pPr>
        <w:autoSpaceDE w:val="0"/>
        <w:autoSpaceDN w:val="0"/>
        <w:adjustRightInd w:val="0"/>
        <w:rPr>
          <w:rFonts w:ascii="Arial" w:eastAsia="Times New Roman" w:hAnsi="Arial" w:cs="Arial"/>
          <w:szCs w:val="23"/>
          <w:lang w:val="fr-CA"/>
        </w:rPr>
      </w:pPr>
    </w:p>
    <w:p w14:paraId="6D10BA97" w14:textId="3BF47436"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30.</w:t>
      </w:r>
      <w:r w:rsidRPr="003E0DDA">
        <w:rPr>
          <w:rFonts w:ascii="Arial" w:eastAsia="Times New Roman" w:hAnsi="Arial" w:cs="Arial"/>
          <w:szCs w:val="23"/>
          <w:lang w:val="fr-CA"/>
        </w:rPr>
        <w:tab/>
        <w:t>Toute communication au Secrétariat au sujet d’un conflit d’intérêts, d’une crainte raisonnable de partialité ou d’une apparence de conduite répréhensible est transmise aux Parties participantes ou aux participants afin qu’ils puissent déterminer s’il y a eu violation du présent code de conduite.</w:t>
      </w:r>
    </w:p>
    <w:p w14:paraId="35D31A55" w14:textId="77777777" w:rsidR="005A321B" w:rsidRPr="003E0DDA" w:rsidRDefault="005A321B" w:rsidP="005A321B">
      <w:pPr>
        <w:autoSpaceDE w:val="0"/>
        <w:autoSpaceDN w:val="0"/>
        <w:adjustRightInd w:val="0"/>
        <w:rPr>
          <w:rFonts w:ascii="Arial" w:eastAsia="Times New Roman" w:hAnsi="Arial" w:cs="Arial"/>
          <w:szCs w:val="23"/>
          <w:lang w:val="fr-CA"/>
        </w:rPr>
      </w:pPr>
    </w:p>
    <w:p w14:paraId="7EA602DF" w14:textId="69234FA2"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lastRenderedPageBreak/>
        <w:t>31.</w:t>
      </w:r>
      <w:r w:rsidRPr="003E0DDA">
        <w:rPr>
          <w:rFonts w:ascii="Arial" w:eastAsia="Times New Roman" w:hAnsi="Arial" w:cs="Arial"/>
          <w:szCs w:val="23"/>
          <w:lang w:val="fr-CA"/>
        </w:rPr>
        <w:tab/>
        <w:t>Si une Partie au différend ou un litigant estime qu’il y a eu violation du présent code de conduite par un membre de l’organe décisionnel devant lequel la Partie au différend ou le litigant a comparu ou comparaîtra, la Partie au différend ou le litigant peut soumettre une plainte écrite au Secrétariat aussitôt que possible après la découverte de la violation. Le Secrétariat remet immédiatement la plainte aux autres Parties participantes ou participants et à l’organe décisionnel. Le membre de l’organe décisionnel qui fait l’objet de la plainte peut répondre à la plainte par écrit, en soumettant sa réponse au Secrétariat dans les 10 jours de la réception de la notification de la plainte. Le Secrétariat remet toute réponse écrite aux Parties participantes ou aux participants et aux autres membres de l’organe décisionnel.</w:t>
      </w:r>
    </w:p>
    <w:p w14:paraId="41C9169A" w14:textId="77777777" w:rsidR="005A321B" w:rsidRPr="003E0DDA" w:rsidRDefault="005A321B" w:rsidP="005A321B">
      <w:pPr>
        <w:autoSpaceDE w:val="0"/>
        <w:autoSpaceDN w:val="0"/>
        <w:adjustRightInd w:val="0"/>
        <w:rPr>
          <w:rFonts w:ascii="Arial" w:eastAsia="Times New Roman" w:hAnsi="Arial" w:cs="Arial"/>
          <w:szCs w:val="23"/>
          <w:lang w:val="fr-CA"/>
        </w:rPr>
      </w:pPr>
    </w:p>
    <w:p w14:paraId="5A74F9DF" w14:textId="28BC879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32.</w:t>
      </w:r>
      <w:r w:rsidRPr="003E0DDA">
        <w:rPr>
          <w:rFonts w:ascii="Arial" w:eastAsia="Times New Roman" w:hAnsi="Arial" w:cs="Arial"/>
          <w:szCs w:val="23"/>
          <w:lang w:val="fr-CA"/>
        </w:rPr>
        <w:tab/>
        <w:t>Si l’organe décisionnel a seulement un membre, advenant que les Parties au différend ou les litigants ne puissent pas s’entendre quant à savoir s’il y a eu violation du présent code de conduite, la question est tranchée par un individu figurant sur la liste des membres du groupe spécial d’appel choisi par tirage au sort par le Secrétariat, à l’exclusion de tout individu figurant sur la liste qui a été nommé par une Partie au différend ou par un litigant ou de tout résident du territoire d’une Partie au différend ou d’un litigant.</w:t>
      </w:r>
    </w:p>
    <w:p w14:paraId="54A2B761" w14:textId="77777777" w:rsidR="005A321B" w:rsidRPr="003E0DDA" w:rsidRDefault="005A321B" w:rsidP="005A321B">
      <w:pPr>
        <w:autoSpaceDE w:val="0"/>
        <w:autoSpaceDN w:val="0"/>
        <w:adjustRightInd w:val="0"/>
        <w:rPr>
          <w:rFonts w:ascii="Arial" w:eastAsia="Times New Roman" w:hAnsi="Arial" w:cs="Arial"/>
          <w:szCs w:val="23"/>
          <w:lang w:val="fr-CA"/>
        </w:rPr>
      </w:pPr>
    </w:p>
    <w:p w14:paraId="0161D624" w14:textId="4A9F406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33.</w:t>
      </w:r>
      <w:r w:rsidRPr="003E0DDA">
        <w:rPr>
          <w:rFonts w:ascii="Arial" w:eastAsia="Times New Roman" w:hAnsi="Arial" w:cs="Arial"/>
          <w:szCs w:val="23"/>
          <w:lang w:val="fr-CA"/>
        </w:rPr>
        <w:tab/>
        <w:t>Le membre de la liste des membres du groupe spécial d’appel présente sa décision, avec des motifs, au Secrétariat, qui la transmet à toutes les Parties participantes ou à tous les participants. Si le membre de la liste des membres du groupe spécial d’appel décide qu’il y a eu violation, le membre de l’organe décisionnel jugé en violation démissionne, et un remplaçant est nommé conformément à la règle 74 de l’annexe 1007.1 et 1024.1.</w:t>
      </w:r>
    </w:p>
    <w:p w14:paraId="2160C4A6" w14:textId="77777777" w:rsidR="005A321B" w:rsidRPr="003E0DDA" w:rsidRDefault="005A321B" w:rsidP="005A321B">
      <w:pPr>
        <w:autoSpaceDE w:val="0"/>
        <w:autoSpaceDN w:val="0"/>
        <w:adjustRightInd w:val="0"/>
        <w:rPr>
          <w:rFonts w:ascii="Arial" w:eastAsia="Times New Roman" w:hAnsi="Arial" w:cs="Arial"/>
          <w:szCs w:val="23"/>
          <w:lang w:val="fr-CA"/>
        </w:rPr>
      </w:pPr>
    </w:p>
    <w:p w14:paraId="1864D62C" w14:textId="5A77688B"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34.</w:t>
      </w:r>
      <w:r w:rsidRPr="003E0DDA">
        <w:rPr>
          <w:rFonts w:ascii="Arial" w:eastAsia="Times New Roman" w:hAnsi="Arial" w:cs="Arial"/>
          <w:szCs w:val="23"/>
          <w:lang w:val="fr-CA"/>
        </w:rPr>
        <w:tab/>
        <w:t>Si l’organe décisionnel a trois membres, advenant que les Parties au différend ou les litigants ne puissent pas s’entendre quant à savoir s’il y a eu violation du présent code de conduite, la question est tranchée par les membres restants de l’organe décisionnel.</w:t>
      </w:r>
    </w:p>
    <w:p w14:paraId="6F7907FF" w14:textId="77777777" w:rsidR="005A321B" w:rsidRPr="003E0DDA" w:rsidRDefault="005A321B" w:rsidP="005A321B">
      <w:pPr>
        <w:autoSpaceDE w:val="0"/>
        <w:autoSpaceDN w:val="0"/>
        <w:adjustRightInd w:val="0"/>
        <w:rPr>
          <w:rFonts w:ascii="Arial" w:eastAsia="Times New Roman" w:hAnsi="Arial" w:cs="Arial"/>
          <w:szCs w:val="23"/>
          <w:lang w:val="fr-CA"/>
        </w:rPr>
      </w:pPr>
    </w:p>
    <w:p w14:paraId="1134B810" w14:textId="4F7DBCB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35.</w:t>
      </w:r>
      <w:r w:rsidRPr="003E0DDA">
        <w:rPr>
          <w:rFonts w:ascii="Arial" w:eastAsia="Times New Roman" w:hAnsi="Arial" w:cs="Arial"/>
          <w:szCs w:val="23"/>
          <w:lang w:val="fr-CA"/>
        </w:rPr>
        <w:tab/>
        <w:t xml:space="preserve">Si les membres restants de l’organe décisionnel ne peuvent pas s’entendre quant à savoir s’il y a eu violation du présent code de conduite, le membre de l’organe décisionnel qui a prétendument violé ce code demeure membre de l’organe décisionnel. Les membres restants de l’organe décisionnel présentent leur décision, avec des motifs, au Secrétariat qui le fait parvenir à toutes les Parties participantes ou à tous les participants sans révéler la position du membre de l’organe décisionnel. </w:t>
      </w:r>
    </w:p>
    <w:p w14:paraId="2E8607C5" w14:textId="77777777" w:rsidR="005A321B" w:rsidRPr="003E0DDA" w:rsidRDefault="005A321B" w:rsidP="005A321B">
      <w:pPr>
        <w:autoSpaceDE w:val="0"/>
        <w:autoSpaceDN w:val="0"/>
        <w:adjustRightInd w:val="0"/>
        <w:rPr>
          <w:rFonts w:ascii="Arial" w:eastAsia="Times New Roman" w:hAnsi="Arial" w:cs="Arial"/>
          <w:szCs w:val="23"/>
          <w:lang w:val="fr-CA"/>
        </w:rPr>
      </w:pPr>
    </w:p>
    <w:p w14:paraId="66E4CEC1" w14:textId="3F392CEC"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36.</w:t>
      </w:r>
      <w:r w:rsidRPr="003E0DDA">
        <w:rPr>
          <w:rFonts w:ascii="Arial" w:eastAsia="Times New Roman" w:hAnsi="Arial" w:cs="Arial"/>
          <w:szCs w:val="23"/>
          <w:lang w:val="fr-CA"/>
        </w:rPr>
        <w:tab/>
        <w:t xml:space="preserve">Si les membres restants de l’organe décisionnel conviennent qu’il y a eu violation du présent code de conduite, le membre de l’organe décisionnel jugé responsable de la violation démissionne et un remplaçant est nommé par les membres restants de l’organe décisionnel, à partir de la liste applicable, et ce, dans les 10 jours de l’entente entre ces membres. Si les membres restants de l’organe décisionnel ne peuvent pas s’entendre sur un remplaçant dans ce délai, le Secrétariat choisit un remplaçant par tirage au sort à partir de la liste applicable.  </w:t>
      </w:r>
    </w:p>
    <w:p w14:paraId="72DCB92C" w14:textId="77777777" w:rsidR="005A321B" w:rsidRPr="003E0DDA" w:rsidRDefault="005A321B" w:rsidP="005A321B">
      <w:pPr>
        <w:autoSpaceDE w:val="0"/>
        <w:autoSpaceDN w:val="0"/>
        <w:adjustRightInd w:val="0"/>
        <w:rPr>
          <w:rFonts w:ascii="Arial" w:eastAsia="Times New Roman" w:hAnsi="Arial" w:cs="Arial"/>
          <w:szCs w:val="23"/>
          <w:lang w:val="fr-CA"/>
        </w:rPr>
      </w:pPr>
    </w:p>
    <w:p w14:paraId="18B8BEE1" w14:textId="6719BF9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37.</w:t>
      </w:r>
      <w:r w:rsidRPr="003E0DDA">
        <w:rPr>
          <w:rFonts w:ascii="Arial" w:eastAsia="Times New Roman" w:hAnsi="Arial" w:cs="Arial"/>
          <w:szCs w:val="23"/>
          <w:lang w:val="fr-CA"/>
        </w:rPr>
        <w:tab/>
        <w:t>Si le membre de l’organe décisionnel devant être remplacé en application du paragraphe 36 était le seul membre de l’organe décisionnel à avoir de l’expérience en droit administratif, les membres restants de l’organe décisionnel ou le Secrétariat, selon le cas, choisissent un remplaçant qui possède de l’expérience en droit administratif.</w:t>
      </w:r>
    </w:p>
    <w:p w14:paraId="027F74D1" w14:textId="77777777" w:rsidR="005A321B" w:rsidRPr="003E0DDA" w:rsidRDefault="005A321B" w:rsidP="005A321B">
      <w:pPr>
        <w:autoSpaceDE w:val="0"/>
        <w:autoSpaceDN w:val="0"/>
        <w:adjustRightInd w:val="0"/>
        <w:rPr>
          <w:rFonts w:ascii="Arial" w:eastAsia="Times New Roman" w:hAnsi="Arial" w:cs="Arial"/>
          <w:szCs w:val="23"/>
          <w:lang w:val="fr-CA"/>
        </w:rPr>
      </w:pPr>
    </w:p>
    <w:p w14:paraId="6EB11671" w14:textId="21B9BB9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38.</w:t>
      </w:r>
      <w:r w:rsidRPr="003E0DDA">
        <w:rPr>
          <w:rFonts w:ascii="Arial" w:eastAsia="Times New Roman" w:hAnsi="Arial" w:cs="Arial"/>
          <w:szCs w:val="23"/>
          <w:lang w:val="fr-CA"/>
        </w:rPr>
        <w:tab/>
        <w:t xml:space="preserve">L’organe décisionnel décide, en consultation avec les Parties participantes ou participants, de toutes les questions procédurales liées à la démission d’un membre de </w:t>
      </w:r>
      <w:r w:rsidRPr="003E0DDA">
        <w:rPr>
          <w:rFonts w:ascii="Arial" w:eastAsia="Times New Roman" w:hAnsi="Arial" w:cs="Arial"/>
          <w:szCs w:val="23"/>
          <w:lang w:val="fr-CA"/>
        </w:rPr>
        <w:lastRenderedPageBreak/>
        <w:t>l’organe décisionnel et à la nomination de son remplaçant, y compris le point à partir duquel les procédures reprennent.</w:t>
      </w:r>
    </w:p>
    <w:p w14:paraId="1AB6E6D0"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br w:type="page"/>
      </w:r>
    </w:p>
    <w:p w14:paraId="75C18A68" w14:textId="6D5F6C0B" w:rsidR="005A321B" w:rsidRPr="003E0DDA" w:rsidRDefault="005A321B" w:rsidP="005A321B">
      <w:pPr>
        <w:autoSpaceDE w:val="0"/>
        <w:autoSpaceDN w:val="0"/>
        <w:adjustRightInd w:val="0"/>
        <w:jc w:val="center"/>
        <w:rPr>
          <w:rFonts w:ascii="Arial" w:eastAsia="Times New Roman" w:hAnsi="Arial" w:cs="Arial"/>
          <w:szCs w:val="23"/>
          <w:lang w:val="fr-CA"/>
        </w:rPr>
      </w:pPr>
      <w:r w:rsidRPr="003E0DDA">
        <w:rPr>
          <w:rFonts w:ascii="Arial" w:eastAsia="Times New Roman" w:hAnsi="Arial" w:cs="Arial"/>
          <w:szCs w:val="23"/>
          <w:lang w:val="fr-CA"/>
        </w:rPr>
        <w:lastRenderedPageBreak/>
        <w:t>ACCORD DE LIBRE-ÉCHANGE CANADIEN</w:t>
      </w:r>
    </w:p>
    <w:p w14:paraId="1CE7B79D" w14:textId="77777777" w:rsidR="005A321B" w:rsidRPr="003E0DDA" w:rsidRDefault="005A321B" w:rsidP="005A321B">
      <w:pPr>
        <w:autoSpaceDE w:val="0"/>
        <w:autoSpaceDN w:val="0"/>
        <w:adjustRightInd w:val="0"/>
        <w:rPr>
          <w:rFonts w:ascii="Arial" w:eastAsia="Times New Roman" w:hAnsi="Arial" w:cs="Arial"/>
          <w:szCs w:val="23"/>
          <w:lang w:val="fr-CA"/>
        </w:rPr>
      </w:pPr>
    </w:p>
    <w:p w14:paraId="007BB105" w14:textId="77777777" w:rsidR="005A321B" w:rsidRPr="003E0DDA" w:rsidRDefault="005A321B" w:rsidP="005A321B">
      <w:pPr>
        <w:autoSpaceDE w:val="0"/>
        <w:autoSpaceDN w:val="0"/>
        <w:adjustRightInd w:val="0"/>
        <w:rPr>
          <w:rFonts w:ascii="Arial" w:eastAsia="Times New Roman" w:hAnsi="Arial" w:cs="Arial"/>
          <w:szCs w:val="23"/>
          <w:lang w:val="fr-CA"/>
        </w:rPr>
      </w:pPr>
    </w:p>
    <w:p w14:paraId="2442BC06"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r w:rsidRPr="003E0DDA">
        <w:rPr>
          <w:rFonts w:ascii="Arial" w:eastAsia="Times New Roman" w:hAnsi="Arial" w:cs="Arial"/>
          <w:b/>
          <w:bCs/>
          <w:szCs w:val="23"/>
          <w:lang w:val="fr-CA"/>
        </w:rPr>
        <w:t>AFFAIRE INTÉRESSANT ______________________</w:t>
      </w:r>
    </w:p>
    <w:p w14:paraId="2F33F64B"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p>
    <w:p w14:paraId="777C5E7E"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r w:rsidRPr="003E0DDA">
        <w:rPr>
          <w:rFonts w:ascii="Arial" w:eastAsia="Times New Roman" w:hAnsi="Arial" w:cs="Arial"/>
          <w:b/>
          <w:bCs/>
          <w:szCs w:val="23"/>
          <w:lang w:val="fr-CA"/>
        </w:rPr>
        <w:t>(</w:t>
      </w:r>
      <w:proofErr w:type="gramStart"/>
      <w:r w:rsidRPr="003E0DDA">
        <w:rPr>
          <w:rFonts w:ascii="Arial" w:eastAsia="Times New Roman" w:hAnsi="Arial" w:cs="Arial"/>
          <w:b/>
          <w:bCs/>
          <w:szCs w:val="23"/>
          <w:lang w:val="fr-CA"/>
        </w:rPr>
        <w:t>numéro</w:t>
      </w:r>
      <w:proofErr w:type="gramEnd"/>
      <w:r w:rsidRPr="003E0DDA">
        <w:rPr>
          <w:rFonts w:ascii="Arial" w:eastAsia="Times New Roman" w:hAnsi="Arial" w:cs="Arial"/>
          <w:b/>
          <w:bCs/>
          <w:szCs w:val="23"/>
          <w:lang w:val="fr-CA"/>
        </w:rPr>
        <w:t xml:space="preserve"> de dossier du Secrétariat)</w:t>
      </w:r>
    </w:p>
    <w:p w14:paraId="7941F5A7"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r w:rsidRPr="003E0DDA">
        <w:rPr>
          <w:rFonts w:ascii="Arial" w:eastAsia="Times New Roman" w:hAnsi="Arial" w:cs="Arial"/>
          <w:b/>
          <w:bCs/>
          <w:szCs w:val="23"/>
          <w:lang w:val="fr-CA"/>
        </w:rPr>
        <w:t>(</w:t>
      </w:r>
      <w:proofErr w:type="gramStart"/>
      <w:r w:rsidRPr="003E0DDA">
        <w:rPr>
          <w:rFonts w:ascii="Arial" w:eastAsia="Times New Roman" w:hAnsi="Arial" w:cs="Arial"/>
          <w:b/>
          <w:bCs/>
          <w:szCs w:val="23"/>
          <w:lang w:val="fr-CA"/>
        </w:rPr>
        <w:t>intitulé</w:t>
      </w:r>
      <w:proofErr w:type="gramEnd"/>
      <w:r w:rsidRPr="003E0DDA">
        <w:rPr>
          <w:rFonts w:ascii="Arial" w:eastAsia="Times New Roman" w:hAnsi="Arial" w:cs="Arial"/>
          <w:b/>
          <w:bCs/>
          <w:szCs w:val="23"/>
          <w:lang w:val="fr-CA"/>
        </w:rPr>
        <w:t xml:space="preserve"> de la procédure)</w:t>
      </w:r>
    </w:p>
    <w:p w14:paraId="727A0339"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p>
    <w:p w14:paraId="4DDA8FC7"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r w:rsidRPr="003E0DDA">
        <w:rPr>
          <w:rFonts w:ascii="Arial" w:eastAsia="Times New Roman" w:hAnsi="Arial" w:cs="Arial"/>
          <w:b/>
          <w:bCs/>
          <w:szCs w:val="23"/>
          <w:lang w:val="fr-CA"/>
        </w:rPr>
        <w:t>DÉCLARATION DE DIVULGATION INITIALE</w:t>
      </w:r>
    </w:p>
    <w:p w14:paraId="54CA98B0" w14:textId="77777777" w:rsidR="005A321B" w:rsidRPr="003E0DDA" w:rsidRDefault="005A321B" w:rsidP="005A321B">
      <w:pPr>
        <w:autoSpaceDE w:val="0"/>
        <w:autoSpaceDN w:val="0"/>
        <w:adjustRightInd w:val="0"/>
        <w:rPr>
          <w:rFonts w:ascii="Arial" w:eastAsia="Times New Roman" w:hAnsi="Arial" w:cs="Arial"/>
          <w:szCs w:val="23"/>
          <w:lang w:val="fr-CA"/>
        </w:rPr>
      </w:pPr>
    </w:p>
    <w:p w14:paraId="7B507824" w14:textId="01EC2E6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J’ai lu le Code de conduite applicable aux membres des organes décisionnels (Code de conduite) et les Règles de procédure des groupes spéciaux, des groupes spéciaux de l’observation des décisions et des groupes spéciaux d’appel, sous le régime du chapitre Dix de l’Accord de libre-échange canadien</w:t>
      </w:r>
      <w:r w:rsidRPr="003E0DDA">
        <w:rPr>
          <w:rFonts w:ascii="Arial" w:eastAsia="Times New Roman" w:hAnsi="Arial" w:cs="Arial"/>
          <w:i/>
          <w:szCs w:val="23"/>
          <w:lang w:val="fr-CA"/>
        </w:rPr>
        <w:t xml:space="preserve">, </w:t>
      </w:r>
      <w:r w:rsidRPr="003E0DDA">
        <w:rPr>
          <w:rFonts w:ascii="Arial" w:eastAsia="Times New Roman" w:hAnsi="Arial" w:cs="Arial"/>
          <w:szCs w:val="23"/>
          <w:lang w:val="fr-CA"/>
        </w:rPr>
        <w:t>et je les comprends. Je sais pertinemment qu’au titre de la partie 3 du Code de conduite, je suis tenu de divulguer tout intérêt, toute relation ou toute affaire susceptible d’affecter mon indépendance ou mon impartialité ou qui risque de créer une crainte raisonnable de partialité ou une apparence de conduite répréhensible dans la procédure (« la procédure »).</w:t>
      </w:r>
    </w:p>
    <w:p w14:paraId="591E05F9" w14:textId="77777777" w:rsidR="005A321B" w:rsidRPr="003E0DDA" w:rsidRDefault="005A321B" w:rsidP="005A321B">
      <w:pPr>
        <w:autoSpaceDE w:val="0"/>
        <w:autoSpaceDN w:val="0"/>
        <w:adjustRightInd w:val="0"/>
        <w:rPr>
          <w:rFonts w:ascii="Arial" w:eastAsia="Times New Roman" w:hAnsi="Arial" w:cs="Arial"/>
          <w:szCs w:val="23"/>
          <w:lang w:val="fr-CA"/>
        </w:rPr>
      </w:pPr>
    </w:p>
    <w:p w14:paraId="6FD7F5E6" w14:textId="37FA7B54"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J’ai lu la demande d’examen devant un organe décisionnel déposée dans la procédure et j’ai fait tous les efforts raisonnables pour déterminer s’il existe de tels intérêts, relations ou affaires. Je fais les déclarations suivantes en pleine connaissance de mes devoirs et obligations en vertu du Code de conduite.</w:t>
      </w:r>
    </w:p>
    <w:p w14:paraId="4B016D98" w14:textId="77777777" w:rsidR="005A321B" w:rsidRPr="003E0DDA" w:rsidRDefault="005A321B" w:rsidP="005A321B">
      <w:pPr>
        <w:autoSpaceDE w:val="0"/>
        <w:autoSpaceDN w:val="0"/>
        <w:adjustRightInd w:val="0"/>
        <w:rPr>
          <w:rFonts w:ascii="Arial" w:eastAsia="Times New Roman" w:hAnsi="Arial" w:cs="Arial"/>
          <w:szCs w:val="23"/>
          <w:lang w:val="fr-CA"/>
        </w:rPr>
      </w:pPr>
    </w:p>
    <w:p w14:paraId="10D62F92"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szCs w:val="23"/>
          <w:lang w:val="fr-CA"/>
        </w:rPr>
        <w:tab/>
        <w:t>Je n’ai aucun intérêt financier ou personnel dans la procédure ou dans son issue, sauf en ce qui a trait à :</w:t>
      </w:r>
    </w:p>
    <w:p w14:paraId="03EBB53B" w14:textId="77777777" w:rsidR="005A321B" w:rsidRPr="003E0DDA" w:rsidRDefault="005A321B" w:rsidP="005A321B">
      <w:pPr>
        <w:autoSpaceDE w:val="0"/>
        <w:autoSpaceDN w:val="0"/>
        <w:adjustRightInd w:val="0"/>
        <w:rPr>
          <w:rFonts w:ascii="Arial" w:eastAsia="Times New Roman" w:hAnsi="Arial" w:cs="Arial"/>
          <w:szCs w:val="23"/>
          <w:lang w:val="fr-CA"/>
        </w:rPr>
      </w:pPr>
    </w:p>
    <w:p w14:paraId="04944CF6" w14:textId="1F5A0CB3"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t>Je n’ai aucun intérêt financier ou personnel dans une autre procédure ou dans une procédure administrative ou judiciaire intérieure, qui porte sur des questions semblables à celles pouvant être tranchées dans la procédure, sauf en ce qui a trait à :</w:t>
      </w:r>
    </w:p>
    <w:p w14:paraId="48593981" w14:textId="77777777" w:rsidR="005A321B" w:rsidRPr="003E0DDA" w:rsidRDefault="005A321B" w:rsidP="005A321B">
      <w:pPr>
        <w:autoSpaceDE w:val="0"/>
        <w:autoSpaceDN w:val="0"/>
        <w:adjustRightInd w:val="0"/>
        <w:rPr>
          <w:rFonts w:ascii="Arial" w:eastAsia="Times New Roman" w:hAnsi="Arial" w:cs="Arial"/>
          <w:szCs w:val="23"/>
          <w:lang w:val="fr-CA"/>
        </w:rPr>
      </w:pPr>
    </w:p>
    <w:p w14:paraId="21FFF649" w14:textId="29F40A1D"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t>Ni l’un ni l’autre de mes employeurs, associés, partenaires commerciaux ou des membres de ma famille n’ont d’intérêt financier dans la procédure ou dans son issue, sauf en ce qui a trait à :</w:t>
      </w:r>
    </w:p>
    <w:p w14:paraId="739821FD" w14:textId="77777777" w:rsidR="005A321B" w:rsidRPr="003E0DDA" w:rsidRDefault="005A321B" w:rsidP="005A321B">
      <w:pPr>
        <w:autoSpaceDE w:val="0"/>
        <w:autoSpaceDN w:val="0"/>
        <w:adjustRightInd w:val="0"/>
        <w:rPr>
          <w:rFonts w:ascii="Arial" w:eastAsia="Times New Roman" w:hAnsi="Arial" w:cs="Arial"/>
          <w:szCs w:val="23"/>
          <w:lang w:val="fr-CA"/>
        </w:rPr>
      </w:pPr>
    </w:p>
    <w:p w14:paraId="2E5CCE16" w14:textId="6974C0F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 xml:space="preserve">Ni l’un ni l’autre de mes employeurs, associés, partenaires commerciaux ou </w:t>
      </w:r>
      <w:proofErr w:type="gramStart"/>
      <w:r w:rsidRPr="003E0DDA">
        <w:rPr>
          <w:rFonts w:ascii="Arial" w:eastAsia="Times New Roman" w:hAnsi="Arial" w:cs="Arial"/>
          <w:szCs w:val="23"/>
          <w:lang w:val="fr-CA"/>
        </w:rPr>
        <w:t>des membre</w:t>
      </w:r>
      <w:proofErr w:type="gramEnd"/>
      <w:r w:rsidRPr="003E0DDA">
        <w:rPr>
          <w:rFonts w:ascii="Arial" w:eastAsia="Times New Roman" w:hAnsi="Arial" w:cs="Arial"/>
          <w:szCs w:val="23"/>
          <w:lang w:val="fr-CA"/>
        </w:rPr>
        <w:t xml:space="preserve"> de ma famille n’ont d’intérêt financier dans une autre procédure, ou dans une procédure administrative ou judiciaire intérieure, qui porte sur des questions semblables à celles pouvant être tranchées dans la procédure, sauf en ce qui a trait à :</w:t>
      </w:r>
    </w:p>
    <w:p w14:paraId="395B007A" w14:textId="77777777" w:rsidR="005A321B" w:rsidRPr="003E0DDA" w:rsidRDefault="005A321B" w:rsidP="005A321B">
      <w:pPr>
        <w:autoSpaceDE w:val="0"/>
        <w:autoSpaceDN w:val="0"/>
        <w:adjustRightInd w:val="0"/>
        <w:rPr>
          <w:rFonts w:ascii="Arial" w:eastAsia="Times New Roman" w:hAnsi="Arial" w:cs="Arial"/>
          <w:szCs w:val="23"/>
          <w:lang w:val="fr-CA"/>
        </w:rPr>
      </w:pPr>
    </w:p>
    <w:p w14:paraId="732E2408"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Je n’ai aucune relation financière, commerciale, professionnelle, familiale ou sociale, passée ou présente, avec les Parties participantes ou les participants dans la procédure, ou avec leurs représentants ou avocats, et je ne suis au courant d’aucune relation de cette nature impliquant quelque employeur, associé, partenaire commercial ou membre de ma famille, sauf en ce qui a trait à :</w:t>
      </w:r>
    </w:p>
    <w:p w14:paraId="4C292D55" w14:textId="77777777" w:rsidR="005A321B" w:rsidRPr="003E0DDA" w:rsidRDefault="005A321B" w:rsidP="005A321B">
      <w:pPr>
        <w:autoSpaceDE w:val="0"/>
        <w:autoSpaceDN w:val="0"/>
        <w:adjustRightInd w:val="0"/>
        <w:rPr>
          <w:rFonts w:ascii="Arial" w:eastAsia="Times New Roman" w:hAnsi="Arial" w:cs="Arial"/>
          <w:szCs w:val="23"/>
          <w:lang w:val="fr-CA"/>
        </w:rPr>
      </w:pPr>
    </w:p>
    <w:p w14:paraId="62BCFB68"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6.</w:t>
      </w:r>
      <w:r w:rsidRPr="003E0DDA">
        <w:rPr>
          <w:rFonts w:ascii="Arial" w:eastAsia="Times New Roman" w:hAnsi="Arial" w:cs="Arial"/>
          <w:szCs w:val="23"/>
          <w:lang w:val="fr-CA"/>
        </w:rPr>
        <w:tab/>
        <w:t>Je n’ai pas été porte-parole officiel ni conseiller juridique ou autre en ce qui concerne une question en litige dans la procédure ou visant les mêmes produits et services, sauf en ce qui a trait à :</w:t>
      </w:r>
    </w:p>
    <w:p w14:paraId="0705A358" w14:textId="77777777" w:rsidR="005A321B" w:rsidRPr="003E0DDA" w:rsidRDefault="005A321B" w:rsidP="005A321B">
      <w:pPr>
        <w:autoSpaceDE w:val="0"/>
        <w:autoSpaceDN w:val="0"/>
        <w:adjustRightInd w:val="0"/>
        <w:rPr>
          <w:rFonts w:ascii="Arial" w:eastAsia="Times New Roman" w:hAnsi="Arial" w:cs="Arial"/>
          <w:szCs w:val="23"/>
          <w:lang w:val="fr-CA"/>
        </w:rPr>
      </w:pPr>
    </w:p>
    <w:p w14:paraId="7E582348" w14:textId="4E79B55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 xml:space="preserve">Je n’ai aucun intérêt ni relation, autres que ceux décrits plus haut, ni ne connais de question susceptible d’affecter mon indépendance ou mon impartialité ou qui risquerait raisonnablement de créer une crainte raisonnable de partialité ou une apparence de conduite répréhensible, sauf en ce qui a trait à : </w:t>
      </w:r>
    </w:p>
    <w:p w14:paraId="164E89D4" w14:textId="77777777" w:rsidR="005A321B" w:rsidRPr="003E0DDA" w:rsidRDefault="005A321B" w:rsidP="005A321B">
      <w:pPr>
        <w:autoSpaceDE w:val="0"/>
        <w:autoSpaceDN w:val="0"/>
        <w:adjustRightInd w:val="0"/>
        <w:rPr>
          <w:rFonts w:ascii="Arial" w:eastAsia="Times New Roman" w:hAnsi="Arial" w:cs="Arial"/>
          <w:szCs w:val="23"/>
          <w:lang w:val="fr-CA"/>
        </w:rPr>
      </w:pPr>
    </w:p>
    <w:p w14:paraId="5E0A497A"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ab/>
        <w:t>Je reconnais qu’après ma nomination, j’ai une obligation permanente de faire tous les efforts raisonnables pour vérifier s’il existe des intérêts, relations ou affaires visés par la partie 3 du Code de conduite, pouvant survenir à toute étape de la procédure, et les divulguer par écrit au Secrétariat dès que j’en suis informé.</w:t>
      </w:r>
    </w:p>
    <w:p w14:paraId="4BB1C7C1" w14:textId="77777777" w:rsidR="005A321B" w:rsidRPr="003E0DDA" w:rsidRDefault="005A321B" w:rsidP="005A321B">
      <w:pPr>
        <w:autoSpaceDE w:val="0"/>
        <w:autoSpaceDN w:val="0"/>
        <w:adjustRightInd w:val="0"/>
        <w:rPr>
          <w:rFonts w:ascii="Arial" w:eastAsia="Times New Roman" w:hAnsi="Arial" w:cs="Arial"/>
          <w:szCs w:val="23"/>
          <w:lang w:val="fr-CA"/>
        </w:rPr>
      </w:pPr>
    </w:p>
    <w:p w14:paraId="7E49094E"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Signature</w:t>
      </w:r>
    </w:p>
    <w:p w14:paraId="52F6FF81" w14:textId="77777777" w:rsidR="005A321B" w:rsidRPr="003E0DDA" w:rsidRDefault="005A321B" w:rsidP="005A321B">
      <w:pPr>
        <w:autoSpaceDE w:val="0"/>
        <w:autoSpaceDN w:val="0"/>
        <w:adjustRightInd w:val="0"/>
        <w:rPr>
          <w:rFonts w:ascii="Arial" w:eastAsia="Times New Roman" w:hAnsi="Arial" w:cs="Arial"/>
          <w:szCs w:val="23"/>
          <w:lang w:val="fr-CA"/>
        </w:rPr>
      </w:pPr>
    </w:p>
    <w:p w14:paraId="68B4CF9A" w14:textId="77777777" w:rsidR="005A321B" w:rsidRPr="003E0DDA" w:rsidRDefault="005A321B" w:rsidP="005A321B">
      <w:pPr>
        <w:autoSpaceDE w:val="0"/>
        <w:autoSpaceDN w:val="0"/>
        <w:adjustRightInd w:val="0"/>
        <w:rPr>
          <w:rFonts w:ascii="Arial" w:eastAsia="Times New Roman" w:hAnsi="Arial" w:cs="Arial"/>
          <w:szCs w:val="23"/>
          <w:lang w:val="fr-CA"/>
        </w:rPr>
      </w:pPr>
    </w:p>
    <w:p w14:paraId="7B8D3BAE" w14:textId="77777777" w:rsidR="005A321B" w:rsidRPr="003E0DDA" w:rsidRDefault="005A321B" w:rsidP="005A321B">
      <w:pPr>
        <w:autoSpaceDE w:val="0"/>
        <w:autoSpaceDN w:val="0"/>
        <w:adjustRightInd w:val="0"/>
        <w:rPr>
          <w:rFonts w:ascii="Arial" w:eastAsia="Times New Roman" w:hAnsi="Arial" w:cs="Arial"/>
          <w:szCs w:val="23"/>
          <w:lang w:val="fr-CA"/>
        </w:rPr>
      </w:pPr>
    </w:p>
    <w:p w14:paraId="74378243"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Nom du signataire</w:t>
      </w:r>
    </w:p>
    <w:p w14:paraId="108D2E84" w14:textId="77777777" w:rsidR="005A321B" w:rsidRPr="003E0DDA" w:rsidRDefault="005A321B" w:rsidP="005A321B">
      <w:pPr>
        <w:autoSpaceDE w:val="0"/>
        <w:autoSpaceDN w:val="0"/>
        <w:adjustRightInd w:val="0"/>
        <w:rPr>
          <w:rFonts w:ascii="Arial" w:eastAsia="Times New Roman" w:hAnsi="Arial" w:cs="Arial"/>
          <w:szCs w:val="23"/>
          <w:lang w:val="fr-CA"/>
        </w:rPr>
      </w:pPr>
    </w:p>
    <w:p w14:paraId="133E4045" w14:textId="77777777" w:rsidR="005A321B" w:rsidRPr="003E0DDA" w:rsidRDefault="005A321B" w:rsidP="005A321B">
      <w:pPr>
        <w:autoSpaceDE w:val="0"/>
        <w:autoSpaceDN w:val="0"/>
        <w:adjustRightInd w:val="0"/>
        <w:rPr>
          <w:rFonts w:ascii="Arial" w:eastAsia="Times New Roman" w:hAnsi="Arial" w:cs="Arial"/>
          <w:szCs w:val="23"/>
          <w:lang w:val="fr-CA"/>
        </w:rPr>
      </w:pPr>
    </w:p>
    <w:p w14:paraId="56344106" w14:textId="77777777" w:rsidR="005A321B" w:rsidRPr="003E0DDA" w:rsidRDefault="005A321B" w:rsidP="005A321B">
      <w:pPr>
        <w:autoSpaceDE w:val="0"/>
        <w:autoSpaceDN w:val="0"/>
        <w:adjustRightInd w:val="0"/>
        <w:rPr>
          <w:rFonts w:ascii="Arial" w:eastAsia="Times New Roman" w:hAnsi="Arial" w:cs="Arial"/>
          <w:szCs w:val="23"/>
          <w:lang w:val="fr-CA"/>
        </w:rPr>
      </w:pPr>
    </w:p>
    <w:p w14:paraId="2DAF7898" w14:textId="77777777" w:rsidR="005A321B" w:rsidRPr="003E0DDA" w:rsidRDefault="005A321B" w:rsidP="005A321B">
      <w:pPr>
        <w:autoSpaceDE w:val="0"/>
        <w:autoSpaceDN w:val="0"/>
        <w:adjustRightInd w:val="0"/>
        <w:rPr>
          <w:rFonts w:ascii="Arial" w:eastAsia="Times New Roman" w:hAnsi="Arial" w:cs="Arial"/>
          <w:b/>
          <w:szCs w:val="23"/>
          <w:lang w:val="fr-CA"/>
        </w:rPr>
      </w:pPr>
      <w:r w:rsidRPr="003E0DDA">
        <w:rPr>
          <w:rFonts w:ascii="Arial" w:eastAsia="Times New Roman" w:hAnsi="Arial" w:cs="Arial"/>
          <w:szCs w:val="23"/>
          <w:lang w:val="fr-CA"/>
        </w:rPr>
        <w:t>Date</w:t>
      </w:r>
    </w:p>
    <w:p w14:paraId="3FB22AE6" w14:textId="77777777" w:rsidR="005A321B" w:rsidRPr="003E0DDA" w:rsidRDefault="005A321B" w:rsidP="005A321B">
      <w:pPr>
        <w:autoSpaceDE w:val="0"/>
        <w:autoSpaceDN w:val="0"/>
        <w:adjustRightInd w:val="0"/>
        <w:rPr>
          <w:rFonts w:ascii="Arial" w:eastAsia="Times New Roman" w:hAnsi="Arial" w:cs="Arial"/>
          <w:szCs w:val="23"/>
          <w:lang w:val="fr-CA"/>
        </w:rPr>
      </w:pPr>
    </w:p>
    <w:p w14:paraId="31247E9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br w:type="page"/>
      </w:r>
    </w:p>
    <w:p w14:paraId="60183F50" w14:textId="765D1BA1" w:rsidR="005A321B" w:rsidRPr="003E0DDA" w:rsidRDefault="005A321B" w:rsidP="005A321B">
      <w:pPr>
        <w:jc w:val="center"/>
        <w:rPr>
          <w:rFonts w:ascii="Arial" w:eastAsia="Arial" w:hAnsi="Arial" w:cs="Arial"/>
          <w:b/>
          <w:szCs w:val="23"/>
          <w:lang w:val="fr-CA"/>
        </w:rPr>
      </w:pPr>
      <w:bookmarkStart w:id="220" w:name="_Toc357427576"/>
      <w:bookmarkStart w:id="221" w:name="_Toc470079053"/>
      <w:r w:rsidRPr="003E0DDA">
        <w:rPr>
          <w:rFonts w:ascii="Arial" w:eastAsia="Arial" w:hAnsi="Arial" w:cs="Arial"/>
          <w:b/>
          <w:szCs w:val="23"/>
          <w:lang w:val="fr-CA"/>
        </w:rPr>
        <w:lastRenderedPageBreak/>
        <w:t>Annexe </w:t>
      </w:r>
      <w:bookmarkStart w:id="222" w:name="_Toc357427577"/>
      <w:bookmarkEnd w:id="220"/>
      <w:bookmarkEnd w:id="221"/>
      <w:r w:rsidRPr="003E0DDA">
        <w:rPr>
          <w:rFonts w:ascii="Arial" w:eastAsia="Arial" w:hAnsi="Arial" w:cs="Arial"/>
          <w:b/>
          <w:szCs w:val="23"/>
          <w:lang w:val="fr-CA"/>
        </w:rPr>
        <w:t xml:space="preserve">1040 : </w:t>
      </w:r>
      <w:bookmarkStart w:id="223" w:name="_Toc470079054"/>
      <w:r w:rsidR="00AD7BB1" w:rsidRPr="003E0DDA">
        <w:rPr>
          <w:rFonts w:ascii="Arial" w:eastAsia="Arial" w:hAnsi="Arial" w:cs="Arial"/>
          <w:b/>
          <w:szCs w:val="23"/>
          <w:lang w:val="fr-CA"/>
        </w:rPr>
        <w:tab/>
      </w:r>
      <w:r w:rsidRPr="003E0DDA">
        <w:rPr>
          <w:rFonts w:ascii="Arial" w:eastAsia="Arial" w:hAnsi="Arial" w:cs="Arial"/>
          <w:b/>
          <w:szCs w:val="23"/>
          <w:lang w:val="fr-CA"/>
        </w:rPr>
        <w:t>Annexe concernant les coûts</w:t>
      </w:r>
      <w:bookmarkEnd w:id="222"/>
      <w:bookmarkEnd w:id="223"/>
    </w:p>
    <w:p w14:paraId="1D41DA93" w14:textId="77777777" w:rsidR="005A321B" w:rsidRPr="003E0DDA" w:rsidRDefault="005A321B" w:rsidP="005A321B">
      <w:pPr>
        <w:autoSpaceDE w:val="0"/>
        <w:autoSpaceDN w:val="0"/>
        <w:adjustRightInd w:val="0"/>
        <w:jc w:val="center"/>
        <w:rPr>
          <w:rFonts w:ascii="Arial" w:eastAsia="Times New Roman" w:hAnsi="Arial" w:cs="Arial"/>
          <w:b/>
          <w:szCs w:val="23"/>
          <w:lang w:val="fr-CA"/>
        </w:rPr>
      </w:pPr>
    </w:p>
    <w:p w14:paraId="026AEC35" w14:textId="1A39D13E" w:rsidR="005A321B" w:rsidRPr="003E0DDA" w:rsidRDefault="005A321B" w:rsidP="005A321B">
      <w:pPr>
        <w:jc w:val="center"/>
        <w:rPr>
          <w:rFonts w:ascii="Arial" w:eastAsia="Arial" w:hAnsi="Arial" w:cs="Arial"/>
          <w:b/>
          <w:szCs w:val="23"/>
          <w:lang w:val="fr-CA"/>
        </w:rPr>
      </w:pPr>
      <w:bookmarkStart w:id="224" w:name="_Toc357427578"/>
      <w:bookmarkStart w:id="225" w:name="_Toc470079055"/>
      <w:r w:rsidRPr="003E0DDA">
        <w:rPr>
          <w:rFonts w:ascii="Arial" w:eastAsia="Arial" w:hAnsi="Arial" w:cs="Arial"/>
          <w:b/>
          <w:szCs w:val="23"/>
          <w:lang w:val="fr-CA"/>
        </w:rPr>
        <w:t xml:space="preserve">PARTIE A : </w:t>
      </w:r>
      <w:r w:rsidR="00AD7BB1" w:rsidRPr="003E0DDA">
        <w:rPr>
          <w:rFonts w:ascii="Arial" w:eastAsia="Arial" w:hAnsi="Arial" w:cs="Arial"/>
          <w:b/>
          <w:szCs w:val="23"/>
          <w:lang w:val="fr-CA"/>
        </w:rPr>
        <w:tab/>
      </w:r>
      <w:r w:rsidR="002162CD" w:rsidRPr="003E0DDA">
        <w:rPr>
          <w:rFonts w:ascii="Arial" w:eastAsia="Arial" w:hAnsi="Arial" w:cs="Arial"/>
          <w:b/>
          <w:szCs w:val="23"/>
          <w:lang w:val="fr-CA"/>
        </w:rPr>
        <w:tab/>
      </w:r>
      <w:r w:rsidRPr="003E0DDA">
        <w:rPr>
          <w:rFonts w:ascii="Arial" w:eastAsia="Arial" w:hAnsi="Arial" w:cs="Arial"/>
          <w:b/>
          <w:szCs w:val="23"/>
          <w:lang w:val="fr-CA"/>
        </w:rPr>
        <w:t>Procédures entre gouvernements</w:t>
      </w:r>
      <w:bookmarkEnd w:id="224"/>
      <w:bookmarkEnd w:id="225"/>
    </w:p>
    <w:p w14:paraId="5AF46693" w14:textId="77777777" w:rsidR="005A321B" w:rsidRPr="003E0DDA" w:rsidRDefault="005A321B" w:rsidP="005A321B">
      <w:pPr>
        <w:autoSpaceDE w:val="0"/>
        <w:autoSpaceDN w:val="0"/>
        <w:adjustRightInd w:val="0"/>
        <w:ind w:left="720" w:hanging="720"/>
        <w:rPr>
          <w:rFonts w:ascii="Arial" w:eastAsia="Times New Roman" w:hAnsi="Arial" w:cs="Arial"/>
          <w:b/>
          <w:i/>
          <w:szCs w:val="23"/>
          <w:lang w:val="fr-CA"/>
        </w:rPr>
      </w:pPr>
    </w:p>
    <w:p w14:paraId="6D0FED85" w14:textId="77777777" w:rsidR="005A321B" w:rsidRPr="003E0DDA" w:rsidRDefault="005A321B" w:rsidP="005A321B">
      <w:pPr>
        <w:autoSpaceDE w:val="0"/>
        <w:autoSpaceDN w:val="0"/>
        <w:adjustRightInd w:val="0"/>
        <w:ind w:left="720" w:hanging="720"/>
        <w:rPr>
          <w:rFonts w:ascii="Arial" w:eastAsia="Times New Roman" w:hAnsi="Arial" w:cs="Arial"/>
          <w:b/>
          <w:i/>
          <w:szCs w:val="23"/>
          <w:lang w:val="fr-CA"/>
        </w:rPr>
      </w:pPr>
    </w:p>
    <w:p w14:paraId="1717E92D" w14:textId="7EEF0C23" w:rsidR="005A321B" w:rsidRPr="003E0DDA" w:rsidRDefault="005A321B" w:rsidP="005A321B">
      <w:pPr>
        <w:autoSpaceDE w:val="0"/>
        <w:autoSpaceDN w:val="0"/>
        <w:adjustRightInd w:val="0"/>
        <w:rPr>
          <w:rFonts w:ascii="Arial" w:eastAsia="Times New Roman" w:hAnsi="Arial" w:cs="Arial"/>
          <w:b/>
          <w:i/>
          <w:szCs w:val="23"/>
          <w:lang w:val="fr-CA"/>
        </w:rPr>
      </w:pPr>
      <w:r w:rsidRPr="003E0DDA">
        <w:rPr>
          <w:rFonts w:ascii="Arial" w:eastAsia="Times New Roman" w:hAnsi="Arial" w:cs="Arial"/>
          <w:b/>
          <w:bCs/>
          <w:i/>
          <w:iCs/>
          <w:szCs w:val="23"/>
          <w:lang w:val="fr-CA"/>
        </w:rPr>
        <w:t>Procédures devant les groupes spéciaux et les groupes spéciaux de l’observation des décisions</w:t>
      </w:r>
    </w:p>
    <w:p w14:paraId="0B591F85" w14:textId="77777777" w:rsidR="005A321B" w:rsidRPr="003E0DDA" w:rsidRDefault="005A321B" w:rsidP="005A321B">
      <w:pPr>
        <w:autoSpaceDE w:val="0"/>
        <w:autoSpaceDN w:val="0"/>
        <w:adjustRightInd w:val="0"/>
        <w:ind w:left="720" w:hanging="720"/>
        <w:rPr>
          <w:rFonts w:ascii="Arial" w:eastAsia="Times New Roman" w:hAnsi="Arial" w:cs="Arial"/>
          <w:b/>
          <w:i/>
          <w:szCs w:val="23"/>
          <w:lang w:val="fr-CA"/>
        </w:rPr>
      </w:pPr>
    </w:p>
    <w:p w14:paraId="751ADF52" w14:textId="7749566F"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w:t>
      </w:r>
      <w:r w:rsidRPr="003E0DDA">
        <w:rPr>
          <w:rFonts w:ascii="Arial" w:eastAsia="Times New Roman" w:hAnsi="Arial" w:cs="Arial"/>
          <w:b/>
          <w:bCs/>
          <w:i/>
          <w:iCs/>
          <w:szCs w:val="23"/>
          <w:lang w:val="fr-CA"/>
        </w:rPr>
        <w:t xml:space="preserve"> </w:t>
      </w:r>
      <w:r w:rsidRPr="003E0DDA">
        <w:rPr>
          <w:rFonts w:ascii="Arial" w:eastAsia="Times New Roman" w:hAnsi="Arial" w:cs="Arial"/>
          <w:szCs w:val="23"/>
          <w:lang w:val="fr-CA"/>
        </w:rPr>
        <w:tab/>
        <w:t>Les règles 1 à 4 s’appliquent aux procédures devant les groupes spéciaux ou les groupes spéciaux de l’observation des décisions, engagées conformément à la partie A.</w:t>
      </w:r>
    </w:p>
    <w:p w14:paraId="22F63ADC" w14:textId="77777777" w:rsidR="005A321B" w:rsidRPr="003E0DDA" w:rsidRDefault="005A321B" w:rsidP="005A321B">
      <w:pPr>
        <w:autoSpaceDE w:val="0"/>
        <w:autoSpaceDN w:val="0"/>
        <w:adjustRightInd w:val="0"/>
        <w:rPr>
          <w:rFonts w:ascii="Arial" w:eastAsia="Times New Roman" w:hAnsi="Arial" w:cs="Arial"/>
          <w:szCs w:val="23"/>
          <w:lang w:val="fr-CA"/>
        </w:rPr>
      </w:pPr>
    </w:p>
    <w:p w14:paraId="5B3CDD51" w14:textId="15FBDDAF" w:rsidR="005A321B" w:rsidRPr="003E0DDA" w:rsidRDefault="00F01C29" w:rsidP="00F01C29">
      <w:pPr>
        <w:autoSpaceDE w:val="0"/>
        <w:autoSpaceDN w:val="0"/>
        <w:adjustRightInd w:val="0"/>
        <w:contextualSpacing/>
        <w:rPr>
          <w:rFonts w:ascii="Arial" w:eastAsia="Times New Roman" w:hAnsi="Arial" w:cs="Arial"/>
          <w:szCs w:val="23"/>
          <w:lang w:val="fr-CA"/>
        </w:rPr>
      </w:pPr>
      <w:r w:rsidRPr="003E0DDA">
        <w:rPr>
          <w:rFonts w:ascii="Arial" w:eastAsia="Times New Roman" w:hAnsi="Arial" w:cs="Arial"/>
          <w:szCs w:val="23"/>
          <w:lang w:val="fr-CA"/>
        </w:rPr>
        <w:t>2.</w:t>
      </w:r>
      <w:r w:rsidRPr="003E0DDA">
        <w:rPr>
          <w:rFonts w:ascii="Arial" w:eastAsia="Times New Roman" w:hAnsi="Arial" w:cs="Arial"/>
          <w:szCs w:val="23"/>
          <w:lang w:val="fr-CA"/>
        </w:rPr>
        <w:tab/>
      </w:r>
      <w:r w:rsidR="005A321B" w:rsidRPr="003E0DDA">
        <w:rPr>
          <w:rFonts w:ascii="Arial" w:eastAsia="Times New Roman" w:hAnsi="Arial" w:cs="Arial"/>
          <w:szCs w:val="23"/>
          <w:lang w:val="fr-CA"/>
        </w:rPr>
        <w:t>Coûts opérationnels</w:t>
      </w:r>
    </w:p>
    <w:p w14:paraId="49034CA2"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1E9FC562" w14:textId="18217F6D"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2.1</w:t>
      </w:r>
      <w:r w:rsidRPr="003E0DDA">
        <w:rPr>
          <w:rFonts w:ascii="Arial" w:eastAsia="Times New Roman" w:hAnsi="Arial" w:cs="Arial"/>
          <w:szCs w:val="23"/>
          <w:lang w:val="fr-CA"/>
        </w:rPr>
        <w:tab/>
        <w:t>Les coûts opérationnels sont payés par une ou plusieurs Parties participantes.  Sous réserve de la règle 2.3, un organe décisionnel répartit les coûts opérationnels entre les Parties participantes, selon les montants qu’il estime appropriés.</w:t>
      </w:r>
    </w:p>
    <w:p w14:paraId="726414F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04855C2B" w14:textId="77777777" w:rsidR="005A321B" w:rsidRPr="003E0DDA" w:rsidRDefault="005A321B" w:rsidP="00F01C29">
      <w:pPr>
        <w:autoSpaceDE w:val="0"/>
        <w:autoSpaceDN w:val="0"/>
        <w:adjustRightInd w:val="0"/>
        <w:ind w:left="1440" w:hanging="720"/>
        <w:jc w:val="both"/>
        <w:rPr>
          <w:rFonts w:ascii="Arial" w:eastAsia="Times New Roman" w:hAnsi="Arial" w:cs="Arial"/>
          <w:szCs w:val="23"/>
          <w:lang w:val="fr-CA"/>
        </w:rPr>
      </w:pPr>
      <w:r w:rsidRPr="003E0DDA">
        <w:rPr>
          <w:rFonts w:ascii="Arial" w:eastAsia="Times New Roman" w:hAnsi="Arial" w:cs="Arial"/>
          <w:szCs w:val="23"/>
          <w:lang w:val="fr-CA"/>
        </w:rPr>
        <w:t>2.2</w:t>
      </w:r>
      <w:r w:rsidRPr="003E0DDA">
        <w:rPr>
          <w:rFonts w:ascii="Arial" w:eastAsia="Times New Roman" w:hAnsi="Arial" w:cs="Arial"/>
          <w:szCs w:val="23"/>
          <w:lang w:val="fr-CA"/>
        </w:rPr>
        <w:tab/>
        <w:t>Dans l’exercice de son pouvoir discrétionnaire, l’organe décisionnel peut tenir compte des éléments suivants :</w:t>
      </w:r>
    </w:p>
    <w:p w14:paraId="0B2D8AA8"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6D2D08E0" w14:textId="5822246E"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les Parties participantes se sont ou non conformés à l’article 1000;</w:t>
      </w:r>
    </w:p>
    <w:p w14:paraId="73BA5BE7"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4F64A7BA" w14:textId="30DC73C4"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 xml:space="preserve">b) </w:t>
      </w:r>
      <w:r w:rsidRPr="003E0DDA">
        <w:rPr>
          <w:rFonts w:ascii="Arial" w:eastAsia="Times New Roman" w:hAnsi="Arial" w:cs="Arial"/>
          <w:szCs w:val="23"/>
          <w:lang w:val="fr-CA"/>
        </w:rPr>
        <w:tab/>
        <w:t>l’issue de la procédure;</w:t>
      </w:r>
    </w:p>
    <w:p w14:paraId="63835951"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410674F5" w14:textId="03C01F93"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 xml:space="preserve">c) </w:t>
      </w:r>
      <w:r w:rsidRPr="003E0DDA">
        <w:rPr>
          <w:rFonts w:ascii="Arial" w:eastAsia="Times New Roman" w:hAnsi="Arial" w:cs="Arial"/>
          <w:szCs w:val="23"/>
          <w:lang w:val="fr-CA"/>
        </w:rPr>
        <w:tab/>
        <w:t>tout autre facteur pertinent pouvant justifier de faire assumer tous les coûts opérationnels ou une grande partie de ceux-ci par l’une des Parties participantes.</w:t>
      </w:r>
    </w:p>
    <w:p w14:paraId="2FC1B080" w14:textId="77777777" w:rsidR="005A321B" w:rsidRPr="003E0DDA" w:rsidRDefault="005A321B" w:rsidP="005A321B">
      <w:pPr>
        <w:autoSpaceDE w:val="0"/>
        <w:autoSpaceDN w:val="0"/>
        <w:adjustRightInd w:val="0"/>
        <w:ind w:left="1304" w:hanging="629"/>
        <w:jc w:val="both"/>
        <w:rPr>
          <w:rFonts w:ascii="Arial" w:eastAsia="Times New Roman" w:hAnsi="Arial" w:cs="Arial"/>
          <w:szCs w:val="23"/>
          <w:lang w:val="fr-CA"/>
        </w:rPr>
      </w:pPr>
    </w:p>
    <w:p w14:paraId="349CDBA4" w14:textId="4C98C1E2" w:rsidR="005A321B" w:rsidRPr="003E0DDA" w:rsidRDefault="005A321B" w:rsidP="00F01C29">
      <w:pPr>
        <w:autoSpaceDE w:val="0"/>
        <w:autoSpaceDN w:val="0"/>
        <w:adjustRightInd w:val="0"/>
        <w:ind w:left="1440" w:hanging="720"/>
        <w:jc w:val="both"/>
        <w:rPr>
          <w:rFonts w:ascii="Arial" w:eastAsia="Times New Roman" w:hAnsi="Arial" w:cs="Arial"/>
          <w:szCs w:val="23"/>
          <w:lang w:val="fr-CA"/>
        </w:rPr>
      </w:pPr>
      <w:r w:rsidRPr="003E0DDA">
        <w:rPr>
          <w:rFonts w:ascii="Arial" w:eastAsia="Times New Roman" w:hAnsi="Arial" w:cs="Arial"/>
          <w:szCs w:val="23"/>
          <w:lang w:val="fr-CA"/>
        </w:rPr>
        <w:t>2.3</w:t>
      </w:r>
      <w:r w:rsidRPr="003E0DDA">
        <w:rPr>
          <w:rFonts w:ascii="Arial" w:eastAsia="Times New Roman" w:hAnsi="Arial" w:cs="Arial"/>
          <w:szCs w:val="23"/>
          <w:lang w:val="fr-CA"/>
        </w:rPr>
        <w:tab/>
        <w:t>S’il y a un ou plusieurs intervenants dans une procédure, les coûts opérationnels peuvent également être répartis entre les intervenants, mais les intervenants ne sont en aucun cas collectivement responsables de plus du tiers des coûts opérationnels.</w:t>
      </w:r>
    </w:p>
    <w:p w14:paraId="00A304D0" w14:textId="77777777" w:rsidR="005A321B" w:rsidRPr="003E0DDA" w:rsidRDefault="005A321B" w:rsidP="005A321B">
      <w:pPr>
        <w:autoSpaceDE w:val="0"/>
        <w:autoSpaceDN w:val="0"/>
        <w:adjustRightInd w:val="0"/>
        <w:ind w:left="720" w:hanging="720"/>
        <w:jc w:val="both"/>
        <w:rPr>
          <w:rFonts w:ascii="Arial" w:eastAsia="Times New Roman" w:hAnsi="Arial" w:cs="Arial"/>
          <w:szCs w:val="23"/>
          <w:lang w:val="fr-CA"/>
        </w:rPr>
      </w:pPr>
    </w:p>
    <w:p w14:paraId="08FC5810" w14:textId="3CBF3B64" w:rsidR="005A321B" w:rsidRPr="003E0DDA" w:rsidRDefault="00F01C29" w:rsidP="00F01C29">
      <w:pPr>
        <w:autoSpaceDE w:val="0"/>
        <w:autoSpaceDN w:val="0"/>
        <w:adjustRightInd w:val="0"/>
        <w:jc w:val="both"/>
        <w:rPr>
          <w:rFonts w:ascii="Arial" w:eastAsia="Times New Roman" w:hAnsi="Arial" w:cs="Arial"/>
          <w:szCs w:val="23"/>
          <w:lang w:val="fr-CA"/>
        </w:rPr>
      </w:pPr>
      <w:r w:rsidRPr="003E0DDA">
        <w:rPr>
          <w:rFonts w:ascii="Arial" w:eastAsia="Times New Roman" w:hAnsi="Arial" w:cs="Arial"/>
          <w:szCs w:val="23"/>
          <w:lang w:val="fr-CA"/>
        </w:rPr>
        <w:t>3.</w:t>
      </w:r>
      <w:r w:rsidRPr="003E0DDA">
        <w:rPr>
          <w:rFonts w:ascii="Arial" w:eastAsia="Times New Roman" w:hAnsi="Arial" w:cs="Arial"/>
          <w:szCs w:val="23"/>
          <w:lang w:val="fr-CA"/>
        </w:rPr>
        <w:tab/>
      </w:r>
      <w:r w:rsidR="005A321B" w:rsidRPr="003E0DDA">
        <w:rPr>
          <w:rFonts w:ascii="Arial" w:eastAsia="Times New Roman" w:hAnsi="Arial" w:cs="Arial"/>
          <w:szCs w:val="23"/>
          <w:lang w:val="fr-CA"/>
        </w:rPr>
        <w:t>Dépens prévus au tarif</w:t>
      </w:r>
    </w:p>
    <w:p w14:paraId="53CB0FA4" w14:textId="77777777" w:rsidR="005A321B" w:rsidRPr="003E0DDA" w:rsidRDefault="005A321B" w:rsidP="005A321B">
      <w:pPr>
        <w:autoSpaceDE w:val="0"/>
        <w:autoSpaceDN w:val="0"/>
        <w:adjustRightInd w:val="0"/>
        <w:ind w:left="720" w:hanging="720"/>
        <w:jc w:val="both"/>
        <w:rPr>
          <w:rFonts w:ascii="Arial" w:eastAsia="Times New Roman" w:hAnsi="Arial" w:cs="Arial"/>
          <w:szCs w:val="23"/>
          <w:lang w:val="fr-CA"/>
        </w:rPr>
      </w:pPr>
    </w:p>
    <w:p w14:paraId="3023E3E7" w14:textId="1B52D4DE" w:rsidR="005A321B" w:rsidRPr="003E0DDA" w:rsidRDefault="005A321B" w:rsidP="005A321B">
      <w:pPr>
        <w:autoSpaceDE w:val="0"/>
        <w:autoSpaceDN w:val="0"/>
        <w:adjustRightInd w:val="0"/>
        <w:jc w:val="both"/>
        <w:rPr>
          <w:rFonts w:ascii="Arial" w:eastAsia="Times New Roman" w:hAnsi="Arial" w:cs="Arial"/>
          <w:szCs w:val="23"/>
          <w:lang w:val="fr-CA"/>
        </w:rPr>
      </w:pPr>
      <w:r w:rsidRPr="003E0DDA">
        <w:rPr>
          <w:rFonts w:ascii="Arial" w:eastAsia="Times New Roman" w:hAnsi="Arial" w:cs="Arial"/>
          <w:szCs w:val="23"/>
          <w:lang w:val="fr-CA"/>
        </w:rPr>
        <w:tab/>
        <w:t>Une Partie participante à une procédure visée par la présente règle n’a pas droit aux dépens prévus au tarif.</w:t>
      </w:r>
    </w:p>
    <w:p w14:paraId="6BEAE47D"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2D4C8BDE" w14:textId="77777777" w:rsidR="005A321B" w:rsidRPr="003E0DDA" w:rsidRDefault="005A321B" w:rsidP="005A321B">
      <w:pPr>
        <w:autoSpaceDE w:val="0"/>
        <w:autoSpaceDN w:val="0"/>
        <w:adjustRightInd w:val="0"/>
        <w:jc w:val="both"/>
        <w:rPr>
          <w:rFonts w:ascii="Arial" w:eastAsia="Times New Roman" w:hAnsi="Arial" w:cs="Arial"/>
          <w:szCs w:val="23"/>
          <w:lang w:val="fr-CA"/>
        </w:rPr>
      </w:pPr>
      <w:r w:rsidRPr="003E0DDA">
        <w:rPr>
          <w:rFonts w:ascii="Arial" w:eastAsia="Times New Roman" w:hAnsi="Arial" w:cs="Arial"/>
          <w:szCs w:val="23"/>
          <w:lang w:val="fr-CA"/>
        </w:rPr>
        <w:t>4.</w:t>
      </w:r>
      <w:r w:rsidRPr="003E0DDA">
        <w:rPr>
          <w:rFonts w:ascii="Arial" w:eastAsia="Times New Roman" w:hAnsi="Arial" w:cs="Arial"/>
          <w:szCs w:val="23"/>
          <w:lang w:val="fr-CA"/>
        </w:rPr>
        <w:tab/>
        <w:t>Frais supplémentaires</w:t>
      </w:r>
    </w:p>
    <w:p w14:paraId="6C9E923F"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1A5D697C" w14:textId="53BD135A" w:rsidR="005A321B" w:rsidRPr="003E0DDA" w:rsidRDefault="005A321B" w:rsidP="005A321B">
      <w:pPr>
        <w:autoSpaceDE w:val="0"/>
        <w:autoSpaceDN w:val="0"/>
        <w:adjustRightInd w:val="0"/>
        <w:jc w:val="both"/>
        <w:rPr>
          <w:rFonts w:ascii="Arial" w:eastAsia="Times New Roman" w:hAnsi="Arial" w:cs="Arial"/>
          <w:szCs w:val="23"/>
          <w:lang w:val="fr-CA"/>
        </w:rPr>
      </w:pPr>
      <w:r w:rsidRPr="003E0DDA">
        <w:rPr>
          <w:rFonts w:ascii="Arial" w:eastAsia="Times New Roman" w:hAnsi="Arial" w:cs="Arial"/>
          <w:szCs w:val="23"/>
          <w:lang w:val="fr-CA"/>
        </w:rPr>
        <w:tab/>
        <w:t>Une Partie participante à une procédure visée par la présente règle n’a pas droit aux frais supplémentaires.</w:t>
      </w:r>
    </w:p>
    <w:p w14:paraId="0CA4716C"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1B9FF8A1" w14:textId="77777777"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b/>
          <w:bCs/>
          <w:i/>
          <w:iCs/>
          <w:szCs w:val="23"/>
          <w:lang w:val="fr-CA"/>
        </w:rPr>
        <w:t>Procédures devant un groupe spécial d’appel</w:t>
      </w:r>
    </w:p>
    <w:p w14:paraId="6311FB66" w14:textId="77777777" w:rsidR="005A321B" w:rsidRPr="003E0DDA" w:rsidRDefault="005A321B" w:rsidP="005A321B">
      <w:pPr>
        <w:autoSpaceDE w:val="0"/>
        <w:autoSpaceDN w:val="0"/>
        <w:adjustRightInd w:val="0"/>
        <w:rPr>
          <w:rFonts w:ascii="Arial" w:eastAsia="Times New Roman" w:hAnsi="Arial" w:cs="Arial"/>
          <w:szCs w:val="23"/>
          <w:lang w:val="fr-CA"/>
        </w:rPr>
      </w:pPr>
    </w:p>
    <w:p w14:paraId="43E659C3" w14:textId="179C4135"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5.</w:t>
      </w:r>
      <w:r w:rsidRPr="003E0DDA">
        <w:rPr>
          <w:rFonts w:ascii="Arial" w:eastAsia="Times New Roman" w:hAnsi="Arial" w:cs="Arial"/>
          <w:szCs w:val="23"/>
          <w:lang w:val="fr-CA"/>
        </w:rPr>
        <w:tab/>
        <w:t>Les règles 5 à 8 s’appliquent aux procédures devant le groupe spécial d’appel, engagées conformément à la partie A.</w:t>
      </w:r>
    </w:p>
    <w:p w14:paraId="770E6248"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7DDD593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lastRenderedPageBreak/>
        <w:t>6.</w:t>
      </w:r>
      <w:r w:rsidRPr="003E0DDA">
        <w:rPr>
          <w:rFonts w:ascii="Arial" w:eastAsia="Times New Roman" w:hAnsi="Arial" w:cs="Arial"/>
          <w:szCs w:val="23"/>
          <w:lang w:val="fr-CA"/>
        </w:rPr>
        <w:tab/>
        <w:t>Coûts opérationnels</w:t>
      </w:r>
    </w:p>
    <w:p w14:paraId="2FB3A284" w14:textId="77777777" w:rsidR="005A321B" w:rsidRPr="003E0DDA" w:rsidRDefault="005A321B" w:rsidP="005A321B">
      <w:pPr>
        <w:autoSpaceDE w:val="0"/>
        <w:autoSpaceDN w:val="0"/>
        <w:adjustRightInd w:val="0"/>
        <w:rPr>
          <w:rFonts w:ascii="Arial" w:eastAsia="Times New Roman" w:hAnsi="Arial" w:cs="Arial"/>
          <w:szCs w:val="23"/>
          <w:lang w:val="fr-CA"/>
        </w:rPr>
      </w:pPr>
    </w:p>
    <w:p w14:paraId="196E6338" w14:textId="21D3D137" w:rsidR="005A321B" w:rsidRPr="003E0DDA" w:rsidRDefault="005A321B" w:rsidP="00F01C29">
      <w:pPr>
        <w:autoSpaceDE w:val="0"/>
        <w:autoSpaceDN w:val="0"/>
        <w:adjustRightInd w:val="0"/>
        <w:ind w:left="1440" w:hanging="720"/>
        <w:jc w:val="both"/>
        <w:rPr>
          <w:rFonts w:ascii="Arial" w:eastAsia="Times New Roman" w:hAnsi="Arial" w:cs="Arial"/>
          <w:szCs w:val="23"/>
          <w:lang w:val="fr-CA"/>
        </w:rPr>
      </w:pPr>
      <w:r w:rsidRPr="003E0DDA">
        <w:rPr>
          <w:rFonts w:ascii="Arial" w:eastAsia="Times New Roman" w:hAnsi="Arial" w:cs="Arial"/>
          <w:szCs w:val="23"/>
          <w:lang w:val="fr-CA"/>
        </w:rPr>
        <w:t>6.1</w:t>
      </w:r>
      <w:r w:rsidRPr="003E0DDA">
        <w:rPr>
          <w:rFonts w:ascii="Arial" w:eastAsia="Times New Roman" w:hAnsi="Arial" w:cs="Arial"/>
          <w:szCs w:val="23"/>
          <w:lang w:val="fr-CA"/>
        </w:rPr>
        <w:tab/>
        <w:t>Les coûts opérationnels sont payés soit par l’appelant ou l’intimé, ou les deux, soit par l’une ou l’autre des parties susmentionnées, ou les deux, et un ou plusieurs intervenants. Sous réserve des règles 6.2 à 6.5, un groupe spécial d’appel répartit les coûts opérationnels en vue de décourager les appels non valables en droit.</w:t>
      </w:r>
    </w:p>
    <w:p w14:paraId="3AE116D6" w14:textId="77777777" w:rsidR="005A321B" w:rsidRPr="003E0DDA" w:rsidRDefault="005A321B" w:rsidP="00F01C29">
      <w:pPr>
        <w:autoSpaceDE w:val="0"/>
        <w:autoSpaceDN w:val="0"/>
        <w:adjustRightInd w:val="0"/>
        <w:ind w:left="1440" w:hanging="720"/>
        <w:jc w:val="both"/>
        <w:rPr>
          <w:rFonts w:ascii="Arial" w:eastAsia="Times New Roman" w:hAnsi="Arial" w:cs="Arial"/>
          <w:szCs w:val="23"/>
          <w:lang w:val="fr-CA"/>
        </w:rPr>
      </w:pPr>
    </w:p>
    <w:p w14:paraId="6835F21F" w14:textId="560DE3A0" w:rsidR="005A321B" w:rsidRPr="003E0DDA" w:rsidRDefault="005A321B" w:rsidP="00F01C29">
      <w:pPr>
        <w:autoSpaceDE w:val="0"/>
        <w:autoSpaceDN w:val="0"/>
        <w:adjustRightInd w:val="0"/>
        <w:ind w:left="1440" w:hanging="720"/>
        <w:jc w:val="both"/>
        <w:rPr>
          <w:rFonts w:ascii="Arial" w:eastAsia="Times New Roman" w:hAnsi="Arial" w:cs="Arial"/>
          <w:szCs w:val="23"/>
          <w:lang w:val="fr-CA"/>
        </w:rPr>
      </w:pPr>
      <w:r w:rsidRPr="003E0DDA">
        <w:rPr>
          <w:rFonts w:ascii="Arial" w:eastAsia="Times New Roman" w:hAnsi="Arial" w:cs="Arial"/>
          <w:szCs w:val="23"/>
          <w:lang w:val="fr-CA"/>
        </w:rPr>
        <w:t>6.2</w:t>
      </w:r>
      <w:r w:rsidRPr="003E0DDA">
        <w:rPr>
          <w:rFonts w:ascii="Arial" w:eastAsia="Times New Roman" w:hAnsi="Arial" w:cs="Arial"/>
          <w:szCs w:val="23"/>
          <w:lang w:val="fr-CA"/>
        </w:rPr>
        <w:tab/>
        <w:t>Dans l’exercice de son pouvoir discrétionnaire, le groupe spécial d’appel ordonne habituellement :</w:t>
      </w:r>
    </w:p>
    <w:p w14:paraId="78967C0E"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40221B66" w14:textId="6DE25740"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si l’appel est rejeté, que les coûts opérationnels soient assumés par l’appelant;</w:t>
      </w:r>
    </w:p>
    <w:p w14:paraId="7781EAB3"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4E15BC47" w14:textId="1F3A2232"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si l’appel est accueilli, que les coûts opérationnels soient répartis à parts égales entre l’appelant et l’intimé.</w:t>
      </w:r>
    </w:p>
    <w:p w14:paraId="32E4D552"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0FD8895A" w14:textId="143E9A07" w:rsidR="005A321B" w:rsidRPr="003E0DDA" w:rsidRDefault="005A321B" w:rsidP="00F52884">
      <w:pPr>
        <w:autoSpaceDE w:val="0"/>
        <w:autoSpaceDN w:val="0"/>
        <w:adjustRightInd w:val="0"/>
        <w:ind w:left="1440" w:hanging="720"/>
        <w:jc w:val="both"/>
        <w:rPr>
          <w:rFonts w:ascii="Arial" w:eastAsia="Times New Roman" w:hAnsi="Arial" w:cs="Arial"/>
          <w:szCs w:val="23"/>
          <w:lang w:val="fr-CA"/>
        </w:rPr>
      </w:pPr>
      <w:r w:rsidRPr="003E0DDA">
        <w:rPr>
          <w:rFonts w:ascii="Arial" w:eastAsia="Times New Roman" w:hAnsi="Arial" w:cs="Arial"/>
          <w:szCs w:val="23"/>
          <w:lang w:val="fr-CA"/>
        </w:rPr>
        <w:t>6.3</w:t>
      </w:r>
      <w:r w:rsidRPr="003E0DDA">
        <w:rPr>
          <w:rFonts w:ascii="Arial" w:eastAsia="Times New Roman" w:hAnsi="Arial" w:cs="Arial"/>
          <w:szCs w:val="23"/>
          <w:lang w:val="fr-CA"/>
        </w:rPr>
        <w:tab/>
        <w:t>Le groupe spécial d’appel peut répartir les coûts opérationnels entre l’appelant et l’intimé d’une façon différente de ce qui est prévu à la règle 6.2, si d’autres facteurs pertinents le justifient, y compris :</w:t>
      </w:r>
    </w:p>
    <w:p w14:paraId="0119FE04"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5D329B65" w14:textId="77777777" w:rsidR="005A321B" w:rsidRPr="003E0DDA" w:rsidRDefault="005A321B" w:rsidP="00F01C29">
      <w:pPr>
        <w:autoSpaceDE w:val="0"/>
        <w:autoSpaceDN w:val="0"/>
        <w:adjustRightInd w:val="0"/>
        <w:ind w:left="2160" w:hanging="709"/>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la conduite de l’appelant ou de l’intimé; </w:t>
      </w:r>
    </w:p>
    <w:p w14:paraId="79805784" w14:textId="77777777" w:rsidR="005A321B" w:rsidRPr="003E0DDA" w:rsidRDefault="005A321B" w:rsidP="00F01C29">
      <w:pPr>
        <w:autoSpaceDE w:val="0"/>
        <w:autoSpaceDN w:val="0"/>
        <w:adjustRightInd w:val="0"/>
        <w:ind w:left="2160" w:hanging="709"/>
        <w:rPr>
          <w:rFonts w:ascii="Arial" w:eastAsia="Times New Roman" w:hAnsi="Arial" w:cs="Arial"/>
          <w:szCs w:val="23"/>
          <w:lang w:val="fr-CA"/>
        </w:rPr>
      </w:pPr>
    </w:p>
    <w:p w14:paraId="4BAA68D9" w14:textId="77777777" w:rsidR="005A321B" w:rsidRPr="003E0DDA" w:rsidRDefault="005A321B" w:rsidP="00F01C29">
      <w:pPr>
        <w:autoSpaceDE w:val="0"/>
        <w:autoSpaceDN w:val="0"/>
        <w:adjustRightInd w:val="0"/>
        <w:ind w:left="2160" w:hanging="709"/>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la mesure dans laquelle l’appelant ou l’intimé a gain de cause. </w:t>
      </w:r>
    </w:p>
    <w:p w14:paraId="63853D73"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09933ED8" w14:textId="0033AFA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6.4</w:t>
      </w:r>
      <w:r w:rsidRPr="003E0DDA">
        <w:rPr>
          <w:rFonts w:ascii="Arial" w:eastAsia="Times New Roman" w:hAnsi="Arial" w:cs="Arial"/>
          <w:szCs w:val="23"/>
          <w:lang w:val="fr-CA"/>
        </w:rPr>
        <w:tab/>
        <w:t>S’il y a plusieurs intervenants à l’appel, les coûts opérationnels peuvent aussi être répartis entre les intervenants en tenant compte des coûts opérationnels engagés du fait de leur participation, mais les intervenants ne sont en aucun cas collectivement responsables de plus du tiers des coûts opérationnels.</w:t>
      </w:r>
    </w:p>
    <w:p w14:paraId="70DEA4A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8609A9A"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6.5</w:t>
      </w:r>
      <w:r w:rsidRPr="003E0DDA">
        <w:rPr>
          <w:rFonts w:ascii="Arial" w:eastAsia="Times New Roman" w:hAnsi="Arial" w:cs="Arial"/>
          <w:szCs w:val="23"/>
          <w:lang w:val="fr-CA"/>
        </w:rPr>
        <w:tab/>
        <w:t>Il est entendu qu’un groupe spécial d’appel demeure compétent pour rendre une ordonnance sur les coûts opérationnels lorsqu’une procédure devant un groupe spécial d’appel fait l’objet d’un désistement.</w:t>
      </w:r>
    </w:p>
    <w:p w14:paraId="1D17D54C" w14:textId="77777777" w:rsidR="005A321B" w:rsidRPr="003E0DDA" w:rsidRDefault="005A321B" w:rsidP="005A321B">
      <w:pPr>
        <w:autoSpaceDE w:val="0"/>
        <w:autoSpaceDN w:val="0"/>
        <w:adjustRightInd w:val="0"/>
        <w:jc w:val="both"/>
        <w:rPr>
          <w:rFonts w:ascii="Arial" w:eastAsia="Times New Roman" w:hAnsi="Arial" w:cs="Arial"/>
          <w:szCs w:val="23"/>
          <w:lang w:val="fr-CA"/>
        </w:rPr>
      </w:pPr>
    </w:p>
    <w:p w14:paraId="365E85CC" w14:textId="77777777"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szCs w:val="23"/>
          <w:lang w:val="fr-CA"/>
        </w:rPr>
        <w:t>7.</w:t>
      </w:r>
      <w:r w:rsidRPr="003E0DDA">
        <w:rPr>
          <w:rFonts w:ascii="Arial" w:eastAsia="Times New Roman" w:hAnsi="Arial" w:cs="Arial"/>
          <w:szCs w:val="23"/>
          <w:lang w:val="fr-CA"/>
        </w:rPr>
        <w:tab/>
        <w:t>Dépens prévus au tarif</w:t>
      </w:r>
    </w:p>
    <w:p w14:paraId="633FBDFF" w14:textId="77777777" w:rsidR="005A321B" w:rsidRPr="003E0DDA" w:rsidRDefault="005A321B" w:rsidP="005A321B">
      <w:pPr>
        <w:contextualSpacing/>
        <w:jc w:val="both"/>
        <w:rPr>
          <w:rFonts w:ascii="Arial" w:eastAsia="Times New Roman" w:hAnsi="Arial" w:cs="Arial"/>
          <w:szCs w:val="23"/>
          <w:lang w:val="fr-CA"/>
        </w:rPr>
      </w:pPr>
    </w:p>
    <w:p w14:paraId="1F68C624" w14:textId="59E63CBC"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7.1</w:t>
      </w:r>
      <w:r w:rsidRPr="003E0DDA">
        <w:rPr>
          <w:rFonts w:ascii="Arial" w:eastAsia="Times New Roman" w:hAnsi="Arial" w:cs="Arial"/>
          <w:szCs w:val="23"/>
          <w:lang w:val="fr-CA"/>
        </w:rPr>
        <w:tab/>
        <w:t>Sous réserve des règles 7.2 à 7.7, un groupe spécial d’appel peut ordonner que les dépens prévus au tarif soient payés selon les montants qu’il estime appropriés, mais seulement jusqu’à concurrence des montants maximaux autorisés pour l’année civile au cours de laquelle l’ordonnance est rendue.</w:t>
      </w:r>
    </w:p>
    <w:p w14:paraId="11861924"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607F272F" w14:textId="70B4D26F"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Arial" w:hAnsi="Arial" w:cs="Arial"/>
          <w:szCs w:val="23"/>
          <w:lang w:val="fr-CA"/>
        </w:rPr>
        <w:t>7.2</w:t>
      </w:r>
      <w:r w:rsidRPr="003E0DDA">
        <w:rPr>
          <w:rFonts w:ascii="Arial" w:eastAsia="Arial" w:hAnsi="Arial" w:cs="Arial"/>
          <w:szCs w:val="23"/>
          <w:lang w:val="fr-CA"/>
        </w:rPr>
        <w:tab/>
        <w:t>Le premier objectif d’une ordonnance sur les dépens prévus au tarif est de décourager les appels non valables en droit.</w:t>
      </w:r>
    </w:p>
    <w:p w14:paraId="090F1D41"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3E1FEA9" w14:textId="63F9E841"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7.3</w:t>
      </w:r>
      <w:r w:rsidRPr="003E0DDA">
        <w:rPr>
          <w:rFonts w:ascii="Arial" w:eastAsia="Times New Roman" w:hAnsi="Arial" w:cs="Arial"/>
          <w:szCs w:val="23"/>
          <w:lang w:val="fr-CA"/>
        </w:rPr>
        <w:tab/>
        <w:t>Si l’appel est rejeté, le groupe spécial d’appel ordonne habituellement à l’appelant de payer à l’intimé les dépens prévus au tarif.</w:t>
      </w:r>
    </w:p>
    <w:p w14:paraId="2FF36E24"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8D51F44"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7.4</w:t>
      </w:r>
      <w:r w:rsidRPr="003E0DDA">
        <w:rPr>
          <w:rFonts w:ascii="Arial" w:eastAsia="Times New Roman" w:hAnsi="Arial" w:cs="Arial"/>
          <w:szCs w:val="23"/>
          <w:lang w:val="fr-CA"/>
        </w:rPr>
        <w:tab/>
        <w:t>Si l’appel est accueilli, le groupe spécial d’appel ne rend habituellement pas d’ordonnance sur les dépens prévus au tarif.</w:t>
      </w:r>
    </w:p>
    <w:p w14:paraId="131D326C"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62240DFB" w14:textId="66C019D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7.5</w:t>
      </w:r>
      <w:r w:rsidRPr="003E0DDA">
        <w:rPr>
          <w:rFonts w:ascii="Arial" w:eastAsia="Times New Roman" w:hAnsi="Arial" w:cs="Arial"/>
          <w:szCs w:val="23"/>
          <w:lang w:val="fr-CA"/>
        </w:rPr>
        <w:tab/>
        <w:t>Nonobstant les règles 7.3 et 7.4, le groupe spécial d’appel peut rendre une ordonnance différente sur les dépens prévus au tarif si d’autres facteurs pertinents le justifient, y compris :</w:t>
      </w:r>
    </w:p>
    <w:p w14:paraId="1C395198"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5DFBEDE9"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la conduite de l’appelant ou de l’intimé durant la procédure;</w:t>
      </w:r>
    </w:p>
    <w:p w14:paraId="24E2FE9B"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334E368F"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la mesure dans laquelle l’appelant ou l’intimé a gain de cause;</w:t>
      </w:r>
    </w:p>
    <w:p w14:paraId="5A8FD2E8"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5A9AE8A5" w14:textId="77777777" w:rsidR="005A321B" w:rsidRPr="003E0DDA" w:rsidRDefault="005A321B" w:rsidP="00F52884">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le caractère raisonnable de ces dépens en fonction de la complexité de la plainte et de la durée de la procédure.</w:t>
      </w:r>
    </w:p>
    <w:p w14:paraId="03DBDE08"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24E19573" w14:textId="72AC4A75"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7.6</w:t>
      </w:r>
      <w:r w:rsidRPr="003E0DDA">
        <w:rPr>
          <w:rFonts w:ascii="Arial" w:eastAsia="Times New Roman" w:hAnsi="Arial" w:cs="Arial"/>
          <w:szCs w:val="23"/>
          <w:lang w:val="fr-CA"/>
        </w:rPr>
        <w:tab/>
        <w:t>Le groupe spécial d’appel ne rend aucune ordonnance sur les dépens prévus au tarif d’un intervenant. Un intervenant assume ses propres dépens prévus au tarif.</w:t>
      </w:r>
    </w:p>
    <w:p w14:paraId="7D2F2D9F" w14:textId="77777777" w:rsidR="005A321B" w:rsidRPr="003E0DDA" w:rsidRDefault="005A321B" w:rsidP="00F01C29">
      <w:pPr>
        <w:autoSpaceDE w:val="0"/>
        <w:autoSpaceDN w:val="0"/>
        <w:adjustRightInd w:val="0"/>
        <w:ind w:left="1440" w:hanging="720"/>
        <w:rPr>
          <w:rFonts w:ascii="Arial" w:eastAsia="Times New Roman" w:hAnsi="Arial" w:cs="Arial"/>
          <w:b/>
          <w:szCs w:val="23"/>
          <w:lang w:val="fr-CA"/>
        </w:rPr>
      </w:pPr>
    </w:p>
    <w:p w14:paraId="15F62C98"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7.7</w:t>
      </w:r>
      <w:r w:rsidRPr="003E0DDA">
        <w:rPr>
          <w:rFonts w:ascii="Arial" w:eastAsia="Times New Roman" w:hAnsi="Arial" w:cs="Arial"/>
          <w:szCs w:val="23"/>
          <w:lang w:val="fr-CA"/>
        </w:rPr>
        <w:tab/>
        <w:t>Il est entendu qu’un groupe spécial d’appel demeure compétent pour rendre une ordonnance sur les dépens prévus au tarif en cas de désistement dans un appel.</w:t>
      </w:r>
    </w:p>
    <w:p w14:paraId="20197233"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0B3EE419"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8.</w:t>
      </w:r>
      <w:r w:rsidRPr="003E0DDA">
        <w:rPr>
          <w:rFonts w:ascii="Arial" w:eastAsia="Times New Roman" w:hAnsi="Arial" w:cs="Arial"/>
          <w:szCs w:val="23"/>
          <w:lang w:val="fr-CA"/>
        </w:rPr>
        <w:tab/>
        <w:t>Frais supplémentaires</w:t>
      </w:r>
    </w:p>
    <w:p w14:paraId="06C15732" w14:textId="77777777" w:rsidR="005A321B" w:rsidRPr="003E0DDA" w:rsidRDefault="005A321B" w:rsidP="005A321B">
      <w:pPr>
        <w:autoSpaceDE w:val="0"/>
        <w:autoSpaceDN w:val="0"/>
        <w:adjustRightInd w:val="0"/>
        <w:rPr>
          <w:rFonts w:ascii="Arial" w:eastAsia="Times New Roman" w:hAnsi="Arial" w:cs="Arial"/>
          <w:szCs w:val="23"/>
          <w:lang w:val="fr-CA"/>
        </w:rPr>
      </w:pPr>
    </w:p>
    <w:p w14:paraId="423AD0E9" w14:textId="77777777" w:rsidR="005A321B" w:rsidRPr="003E0DDA" w:rsidRDefault="005A321B" w:rsidP="005A321B">
      <w:pPr>
        <w:autoSpaceDE w:val="0"/>
        <w:autoSpaceDN w:val="0"/>
        <w:adjustRightInd w:val="0"/>
        <w:ind w:firstLine="709"/>
        <w:jc w:val="both"/>
        <w:rPr>
          <w:rFonts w:ascii="Arial" w:eastAsia="Times New Roman" w:hAnsi="Arial" w:cs="Arial"/>
          <w:szCs w:val="23"/>
          <w:lang w:val="fr-CA"/>
        </w:rPr>
      </w:pPr>
      <w:r w:rsidRPr="003E0DDA">
        <w:rPr>
          <w:rFonts w:ascii="Arial" w:eastAsia="Times New Roman" w:hAnsi="Arial" w:cs="Arial"/>
          <w:szCs w:val="23"/>
          <w:lang w:val="fr-CA"/>
        </w:rPr>
        <w:t>Un appelant, un intimé ou un intervenant dans une procédure devant un groupe spécial d’appel n’a pas droit aux frais supplémentaires.</w:t>
      </w:r>
    </w:p>
    <w:p w14:paraId="656D59E0" w14:textId="77777777" w:rsidR="005A321B" w:rsidRPr="003E0DDA" w:rsidRDefault="005A321B" w:rsidP="005A321B">
      <w:pPr>
        <w:autoSpaceDE w:val="0"/>
        <w:autoSpaceDN w:val="0"/>
        <w:adjustRightInd w:val="0"/>
        <w:ind w:left="720"/>
        <w:jc w:val="both"/>
        <w:rPr>
          <w:rFonts w:ascii="Arial" w:eastAsia="Times New Roman" w:hAnsi="Arial" w:cs="Arial"/>
          <w:szCs w:val="23"/>
          <w:lang w:val="fr-CA"/>
        </w:rPr>
      </w:pPr>
    </w:p>
    <w:p w14:paraId="285D365D" w14:textId="56B16649" w:rsidR="005A321B" w:rsidRPr="003E0DDA" w:rsidRDefault="005A321B">
      <w:pPr>
        <w:jc w:val="center"/>
        <w:rPr>
          <w:rFonts w:ascii="Arial" w:eastAsia="Arial" w:hAnsi="Arial" w:cs="Arial"/>
          <w:b/>
          <w:szCs w:val="23"/>
          <w:lang w:val="fr-CA"/>
        </w:rPr>
      </w:pPr>
      <w:bookmarkStart w:id="226" w:name="_Toc357427579"/>
      <w:bookmarkStart w:id="227" w:name="_Toc470079056"/>
      <w:r w:rsidRPr="003E0DDA">
        <w:rPr>
          <w:rFonts w:ascii="Arial" w:eastAsia="Arial" w:hAnsi="Arial" w:cs="Arial"/>
          <w:b/>
          <w:szCs w:val="23"/>
          <w:lang w:val="fr-CA"/>
        </w:rPr>
        <w:t xml:space="preserve">PARTIE B : </w:t>
      </w:r>
      <w:r w:rsidR="00AD7BB1" w:rsidRPr="003E0DDA">
        <w:rPr>
          <w:rFonts w:ascii="Arial" w:eastAsia="Arial" w:hAnsi="Arial" w:cs="Arial"/>
          <w:b/>
          <w:szCs w:val="23"/>
          <w:lang w:val="fr-CA"/>
        </w:rPr>
        <w:tab/>
      </w:r>
      <w:r w:rsidR="00A12551" w:rsidRPr="003E0DDA">
        <w:rPr>
          <w:rFonts w:ascii="Arial" w:eastAsia="Arial" w:hAnsi="Arial" w:cs="Arial"/>
          <w:b/>
          <w:szCs w:val="23"/>
          <w:lang w:val="fr-CA"/>
        </w:rPr>
        <w:tab/>
      </w:r>
      <w:r w:rsidRPr="003E0DDA">
        <w:rPr>
          <w:rFonts w:ascii="Arial" w:eastAsia="Arial" w:hAnsi="Arial" w:cs="Arial"/>
          <w:b/>
          <w:szCs w:val="23"/>
          <w:lang w:val="fr-CA"/>
        </w:rPr>
        <w:t>Procédures entre une Personne et un gouvernement</w:t>
      </w:r>
      <w:bookmarkEnd w:id="226"/>
      <w:bookmarkEnd w:id="227"/>
    </w:p>
    <w:p w14:paraId="1AFB50A0" w14:textId="77777777" w:rsidR="005A321B" w:rsidRPr="003E0DDA" w:rsidRDefault="005A321B" w:rsidP="005A321B">
      <w:pPr>
        <w:autoSpaceDE w:val="0"/>
        <w:autoSpaceDN w:val="0"/>
        <w:adjustRightInd w:val="0"/>
        <w:ind w:left="720" w:hanging="720"/>
        <w:rPr>
          <w:rFonts w:ascii="Arial" w:eastAsia="Times New Roman" w:hAnsi="Arial" w:cs="Arial"/>
          <w:b/>
          <w:i/>
          <w:szCs w:val="23"/>
          <w:lang w:val="fr-CA"/>
        </w:rPr>
      </w:pPr>
    </w:p>
    <w:p w14:paraId="3650BE80"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b/>
          <w:bCs/>
          <w:i/>
          <w:iCs/>
          <w:szCs w:val="23"/>
          <w:lang w:val="fr-CA"/>
        </w:rPr>
        <w:t>Procédures devant les groupes spéciaux et les groupes spéciaux de l’observation des décisions</w:t>
      </w:r>
    </w:p>
    <w:p w14:paraId="52A90D10"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3A67137A" w14:textId="26148BEE"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9.</w:t>
      </w:r>
      <w:r w:rsidRPr="003E0DDA">
        <w:rPr>
          <w:rFonts w:ascii="Arial" w:eastAsia="Times New Roman" w:hAnsi="Arial" w:cs="Arial"/>
          <w:szCs w:val="23"/>
          <w:lang w:val="fr-CA"/>
        </w:rPr>
        <w:tab/>
        <w:t>Les règles 9 à 13 s’appliquent aux procédures devant les groupes spéciaux, aux rejets sommaires de procédure ou aux procédures des groupes spéciaux de l’observation des décisions, engagées conformément à la partie B.</w:t>
      </w:r>
    </w:p>
    <w:p w14:paraId="1F63020B" w14:textId="77777777" w:rsidR="005A321B" w:rsidRPr="003E0DDA" w:rsidRDefault="005A321B" w:rsidP="005A321B">
      <w:pPr>
        <w:autoSpaceDE w:val="0"/>
        <w:autoSpaceDN w:val="0"/>
        <w:adjustRightInd w:val="0"/>
        <w:rPr>
          <w:rFonts w:ascii="Arial" w:eastAsia="Times New Roman" w:hAnsi="Arial" w:cs="Arial"/>
          <w:szCs w:val="23"/>
          <w:lang w:val="fr-CA"/>
        </w:rPr>
      </w:pPr>
    </w:p>
    <w:p w14:paraId="345227DA"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10.</w:t>
      </w:r>
      <w:r w:rsidRPr="003E0DDA">
        <w:rPr>
          <w:rFonts w:ascii="Arial" w:eastAsia="Times New Roman" w:hAnsi="Arial" w:cs="Arial"/>
          <w:szCs w:val="23"/>
          <w:lang w:val="fr-CA"/>
        </w:rPr>
        <w:tab/>
        <w:t>Coûts opérationnels</w:t>
      </w:r>
    </w:p>
    <w:p w14:paraId="4ECFB774"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11BDAE24" w14:textId="7213D50B"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10.1</w:t>
      </w:r>
      <w:r w:rsidRPr="003E0DDA">
        <w:rPr>
          <w:rFonts w:ascii="Arial" w:eastAsia="Times New Roman" w:hAnsi="Arial" w:cs="Arial"/>
          <w:szCs w:val="23"/>
          <w:lang w:val="fr-CA"/>
        </w:rPr>
        <w:tab/>
        <w:t>Les coûts opérationnels sont payés par un ou plusieurs participants. Sous réserve de la règle 10.3, un organe décisionnel répartit les coûts opérationnels entre les participants, selon les montants qu’il estime appropriés.</w:t>
      </w:r>
    </w:p>
    <w:p w14:paraId="34CE5C1E" w14:textId="77777777" w:rsidR="005A321B" w:rsidRPr="003E0DDA" w:rsidRDefault="005A321B" w:rsidP="00F01C29">
      <w:pPr>
        <w:ind w:left="1440" w:hanging="720"/>
        <w:contextualSpacing/>
        <w:jc w:val="both"/>
        <w:rPr>
          <w:rFonts w:ascii="Arial" w:eastAsia="Times New Roman" w:hAnsi="Arial" w:cs="Arial"/>
          <w:szCs w:val="23"/>
          <w:lang w:val="fr-CA"/>
        </w:rPr>
      </w:pPr>
    </w:p>
    <w:p w14:paraId="6BB0B7D9" w14:textId="77777777" w:rsidR="005A321B" w:rsidRPr="003E0DDA" w:rsidRDefault="005A321B" w:rsidP="00F52884">
      <w:pPr>
        <w:autoSpaceDE w:val="0"/>
        <w:autoSpaceDN w:val="0"/>
        <w:adjustRightInd w:val="0"/>
        <w:ind w:left="1440" w:hanging="720"/>
        <w:jc w:val="both"/>
        <w:rPr>
          <w:rFonts w:ascii="Arial" w:eastAsia="Times New Roman" w:hAnsi="Arial" w:cs="Arial"/>
          <w:szCs w:val="23"/>
          <w:lang w:val="fr-CA"/>
        </w:rPr>
      </w:pPr>
      <w:r w:rsidRPr="003E0DDA">
        <w:rPr>
          <w:rFonts w:ascii="Arial" w:eastAsia="Times New Roman" w:hAnsi="Arial" w:cs="Arial"/>
          <w:szCs w:val="23"/>
          <w:lang w:val="fr-CA"/>
        </w:rPr>
        <w:t>10.2</w:t>
      </w:r>
      <w:r w:rsidRPr="003E0DDA">
        <w:rPr>
          <w:rFonts w:ascii="Arial" w:eastAsia="Times New Roman" w:hAnsi="Arial" w:cs="Arial"/>
          <w:szCs w:val="23"/>
          <w:lang w:val="fr-CA"/>
        </w:rPr>
        <w:tab/>
        <w:t>Dans l’exercice de son pouvoir discrétionnaire, l’organe décisionnel peut tenir compte des éléments suivants :</w:t>
      </w:r>
    </w:p>
    <w:p w14:paraId="7589EE93" w14:textId="77777777" w:rsidR="005A321B" w:rsidRPr="003E0DDA" w:rsidRDefault="005A321B" w:rsidP="005A321B">
      <w:pPr>
        <w:autoSpaceDE w:val="0"/>
        <w:autoSpaceDN w:val="0"/>
        <w:adjustRightInd w:val="0"/>
        <w:ind w:left="1304" w:hanging="629"/>
        <w:jc w:val="both"/>
        <w:rPr>
          <w:rFonts w:ascii="Arial" w:eastAsia="Times New Roman" w:hAnsi="Arial" w:cs="Arial"/>
          <w:szCs w:val="23"/>
          <w:lang w:val="fr-CA"/>
        </w:rPr>
      </w:pPr>
    </w:p>
    <w:p w14:paraId="47926939" w14:textId="77777777" w:rsidR="005A321B" w:rsidRPr="003E0DDA" w:rsidRDefault="005A321B" w:rsidP="00F01C29">
      <w:pPr>
        <w:autoSpaceDE w:val="0"/>
        <w:autoSpaceDN w:val="0"/>
        <w:adjustRightInd w:val="0"/>
        <w:ind w:left="2160" w:hanging="742"/>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l’issue des procédures;</w:t>
      </w:r>
    </w:p>
    <w:p w14:paraId="56DB983B" w14:textId="77777777" w:rsidR="005A321B" w:rsidRPr="003E0DDA" w:rsidRDefault="005A321B" w:rsidP="00F01C29">
      <w:pPr>
        <w:autoSpaceDE w:val="0"/>
        <w:autoSpaceDN w:val="0"/>
        <w:adjustRightInd w:val="0"/>
        <w:ind w:left="2160" w:hanging="742"/>
        <w:rPr>
          <w:rFonts w:ascii="Arial" w:eastAsia="Times New Roman" w:hAnsi="Arial" w:cs="Arial"/>
          <w:szCs w:val="23"/>
          <w:lang w:val="fr-CA"/>
        </w:rPr>
      </w:pPr>
    </w:p>
    <w:p w14:paraId="416BF82F" w14:textId="2E47135B" w:rsidR="005A321B" w:rsidRPr="003E0DDA" w:rsidRDefault="005A321B" w:rsidP="00F01C29">
      <w:pPr>
        <w:autoSpaceDE w:val="0"/>
        <w:autoSpaceDN w:val="0"/>
        <w:adjustRightInd w:val="0"/>
        <w:ind w:left="2160" w:hanging="742"/>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tout autre facteur pertinent pouvant justifier de faire assumer tous les coûts opérationnels ou une grande partie de ceux-ci par l’un des participants.</w:t>
      </w:r>
    </w:p>
    <w:p w14:paraId="661CFA5D" w14:textId="77777777" w:rsidR="005A321B" w:rsidRPr="003E0DDA" w:rsidRDefault="005A321B" w:rsidP="005A321B">
      <w:pPr>
        <w:ind w:left="1304" w:hanging="629"/>
        <w:contextualSpacing/>
        <w:jc w:val="both"/>
        <w:rPr>
          <w:rFonts w:ascii="Arial" w:eastAsia="Times New Roman" w:hAnsi="Arial" w:cs="Arial"/>
          <w:szCs w:val="23"/>
          <w:lang w:val="fr-CA"/>
        </w:rPr>
      </w:pPr>
    </w:p>
    <w:p w14:paraId="00BDB315" w14:textId="3015AFD3"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lastRenderedPageBreak/>
        <w:t>10.3</w:t>
      </w:r>
      <w:r w:rsidRPr="003E0DDA">
        <w:rPr>
          <w:rFonts w:ascii="Arial" w:eastAsia="Times New Roman" w:hAnsi="Arial" w:cs="Arial"/>
          <w:szCs w:val="23"/>
          <w:lang w:val="fr-CA"/>
        </w:rPr>
        <w:tab/>
        <w:t>S’il y a un ou plusieurs intervenants dans une procédure, les coûts opérationnels peuvent également être répartis entre les intervenants, mais les intervenants ne sont en aucun cas collectivement responsables de plus du tiers des coûts opérationnels.</w:t>
      </w:r>
    </w:p>
    <w:p w14:paraId="088BD252" w14:textId="77777777" w:rsidR="005A321B" w:rsidRPr="003E0DDA" w:rsidRDefault="005A321B" w:rsidP="00F01C29">
      <w:pPr>
        <w:ind w:left="1440" w:hanging="720"/>
        <w:contextualSpacing/>
        <w:jc w:val="both"/>
        <w:rPr>
          <w:rFonts w:ascii="Arial" w:eastAsia="Times New Roman" w:hAnsi="Arial" w:cs="Arial"/>
          <w:szCs w:val="23"/>
          <w:lang w:val="fr-CA"/>
        </w:rPr>
      </w:pPr>
    </w:p>
    <w:p w14:paraId="77105546" w14:textId="4B0703C6"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10.4</w:t>
      </w:r>
      <w:r w:rsidRPr="003E0DDA">
        <w:rPr>
          <w:rFonts w:ascii="Arial" w:eastAsia="Times New Roman" w:hAnsi="Arial" w:cs="Arial"/>
          <w:szCs w:val="23"/>
          <w:lang w:val="fr-CA"/>
        </w:rPr>
        <w:tab/>
        <w:t>Un organe décisionnel peut, à la demande d’un participant ou de son propre chef, exiger d’un participant qui est une personne plaignante qu’il fournisse un cautionnement pour les coûts opérationnels pouvant lui être attribués.</w:t>
      </w:r>
    </w:p>
    <w:p w14:paraId="48A460B1"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651E4B14" w14:textId="1C85FE11"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10.5</w:t>
      </w:r>
      <w:r w:rsidRPr="003E0DDA">
        <w:rPr>
          <w:rFonts w:ascii="Arial" w:eastAsia="Times New Roman" w:hAnsi="Arial" w:cs="Arial"/>
          <w:szCs w:val="23"/>
          <w:lang w:val="fr-CA"/>
        </w:rPr>
        <w:tab/>
        <w:t>Malgré toute disposition contraire de la présente règle, une Partie peut assumer, à sa discrétion, la responsabilité entière ou partielle du paiement des coûts opérationnels (le cas échéant) qui ont été attribués à une Personne de cette Partie en vertu de la présente règle.</w:t>
      </w:r>
    </w:p>
    <w:p w14:paraId="563323DE" w14:textId="77777777" w:rsidR="005A321B" w:rsidRPr="003E0DDA" w:rsidRDefault="005A321B" w:rsidP="005A321B">
      <w:pPr>
        <w:ind w:left="1304" w:hanging="629"/>
        <w:contextualSpacing/>
        <w:jc w:val="both"/>
        <w:rPr>
          <w:rFonts w:ascii="Arial" w:eastAsia="Times New Roman" w:hAnsi="Arial" w:cs="Arial"/>
          <w:szCs w:val="23"/>
          <w:lang w:val="fr-CA"/>
        </w:rPr>
      </w:pPr>
    </w:p>
    <w:p w14:paraId="02F3E12E"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11.</w:t>
      </w:r>
      <w:r w:rsidRPr="003E0DDA">
        <w:rPr>
          <w:rFonts w:ascii="Arial" w:eastAsia="Times New Roman" w:hAnsi="Arial" w:cs="Arial"/>
          <w:szCs w:val="23"/>
          <w:lang w:val="fr-CA"/>
        </w:rPr>
        <w:tab/>
        <w:t xml:space="preserve">Dépens prévus au tarif </w:t>
      </w:r>
    </w:p>
    <w:p w14:paraId="611259E8" w14:textId="77777777" w:rsidR="005A321B" w:rsidRPr="003E0DDA" w:rsidRDefault="005A321B" w:rsidP="005A321B">
      <w:pPr>
        <w:autoSpaceDE w:val="0"/>
        <w:autoSpaceDN w:val="0"/>
        <w:adjustRightInd w:val="0"/>
        <w:rPr>
          <w:rFonts w:ascii="Arial" w:eastAsia="Times New Roman" w:hAnsi="Arial" w:cs="Arial"/>
          <w:szCs w:val="23"/>
          <w:lang w:val="fr-CA"/>
        </w:rPr>
      </w:pPr>
    </w:p>
    <w:p w14:paraId="180FFBF8" w14:textId="5B70A02D" w:rsidR="005A321B" w:rsidRPr="003E0DDA" w:rsidRDefault="005A321B" w:rsidP="00F52884">
      <w:pPr>
        <w:autoSpaceDE w:val="0"/>
        <w:autoSpaceDN w:val="0"/>
        <w:adjustRightInd w:val="0"/>
        <w:ind w:left="1440" w:hanging="731"/>
        <w:rPr>
          <w:rFonts w:ascii="Arial" w:eastAsia="Times New Roman" w:hAnsi="Arial" w:cs="Arial"/>
          <w:szCs w:val="23"/>
          <w:lang w:val="fr-CA"/>
        </w:rPr>
      </w:pPr>
      <w:r w:rsidRPr="003E0DDA">
        <w:rPr>
          <w:rFonts w:ascii="Arial" w:eastAsia="Times New Roman" w:hAnsi="Arial" w:cs="Arial"/>
          <w:szCs w:val="23"/>
          <w:lang w:val="fr-CA"/>
        </w:rPr>
        <w:t>11.1</w:t>
      </w:r>
      <w:r w:rsidRPr="003E0DDA">
        <w:rPr>
          <w:rFonts w:ascii="Arial" w:eastAsia="Times New Roman" w:hAnsi="Arial" w:cs="Arial"/>
          <w:szCs w:val="23"/>
          <w:lang w:val="fr-CA"/>
        </w:rPr>
        <w:tab/>
        <w:t>Sous réserve des règles 11.2 à 11.5, un organe décisionnel peut ordonner que les dépens prévus au tarif soient payés par une Partie selon les montants qu’il estime appropriés, mais seulement jusqu’à concurrence des montants maximaux autorisés pour l’année civile au cours de laquelle l’ordonnance est rendue.</w:t>
      </w:r>
    </w:p>
    <w:p w14:paraId="384205AD" w14:textId="77777777" w:rsidR="005A321B" w:rsidRPr="003E0DDA" w:rsidRDefault="005A321B" w:rsidP="00F01C29">
      <w:pPr>
        <w:autoSpaceDE w:val="0"/>
        <w:autoSpaceDN w:val="0"/>
        <w:adjustRightInd w:val="0"/>
        <w:ind w:left="1440" w:hanging="731"/>
        <w:rPr>
          <w:rFonts w:ascii="Arial" w:eastAsia="Times New Roman" w:hAnsi="Arial" w:cs="Arial"/>
          <w:szCs w:val="23"/>
          <w:lang w:val="fr-CA"/>
        </w:rPr>
      </w:pPr>
    </w:p>
    <w:p w14:paraId="57E09A9C" w14:textId="77777777" w:rsidR="005A321B" w:rsidRPr="003E0DDA" w:rsidRDefault="005A321B" w:rsidP="00F52884">
      <w:pPr>
        <w:autoSpaceDE w:val="0"/>
        <w:autoSpaceDN w:val="0"/>
        <w:adjustRightInd w:val="0"/>
        <w:ind w:left="1440" w:hanging="731"/>
        <w:rPr>
          <w:rFonts w:ascii="Arial" w:eastAsia="Times New Roman" w:hAnsi="Arial" w:cs="Arial"/>
          <w:szCs w:val="23"/>
          <w:lang w:val="fr-CA"/>
        </w:rPr>
      </w:pPr>
      <w:r w:rsidRPr="003E0DDA">
        <w:rPr>
          <w:rFonts w:ascii="Arial" w:eastAsia="Times New Roman" w:hAnsi="Arial" w:cs="Arial"/>
          <w:szCs w:val="23"/>
          <w:lang w:val="fr-CA"/>
        </w:rPr>
        <w:t>11.2</w:t>
      </w:r>
      <w:r w:rsidRPr="003E0DDA">
        <w:rPr>
          <w:rFonts w:ascii="Arial" w:eastAsia="Times New Roman" w:hAnsi="Arial" w:cs="Arial"/>
          <w:szCs w:val="23"/>
          <w:lang w:val="fr-CA"/>
        </w:rPr>
        <w:tab/>
        <w:t>Un organe décisionnel ne peut rendre une ordonnance sur les dépens prévus au tarif qu’en faveur de la personne plaignante qui a gain de cause dans le cadre d’une procédure.</w:t>
      </w:r>
    </w:p>
    <w:p w14:paraId="5E982790" w14:textId="77777777" w:rsidR="005A321B" w:rsidRPr="003E0DDA" w:rsidRDefault="005A321B" w:rsidP="00F01C29">
      <w:pPr>
        <w:autoSpaceDE w:val="0"/>
        <w:autoSpaceDN w:val="0"/>
        <w:adjustRightInd w:val="0"/>
        <w:ind w:left="1440" w:hanging="731"/>
        <w:rPr>
          <w:rFonts w:ascii="Arial" w:eastAsia="Times New Roman" w:hAnsi="Arial" w:cs="Arial"/>
          <w:szCs w:val="23"/>
          <w:lang w:val="fr-CA"/>
        </w:rPr>
      </w:pPr>
    </w:p>
    <w:p w14:paraId="0E32B7CD" w14:textId="0ABDBB90" w:rsidR="005A321B" w:rsidRPr="003E0DDA" w:rsidRDefault="005A321B" w:rsidP="00F52884">
      <w:pPr>
        <w:autoSpaceDE w:val="0"/>
        <w:autoSpaceDN w:val="0"/>
        <w:adjustRightInd w:val="0"/>
        <w:ind w:left="1440" w:hanging="731"/>
        <w:rPr>
          <w:rFonts w:ascii="Arial" w:eastAsia="Times New Roman" w:hAnsi="Arial" w:cs="Arial"/>
          <w:szCs w:val="23"/>
          <w:lang w:val="fr-CA"/>
        </w:rPr>
      </w:pPr>
      <w:r w:rsidRPr="003E0DDA">
        <w:rPr>
          <w:rFonts w:ascii="Arial" w:eastAsia="Times New Roman" w:hAnsi="Arial" w:cs="Arial"/>
          <w:szCs w:val="23"/>
          <w:lang w:val="fr-CA"/>
        </w:rPr>
        <w:t>11.3</w:t>
      </w:r>
      <w:r w:rsidRPr="003E0DDA">
        <w:rPr>
          <w:rFonts w:ascii="Arial" w:eastAsia="Times New Roman" w:hAnsi="Arial" w:cs="Arial"/>
          <w:szCs w:val="23"/>
          <w:lang w:val="fr-CA"/>
        </w:rPr>
        <w:tab/>
        <w:t>Dans l’exercice de son pouvoir discrétionnaire, l’organe décisionnel tient compte des éléments suivants :</w:t>
      </w:r>
    </w:p>
    <w:p w14:paraId="4AC1E9F2" w14:textId="77777777" w:rsidR="005A321B" w:rsidRPr="003E0DDA" w:rsidRDefault="005A321B" w:rsidP="005A321B">
      <w:pPr>
        <w:autoSpaceDE w:val="0"/>
        <w:autoSpaceDN w:val="0"/>
        <w:adjustRightInd w:val="0"/>
        <w:ind w:left="1304" w:hanging="629"/>
        <w:contextualSpacing/>
        <w:rPr>
          <w:rFonts w:ascii="Arial" w:eastAsia="Times New Roman" w:hAnsi="Arial" w:cs="Arial"/>
          <w:szCs w:val="23"/>
          <w:lang w:val="fr-CA"/>
        </w:rPr>
      </w:pPr>
    </w:p>
    <w:p w14:paraId="0C38C4C8"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la conduite de la personne plaignante durant la procédure; </w:t>
      </w:r>
    </w:p>
    <w:p w14:paraId="78E1D44A"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0A9A1E76" w14:textId="77777777" w:rsidR="005A321B" w:rsidRPr="003E0DDA" w:rsidRDefault="005A321B" w:rsidP="00F52884">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le caractère raisonnable de ces dépens en fonction de la complexité de la plainte et de la durée de la procédure.</w:t>
      </w:r>
    </w:p>
    <w:p w14:paraId="558F46D8" w14:textId="77777777" w:rsidR="005A321B" w:rsidRPr="003E0DDA" w:rsidRDefault="005A321B" w:rsidP="005A321B">
      <w:pPr>
        <w:ind w:left="1304" w:hanging="629"/>
        <w:contextualSpacing/>
        <w:jc w:val="both"/>
        <w:rPr>
          <w:rFonts w:ascii="Arial" w:eastAsia="Times New Roman" w:hAnsi="Arial" w:cs="Arial"/>
          <w:szCs w:val="23"/>
          <w:lang w:val="fr-CA"/>
        </w:rPr>
      </w:pPr>
    </w:p>
    <w:p w14:paraId="749DAC39" w14:textId="13F637A5"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11.4</w:t>
      </w:r>
      <w:r w:rsidRPr="003E0DDA">
        <w:rPr>
          <w:rFonts w:ascii="Arial" w:eastAsia="Times New Roman" w:hAnsi="Arial" w:cs="Arial"/>
          <w:szCs w:val="23"/>
          <w:lang w:val="fr-CA"/>
        </w:rPr>
        <w:tab/>
        <w:t>Lorsqu’il calcule le montant des dépens prévus au tarif qui doit être versé à la personne plaignante, l’organe décisionnel ne prend pas en compte les éléments suivants :</w:t>
      </w:r>
    </w:p>
    <w:p w14:paraId="5FE50C27"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71102156"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s’il a ou non ordonné à une Partie de payer une sanction pécuniaire; </w:t>
      </w:r>
    </w:p>
    <w:p w14:paraId="12DBD309"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163BBE3D"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le montant de toute sanction pécuniaire qu’il a ordonné à une Partie de payer. </w:t>
      </w:r>
    </w:p>
    <w:p w14:paraId="0CFDE5F5" w14:textId="77777777" w:rsidR="005A321B" w:rsidRPr="003E0DDA" w:rsidRDefault="005A321B" w:rsidP="005A321B">
      <w:pPr>
        <w:ind w:left="1304" w:hanging="629"/>
        <w:contextualSpacing/>
        <w:jc w:val="both"/>
        <w:rPr>
          <w:rFonts w:ascii="Arial" w:eastAsia="Times New Roman" w:hAnsi="Arial" w:cs="Arial"/>
          <w:szCs w:val="23"/>
          <w:lang w:val="fr-CA"/>
        </w:rPr>
      </w:pPr>
    </w:p>
    <w:p w14:paraId="036B9989" w14:textId="0298D97F"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11.5</w:t>
      </w:r>
      <w:r w:rsidRPr="003E0DDA">
        <w:rPr>
          <w:rFonts w:ascii="Arial" w:eastAsia="Times New Roman" w:hAnsi="Arial" w:cs="Arial"/>
          <w:szCs w:val="23"/>
          <w:lang w:val="fr-CA"/>
        </w:rPr>
        <w:tab/>
        <w:t>Lorsqu’il calcule le montant des dépens prévus au tarif qui doit être versé à la personne plaignante, l’organe décisionnel fait en sorte que la somme maximale prévue à l’article 1029.2 ne soit pas dépassée.</w:t>
      </w:r>
    </w:p>
    <w:p w14:paraId="51EDD2B8" w14:textId="77777777" w:rsidR="005A321B" w:rsidRPr="003E0DDA" w:rsidRDefault="005A321B" w:rsidP="005A321B">
      <w:pPr>
        <w:ind w:left="720"/>
        <w:contextualSpacing/>
        <w:jc w:val="both"/>
        <w:rPr>
          <w:rFonts w:ascii="Arial" w:eastAsia="Times New Roman" w:hAnsi="Arial" w:cs="Arial"/>
          <w:szCs w:val="23"/>
          <w:lang w:val="fr-CA"/>
        </w:rPr>
      </w:pPr>
    </w:p>
    <w:p w14:paraId="2BB9AE4B" w14:textId="3CDC7C3C" w:rsidR="005A321B" w:rsidRPr="003E0DDA" w:rsidRDefault="005A321B" w:rsidP="005A321B">
      <w:pPr>
        <w:contextualSpacing/>
        <w:jc w:val="both"/>
        <w:rPr>
          <w:rFonts w:ascii="Arial" w:eastAsia="Times New Roman" w:hAnsi="Arial" w:cs="Arial"/>
          <w:szCs w:val="23"/>
          <w:lang w:val="fr-CA"/>
        </w:rPr>
      </w:pPr>
      <w:r w:rsidRPr="003E0DDA">
        <w:rPr>
          <w:rFonts w:ascii="Arial" w:eastAsia="Arial" w:hAnsi="Arial" w:cs="Arial"/>
          <w:szCs w:val="23"/>
          <w:lang w:val="fr-CA"/>
        </w:rPr>
        <w:t>12.</w:t>
      </w:r>
      <w:r w:rsidRPr="003E0DDA">
        <w:rPr>
          <w:rFonts w:ascii="Arial" w:eastAsia="Arial" w:hAnsi="Arial" w:cs="Arial"/>
          <w:szCs w:val="23"/>
          <w:lang w:val="fr-CA"/>
        </w:rPr>
        <w:tab/>
        <w:t>Frais supplémentaires — Procédure devant un groupe spécial ou rejet sommaire de procédure</w:t>
      </w:r>
    </w:p>
    <w:p w14:paraId="0D6037BC" w14:textId="77777777" w:rsidR="005A321B" w:rsidRPr="003E0DDA" w:rsidRDefault="005A321B" w:rsidP="005A321B">
      <w:pPr>
        <w:contextualSpacing/>
        <w:jc w:val="both"/>
        <w:rPr>
          <w:rFonts w:ascii="Arial" w:eastAsia="Times New Roman" w:hAnsi="Arial" w:cs="Arial"/>
          <w:szCs w:val="23"/>
          <w:lang w:val="fr-CA"/>
        </w:rPr>
      </w:pPr>
    </w:p>
    <w:p w14:paraId="3F46DB86" w14:textId="7196CBE2" w:rsidR="005A321B" w:rsidRPr="003E0DDA" w:rsidRDefault="005A321B" w:rsidP="00F52884">
      <w:pPr>
        <w:autoSpaceDE w:val="0"/>
        <w:autoSpaceDN w:val="0"/>
        <w:adjustRightInd w:val="0"/>
        <w:ind w:firstLine="720"/>
        <w:jc w:val="both"/>
        <w:rPr>
          <w:rFonts w:ascii="Arial" w:eastAsia="Times New Roman" w:hAnsi="Arial" w:cs="Arial"/>
          <w:szCs w:val="23"/>
          <w:lang w:val="fr-CA"/>
        </w:rPr>
      </w:pPr>
      <w:r w:rsidRPr="003E0DDA">
        <w:rPr>
          <w:rFonts w:ascii="Arial" w:eastAsia="Times New Roman" w:hAnsi="Arial" w:cs="Arial"/>
          <w:szCs w:val="23"/>
          <w:lang w:val="fr-CA"/>
        </w:rPr>
        <w:t>Un participant à une procédure devant un groupe spécial ou rejet sommaire de procédure visé par la présente règle n’a pas droit aux frais supplémentaires.</w:t>
      </w:r>
    </w:p>
    <w:p w14:paraId="1C606E50"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3A74A33E"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13.</w:t>
      </w:r>
      <w:r w:rsidRPr="003E0DDA">
        <w:rPr>
          <w:rFonts w:ascii="Arial" w:eastAsia="Times New Roman" w:hAnsi="Arial" w:cs="Arial"/>
          <w:szCs w:val="23"/>
          <w:lang w:val="fr-CA"/>
        </w:rPr>
        <w:tab/>
        <w:t>Frais supplémentaires — Procédure devant un groupe spécial de l’observation des décisions</w:t>
      </w:r>
    </w:p>
    <w:p w14:paraId="27A7537F" w14:textId="77777777" w:rsidR="005A321B" w:rsidRPr="003E0DDA" w:rsidRDefault="005A321B" w:rsidP="005A321B">
      <w:pPr>
        <w:autoSpaceDE w:val="0"/>
        <w:autoSpaceDN w:val="0"/>
        <w:adjustRightInd w:val="0"/>
        <w:rPr>
          <w:rFonts w:ascii="Arial" w:eastAsia="Times New Roman" w:hAnsi="Arial" w:cs="Arial"/>
          <w:szCs w:val="23"/>
          <w:lang w:val="fr-CA"/>
        </w:rPr>
      </w:pPr>
    </w:p>
    <w:p w14:paraId="593AFE09"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13.1</w:t>
      </w:r>
      <w:r w:rsidRPr="003E0DDA">
        <w:rPr>
          <w:rFonts w:ascii="Arial" w:eastAsia="Times New Roman" w:hAnsi="Arial" w:cs="Arial"/>
          <w:szCs w:val="23"/>
          <w:lang w:val="fr-CA"/>
        </w:rPr>
        <w:tab/>
        <w:t>Sous réserve des règles 13.2 à 13.5, un groupe spécial de l’observation des décisions peut ordonner que les frais supplémentaires soient payés par une Partie selon les montants qu’il estime appropriés.</w:t>
      </w:r>
    </w:p>
    <w:p w14:paraId="4730836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B2CC721"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13.2</w:t>
      </w:r>
      <w:r w:rsidRPr="003E0DDA">
        <w:rPr>
          <w:rFonts w:ascii="Arial" w:eastAsia="Times New Roman" w:hAnsi="Arial" w:cs="Arial"/>
          <w:szCs w:val="23"/>
          <w:lang w:val="fr-CA"/>
        </w:rPr>
        <w:tab/>
        <w:t>Un groupe spécial de l’observation des décisions ne peut rendre une ordonnance sur les frais supplémentaires qu’en faveur de la personne plaignante qui a gain de cause dans le cadre d’une procédure devant un groupe spécial de l’observation des décisions.</w:t>
      </w:r>
    </w:p>
    <w:p w14:paraId="6FDFFAE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EA864EC" w14:textId="411895E3"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13.3</w:t>
      </w:r>
      <w:r w:rsidRPr="003E0DDA">
        <w:rPr>
          <w:rFonts w:ascii="Arial" w:eastAsia="Times New Roman" w:hAnsi="Arial" w:cs="Arial"/>
          <w:szCs w:val="23"/>
          <w:lang w:val="fr-CA"/>
        </w:rPr>
        <w:tab/>
        <w:t>Dans l’exercice de son pouvoir discrétionnaire, le groupe spécial de l’observation des décisions tient compte des éléments suivants :</w:t>
      </w:r>
    </w:p>
    <w:p w14:paraId="1D34B430" w14:textId="77777777" w:rsidR="005A321B" w:rsidRPr="003E0DDA" w:rsidRDefault="005A321B" w:rsidP="005A321B">
      <w:pPr>
        <w:autoSpaceDE w:val="0"/>
        <w:autoSpaceDN w:val="0"/>
        <w:adjustRightInd w:val="0"/>
        <w:ind w:left="1304" w:hanging="629"/>
        <w:contextualSpacing/>
        <w:rPr>
          <w:rFonts w:ascii="Arial" w:eastAsia="Times New Roman" w:hAnsi="Arial" w:cs="Arial"/>
          <w:szCs w:val="23"/>
          <w:lang w:val="fr-CA"/>
        </w:rPr>
      </w:pPr>
    </w:p>
    <w:p w14:paraId="09F1520F"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la conduite de la personne plaignante durant la procédure; </w:t>
      </w:r>
    </w:p>
    <w:p w14:paraId="09E5BAE8"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4D400543" w14:textId="673AF7CF" w:rsidR="005A321B" w:rsidRPr="003E0DDA" w:rsidRDefault="005A321B" w:rsidP="00F52884">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le caractère raisonnable de ces frais en fonction de la complexité de la plainte et de la durée de la procédure.</w:t>
      </w:r>
    </w:p>
    <w:p w14:paraId="2C16B0E9" w14:textId="77777777" w:rsidR="005A321B" w:rsidRPr="003E0DDA" w:rsidRDefault="005A321B" w:rsidP="005A321B">
      <w:pPr>
        <w:ind w:left="1304" w:hanging="629"/>
        <w:contextualSpacing/>
        <w:jc w:val="both"/>
        <w:rPr>
          <w:rFonts w:ascii="Arial" w:eastAsia="Times New Roman" w:hAnsi="Arial" w:cs="Arial"/>
          <w:szCs w:val="23"/>
          <w:lang w:val="fr-CA"/>
        </w:rPr>
      </w:pPr>
    </w:p>
    <w:p w14:paraId="7D8D9EC0" w14:textId="5F543A0C"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13.4</w:t>
      </w:r>
      <w:r w:rsidRPr="003E0DDA">
        <w:rPr>
          <w:rFonts w:ascii="Arial" w:eastAsia="Times New Roman" w:hAnsi="Arial" w:cs="Arial"/>
          <w:szCs w:val="23"/>
          <w:lang w:val="fr-CA"/>
        </w:rPr>
        <w:tab/>
        <w:t>Lorsqu’il calcule le montant des frais supplémentaires qui doit être versé à la personne plaignante, le groupe spécial de l’observation des décisions ne prend pas en compte les éléments suivants :</w:t>
      </w:r>
    </w:p>
    <w:p w14:paraId="3D103039"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3116D9F1"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s’il a ou non ordonné à une Partie de payer une sanction pécuniaire;</w:t>
      </w:r>
    </w:p>
    <w:p w14:paraId="54B3C738"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0FEE92ED" w14:textId="77777777" w:rsidR="005A321B" w:rsidRPr="003E0DDA" w:rsidRDefault="005A321B" w:rsidP="00F52884">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le montant de toute sanction pécuniaire qu’il a ordonné à une Partie de payer.</w:t>
      </w:r>
    </w:p>
    <w:p w14:paraId="4E8750EF"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3838BB90" w14:textId="3D43D3D9"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13.5</w:t>
      </w:r>
      <w:r w:rsidRPr="003E0DDA">
        <w:rPr>
          <w:rFonts w:ascii="Arial" w:eastAsia="Times New Roman" w:hAnsi="Arial" w:cs="Arial"/>
          <w:szCs w:val="23"/>
          <w:lang w:val="fr-CA"/>
        </w:rPr>
        <w:tab/>
        <w:t>Lorsqu’il calcule le montant des frais supplémentaires qui doit être versé à la personne plaignante, le groupe spécial de l’observation des décisions fait en sorte que la somme maximale prévue à l’article 1029.2 ne soit pas dépassée.</w:t>
      </w:r>
    </w:p>
    <w:p w14:paraId="73805BE0"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1E51950A"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r w:rsidRPr="003E0DDA">
        <w:rPr>
          <w:rFonts w:ascii="Arial" w:eastAsia="Times New Roman" w:hAnsi="Arial" w:cs="Arial"/>
          <w:b/>
          <w:bCs/>
          <w:i/>
          <w:iCs/>
          <w:szCs w:val="23"/>
          <w:lang w:val="fr-CA"/>
        </w:rPr>
        <w:t>Procédures devant un groupe spécial d’appel</w:t>
      </w:r>
    </w:p>
    <w:p w14:paraId="3ACF736E" w14:textId="77777777" w:rsidR="005A321B" w:rsidRPr="003E0DDA" w:rsidRDefault="005A321B" w:rsidP="005A321B">
      <w:pPr>
        <w:contextualSpacing/>
        <w:jc w:val="both"/>
        <w:rPr>
          <w:rFonts w:ascii="Arial" w:eastAsia="Times New Roman" w:hAnsi="Arial" w:cs="Arial"/>
          <w:szCs w:val="23"/>
          <w:lang w:val="fr-CA"/>
        </w:rPr>
      </w:pPr>
    </w:p>
    <w:p w14:paraId="438C11C9" w14:textId="6E22FE7A"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szCs w:val="23"/>
          <w:lang w:val="fr-CA"/>
        </w:rPr>
        <w:t xml:space="preserve">14. </w:t>
      </w:r>
      <w:r w:rsidRPr="003E0DDA">
        <w:rPr>
          <w:rFonts w:ascii="Arial" w:eastAsia="Times New Roman" w:hAnsi="Arial" w:cs="Arial"/>
          <w:szCs w:val="23"/>
          <w:lang w:val="fr-CA"/>
        </w:rPr>
        <w:tab/>
        <w:t>Les règles 14 à 17 s’appliquent aux procédures devant un groupe spécial d’appel engagées conformément à la partie B.</w:t>
      </w:r>
    </w:p>
    <w:p w14:paraId="6F932927" w14:textId="77777777" w:rsidR="005A321B" w:rsidRPr="003E0DDA" w:rsidRDefault="005A321B" w:rsidP="005A321B">
      <w:pPr>
        <w:ind w:left="567" w:hanging="567"/>
        <w:contextualSpacing/>
        <w:jc w:val="both"/>
        <w:rPr>
          <w:rFonts w:ascii="Arial" w:eastAsia="Times New Roman" w:hAnsi="Arial" w:cs="Arial"/>
          <w:szCs w:val="23"/>
          <w:lang w:val="fr-CA"/>
        </w:rPr>
      </w:pPr>
    </w:p>
    <w:p w14:paraId="7B9EB4E6"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15.</w:t>
      </w:r>
      <w:r w:rsidRPr="003E0DDA">
        <w:rPr>
          <w:rFonts w:ascii="Arial" w:eastAsia="Times New Roman" w:hAnsi="Arial" w:cs="Arial"/>
          <w:szCs w:val="23"/>
          <w:lang w:val="fr-CA"/>
        </w:rPr>
        <w:tab/>
        <w:t>Coûts opérationnels</w:t>
      </w:r>
    </w:p>
    <w:p w14:paraId="128EE5F3"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0F1861A3" w14:textId="5976643C" w:rsidR="005A321B" w:rsidRPr="003E0DDA" w:rsidRDefault="005A321B" w:rsidP="00F52884">
      <w:pPr>
        <w:autoSpaceDE w:val="0"/>
        <w:autoSpaceDN w:val="0"/>
        <w:adjustRightInd w:val="0"/>
        <w:ind w:left="1440" w:hanging="731"/>
        <w:rPr>
          <w:rFonts w:ascii="Arial" w:eastAsia="Times New Roman" w:hAnsi="Arial" w:cs="Arial"/>
          <w:szCs w:val="23"/>
          <w:lang w:val="fr-CA"/>
        </w:rPr>
      </w:pPr>
      <w:r w:rsidRPr="003E0DDA">
        <w:rPr>
          <w:rFonts w:ascii="Arial" w:eastAsia="Times New Roman" w:hAnsi="Arial" w:cs="Arial"/>
          <w:szCs w:val="23"/>
          <w:lang w:val="fr-CA"/>
        </w:rPr>
        <w:t>15.1</w:t>
      </w:r>
      <w:r w:rsidRPr="003E0DDA">
        <w:rPr>
          <w:rFonts w:ascii="Arial" w:eastAsia="Times New Roman" w:hAnsi="Arial" w:cs="Arial"/>
          <w:szCs w:val="23"/>
          <w:lang w:val="fr-CA"/>
        </w:rPr>
        <w:tab/>
        <w:t>Les coûts opérationnels d’une procédure devant un groupe spécial d’appel sont payés soit par l’appelant ou l’intimé, ou les deux, soit par l’une ou l’autre des parties susmentionnées, ou les deux, et un ou plusieurs intervenants. Sous réserve de la règle 15.4, un groupe spécial d’appel réparti les coûts opérationnels en vue de décourager les appels non valables en droit.</w:t>
      </w:r>
    </w:p>
    <w:p w14:paraId="35667332" w14:textId="77777777" w:rsidR="005A321B" w:rsidRPr="003E0DDA" w:rsidRDefault="005A321B" w:rsidP="00F01C29">
      <w:pPr>
        <w:autoSpaceDE w:val="0"/>
        <w:autoSpaceDN w:val="0"/>
        <w:adjustRightInd w:val="0"/>
        <w:ind w:left="1440" w:hanging="731"/>
        <w:jc w:val="both"/>
        <w:rPr>
          <w:rFonts w:ascii="Arial" w:eastAsia="Times New Roman" w:hAnsi="Arial" w:cs="Arial"/>
          <w:szCs w:val="23"/>
          <w:lang w:val="fr-CA"/>
        </w:rPr>
      </w:pPr>
    </w:p>
    <w:p w14:paraId="365E1BDB" w14:textId="2DF0347B" w:rsidR="005A321B" w:rsidRPr="003E0DDA" w:rsidRDefault="005A321B" w:rsidP="00F52884">
      <w:pPr>
        <w:autoSpaceDE w:val="0"/>
        <w:autoSpaceDN w:val="0"/>
        <w:adjustRightInd w:val="0"/>
        <w:ind w:left="1440" w:hanging="731"/>
        <w:jc w:val="both"/>
        <w:rPr>
          <w:rFonts w:ascii="Arial" w:eastAsia="Times New Roman" w:hAnsi="Arial" w:cs="Arial"/>
          <w:szCs w:val="23"/>
          <w:lang w:val="fr-CA"/>
        </w:rPr>
      </w:pPr>
      <w:r w:rsidRPr="003E0DDA">
        <w:rPr>
          <w:rFonts w:ascii="Arial" w:eastAsia="Times New Roman" w:hAnsi="Arial" w:cs="Arial"/>
          <w:szCs w:val="23"/>
          <w:lang w:val="fr-CA"/>
        </w:rPr>
        <w:t>15.2</w:t>
      </w:r>
      <w:r w:rsidRPr="003E0DDA">
        <w:rPr>
          <w:rFonts w:ascii="Arial" w:eastAsia="Times New Roman" w:hAnsi="Arial" w:cs="Arial"/>
          <w:szCs w:val="23"/>
          <w:lang w:val="fr-CA"/>
        </w:rPr>
        <w:tab/>
        <w:t>Dans l’exercice de son pouvoir discrétionnaire, le groupe spécial d’appel ordonne habituellement :</w:t>
      </w:r>
    </w:p>
    <w:p w14:paraId="535F8077" w14:textId="77777777" w:rsidR="005A321B" w:rsidRPr="003E0DDA" w:rsidRDefault="005A321B" w:rsidP="005A321B">
      <w:pPr>
        <w:autoSpaceDE w:val="0"/>
        <w:autoSpaceDN w:val="0"/>
        <w:adjustRightInd w:val="0"/>
        <w:ind w:left="1304" w:hanging="629"/>
        <w:jc w:val="both"/>
        <w:rPr>
          <w:rFonts w:ascii="Arial" w:eastAsia="Times New Roman" w:hAnsi="Arial" w:cs="Arial"/>
          <w:szCs w:val="23"/>
          <w:lang w:val="fr-CA"/>
        </w:rPr>
      </w:pPr>
    </w:p>
    <w:p w14:paraId="11D04241" w14:textId="731A0EA0"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si l’appel est rejeté, que les coûts opérationnels soient assumés par l’appelant;</w:t>
      </w:r>
    </w:p>
    <w:p w14:paraId="7D8A761A" w14:textId="77777777" w:rsidR="005A321B" w:rsidRPr="003E0DDA" w:rsidRDefault="005A321B" w:rsidP="00F01C29">
      <w:pPr>
        <w:autoSpaceDE w:val="0"/>
        <w:autoSpaceDN w:val="0"/>
        <w:adjustRightInd w:val="0"/>
        <w:ind w:left="1304" w:hanging="720"/>
        <w:rPr>
          <w:rFonts w:ascii="Arial" w:eastAsia="Times New Roman" w:hAnsi="Arial" w:cs="Arial"/>
          <w:szCs w:val="23"/>
          <w:lang w:val="fr-CA"/>
        </w:rPr>
      </w:pPr>
    </w:p>
    <w:p w14:paraId="43E1B004"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si l’appel est accueilli, que les coûts opérationnels soient </w:t>
      </w:r>
      <w:proofErr w:type="gramStart"/>
      <w:r w:rsidRPr="003E0DDA">
        <w:rPr>
          <w:rFonts w:ascii="Arial" w:eastAsia="Times New Roman" w:hAnsi="Arial" w:cs="Arial"/>
          <w:szCs w:val="23"/>
          <w:lang w:val="fr-CA"/>
        </w:rPr>
        <w:t>sont</w:t>
      </w:r>
      <w:proofErr w:type="gramEnd"/>
      <w:r w:rsidRPr="003E0DDA">
        <w:rPr>
          <w:rFonts w:ascii="Arial" w:eastAsia="Times New Roman" w:hAnsi="Arial" w:cs="Arial"/>
          <w:szCs w:val="23"/>
          <w:lang w:val="fr-CA"/>
        </w:rPr>
        <w:t xml:space="preserve"> répartis à parts égales entre l’appelant et l’intimé.</w:t>
      </w:r>
    </w:p>
    <w:p w14:paraId="442A6AEF" w14:textId="77777777" w:rsidR="005A321B" w:rsidRPr="003E0DDA" w:rsidRDefault="005A321B" w:rsidP="005A321B">
      <w:pPr>
        <w:autoSpaceDE w:val="0"/>
        <w:autoSpaceDN w:val="0"/>
        <w:adjustRightInd w:val="0"/>
        <w:ind w:left="1304" w:hanging="629"/>
        <w:jc w:val="both"/>
        <w:rPr>
          <w:rFonts w:ascii="Arial" w:eastAsia="Times New Roman" w:hAnsi="Arial" w:cs="Arial"/>
          <w:szCs w:val="23"/>
          <w:lang w:val="fr-CA"/>
        </w:rPr>
      </w:pPr>
    </w:p>
    <w:p w14:paraId="2A5538BA" w14:textId="49AFF5F4"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15.3</w:t>
      </w:r>
      <w:r w:rsidRPr="003E0DDA">
        <w:rPr>
          <w:rFonts w:ascii="Arial" w:eastAsia="Times New Roman" w:hAnsi="Arial" w:cs="Arial"/>
          <w:szCs w:val="23"/>
          <w:lang w:val="fr-CA"/>
        </w:rPr>
        <w:tab/>
        <w:t>Le groupe spécial d’appel peut répartir les coûts opérationnels entre l’appelant et l’intimé d’une façon différente de ce que prévoit la règle 15.2, si d’autres facteurs pertinents le justifient, y compris :</w:t>
      </w:r>
    </w:p>
    <w:p w14:paraId="226E129C" w14:textId="77777777" w:rsidR="005A321B" w:rsidRPr="003E0DDA" w:rsidRDefault="005A321B" w:rsidP="005A321B">
      <w:pPr>
        <w:autoSpaceDE w:val="0"/>
        <w:autoSpaceDN w:val="0"/>
        <w:adjustRightInd w:val="0"/>
        <w:ind w:left="1304" w:hanging="629"/>
        <w:jc w:val="both"/>
        <w:rPr>
          <w:rFonts w:ascii="Arial" w:eastAsia="Times New Roman" w:hAnsi="Arial" w:cs="Arial"/>
          <w:szCs w:val="23"/>
          <w:lang w:val="fr-CA"/>
        </w:rPr>
      </w:pPr>
    </w:p>
    <w:p w14:paraId="73CCB8BF"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la conduite de l’appelant ou de l’intimé; </w:t>
      </w:r>
    </w:p>
    <w:p w14:paraId="0FD85B92"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7A3D9DF8"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la mesure dans laquelle l’appelant ou l’intimé a gain de cause. </w:t>
      </w:r>
    </w:p>
    <w:p w14:paraId="28E21A32" w14:textId="77777777" w:rsidR="005A321B" w:rsidRPr="003E0DDA" w:rsidRDefault="005A321B" w:rsidP="005A321B">
      <w:pPr>
        <w:autoSpaceDE w:val="0"/>
        <w:autoSpaceDN w:val="0"/>
        <w:adjustRightInd w:val="0"/>
        <w:ind w:left="1304" w:hanging="629"/>
        <w:jc w:val="both"/>
        <w:rPr>
          <w:rFonts w:ascii="Arial" w:eastAsia="Times New Roman" w:hAnsi="Arial" w:cs="Arial"/>
          <w:szCs w:val="23"/>
          <w:lang w:val="fr-CA"/>
        </w:rPr>
      </w:pPr>
    </w:p>
    <w:p w14:paraId="0513C79C" w14:textId="1A4D5D56"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15.4</w:t>
      </w:r>
      <w:r w:rsidRPr="003E0DDA">
        <w:rPr>
          <w:rFonts w:ascii="Arial" w:eastAsia="Times New Roman" w:hAnsi="Arial" w:cs="Arial"/>
          <w:szCs w:val="23"/>
          <w:lang w:val="fr-CA"/>
        </w:rPr>
        <w:tab/>
        <w:t>S’il y a un ou plusieurs intervenants à l’appel, les coûts opérationnels peuvent aussi être répartis entre les intervenants en tenant compte des coûts opérationnels engagés du fait de leur participation, mais les intervenants ne sont en aucun cas collectivement responsables de plus du tiers des coûts opérationnels.</w:t>
      </w:r>
    </w:p>
    <w:p w14:paraId="62DD5E2C"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6172A828" w14:textId="69638D64"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15.5</w:t>
      </w:r>
      <w:r w:rsidRPr="003E0DDA">
        <w:rPr>
          <w:rFonts w:ascii="Arial" w:eastAsia="Times New Roman" w:hAnsi="Arial" w:cs="Arial"/>
          <w:szCs w:val="23"/>
          <w:lang w:val="fr-CA"/>
        </w:rPr>
        <w:tab/>
        <w:t>Un groupe spécial d’appel peut, à la demande d’un appelant ou d’un intimé ou de à sa discrétion, exiger d’un appelant ou d’un intimé qui est une personne plaignante qu’il fournisse un cautionnement pour les coûts opérationnels pouvant être attribués à cet appelant ou à cet intimé.</w:t>
      </w:r>
    </w:p>
    <w:p w14:paraId="06A9EF23" w14:textId="77777777" w:rsidR="005A321B" w:rsidRPr="003E0DDA" w:rsidRDefault="005A321B" w:rsidP="00F01C29">
      <w:pPr>
        <w:autoSpaceDE w:val="0"/>
        <w:autoSpaceDN w:val="0"/>
        <w:adjustRightInd w:val="0"/>
        <w:ind w:left="1440" w:hanging="720"/>
        <w:jc w:val="both"/>
        <w:rPr>
          <w:rFonts w:ascii="Arial" w:eastAsia="Times New Roman" w:hAnsi="Arial" w:cs="Arial"/>
          <w:szCs w:val="23"/>
          <w:lang w:val="fr-CA"/>
        </w:rPr>
      </w:pPr>
    </w:p>
    <w:p w14:paraId="4047B4B5"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15.6</w:t>
      </w:r>
      <w:r w:rsidRPr="003E0DDA">
        <w:rPr>
          <w:rFonts w:ascii="Arial" w:eastAsia="Times New Roman" w:hAnsi="Arial" w:cs="Arial"/>
          <w:szCs w:val="23"/>
          <w:lang w:val="fr-CA"/>
        </w:rPr>
        <w:tab/>
        <w:t>Il est entendu qu’un groupe spécial d’appel demeure compétent pour rendre une ordonnance sur les coûts opérationnels si une procédure devant un groupe spécial d’appel fait l’objet d’un désistement.</w:t>
      </w:r>
    </w:p>
    <w:p w14:paraId="19EC56ED" w14:textId="77777777" w:rsidR="005A321B" w:rsidRPr="003E0DDA" w:rsidRDefault="005A321B" w:rsidP="005A321B">
      <w:pPr>
        <w:contextualSpacing/>
        <w:jc w:val="both"/>
        <w:rPr>
          <w:rFonts w:ascii="Arial" w:eastAsia="Times New Roman" w:hAnsi="Arial" w:cs="Arial"/>
          <w:szCs w:val="23"/>
          <w:lang w:val="fr-CA"/>
        </w:rPr>
      </w:pPr>
    </w:p>
    <w:p w14:paraId="1ACF8D67" w14:textId="77777777"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szCs w:val="23"/>
          <w:lang w:val="fr-CA"/>
        </w:rPr>
        <w:t>16.</w:t>
      </w:r>
      <w:r w:rsidRPr="003E0DDA">
        <w:rPr>
          <w:rFonts w:ascii="Arial" w:eastAsia="Times New Roman" w:hAnsi="Arial" w:cs="Arial"/>
          <w:szCs w:val="23"/>
          <w:lang w:val="fr-CA"/>
        </w:rPr>
        <w:tab/>
        <w:t>Dépens prévus au tarif</w:t>
      </w:r>
    </w:p>
    <w:p w14:paraId="277070F3" w14:textId="77777777" w:rsidR="005A321B" w:rsidRPr="003E0DDA" w:rsidRDefault="005A321B" w:rsidP="005A321B">
      <w:pPr>
        <w:contextualSpacing/>
        <w:jc w:val="both"/>
        <w:rPr>
          <w:rFonts w:ascii="Arial" w:eastAsia="Times New Roman" w:hAnsi="Arial" w:cs="Arial"/>
          <w:szCs w:val="23"/>
          <w:lang w:val="fr-CA"/>
        </w:rPr>
      </w:pPr>
    </w:p>
    <w:p w14:paraId="1FA9ED86" w14:textId="2B341A42"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16.1</w:t>
      </w:r>
      <w:r w:rsidRPr="003E0DDA">
        <w:rPr>
          <w:rFonts w:ascii="Arial" w:eastAsia="Times New Roman" w:hAnsi="Arial" w:cs="Arial"/>
          <w:szCs w:val="23"/>
          <w:lang w:val="fr-CA"/>
        </w:rPr>
        <w:tab/>
        <w:t>Sous réserve des règles 16.2 à 16.10, un groupe spécial d’appel peut ordonner que les dépens prévus au tarif soient payés selon les montants qu’il estime appropriés, mais seulement jusqu’à concurrence des montants maximaux autorisés pour l’année civile au cours de laquelle l’ordonnance est rendue.</w:t>
      </w:r>
    </w:p>
    <w:p w14:paraId="5509FFF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BACF80C" w14:textId="08E02328"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16.2</w:t>
      </w:r>
      <w:r w:rsidRPr="003E0DDA">
        <w:rPr>
          <w:rFonts w:ascii="Arial" w:eastAsia="Times New Roman" w:hAnsi="Arial" w:cs="Arial"/>
          <w:szCs w:val="23"/>
          <w:lang w:val="fr-CA"/>
        </w:rPr>
        <w:tab/>
        <w:t>Le premier objectif d’une ordonnance sur les dépens prévus au tarif est de décourager les appels non valables en droit.</w:t>
      </w:r>
    </w:p>
    <w:p w14:paraId="35B4DE58"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6C2A4B7" w14:textId="19B16C75"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16.3</w:t>
      </w:r>
      <w:r w:rsidRPr="003E0DDA">
        <w:rPr>
          <w:rFonts w:ascii="Arial" w:eastAsia="Times New Roman" w:hAnsi="Arial" w:cs="Arial"/>
          <w:szCs w:val="23"/>
          <w:lang w:val="fr-CA"/>
        </w:rPr>
        <w:tab/>
        <w:t>Si l’appel est rejeté, le groupe spécial d’appel ordonne habituellement à l’appelant de payer à l’intimé les dépens prévus au tarif.</w:t>
      </w:r>
    </w:p>
    <w:p w14:paraId="2435FD0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63831BC" w14:textId="77777777"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16.4</w:t>
      </w:r>
      <w:r w:rsidRPr="003E0DDA">
        <w:rPr>
          <w:rFonts w:ascii="Arial" w:eastAsia="Times New Roman" w:hAnsi="Arial" w:cs="Arial"/>
          <w:szCs w:val="23"/>
          <w:lang w:val="fr-CA"/>
        </w:rPr>
        <w:tab/>
        <w:t>Si l’appel est accueilli, le groupe spécial d’appel ne rend habituellement pas d’ordonnance sur les dépens prévus au tarif.</w:t>
      </w:r>
    </w:p>
    <w:p w14:paraId="74D8C45F"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AF270DD" w14:textId="2FCB806A"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16.5</w:t>
      </w:r>
      <w:r w:rsidRPr="003E0DDA">
        <w:rPr>
          <w:rFonts w:ascii="Arial" w:eastAsia="Times New Roman" w:hAnsi="Arial" w:cs="Arial"/>
          <w:szCs w:val="23"/>
          <w:lang w:val="fr-CA"/>
        </w:rPr>
        <w:tab/>
        <w:t>Nonobstant les règles 16.3 et 16.4, le groupe spécial d’appel peut rendre une ordonnance sur les dépens prévus au tarif différente si d’autres facteurs pertinents le justifient, y compris :</w:t>
      </w:r>
    </w:p>
    <w:p w14:paraId="01E0ADF9"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237EDB36"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la conduite de l’appelant ou de l’intimé durant la procédure;</w:t>
      </w:r>
    </w:p>
    <w:p w14:paraId="54AC7179"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768A0B0A"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la mesure dans laquelle l’appelant ou l’intimé a gain de cause;</w:t>
      </w:r>
    </w:p>
    <w:p w14:paraId="28D687E7"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p>
    <w:p w14:paraId="492879C4"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le caractère raisonnable de ces dépens en fonction de la complexité de la plainte et de la durée de la procédure.</w:t>
      </w:r>
    </w:p>
    <w:p w14:paraId="30D42DAB"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56E8CE50" w14:textId="7D918A4D"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16.6</w:t>
      </w:r>
      <w:r w:rsidRPr="003E0DDA">
        <w:rPr>
          <w:rFonts w:ascii="Arial" w:eastAsia="Times New Roman" w:hAnsi="Arial" w:cs="Arial"/>
          <w:szCs w:val="23"/>
          <w:lang w:val="fr-CA"/>
        </w:rPr>
        <w:tab/>
        <w:t>Lorsqu’il calcule le montant des dépens prévus au tarif qui doit être versé à la personne plaignante, le groupe spécial d’appel ne prend pas en compte les éléments suivants :</w:t>
      </w:r>
    </w:p>
    <w:p w14:paraId="3C3FC10F"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74DE28CC"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 xml:space="preserve">s’il a ou non ordonné à une Partie de payer une sanction pécuniaire; </w:t>
      </w:r>
    </w:p>
    <w:p w14:paraId="09D01DD6" w14:textId="77777777" w:rsidR="005A321B" w:rsidRPr="003E0DDA" w:rsidRDefault="005A321B" w:rsidP="00F01C29">
      <w:pPr>
        <w:autoSpaceDE w:val="0"/>
        <w:autoSpaceDN w:val="0"/>
        <w:adjustRightInd w:val="0"/>
        <w:ind w:left="1304" w:hanging="720"/>
        <w:rPr>
          <w:rFonts w:ascii="Arial" w:eastAsia="Times New Roman" w:hAnsi="Arial" w:cs="Arial"/>
          <w:szCs w:val="23"/>
          <w:lang w:val="fr-CA"/>
        </w:rPr>
      </w:pPr>
    </w:p>
    <w:p w14:paraId="10155ACF" w14:textId="77777777" w:rsidR="005A321B" w:rsidRPr="003E0DDA" w:rsidRDefault="005A321B" w:rsidP="00F01C29">
      <w:pPr>
        <w:autoSpaceDE w:val="0"/>
        <w:autoSpaceDN w:val="0"/>
        <w:adjustRightInd w:val="0"/>
        <w:ind w:left="216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 xml:space="preserve">le montant de toute sanction pécuniaire qu’il a ordonné à une Partie de payer. </w:t>
      </w:r>
    </w:p>
    <w:p w14:paraId="1E49764B" w14:textId="77777777" w:rsidR="005A321B" w:rsidRPr="003E0DDA" w:rsidRDefault="005A321B" w:rsidP="005A321B">
      <w:pPr>
        <w:ind w:left="1304" w:hanging="629"/>
        <w:contextualSpacing/>
        <w:jc w:val="both"/>
        <w:rPr>
          <w:rFonts w:ascii="Arial" w:eastAsia="Times New Roman" w:hAnsi="Arial" w:cs="Arial"/>
          <w:szCs w:val="23"/>
          <w:lang w:val="fr-CA"/>
        </w:rPr>
      </w:pPr>
    </w:p>
    <w:p w14:paraId="034BCC7A" w14:textId="679AC961"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16.7</w:t>
      </w:r>
      <w:r w:rsidRPr="003E0DDA">
        <w:rPr>
          <w:rFonts w:ascii="Arial" w:eastAsia="Times New Roman" w:hAnsi="Arial" w:cs="Arial"/>
          <w:szCs w:val="23"/>
          <w:lang w:val="fr-CA"/>
        </w:rPr>
        <w:tab/>
        <w:t xml:space="preserve">Lorsqu’il calcule le montant des dépens prévus au tarif qui doit être versé à une personne plaignante, le groupe spécial d’appel fait en sorte que la somme maximale prévue à l’article 1029.2 ne soit pas dépassée.  </w:t>
      </w:r>
    </w:p>
    <w:p w14:paraId="0DF024C3" w14:textId="77777777" w:rsidR="005A321B" w:rsidRPr="003E0DDA" w:rsidRDefault="005A321B" w:rsidP="005A321B">
      <w:pPr>
        <w:autoSpaceDE w:val="0"/>
        <w:autoSpaceDN w:val="0"/>
        <w:adjustRightInd w:val="0"/>
        <w:ind w:left="1304" w:hanging="629"/>
        <w:rPr>
          <w:rFonts w:ascii="Arial" w:eastAsia="Times New Roman" w:hAnsi="Arial" w:cs="Arial"/>
          <w:szCs w:val="23"/>
          <w:lang w:val="fr-CA"/>
        </w:rPr>
      </w:pPr>
    </w:p>
    <w:p w14:paraId="50BF0869" w14:textId="382C8886"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16.8</w:t>
      </w:r>
      <w:r w:rsidRPr="003E0DDA">
        <w:rPr>
          <w:rFonts w:ascii="Arial" w:eastAsia="Times New Roman" w:hAnsi="Arial" w:cs="Arial"/>
          <w:szCs w:val="23"/>
          <w:lang w:val="fr-CA"/>
        </w:rPr>
        <w:tab/>
        <w:t>Le groupe spécial d’appel ne rend aucune ordonnance sur les dépens prévus au tarif d’un intervenant. Un intervenant assume ses propres dépens prévus au tarif.</w:t>
      </w:r>
    </w:p>
    <w:p w14:paraId="4BB27E22" w14:textId="77777777" w:rsidR="005A321B" w:rsidRPr="003E0DDA" w:rsidRDefault="005A321B" w:rsidP="00F01C29">
      <w:pPr>
        <w:autoSpaceDE w:val="0"/>
        <w:autoSpaceDN w:val="0"/>
        <w:adjustRightInd w:val="0"/>
        <w:ind w:left="1440" w:hanging="720"/>
        <w:rPr>
          <w:rFonts w:ascii="Arial" w:eastAsia="Times New Roman" w:hAnsi="Arial" w:cs="Arial"/>
          <w:b/>
          <w:szCs w:val="23"/>
          <w:lang w:val="fr-CA"/>
        </w:rPr>
      </w:pPr>
    </w:p>
    <w:p w14:paraId="199DBDF6" w14:textId="498E233C"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16.9</w:t>
      </w:r>
      <w:r w:rsidRPr="003E0DDA">
        <w:rPr>
          <w:rFonts w:ascii="Arial" w:eastAsia="Times New Roman" w:hAnsi="Arial" w:cs="Arial"/>
          <w:szCs w:val="23"/>
          <w:lang w:val="fr-CA"/>
        </w:rPr>
        <w:tab/>
        <w:t>Un groupe spécial d’appel peut, à la demande d’un appelant ou d’un intimé ou à sa discrétion, exiger d’un appelant ou d’un intimé qui est une personne plaignante qu’il fournisse un cautionnement pour les dépens prévus au tarif qui peuvent être attribués à cet appelant ou intimé.</w:t>
      </w:r>
    </w:p>
    <w:p w14:paraId="538D578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706331ED" w14:textId="6CEA8BC9" w:rsidR="005A321B" w:rsidRPr="003E0DDA" w:rsidRDefault="005A321B" w:rsidP="00F52884">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16.10</w:t>
      </w:r>
      <w:r w:rsidRPr="003E0DDA">
        <w:rPr>
          <w:rFonts w:ascii="Arial" w:eastAsia="Times New Roman" w:hAnsi="Arial" w:cs="Arial"/>
          <w:szCs w:val="23"/>
          <w:lang w:val="fr-CA"/>
        </w:rPr>
        <w:tab/>
        <w:t>Il est entendu qu’un groupe spécial d’appel demeure compétent pour rendre une ordonnance sur les dépens prévus au tarif en cas de désistement dans un appel.</w:t>
      </w:r>
    </w:p>
    <w:p w14:paraId="287F3C2C"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34342D31"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17.</w:t>
      </w:r>
      <w:r w:rsidRPr="003E0DDA">
        <w:rPr>
          <w:rFonts w:ascii="Arial" w:eastAsia="Times New Roman" w:hAnsi="Arial" w:cs="Arial"/>
          <w:szCs w:val="23"/>
          <w:lang w:val="fr-CA"/>
        </w:rPr>
        <w:tab/>
        <w:t>Frais supplémentaires</w:t>
      </w:r>
    </w:p>
    <w:p w14:paraId="50B67609" w14:textId="77777777" w:rsidR="005A321B" w:rsidRPr="003E0DDA" w:rsidRDefault="005A321B" w:rsidP="005A321B">
      <w:pPr>
        <w:autoSpaceDE w:val="0"/>
        <w:autoSpaceDN w:val="0"/>
        <w:adjustRightInd w:val="0"/>
        <w:rPr>
          <w:rFonts w:ascii="Arial" w:eastAsia="Times New Roman" w:hAnsi="Arial" w:cs="Arial"/>
          <w:szCs w:val="23"/>
          <w:lang w:val="fr-CA"/>
        </w:rPr>
      </w:pPr>
    </w:p>
    <w:p w14:paraId="02DB0AD2" w14:textId="77777777" w:rsidR="005A321B" w:rsidRPr="003E0DDA" w:rsidRDefault="005A321B" w:rsidP="00F52884">
      <w:pPr>
        <w:autoSpaceDE w:val="0"/>
        <w:autoSpaceDN w:val="0"/>
        <w:adjustRightInd w:val="0"/>
        <w:ind w:firstLine="708"/>
        <w:jc w:val="both"/>
        <w:rPr>
          <w:rFonts w:ascii="Arial" w:eastAsia="Times New Roman" w:hAnsi="Arial" w:cs="Arial"/>
          <w:szCs w:val="23"/>
          <w:lang w:val="fr-CA"/>
        </w:rPr>
      </w:pPr>
      <w:r w:rsidRPr="003E0DDA">
        <w:rPr>
          <w:rFonts w:ascii="Arial" w:eastAsia="Times New Roman" w:hAnsi="Arial" w:cs="Arial"/>
          <w:szCs w:val="23"/>
          <w:lang w:val="fr-CA"/>
        </w:rPr>
        <w:t>Un appelant, un intimé ou un intervenant dans une procédure devant un groupe spécial d’appel n’a pas droit aux frais supplémentaires.</w:t>
      </w:r>
    </w:p>
    <w:p w14:paraId="283ABBB5" w14:textId="77777777" w:rsidR="005A321B" w:rsidRPr="003E0DDA" w:rsidRDefault="005A321B" w:rsidP="005A321B">
      <w:pPr>
        <w:autoSpaceDE w:val="0"/>
        <w:autoSpaceDN w:val="0"/>
        <w:adjustRightInd w:val="0"/>
        <w:ind w:left="720"/>
        <w:jc w:val="both"/>
        <w:rPr>
          <w:rFonts w:ascii="Arial" w:eastAsia="Times New Roman" w:hAnsi="Arial" w:cs="Arial"/>
          <w:szCs w:val="23"/>
          <w:lang w:val="fr-CA"/>
        </w:rPr>
      </w:pPr>
    </w:p>
    <w:p w14:paraId="703FE90B" w14:textId="1D298B08" w:rsidR="005A321B" w:rsidRPr="003E0DDA" w:rsidRDefault="005A321B" w:rsidP="005A321B">
      <w:pPr>
        <w:autoSpaceDE w:val="0"/>
        <w:autoSpaceDN w:val="0"/>
        <w:adjustRightInd w:val="0"/>
        <w:jc w:val="both"/>
        <w:rPr>
          <w:rFonts w:ascii="Arial" w:eastAsia="Times New Roman" w:hAnsi="Arial" w:cs="Arial"/>
          <w:szCs w:val="23"/>
          <w:lang w:val="fr-CA"/>
        </w:rPr>
      </w:pPr>
      <w:r w:rsidRPr="003E0DDA">
        <w:rPr>
          <w:rFonts w:ascii="Arial" w:eastAsia="Times New Roman" w:hAnsi="Arial" w:cs="Arial"/>
          <w:szCs w:val="23"/>
          <w:lang w:val="fr-CA"/>
        </w:rPr>
        <w:t>18.</w:t>
      </w:r>
      <w:r w:rsidRPr="003E0DDA">
        <w:rPr>
          <w:rFonts w:ascii="Arial" w:eastAsia="Times New Roman" w:hAnsi="Arial" w:cs="Arial"/>
          <w:szCs w:val="23"/>
          <w:lang w:val="fr-CA"/>
        </w:rPr>
        <w:tab/>
      </w:r>
      <w:r w:rsidR="00C20778" w:rsidRPr="009A780E">
        <w:rPr>
          <w:rFonts w:ascii="Arial" w:eastAsia="Times New Roman" w:hAnsi="Arial" w:cs="Arial"/>
          <w:szCs w:val="23"/>
          <w:lang w:val="fr-CA"/>
        </w:rPr>
        <w:t xml:space="preserve"> Effet des notes interprétatives sur les dépens</w:t>
      </w:r>
    </w:p>
    <w:p w14:paraId="5EDC371E" w14:textId="77777777" w:rsidR="005A321B" w:rsidRPr="003E0DDA" w:rsidRDefault="005A321B" w:rsidP="005A321B">
      <w:pPr>
        <w:autoSpaceDE w:val="0"/>
        <w:autoSpaceDN w:val="0"/>
        <w:adjustRightInd w:val="0"/>
        <w:ind w:left="720" w:hanging="720"/>
        <w:jc w:val="both"/>
        <w:rPr>
          <w:rFonts w:ascii="Arial" w:eastAsia="Times New Roman" w:hAnsi="Arial" w:cs="Arial"/>
          <w:szCs w:val="23"/>
          <w:lang w:val="fr-CA"/>
        </w:rPr>
      </w:pPr>
    </w:p>
    <w:p w14:paraId="413B57EF" w14:textId="41762A02" w:rsidR="005A321B" w:rsidRPr="003E0DDA" w:rsidRDefault="005A321B" w:rsidP="00F52884">
      <w:pPr>
        <w:autoSpaceDE w:val="0"/>
        <w:autoSpaceDN w:val="0"/>
        <w:adjustRightInd w:val="0"/>
        <w:ind w:firstLine="708"/>
        <w:rPr>
          <w:rFonts w:ascii="Arial" w:eastAsia="Times New Roman" w:hAnsi="Arial" w:cs="Arial"/>
          <w:szCs w:val="23"/>
          <w:lang w:val="fr-CA"/>
        </w:rPr>
      </w:pPr>
      <w:r w:rsidRPr="003E0DDA">
        <w:rPr>
          <w:rFonts w:ascii="Arial" w:eastAsia="Times New Roman" w:hAnsi="Arial" w:cs="Arial"/>
          <w:szCs w:val="23"/>
          <w:lang w:val="fr-CA"/>
        </w:rPr>
        <w:t>Une demande en application de la présente règle peut être faite dans toute procédure engagée conformément à la partie B.</w:t>
      </w:r>
    </w:p>
    <w:p w14:paraId="1CA94418" w14:textId="77777777" w:rsidR="005A321B" w:rsidRPr="003E0DDA" w:rsidRDefault="005A321B" w:rsidP="005A321B">
      <w:pPr>
        <w:autoSpaceDE w:val="0"/>
        <w:autoSpaceDN w:val="0"/>
        <w:adjustRightInd w:val="0"/>
        <w:ind w:left="567"/>
        <w:rPr>
          <w:rFonts w:ascii="Arial" w:eastAsia="Times New Roman" w:hAnsi="Arial" w:cs="Arial"/>
          <w:szCs w:val="23"/>
          <w:lang w:val="fr-CA"/>
        </w:rPr>
      </w:pPr>
    </w:p>
    <w:p w14:paraId="24A5FF26" w14:textId="6D124A72" w:rsidR="005A321B" w:rsidRPr="003E0DDA" w:rsidRDefault="005A321B" w:rsidP="00F52884">
      <w:pPr>
        <w:autoSpaceDE w:val="0"/>
        <w:autoSpaceDN w:val="0"/>
        <w:adjustRightInd w:val="0"/>
        <w:ind w:firstLine="708"/>
        <w:rPr>
          <w:rFonts w:ascii="Arial" w:eastAsia="Times New Roman" w:hAnsi="Arial" w:cs="Arial"/>
          <w:szCs w:val="23"/>
          <w:lang w:val="fr-CA"/>
        </w:rPr>
      </w:pPr>
      <w:r w:rsidRPr="003E0DDA">
        <w:rPr>
          <w:rFonts w:ascii="Arial" w:eastAsia="Arial" w:hAnsi="Arial" w:cs="Arial"/>
          <w:szCs w:val="23"/>
          <w:lang w:val="fr-CA"/>
        </w:rPr>
        <w:lastRenderedPageBreak/>
        <w:t xml:space="preserve">Si une </w:t>
      </w:r>
      <w:r w:rsidR="00C20778" w:rsidRPr="009A780E">
        <w:rPr>
          <w:rFonts w:ascii="Arial" w:eastAsia="Times New Roman" w:hAnsi="Arial" w:cs="Arial"/>
          <w:szCs w:val="23"/>
          <w:lang w:val="fr-CA"/>
        </w:rPr>
        <w:t>note interprétative </w:t>
      </w:r>
      <w:r w:rsidR="00C20778" w:rsidRPr="009A780E">
        <w:rPr>
          <w:rFonts w:ascii="Arial" w:eastAsia="Arial" w:hAnsi="Arial" w:cs="Arial"/>
          <w:szCs w:val="23"/>
          <w:lang w:val="fr-CA"/>
        </w:rPr>
        <w:t xml:space="preserve"> </w:t>
      </w:r>
      <w:r w:rsidRPr="003E0DDA">
        <w:rPr>
          <w:rFonts w:ascii="Arial" w:eastAsia="Arial" w:hAnsi="Arial" w:cs="Arial"/>
          <w:szCs w:val="23"/>
          <w:lang w:val="fr-CA"/>
        </w:rPr>
        <w:t>est émise par les Parties en application de l’article 120</w:t>
      </w:r>
      <w:r w:rsidR="00C20778">
        <w:rPr>
          <w:rFonts w:ascii="Arial" w:eastAsia="Arial" w:hAnsi="Arial" w:cs="Arial"/>
          <w:szCs w:val="23"/>
          <w:lang w:val="fr-CA"/>
        </w:rPr>
        <w:t>8</w:t>
      </w:r>
      <w:r w:rsidRPr="003E0DDA">
        <w:rPr>
          <w:rFonts w:ascii="Arial" w:eastAsia="Arial" w:hAnsi="Arial" w:cs="Arial"/>
          <w:szCs w:val="23"/>
          <w:lang w:val="fr-CA"/>
        </w:rPr>
        <w:t xml:space="preserve"> (Publication des notes d’interprétation) avant la fin de toutes les procédures possibles en ce qui concerne une mesure qui fait ou a fait l’objet d’une demande d’établissement d’un groupe spécial conformément à l’article 1018, un organe décisionnel peut, si cela est raisonnable dans les circonstances et d’une façon compatible avec les principes de l’équité, poser un ou plus d’un des actes suivants à la demande de la personne plaignante : </w:t>
      </w:r>
    </w:p>
    <w:p w14:paraId="0F3A11A6" w14:textId="77777777" w:rsidR="005A321B" w:rsidRPr="003E0DDA" w:rsidRDefault="005A321B" w:rsidP="005A321B">
      <w:pPr>
        <w:autoSpaceDE w:val="0"/>
        <w:autoSpaceDN w:val="0"/>
        <w:adjustRightInd w:val="0"/>
        <w:rPr>
          <w:rFonts w:ascii="Arial" w:eastAsia="Times New Roman" w:hAnsi="Arial" w:cs="Arial"/>
          <w:szCs w:val="23"/>
          <w:lang w:val="fr-CA"/>
        </w:rPr>
      </w:pPr>
    </w:p>
    <w:p w14:paraId="41C3D3AA" w14:textId="6F47DCB2"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demander la restitution ou la remise d’une autre manière à la personne plaignante du cautionnement pour les dépens qu’elle a fourni ou de toute somme d’argent produite grâce à celui-ci;</w:t>
      </w:r>
    </w:p>
    <w:p w14:paraId="109BE9B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4862CE5A" w14:textId="32EA8B15"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b)</w:t>
      </w:r>
      <w:r w:rsidRPr="003E0DDA">
        <w:rPr>
          <w:rFonts w:ascii="Arial" w:eastAsia="Times New Roman" w:hAnsi="Arial" w:cs="Arial"/>
          <w:szCs w:val="23"/>
          <w:lang w:val="fr-CA"/>
        </w:rPr>
        <w:tab/>
        <w:t>faire rembourser à la personne plaignante les dépenses engagées pour fournir ce cautionnement;</w:t>
      </w:r>
    </w:p>
    <w:p w14:paraId="1193329B"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7092AF7"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 xml:space="preserve">faire rembourser à la personne plaignante les coûts opérationnels ou les dépens prévus au tarif que la personne plaignante a payés; </w:t>
      </w:r>
    </w:p>
    <w:p w14:paraId="15C22A9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54E882B3"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 xml:space="preserve">ordonner à un ou plusieurs participants qui sont des Parties ou à d’autres Parties de financer les paiements ou les remboursements mentionnés aux alinéas a) à c); </w:t>
      </w:r>
    </w:p>
    <w:p w14:paraId="76EAEE6E"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DC9F743" w14:textId="23EB3D2B"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e)</w:t>
      </w:r>
      <w:r w:rsidRPr="003E0DDA">
        <w:rPr>
          <w:rFonts w:ascii="Arial" w:eastAsia="Times New Roman" w:hAnsi="Arial" w:cs="Arial"/>
          <w:szCs w:val="23"/>
          <w:lang w:val="fr-CA"/>
        </w:rPr>
        <w:tab/>
        <w:t>révoquer toute ordonnance d’un organe décisionnel par laquelle une personne plaignante a été contrainte de payer les coûts opérationnels ou les dépens prévus au tarif.</w:t>
      </w:r>
    </w:p>
    <w:p w14:paraId="381F7E36" w14:textId="77777777" w:rsidR="005A321B" w:rsidRPr="003E0DDA" w:rsidRDefault="005A321B" w:rsidP="005A321B">
      <w:pPr>
        <w:contextualSpacing/>
        <w:jc w:val="both"/>
        <w:rPr>
          <w:rFonts w:ascii="Arial" w:eastAsia="Times New Roman" w:hAnsi="Arial" w:cs="Arial"/>
          <w:szCs w:val="23"/>
          <w:lang w:val="fr-CA"/>
        </w:rPr>
      </w:pPr>
    </w:p>
    <w:p w14:paraId="5F797E19" w14:textId="12966CAC" w:rsidR="005A321B" w:rsidRPr="003E0DDA" w:rsidRDefault="005A321B">
      <w:pPr>
        <w:jc w:val="center"/>
        <w:rPr>
          <w:rFonts w:ascii="Arial" w:eastAsia="Arial" w:hAnsi="Arial" w:cs="Arial"/>
          <w:b/>
          <w:szCs w:val="23"/>
          <w:lang w:val="fr-CA"/>
        </w:rPr>
      </w:pPr>
      <w:bookmarkStart w:id="228" w:name="_Toc357427580"/>
      <w:bookmarkStart w:id="229" w:name="_Toc470079057"/>
      <w:r w:rsidRPr="003E0DDA">
        <w:rPr>
          <w:rFonts w:ascii="Arial" w:eastAsia="Arial" w:hAnsi="Arial" w:cs="Arial"/>
          <w:b/>
          <w:szCs w:val="23"/>
          <w:lang w:val="fr-CA"/>
        </w:rPr>
        <w:t xml:space="preserve">PARTIE C : </w:t>
      </w:r>
      <w:r w:rsidR="00AD7BB1" w:rsidRPr="003E0DDA">
        <w:rPr>
          <w:rFonts w:ascii="Arial" w:eastAsia="Arial" w:hAnsi="Arial" w:cs="Arial"/>
          <w:b/>
          <w:szCs w:val="23"/>
          <w:lang w:val="fr-CA"/>
        </w:rPr>
        <w:tab/>
      </w:r>
      <w:r w:rsidRPr="003E0DDA">
        <w:rPr>
          <w:rFonts w:ascii="Arial" w:eastAsia="Arial" w:hAnsi="Arial" w:cs="Arial"/>
          <w:b/>
          <w:szCs w:val="23"/>
          <w:lang w:val="fr-CA"/>
        </w:rPr>
        <w:t>Règles générales</w:t>
      </w:r>
      <w:bookmarkEnd w:id="228"/>
      <w:bookmarkEnd w:id="229"/>
    </w:p>
    <w:p w14:paraId="52E76E48" w14:textId="77777777" w:rsidR="005A321B" w:rsidRPr="003E0DDA" w:rsidRDefault="005A321B" w:rsidP="005A321B">
      <w:pPr>
        <w:autoSpaceDE w:val="0"/>
        <w:autoSpaceDN w:val="0"/>
        <w:adjustRightInd w:val="0"/>
        <w:ind w:left="720" w:hanging="720"/>
        <w:rPr>
          <w:rFonts w:ascii="Arial" w:eastAsia="Times New Roman" w:hAnsi="Arial" w:cs="Arial"/>
          <w:szCs w:val="23"/>
          <w:lang w:val="fr-CA"/>
        </w:rPr>
      </w:pPr>
    </w:p>
    <w:p w14:paraId="7B091BC1" w14:textId="77777777"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b/>
          <w:bCs/>
          <w:szCs w:val="23"/>
          <w:lang w:val="fr-CA"/>
        </w:rPr>
        <w:t>Toutes les procédures</w:t>
      </w:r>
    </w:p>
    <w:p w14:paraId="277AAFC7" w14:textId="77777777" w:rsidR="005A321B" w:rsidRPr="003E0DDA" w:rsidRDefault="005A321B" w:rsidP="005A321B">
      <w:pPr>
        <w:contextualSpacing/>
        <w:jc w:val="both"/>
        <w:rPr>
          <w:rFonts w:ascii="Arial" w:eastAsia="Times New Roman" w:hAnsi="Arial" w:cs="Arial"/>
          <w:szCs w:val="23"/>
          <w:lang w:val="fr-CA"/>
        </w:rPr>
      </w:pPr>
    </w:p>
    <w:p w14:paraId="28B63817" w14:textId="440717A7"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szCs w:val="23"/>
          <w:lang w:val="fr-CA"/>
        </w:rPr>
        <w:t>19.</w:t>
      </w:r>
      <w:r w:rsidRPr="003E0DDA">
        <w:rPr>
          <w:rFonts w:ascii="Arial" w:eastAsia="Times New Roman" w:hAnsi="Arial" w:cs="Arial"/>
          <w:szCs w:val="23"/>
          <w:lang w:val="fr-CA"/>
        </w:rPr>
        <w:tab/>
        <w:t>Les règles 19 à 22 s’appliquent à toutes les procédures engagées conformément au présent chapitre.</w:t>
      </w:r>
    </w:p>
    <w:p w14:paraId="7192992D" w14:textId="77777777" w:rsidR="005A321B" w:rsidRPr="003E0DDA" w:rsidRDefault="005A321B" w:rsidP="005A321B">
      <w:pPr>
        <w:contextualSpacing/>
        <w:jc w:val="both"/>
        <w:rPr>
          <w:rFonts w:ascii="Arial" w:eastAsia="Times New Roman" w:hAnsi="Arial" w:cs="Arial"/>
          <w:szCs w:val="23"/>
          <w:lang w:val="fr-CA"/>
        </w:rPr>
      </w:pPr>
    </w:p>
    <w:p w14:paraId="200B56D9" w14:textId="5F232ED8" w:rsidR="005A321B" w:rsidRPr="003E0DDA" w:rsidRDefault="005A321B" w:rsidP="005A321B">
      <w:pPr>
        <w:contextualSpacing/>
        <w:jc w:val="both"/>
        <w:rPr>
          <w:rFonts w:ascii="Arial" w:eastAsia="Times New Roman" w:hAnsi="Arial" w:cs="Arial"/>
          <w:szCs w:val="23"/>
          <w:lang w:val="fr-CA"/>
        </w:rPr>
      </w:pPr>
      <w:r w:rsidRPr="003E0DDA">
        <w:rPr>
          <w:rFonts w:ascii="Arial" w:eastAsia="Times New Roman" w:hAnsi="Arial" w:cs="Arial"/>
          <w:szCs w:val="23"/>
          <w:lang w:val="fr-CA"/>
        </w:rPr>
        <w:t>20.</w:t>
      </w:r>
      <w:r w:rsidRPr="003E0DDA">
        <w:rPr>
          <w:rFonts w:ascii="Arial" w:eastAsia="Times New Roman" w:hAnsi="Arial" w:cs="Arial"/>
          <w:szCs w:val="23"/>
          <w:lang w:val="fr-CA"/>
        </w:rPr>
        <w:tab/>
        <w:t>La Partie ou la Personne qui réclame les dépens prévus au tarif ou les frais supplémentaires soumet un relevé de ces coûts à l’organe décisionnel, dans le délai imposé par l’organe décisionnel, avec copie aux autres Parties au différend et aux litigants.</w:t>
      </w:r>
    </w:p>
    <w:p w14:paraId="6E0F9447" w14:textId="77777777" w:rsidR="005A321B" w:rsidRPr="003E0DDA" w:rsidRDefault="005A321B" w:rsidP="005A321B">
      <w:pPr>
        <w:contextualSpacing/>
        <w:jc w:val="both"/>
        <w:rPr>
          <w:rFonts w:ascii="Arial" w:eastAsia="Times New Roman" w:hAnsi="Arial" w:cs="Arial"/>
          <w:szCs w:val="23"/>
          <w:lang w:val="fr-CA"/>
        </w:rPr>
      </w:pPr>
    </w:p>
    <w:p w14:paraId="66B852A4" w14:textId="77777777"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21.</w:t>
      </w:r>
      <w:r w:rsidRPr="003E0DDA">
        <w:rPr>
          <w:rFonts w:ascii="Arial" w:eastAsia="Times New Roman" w:hAnsi="Arial" w:cs="Arial"/>
          <w:szCs w:val="23"/>
          <w:lang w:val="fr-CA"/>
        </w:rPr>
        <w:tab/>
        <w:t>Les coûts opérationnels sont exigibles immédiatement à la Corporation du Secrétariat du commerce intérieur.</w:t>
      </w:r>
    </w:p>
    <w:p w14:paraId="48473851" w14:textId="77777777" w:rsidR="005A321B" w:rsidRPr="003E0DDA" w:rsidRDefault="005A321B" w:rsidP="005A321B">
      <w:pPr>
        <w:autoSpaceDE w:val="0"/>
        <w:autoSpaceDN w:val="0"/>
        <w:adjustRightInd w:val="0"/>
        <w:rPr>
          <w:rFonts w:ascii="Arial" w:eastAsia="Times New Roman" w:hAnsi="Arial" w:cs="Arial"/>
          <w:szCs w:val="23"/>
          <w:lang w:val="fr-CA"/>
        </w:rPr>
      </w:pPr>
    </w:p>
    <w:p w14:paraId="6F4853FD" w14:textId="58749DE9" w:rsidR="005A321B" w:rsidRPr="003E0DDA" w:rsidRDefault="005A321B" w:rsidP="005A321B">
      <w:pPr>
        <w:autoSpaceDE w:val="0"/>
        <w:autoSpaceDN w:val="0"/>
        <w:adjustRightInd w:val="0"/>
        <w:rPr>
          <w:rFonts w:ascii="Arial" w:eastAsia="Times New Roman" w:hAnsi="Arial" w:cs="Arial"/>
          <w:szCs w:val="23"/>
          <w:lang w:val="fr-CA"/>
        </w:rPr>
      </w:pPr>
      <w:r w:rsidRPr="003E0DDA">
        <w:rPr>
          <w:rFonts w:ascii="Arial" w:eastAsia="Times New Roman" w:hAnsi="Arial" w:cs="Arial"/>
          <w:szCs w:val="23"/>
          <w:lang w:val="fr-CA"/>
        </w:rPr>
        <w:t>22.</w:t>
      </w:r>
      <w:r w:rsidRPr="003E0DDA">
        <w:rPr>
          <w:rFonts w:ascii="Arial" w:eastAsia="Times New Roman" w:hAnsi="Arial" w:cs="Arial"/>
          <w:szCs w:val="23"/>
          <w:lang w:val="fr-CA"/>
        </w:rPr>
        <w:tab/>
      </w:r>
      <w:r w:rsidRPr="003E0DDA">
        <w:rPr>
          <w:rFonts w:ascii="Arial" w:eastAsia="Arial" w:hAnsi="Arial" w:cs="Arial"/>
          <w:szCs w:val="23"/>
          <w:lang w:val="fr-CA"/>
        </w:rPr>
        <w:t>Dans l’examen de la conduite des Parties au différend ou des litigants pour la répartition des coûts, le groupe spécial, le groupe spécial de l’observation des décisions ou le groupe spécial d’appel examine la question de savoir si la conduite de la Partie au différend ou du litigant a contribué à l’efficacité et à la rapidité des procédures, ou a prolongé indûment la durée ou le coût des procédures. Il y a parmi les considérations pertinentes la question de savoir si la Partie au différend :</w:t>
      </w:r>
    </w:p>
    <w:p w14:paraId="44CB0593" w14:textId="77777777" w:rsidR="005A321B" w:rsidRPr="003E0DDA" w:rsidRDefault="005A321B" w:rsidP="005A321B">
      <w:pPr>
        <w:autoSpaceDE w:val="0"/>
        <w:autoSpaceDN w:val="0"/>
        <w:adjustRightInd w:val="0"/>
        <w:ind w:left="720"/>
        <w:rPr>
          <w:rFonts w:ascii="Arial" w:eastAsia="Times New Roman" w:hAnsi="Arial" w:cs="Arial"/>
          <w:szCs w:val="23"/>
          <w:lang w:val="fr-CA"/>
        </w:rPr>
      </w:pPr>
    </w:p>
    <w:p w14:paraId="3BA1AB33" w14:textId="0CDAE504"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a)</w:t>
      </w:r>
      <w:r w:rsidRPr="003E0DDA">
        <w:rPr>
          <w:rFonts w:ascii="Arial" w:eastAsia="Times New Roman" w:hAnsi="Arial" w:cs="Arial"/>
          <w:szCs w:val="23"/>
          <w:lang w:val="fr-CA"/>
        </w:rPr>
        <w:tab/>
        <w:t>a respecté l’annexe 1007.1 et 1024.1 ou l’annexe 1021, selon le cas;</w:t>
      </w:r>
    </w:p>
    <w:p w14:paraId="4431925A"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CC863D5" w14:textId="4490771C"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lastRenderedPageBreak/>
        <w:t>b)</w:t>
      </w:r>
      <w:r w:rsidRPr="003E0DDA">
        <w:rPr>
          <w:rFonts w:ascii="Arial" w:eastAsia="Times New Roman" w:hAnsi="Arial" w:cs="Arial"/>
          <w:szCs w:val="23"/>
          <w:lang w:val="fr-CA"/>
        </w:rPr>
        <w:tab/>
        <w:t>a respecté les décisions, les directives et les ordonnances de l’organe décisionnel, y compris en ce qui concerne les questions procédurales;</w:t>
      </w:r>
    </w:p>
    <w:p w14:paraId="6EAAB3C0"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25BEB0A2"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c)</w:t>
      </w:r>
      <w:r w:rsidRPr="003E0DDA">
        <w:rPr>
          <w:rFonts w:ascii="Arial" w:eastAsia="Times New Roman" w:hAnsi="Arial" w:cs="Arial"/>
          <w:szCs w:val="23"/>
          <w:lang w:val="fr-CA"/>
        </w:rPr>
        <w:tab/>
        <w:t>a collaboré avec les autres Parties participantes ou participants, l’organe décisionnel et le Secrétariat, et agi de bonne foi durant les procédures, y compris par un échange de renseignements en temps opportun;</w:t>
      </w:r>
    </w:p>
    <w:p w14:paraId="1F8AEF46"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p>
    <w:p w14:paraId="300A21A7" w14:textId="77777777" w:rsidR="005A321B" w:rsidRPr="003E0DDA" w:rsidRDefault="005A321B" w:rsidP="00F01C29">
      <w:pPr>
        <w:autoSpaceDE w:val="0"/>
        <w:autoSpaceDN w:val="0"/>
        <w:adjustRightInd w:val="0"/>
        <w:ind w:left="1440" w:hanging="720"/>
        <w:rPr>
          <w:rFonts w:ascii="Arial" w:eastAsia="Times New Roman" w:hAnsi="Arial" w:cs="Arial"/>
          <w:szCs w:val="23"/>
          <w:lang w:val="fr-CA"/>
        </w:rPr>
      </w:pPr>
      <w:r w:rsidRPr="003E0DDA">
        <w:rPr>
          <w:rFonts w:ascii="Arial" w:eastAsia="Times New Roman" w:hAnsi="Arial" w:cs="Arial"/>
          <w:szCs w:val="23"/>
          <w:lang w:val="fr-CA"/>
        </w:rPr>
        <w:t>d)</w:t>
      </w:r>
      <w:r w:rsidRPr="003E0DDA">
        <w:rPr>
          <w:rFonts w:ascii="Arial" w:eastAsia="Times New Roman" w:hAnsi="Arial" w:cs="Arial"/>
          <w:szCs w:val="23"/>
          <w:lang w:val="fr-CA"/>
        </w:rPr>
        <w:tab/>
        <w:t>a participé aux conférences préparatoires à l’audience et aux audiences, de façon éclairée et responsable.</w:t>
      </w:r>
    </w:p>
    <w:p w14:paraId="0FB9D99D" w14:textId="77777777" w:rsidR="005A321B" w:rsidRPr="003E0DDA" w:rsidRDefault="005A321B" w:rsidP="005A321B">
      <w:pPr>
        <w:rPr>
          <w:rFonts w:ascii="Arial" w:eastAsia="Times New Roman" w:hAnsi="Arial" w:cs="Arial"/>
          <w:szCs w:val="23"/>
          <w:lang w:val="fr-CA"/>
        </w:rPr>
      </w:pPr>
    </w:p>
    <w:p w14:paraId="67DE1C9F" w14:textId="77777777" w:rsidR="005A321B" w:rsidRPr="003E0DDA" w:rsidRDefault="005A321B" w:rsidP="005A321B">
      <w:pPr>
        <w:rPr>
          <w:rFonts w:ascii="Arial" w:eastAsia="Times New Roman" w:hAnsi="Arial" w:cs="Arial"/>
          <w:szCs w:val="23"/>
          <w:lang w:val="fr-CA"/>
        </w:rPr>
      </w:pPr>
    </w:p>
    <w:p w14:paraId="4EFCEFA1" w14:textId="77777777" w:rsidR="005A321B" w:rsidRPr="003E0DDA" w:rsidRDefault="005A321B">
      <w:pPr>
        <w:rPr>
          <w:lang w:val="fr-CA"/>
        </w:rPr>
      </w:pPr>
    </w:p>
    <w:p w14:paraId="5EA7ADE2" w14:textId="77777777" w:rsidR="00AA05B4" w:rsidRPr="00F52884" w:rsidRDefault="00AA05B4" w:rsidP="000C25A3">
      <w:pPr>
        <w:rPr>
          <w:rFonts w:eastAsia="Times New Roman" w:cstheme="minorHAnsi"/>
          <w:szCs w:val="23"/>
          <w:lang w:val="fr-CA"/>
        </w:rPr>
      </w:pPr>
    </w:p>
    <w:p w14:paraId="61C6A971" w14:textId="77777777" w:rsidR="00AA05B4" w:rsidRPr="00F52884" w:rsidRDefault="00AA05B4">
      <w:pPr>
        <w:rPr>
          <w:rFonts w:cstheme="minorHAnsi"/>
          <w:szCs w:val="23"/>
          <w:lang w:val="fr-CA"/>
        </w:rPr>
      </w:pPr>
      <w:r w:rsidRPr="00F52884">
        <w:rPr>
          <w:rFonts w:cstheme="minorHAnsi"/>
          <w:szCs w:val="23"/>
          <w:lang w:val="fr-CA"/>
        </w:rPr>
        <w:br w:type="page"/>
      </w:r>
    </w:p>
    <w:p w14:paraId="0265DEE1" w14:textId="753650E6" w:rsidR="00E8660D" w:rsidRPr="00F52884" w:rsidRDefault="00E8660D" w:rsidP="00E8660D">
      <w:pPr>
        <w:pStyle w:val="Heading2"/>
        <w:jc w:val="center"/>
        <w:rPr>
          <w:sz w:val="24"/>
          <w:szCs w:val="24"/>
          <w:lang w:val="fr-CA"/>
        </w:rPr>
      </w:pPr>
      <w:bookmarkStart w:id="230" w:name="_Toc471907460"/>
      <w:bookmarkStart w:id="231" w:name="_Toc156311781"/>
      <w:r w:rsidRPr="00F52884">
        <w:rPr>
          <w:sz w:val="24"/>
          <w:szCs w:val="24"/>
          <w:lang w:val="fr-CA"/>
        </w:rPr>
        <w:lastRenderedPageBreak/>
        <w:t>Chapitre Onze – Dispositions institutionnelles</w:t>
      </w:r>
      <w:bookmarkEnd w:id="230"/>
      <w:bookmarkEnd w:id="231"/>
    </w:p>
    <w:p w14:paraId="192403F4" w14:textId="77777777" w:rsidR="00E8660D" w:rsidRPr="00F52884" w:rsidRDefault="00E8660D" w:rsidP="00215444">
      <w:pPr>
        <w:tabs>
          <w:tab w:val="left" w:pos="2295"/>
        </w:tabs>
        <w:rPr>
          <w:rFonts w:ascii="Arial" w:eastAsia="Times New Roman" w:hAnsi="Arial" w:cs="Arial"/>
          <w:szCs w:val="23"/>
          <w:lang w:val="fr-CA"/>
        </w:rPr>
      </w:pPr>
      <w:r w:rsidRPr="00F52884">
        <w:rPr>
          <w:rFonts w:ascii="Arial" w:eastAsia="Times New Roman" w:hAnsi="Arial" w:cs="Arial"/>
          <w:szCs w:val="23"/>
          <w:lang w:val="fr-CA"/>
        </w:rPr>
        <w:tab/>
      </w:r>
    </w:p>
    <w:p w14:paraId="15B8738C" w14:textId="77777777" w:rsidR="00E8660D" w:rsidRPr="00F52884" w:rsidRDefault="00E8660D" w:rsidP="00215444">
      <w:pPr>
        <w:rPr>
          <w:rFonts w:ascii="Arial" w:eastAsia="Times New Roman" w:hAnsi="Arial" w:cs="Arial"/>
          <w:szCs w:val="23"/>
          <w:lang w:val="fr-CA"/>
        </w:rPr>
      </w:pPr>
    </w:p>
    <w:p w14:paraId="60358C69" w14:textId="77777777" w:rsidR="00E8660D" w:rsidRPr="00F52884" w:rsidRDefault="00E8660D" w:rsidP="00215444">
      <w:pPr>
        <w:jc w:val="center"/>
        <w:rPr>
          <w:rFonts w:ascii="Arial" w:eastAsia="Arial" w:hAnsi="Arial" w:cs="Arial"/>
          <w:b/>
          <w:szCs w:val="23"/>
          <w:lang w:val="fr-CA"/>
        </w:rPr>
      </w:pPr>
      <w:r w:rsidRPr="00F52884">
        <w:rPr>
          <w:rFonts w:ascii="Arial" w:eastAsia="Arial" w:hAnsi="Arial" w:cs="Arial"/>
          <w:b/>
          <w:bCs/>
          <w:szCs w:val="23"/>
          <w:lang w:val="fr-CA"/>
        </w:rPr>
        <w:t>Article 1100 :</w:t>
      </w:r>
      <w:r w:rsidRPr="00F52884">
        <w:rPr>
          <w:rFonts w:ascii="Arial" w:eastAsia="Arial" w:hAnsi="Arial" w:cs="Arial"/>
          <w:szCs w:val="23"/>
          <w:lang w:val="fr-CA"/>
        </w:rPr>
        <w:t xml:space="preserve"> </w:t>
      </w:r>
      <w:r w:rsidRPr="00F52884">
        <w:rPr>
          <w:rFonts w:ascii="Arial" w:eastAsia="Arial" w:hAnsi="Arial" w:cs="Arial"/>
          <w:b/>
          <w:bCs/>
          <w:szCs w:val="23"/>
          <w:lang w:val="fr-CA"/>
        </w:rPr>
        <w:t>Comité du commerce intérieur</w:t>
      </w:r>
    </w:p>
    <w:p w14:paraId="01588E16"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3D4F91B9" w14:textId="04562AAB"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Le Comité du commerce intérieur constitué en vertu de l’article 1600 (Comité du commerce intérieur) de l’Accord sur le commerce intérieur</w:t>
      </w:r>
      <w:r w:rsidRPr="00F52884">
        <w:rPr>
          <w:rFonts w:ascii="Arial" w:eastAsia="Times New Roman" w:hAnsi="Arial" w:cs="Arial"/>
          <w:i/>
          <w:szCs w:val="23"/>
          <w:lang w:val="fr-CA"/>
        </w:rPr>
        <w:t xml:space="preserve"> </w:t>
      </w:r>
      <w:r w:rsidRPr="00F52884">
        <w:rPr>
          <w:rFonts w:ascii="Arial" w:eastAsia="Times New Roman" w:hAnsi="Arial" w:cs="Arial"/>
          <w:szCs w:val="23"/>
          <w:lang w:val="fr-CA"/>
        </w:rPr>
        <w:t>est reconduit en vertu du présent accord.</w:t>
      </w:r>
    </w:p>
    <w:p w14:paraId="309634BC"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0D71DD07" w14:textId="319E91D1"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2.</w:t>
      </w:r>
      <w:r w:rsidRPr="00F52884">
        <w:rPr>
          <w:rFonts w:ascii="Arial" w:eastAsia="Times New Roman" w:hAnsi="Arial" w:cs="Arial"/>
          <w:szCs w:val="23"/>
          <w:lang w:val="fr-CA"/>
        </w:rPr>
        <w:tab/>
        <w:t>Le Comité exerce les fonctions suivantes :</w:t>
      </w:r>
    </w:p>
    <w:p w14:paraId="64390904"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7B1BD67C"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a)</w:t>
      </w:r>
      <w:r w:rsidRPr="00F52884">
        <w:rPr>
          <w:rFonts w:ascii="Arial" w:eastAsia="Times New Roman" w:hAnsi="Arial" w:cs="Arial"/>
          <w:szCs w:val="23"/>
          <w:lang w:val="fr-CA"/>
        </w:rPr>
        <w:tab/>
        <w:t>superviser la mise en œuvre du présent accord;</w:t>
      </w:r>
    </w:p>
    <w:p w14:paraId="760052CC"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p>
    <w:p w14:paraId="057550C7"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b)</w:t>
      </w:r>
      <w:r w:rsidRPr="00F52884">
        <w:rPr>
          <w:rFonts w:ascii="Arial" w:eastAsia="Times New Roman" w:hAnsi="Arial" w:cs="Arial"/>
          <w:szCs w:val="23"/>
          <w:lang w:val="fr-CA"/>
        </w:rPr>
        <w:tab/>
        <w:t xml:space="preserve">aider au règlement des différends découlant de l’interprétation et de l’application du présent accord; </w:t>
      </w:r>
    </w:p>
    <w:p w14:paraId="00A88EBB"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p>
    <w:p w14:paraId="5D784465"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c)</w:t>
      </w:r>
      <w:r w:rsidRPr="00F52884">
        <w:rPr>
          <w:rFonts w:ascii="Arial" w:eastAsia="Times New Roman" w:hAnsi="Arial" w:cs="Arial"/>
          <w:szCs w:val="23"/>
          <w:lang w:val="fr-CA"/>
        </w:rPr>
        <w:tab/>
        <w:t>approuver le budget annuel de fonctionnement du Secrétariat;</w:t>
      </w:r>
    </w:p>
    <w:p w14:paraId="69E4B3D4"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p>
    <w:p w14:paraId="05D3A8DB" w14:textId="3D7B1081"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d)</w:t>
      </w:r>
      <w:r w:rsidRPr="00F52884">
        <w:rPr>
          <w:rFonts w:ascii="Arial" w:eastAsia="Times New Roman" w:hAnsi="Arial" w:cs="Arial"/>
          <w:szCs w:val="23"/>
          <w:lang w:val="fr-CA"/>
        </w:rPr>
        <w:tab/>
        <w:t>examiner toute autre question susceptible d’affecter le fonctionnement du présent accord.</w:t>
      </w:r>
    </w:p>
    <w:p w14:paraId="24018F0F"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6ADA0073" w14:textId="2337FA3C" w:rsidR="00E8660D" w:rsidRPr="00F52884" w:rsidRDefault="00E8660D" w:rsidP="00215444">
      <w:pPr>
        <w:jc w:val="center"/>
        <w:rPr>
          <w:rFonts w:ascii="Arial" w:eastAsia="Arial" w:hAnsi="Arial" w:cs="Arial"/>
          <w:b/>
          <w:szCs w:val="23"/>
          <w:lang w:val="fr-CA"/>
        </w:rPr>
      </w:pPr>
      <w:r w:rsidRPr="00F52884">
        <w:rPr>
          <w:rFonts w:ascii="Arial" w:eastAsia="Arial" w:hAnsi="Arial" w:cs="Arial"/>
          <w:b/>
          <w:bCs/>
          <w:szCs w:val="23"/>
          <w:lang w:val="fr-CA"/>
        </w:rPr>
        <w:t>Article 1101 :</w:t>
      </w:r>
      <w:r w:rsidRPr="00F52884">
        <w:rPr>
          <w:rFonts w:ascii="Arial" w:eastAsia="Arial" w:hAnsi="Arial" w:cs="Arial"/>
          <w:szCs w:val="23"/>
          <w:lang w:val="fr-CA"/>
        </w:rPr>
        <w:t xml:space="preserve"> </w:t>
      </w:r>
      <w:r w:rsidR="00D752EB" w:rsidRPr="00F52884">
        <w:rPr>
          <w:rFonts w:ascii="Arial" w:eastAsia="Arial" w:hAnsi="Arial" w:cs="Arial"/>
          <w:szCs w:val="23"/>
          <w:lang w:val="fr-CA"/>
        </w:rPr>
        <w:tab/>
      </w:r>
      <w:r w:rsidRPr="00F52884">
        <w:rPr>
          <w:rFonts w:ascii="Arial" w:eastAsia="Arial" w:hAnsi="Arial" w:cs="Arial"/>
          <w:b/>
          <w:bCs/>
          <w:szCs w:val="23"/>
          <w:lang w:val="fr-CA"/>
        </w:rPr>
        <w:t>Composition et procédures du Comité</w:t>
      </w:r>
    </w:p>
    <w:p w14:paraId="485018FD"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jc w:val="center"/>
        <w:rPr>
          <w:rFonts w:ascii="Arial" w:eastAsia="Times New Roman" w:hAnsi="Arial" w:cs="Arial"/>
          <w:szCs w:val="23"/>
          <w:lang w:val="fr-CA"/>
        </w:rPr>
      </w:pPr>
    </w:p>
    <w:p w14:paraId="43DB7A40" w14:textId="4C5726FA"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Le Comité est composé de représentants ayant rang ministériel de chacune des Parties, ou de leurs représentants désignés.</w:t>
      </w:r>
    </w:p>
    <w:p w14:paraId="55EDC902" w14:textId="77777777" w:rsidR="00E8660D" w:rsidRPr="00F52884" w:rsidRDefault="00E8660D" w:rsidP="00E8660D">
      <w:pPr>
        <w:autoSpaceDE w:val="0"/>
        <w:autoSpaceDN w:val="0"/>
        <w:adjustRightInd w:val="0"/>
        <w:contextualSpacing/>
        <w:rPr>
          <w:rFonts w:ascii="Arial" w:eastAsia="Times New Roman" w:hAnsi="Arial" w:cs="Arial"/>
          <w:szCs w:val="23"/>
          <w:lang w:val="fr-CA"/>
        </w:rPr>
      </w:pPr>
    </w:p>
    <w:p w14:paraId="1E4530D0" w14:textId="467F2A46"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2.</w:t>
      </w:r>
      <w:r w:rsidRPr="00F52884">
        <w:rPr>
          <w:rFonts w:ascii="Arial" w:eastAsia="Times New Roman" w:hAnsi="Arial" w:cs="Arial"/>
          <w:szCs w:val="23"/>
          <w:lang w:val="fr-CA"/>
        </w:rPr>
        <w:tab/>
        <w:t>Le Comité peut établir ou modifier ses pratiques et règles de procédure.</w:t>
      </w:r>
    </w:p>
    <w:p w14:paraId="5F6E624B" w14:textId="77777777" w:rsidR="00E8660D" w:rsidRPr="00F52884" w:rsidRDefault="00E8660D" w:rsidP="00E8660D">
      <w:pPr>
        <w:autoSpaceDE w:val="0"/>
        <w:autoSpaceDN w:val="0"/>
        <w:adjustRightInd w:val="0"/>
        <w:contextualSpacing/>
        <w:rPr>
          <w:rFonts w:ascii="Arial" w:eastAsia="Times New Roman" w:hAnsi="Arial" w:cs="Arial"/>
          <w:szCs w:val="23"/>
          <w:lang w:val="fr-CA"/>
        </w:rPr>
      </w:pPr>
    </w:p>
    <w:p w14:paraId="28BDC312" w14:textId="77777777"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3.</w:t>
      </w:r>
      <w:r w:rsidRPr="00F52884">
        <w:rPr>
          <w:rFonts w:ascii="Arial" w:eastAsia="Times New Roman" w:hAnsi="Arial" w:cs="Arial"/>
          <w:szCs w:val="23"/>
          <w:lang w:val="fr-CA"/>
        </w:rPr>
        <w:tab/>
        <w:t>Le Comité se réunit :</w:t>
      </w:r>
    </w:p>
    <w:p w14:paraId="12F14BA1"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4DEF1AE8" w14:textId="17859706"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a)</w:t>
      </w:r>
      <w:r w:rsidRPr="00F52884">
        <w:rPr>
          <w:rFonts w:ascii="Arial" w:eastAsia="Times New Roman" w:hAnsi="Arial" w:cs="Arial"/>
          <w:szCs w:val="23"/>
          <w:lang w:val="fr-CA"/>
        </w:rPr>
        <w:tab/>
        <w:t>annuellement; et</w:t>
      </w:r>
    </w:p>
    <w:p w14:paraId="68E811B1"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p>
    <w:p w14:paraId="29FBA438"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b)</w:t>
      </w:r>
      <w:r w:rsidRPr="00F52884">
        <w:rPr>
          <w:rFonts w:ascii="Arial" w:eastAsia="Times New Roman" w:hAnsi="Arial" w:cs="Arial"/>
          <w:szCs w:val="23"/>
          <w:lang w:val="fr-CA"/>
        </w:rPr>
        <w:tab/>
        <w:t>à tout autre moment sur convocation de son président, à la demande d’au moins deux Parties, ou lorsqu’il juge à propos de le faire.</w:t>
      </w:r>
    </w:p>
    <w:p w14:paraId="35D7C7EB"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321D5877" w14:textId="03E2B5CB"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4.</w:t>
      </w:r>
      <w:r w:rsidRPr="00F52884">
        <w:rPr>
          <w:rFonts w:ascii="Arial" w:eastAsia="Times New Roman" w:hAnsi="Arial" w:cs="Arial"/>
          <w:szCs w:val="23"/>
          <w:lang w:val="fr-CA"/>
        </w:rPr>
        <w:tab/>
        <w:t>Sous réserve du paragraphe 5, chaque Partie assure la présidence du Comité pendant une période d’un an, commençant le 1</w:t>
      </w:r>
      <w:r w:rsidRPr="00F52884">
        <w:rPr>
          <w:rFonts w:ascii="Arial" w:eastAsia="Times New Roman" w:hAnsi="Arial" w:cs="Arial"/>
          <w:szCs w:val="23"/>
          <w:vertAlign w:val="superscript"/>
          <w:lang w:val="fr-CA"/>
        </w:rPr>
        <w:t>er</w:t>
      </w:r>
      <w:r w:rsidRPr="00F52884">
        <w:rPr>
          <w:rFonts w:ascii="Arial" w:eastAsia="Times New Roman" w:hAnsi="Arial" w:cs="Arial"/>
          <w:szCs w:val="23"/>
          <w:lang w:val="fr-CA"/>
        </w:rPr>
        <w:t> janvier de chaque année et se terminant le 31 décembre, selon un principe d’alternance dans l’ordre suivant :</w:t>
      </w:r>
    </w:p>
    <w:p w14:paraId="2AD79BC2" w14:textId="77777777" w:rsidR="00E8660D" w:rsidRPr="00F52884" w:rsidRDefault="00E8660D" w:rsidP="00215444">
      <w:pPr>
        <w:rPr>
          <w:rFonts w:ascii="Arial" w:eastAsia="Arial" w:hAnsi="Arial" w:cs="Arial"/>
          <w:b/>
          <w:szCs w:val="23"/>
          <w:lang w:val="fr-CA"/>
        </w:rPr>
      </w:pPr>
    </w:p>
    <w:tbl>
      <w:tblPr>
        <w:tblW w:w="0" w:type="auto"/>
        <w:tblInd w:w="2542" w:type="dxa"/>
        <w:tblCellMar>
          <w:left w:w="30" w:type="dxa"/>
          <w:right w:w="30" w:type="dxa"/>
        </w:tblCellMar>
        <w:tblLook w:val="0000" w:firstRow="0" w:lastRow="0" w:firstColumn="0" w:lastColumn="0" w:noHBand="0" w:noVBand="0"/>
      </w:tblPr>
      <w:tblGrid>
        <w:gridCol w:w="3536"/>
      </w:tblGrid>
      <w:tr w:rsidR="00E8660D" w:rsidRPr="00F52884" w14:paraId="24648E85"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2C7F22BE"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Nouveau-Brunswick</w:t>
            </w:r>
          </w:p>
        </w:tc>
      </w:tr>
      <w:tr w:rsidR="00E8660D" w:rsidRPr="00F52884" w14:paraId="10FCE9AE"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40BC4056"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Québec</w:t>
            </w:r>
          </w:p>
        </w:tc>
      </w:tr>
      <w:tr w:rsidR="00E8660D" w:rsidRPr="00F52884" w14:paraId="1DBDA1AF"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519D61CC"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Nouvelle-Écosse</w:t>
            </w:r>
          </w:p>
        </w:tc>
      </w:tr>
      <w:tr w:rsidR="00E8660D" w:rsidRPr="00F52884" w14:paraId="39187B46"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0EF0707F"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Terre-Neuve-et-Labrador</w:t>
            </w:r>
          </w:p>
        </w:tc>
      </w:tr>
      <w:tr w:rsidR="00E8660D" w:rsidRPr="00F52884" w14:paraId="1413674C"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7B3DFCAD"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Colombie-Britannique</w:t>
            </w:r>
          </w:p>
        </w:tc>
      </w:tr>
      <w:tr w:rsidR="00E8660D" w:rsidRPr="00F52884" w14:paraId="7405E8BB"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476E7832"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Yukon</w:t>
            </w:r>
          </w:p>
        </w:tc>
      </w:tr>
      <w:tr w:rsidR="00E8660D" w:rsidRPr="00F52884" w14:paraId="1DBF9B58"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21BE5495"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Saskatchewan</w:t>
            </w:r>
          </w:p>
        </w:tc>
      </w:tr>
      <w:tr w:rsidR="00E8660D" w:rsidRPr="00F52884" w14:paraId="40B2759D"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5AB72FD2"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Île-du-Prince-Édouard</w:t>
            </w:r>
          </w:p>
        </w:tc>
      </w:tr>
      <w:tr w:rsidR="00E8660D" w:rsidRPr="00F52884" w14:paraId="33B150BB"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1956D836"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Territoires du Nord-Ouest</w:t>
            </w:r>
          </w:p>
        </w:tc>
      </w:tr>
      <w:tr w:rsidR="00E8660D" w:rsidRPr="00F52884" w14:paraId="37823AD2"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3472E9DB"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lastRenderedPageBreak/>
              <w:t>Nunavut</w:t>
            </w:r>
          </w:p>
        </w:tc>
      </w:tr>
      <w:tr w:rsidR="00E8660D" w:rsidRPr="00F52884" w14:paraId="0B63DA74"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1A174FFA"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Canada</w:t>
            </w:r>
          </w:p>
        </w:tc>
      </w:tr>
      <w:tr w:rsidR="00E8660D" w:rsidRPr="00F52884" w14:paraId="3ADEB1B3"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10C04333"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Manitoba</w:t>
            </w:r>
          </w:p>
        </w:tc>
      </w:tr>
      <w:tr w:rsidR="00E8660D" w:rsidRPr="00F52884" w14:paraId="0E8595BA"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0C540662"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Ontario</w:t>
            </w:r>
          </w:p>
        </w:tc>
      </w:tr>
      <w:tr w:rsidR="00E8660D" w:rsidRPr="00F52884" w14:paraId="2FC8DECD"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35CDB5EC"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Alberta</w:t>
            </w:r>
          </w:p>
        </w:tc>
      </w:tr>
      <w:tr w:rsidR="00E8660D" w:rsidRPr="00F52884" w14:paraId="6032F4E7" w14:textId="77777777" w:rsidTr="00215444">
        <w:trPr>
          <w:trHeight w:val="176"/>
        </w:trPr>
        <w:tc>
          <w:tcPr>
            <w:tcW w:w="3536" w:type="dxa"/>
            <w:tcBorders>
              <w:top w:val="single" w:sz="6" w:space="0" w:color="auto"/>
              <w:left w:val="single" w:sz="6" w:space="0" w:color="auto"/>
              <w:bottom w:val="single" w:sz="6" w:space="0" w:color="auto"/>
              <w:right w:val="single" w:sz="6" w:space="0" w:color="auto"/>
            </w:tcBorders>
          </w:tcPr>
          <w:p w14:paraId="48181D90" w14:textId="77777777" w:rsidR="00E8660D" w:rsidRPr="00F52884" w:rsidRDefault="00E8660D" w:rsidP="00215444">
            <w:pPr>
              <w:jc w:val="center"/>
              <w:rPr>
                <w:rFonts w:ascii="Arial" w:eastAsia="Arial" w:hAnsi="Arial" w:cs="Arial"/>
                <w:szCs w:val="23"/>
                <w:lang w:val="fr-CA"/>
              </w:rPr>
            </w:pPr>
            <w:r w:rsidRPr="00F52884">
              <w:rPr>
                <w:rFonts w:ascii="Arial" w:eastAsia="Arial" w:hAnsi="Arial" w:cs="Arial"/>
                <w:szCs w:val="23"/>
                <w:lang w:val="fr-CA"/>
              </w:rPr>
              <w:t>Nouveau-Brunswick</w:t>
            </w:r>
          </w:p>
        </w:tc>
      </w:tr>
    </w:tbl>
    <w:p w14:paraId="1DEA28B9"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3B28FCC7" w14:textId="3DC44867"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5.</w:t>
      </w:r>
      <w:r w:rsidRPr="00F52884">
        <w:rPr>
          <w:rFonts w:ascii="Arial" w:eastAsia="Times New Roman" w:hAnsi="Arial" w:cs="Arial"/>
          <w:szCs w:val="23"/>
          <w:lang w:val="fr-CA"/>
        </w:rPr>
        <w:tab/>
        <w:t>Le président du Comité du commerce intérieur au titre de l’Accord sur le commerce intérieur à la date d’entrée en vigueur assurera la présidence du Comité jusqu’à la fin de cette année civile.</w:t>
      </w:r>
    </w:p>
    <w:p w14:paraId="2E762148"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04E78979" w14:textId="68D13C2E"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6.</w:t>
      </w:r>
      <w:r w:rsidRPr="00F52884">
        <w:rPr>
          <w:rFonts w:ascii="Arial" w:eastAsia="Times New Roman" w:hAnsi="Arial" w:cs="Arial"/>
          <w:szCs w:val="23"/>
          <w:lang w:val="fr-CA"/>
        </w:rPr>
        <w:tab/>
        <w:t xml:space="preserve">Sauf disposition contraire du présent accord, toutes les décisions et </w:t>
      </w:r>
      <w:proofErr w:type="gramStart"/>
      <w:r w:rsidRPr="00F52884">
        <w:rPr>
          <w:rFonts w:ascii="Arial" w:eastAsia="Times New Roman" w:hAnsi="Arial" w:cs="Arial"/>
          <w:szCs w:val="23"/>
          <w:lang w:val="fr-CA"/>
        </w:rPr>
        <w:t>recommandations  du</w:t>
      </w:r>
      <w:proofErr w:type="gramEnd"/>
      <w:r w:rsidRPr="00F52884">
        <w:rPr>
          <w:rFonts w:ascii="Arial" w:eastAsia="Times New Roman" w:hAnsi="Arial" w:cs="Arial"/>
          <w:szCs w:val="23"/>
          <w:lang w:val="fr-CA"/>
        </w:rPr>
        <w:t xml:space="preserve"> Comité sont prises par consensus.</w:t>
      </w:r>
    </w:p>
    <w:p w14:paraId="419190EB"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0871566D" w14:textId="69AB8E2B"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7.</w:t>
      </w:r>
      <w:r w:rsidRPr="00F52884">
        <w:rPr>
          <w:rFonts w:ascii="Arial" w:eastAsia="Times New Roman" w:hAnsi="Arial" w:cs="Arial"/>
          <w:szCs w:val="23"/>
          <w:lang w:val="fr-CA"/>
        </w:rPr>
        <w:tab/>
        <w:t>Le Comité prépare un rapport annuel sur le fonctionnement du présent accord.</w:t>
      </w:r>
    </w:p>
    <w:p w14:paraId="7F0D38E9"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394D2E04" w14:textId="761D3FA2" w:rsidR="00E8660D" w:rsidRPr="00F52884" w:rsidRDefault="00E8660D" w:rsidP="00215444">
      <w:pPr>
        <w:jc w:val="center"/>
        <w:rPr>
          <w:rFonts w:ascii="Arial" w:eastAsia="Arial" w:hAnsi="Arial" w:cs="Arial"/>
          <w:b/>
          <w:szCs w:val="23"/>
          <w:lang w:val="fr-CA"/>
        </w:rPr>
      </w:pPr>
      <w:r w:rsidRPr="00F52884">
        <w:rPr>
          <w:rFonts w:ascii="Arial" w:eastAsia="Arial" w:hAnsi="Arial" w:cs="Arial"/>
          <w:b/>
          <w:bCs/>
          <w:szCs w:val="23"/>
          <w:lang w:val="fr-CA"/>
        </w:rPr>
        <w:t>Article 1102 :</w:t>
      </w:r>
      <w:r w:rsidRPr="00F52884">
        <w:rPr>
          <w:rFonts w:ascii="Arial" w:eastAsia="Arial" w:hAnsi="Arial" w:cs="Arial"/>
          <w:szCs w:val="23"/>
          <w:lang w:val="fr-CA"/>
        </w:rPr>
        <w:t xml:space="preserve"> </w:t>
      </w:r>
      <w:r w:rsidR="00D752EB" w:rsidRPr="00F52884">
        <w:rPr>
          <w:rFonts w:ascii="Arial" w:eastAsia="Arial" w:hAnsi="Arial" w:cs="Arial"/>
          <w:szCs w:val="23"/>
          <w:lang w:val="fr-CA"/>
        </w:rPr>
        <w:tab/>
      </w:r>
      <w:r w:rsidRPr="00F52884">
        <w:rPr>
          <w:rFonts w:ascii="Arial" w:eastAsia="Arial" w:hAnsi="Arial" w:cs="Arial"/>
          <w:b/>
          <w:bCs/>
          <w:szCs w:val="23"/>
          <w:lang w:val="fr-CA"/>
        </w:rPr>
        <w:t>Secrétariat</w:t>
      </w:r>
    </w:p>
    <w:p w14:paraId="60EB3488"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3A4B2085" w14:textId="5D5D5CAC" w:rsidR="00E8660D" w:rsidRPr="00F52884" w:rsidRDefault="00E8660D" w:rsidP="00E8660D">
      <w:pPr>
        <w:autoSpaceDE w:val="0"/>
        <w:autoSpaceDN w:val="0"/>
        <w:adjustRightInd w:val="0"/>
        <w:contextualSpacing/>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Le Secrétariat du commerce intérieur constitué en vertu de l’article 1603 (Secrétariat) de l’Accord sur le commerce intérieur</w:t>
      </w:r>
      <w:r w:rsidRPr="00F52884">
        <w:rPr>
          <w:rFonts w:ascii="Arial" w:eastAsia="Times New Roman" w:hAnsi="Arial" w:cs="Arial"/>
          <w:i/>
          <w:szCs w:val="23"/>
          <w:lang w:val="fr-CA"/>
        </w:rPr>
        <w:t xml:space="preserve"> </w:t>
      </w:r>
      <w:r w:rsidRPr="00F52884">
        <w:rPr>
          <w:rFonts w:ascii="Arial" w:eastAsia="Times New Roman" w:hAnsi="Arial" w:cs="Arial"/>
          <w:szCs w:val="23"/>
          <w:lang w:val="fr-CA"/>
        </w:rPr>
        <w:t>est reconduit en vertu du présent accord. Le Secrétariat est dirigé par un directeur général et dispose d’un bureau pour fournir un soutien administratif et opérationnel au Comité, aux groupes de travail et autres comités, en plus de fournir toute autre mesure d’appui demandée par le Comité.</w:t>
      </w:r>
    </w:p>
    <w:p w14:paraId="6F2B635C"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6E8FA07A" w14:textId="17422DFA" w:rsidR="00E8660D" w:rsidRPr="00F52884" w:rsidRDefault="00E8660D" w:rsidP="00215444">
      <w:pPr>
        <w:rPr>
          <w:rFonts w:ascii="Arial" w:eastAsia="Arial" w:hAnsi="Arial" w:cs="Arial"/>
          <w:szCs w:val="23"/>
          <w:lang w:val="fr-CA"/>
        </w:rPr>
      </w:pPr>
      <w:r w:rsidRPr="00F52884">
        <w:rPr>
          <w:rFonts w:ascii="Arial" w:eastAsia="Arial" w:hAnsi="Arial" w:cs="Arial"/>
          <w:szCs w:val="23"/>
          <w:lang w:val="fr-CA"/>
        </w:rPr>
        <w:t>2.</w:t>
      </w:r>
      <w:r w:rsidRPr="00F52884">
        <w:rPr>
          <w:rFonts w:ascii="Arial" w:eastAsia="Arial" w:hAnsi="Arial" w:cs="Arial"/>
          <w:szCs w:val="23"/>
          <w:lang w:val="fr-CA"/>
        </w:rPr>
        <w:tab/>
        <w:t>Le directeur général prépare un budget annuel de fonctionnement qui est soumis à l’examen et à l’approbation du Comité.</w:t>
      </w:r>
    </w:p>
    <w:p w14:paraId="170C636E" w14:textId="77777777" w:rsidR="00E8660D" w:rsidRPr="00F52884" w:rsidRDefault="00E8660D" w:rsidP="00215444">
      <w:pPr>
        <w:rPr>
          <w:rFonts w:ascii="Arial" w:eastAsia="Arial" w:hAnsi="Arial" w:cs="Arial"/>
          <w:szCs w:val="23"/>
          <w:lang w:val="fr-CA"/>
        </w:rPr>
      </w:pPr>
    </w:p>
    <w:p w14:paraId="514F3738" w14:textId="60EA8C96" w:rsidR="00E8660D" w:rsidRPr="00F52884" w:rsidRDefault="00E8660D" w:rsidP="00215444">
      <w:pPr>
        <w:rPr>
          <w:rFonts w:ascii="Arial" w:eastAsia="Arial" w:hAnsi="Arial" w:cs="Arial"/>
          <w:szCs w:val="23"/>
          <w:lang w:val="fr-CA"/>
        </w:rPr>
      </w:pPr>
      <w:r w:rsidRPr="00F52884">
        <w:rPr>
          <w:rFonts w:ascii="Arial" w:eastAsia="Arial" w:hAnsi="Arial" w:cs="Arial"/>
          <w:szCs w:val="23"/>
          <w:lang w:val="fr-CA"/>
        </w:rPr>
        <w:t>3.</w:t>
      </w:r>
      <w:r w:rsidRPr="00F52884">
        <w:rPr>
          <w:rFonts w:ascii="Arial" w:eastAsia="Arial" w:hAnsi="Arial" w:cs="Arial"/>
          <w:szCs w:val="23"/>
          <w:lang w:val="fr-CA"/>
        </w:rPr>
        <w:tab/>
        <w:t>Les Parties contribuent au budget annuel de fonctionnement dans les proportions suivantes :</w:t>
      </w:r>
    </w:p>
    <w:p w14:paraId="67064B63"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77871251"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a)</w:t>
      </w:r>
      <w:r w:rsidRPr="00F52884">
        <w:rPr>
          <w:rFonts w:ascii="Arial" w:eastAsia="Times New Roman" w:hAnsi="Arial" w:cs="Arial"/>
          <w:szCs w:val="23"/>
          <w:lang w:val="fr-CA"/>
        </w:rPr>
        <w:tab/>
        <w:t>gouvernement du Canada — 50 pour cent du budget;</w:t>
      </w:r>
    </w:p>
    <w:p w14:paraId="13D6A936" w14:textId="77777777"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p>
    <w:p w14:paraId="2D2632CB" w14:textId="21203C3F" w:rsidR="00E8660D" w:rsidRPr="00F52884" w:rsidRDefault="00E8660D" w:rsidP="00E8660D">
      <w:p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b)</w:t>
      </w:r>
      <w:r w:rsidRPr="00F52884">
        <w:rPr>
          <w:rFonts w:ascii="Arial" w:eastAsia="Times New Roman" w:hAnsi="Arial" w:cs="Arial"/>
          <w:szCs w:val="23"/>
          <w:lang w:val="fr-CA"/>
        </w:rPr>
        <w:tab/>
        <w:t>Provinces (collectivement) — 50 pour cent du budget.</w:t>
      </w:r>
    </w:p>
    <w:p w14:paraId="2D7755BC"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5620EBC8" w14:textId="225069C6" w:rsidR="00E8660D" w:rsidRPr="00F52884" w:rsidRDefault="00E8660D" w:rsidP="00E8660D">
      <w:pPr>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 xml:space="preserve">4. </w:t>
      </w:r>
      <w:r w:rsidRPr="00F52884">
        <w:rPr>
          <w:rFonts w:ascii="Arial" w:eastAsia="Times New Roman" w:hAnsi="Arial" w:cs="Arial"/>
          <w:szCs w:val="23"/>
          <w:lang w:val="fr-CA"/>
        </w:rPr>
        <w:tab/>
        <w:t>La part respective de chaque Province est établie en fonction de la taille relative de sa population, en termes de pourcentage, par rapport à la population totale du Canada selon le plus récent recensement national. Cette répartition est examinée et modifiée, au besoin, après chaque recensement national subséquent.</w:t>
      </w:r>
    </w:p>
    <w:p w14:paraId="4802335E" w14:textId="77777777" w:rsidR="00E8660D" w:rsidRPr="00F52884" w:rsidRDefault="00E8660D" w:rsidP="00215444">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17798394" w14:textId="49A02E27" w:rsidR="00E8660D" w:rsidRPr="00F52884" w:rsidRDefault="00E8660D" w:rsidP="00215444">
      <w:pPr>
        <w:jc w:val="center"/>
        <w:rPr>
          <w:rFonts w:ascii="Arial" w:eastAsia="Arial" w:hAnsi="Arial" w:cs="Arial"/>
          <w:b/>
          <w:szCs w:val="23"/>
          <w:lang w:val="fr-CA"/>
        </w:rPr>
      </w:pPr>
      <w:r w:rsidRPr="00F52884">
        <w:rPr>
          <w:rFonts w:ascii="Arial" w:eastAsia="Arial" w:hAnsi="Arial" w:cs="Arial"/>
          <w:b/>
          <w:bCs/>
          <w:szCs w:val="23"/>
          <w:lang w:val="fr-CA"/>
        </w:rPr>
        <w:t>Article 1103 :</w:t>
      </w:r>
      <w:r w:rsidRPr="00F52884">
        <w:rPr>
          <w:rFonts w:ascii="Arial" w:eastAsia="Arial" w:hAnsi="Arial" w:cs="Arial"/>
          <w:szCs w:val="23"/>
          <w:lang w:val="fr-CA"/>
        </w:rPr>
        <w:t xml:space="preserve"> </w:t>
      </w:r>
      <w:r w:rsidR="00D752EB" w:rsidRPr="00F52884">
        <w:rPr>
          <w:rFonts w:ascii="Arial" w:eastAsia="Arial" w:hAnsi="Arial" w:cs="Arial"/>
          <w:szCs w:val="23"/>
          <w:lang w:val="fr-CA"/>
        </w:rPr>
        <w:tab/>
      </w:r>
      <w:r w:rsidRPr="00F52884">
        <w:rPr>
          <w:rFonts w:ascii="Arial" w:eastAsia="Arial" w:hAnsi="Arial" w:cs="Arial"/>
          <w:b/>
          <w:bCs/>
          <w:szCs w:val="23"/>
          <w:lang w:val="fr-CA"/>
        </w:rPr>
        <w:t>Comités et groupes de travail</w:t>
      </w:r>
    </w:p>
    <w:p w14:paraId="2BB983DB" w14:textId="77777777" w:rsidR="00E8660D" w:rsidRPr="00F52884" w:rsidRDefault="00E8660D" w:rsidP="00215444">
      <w:pPr>
        <w:jc w:val="center"/>
        <w:rPr>
          <w:rFonts w:ascii="Arial" w:eastAsia="Arial" w:hAnsi="Arial" w:cs="Arial"/>
          <w:b/>
          <w:szCs w:val="23"/>
          <w:lang w:val="fr-CA"/>
        </w:rPr>
      </w:pPr>
    </w:p>
    <w:p w14:paraId="07044027" w14:textId="77777777" w:rsidR="00E8660D" w:rsidRPr="00F52884" w:rsidRDefault="00E8660D" w:rsidP="00215444">
      <w:pPr>
        <w:widowControl w:val="0"/>
        <w:tabs>
          <w:tab w:val="left" w:pos="567"/>
        </w:tabs>
        <w:autoSpaceDE w:val="0"/>
        <w:autoSpaceDN w:val="0"/>
        <w:adjustRightInd w:val="0"/>
        <w:rPr>
          <w:rFonts w:ascii="Arial" w:eastAsia="Times New Roman" w:hAnsi="Arial" w:cs="Arial"/>
          <w:i/>
          <w:szCs w:val="23"/>
          <w:lang w:val="fr-CA"/>
        </w:rPr>
      </w:pPr>
      <w:r w:rsidRPr="00F52884">
        <w:rPr>
          <w:rFonts w:ascii="Arial" w:eastAsia="Times New Roman" w:hAnsi="Arial" w:cs="Arial"/>
          <w:i/>
          <w:szCs w:val="23"/>
          <w:lang w:val="fr-CA"/>
        </w:rPr>
        <w:t xml:space="preserve">Constitution de comités et de groupes de travail </w:t>
      </w:r>
    </w:p>
    <w:p w14:paraId="491DD89B" w14:textId="77777777" w:rsidR="00E8660D" w:rsidRPr="00F52884" w:rsidRDefault="00E8660D" w:rsidP="00215444">
      <w:pPr>
        <w:widowControl w:val="0"/>
        <w:tabs>
          <w:tab w:val="left" w:pos="567"/>
        </w:tabs>
        <w:autoSpaceDE w:val="0"/>
        <w:autoSpaceDN w:val="0"/>
        <w:adjustRightInd w:val="0"/>
        <w:ind w:left="360"/>
        <w:rPr>
          <w:rFonts w:ascii="Arial" w:eastAsia="Times New Roman" w:hAnsi="Arial" w:cs="Arial"/>
          <w:szCs w:val="23"/>
          <w:lang w:val="fr-CA"/>
        </w:rPr>
      </w:pPr>
    </w:p>
    <w:p w14:paraId="190B943E" w14:textId="74B21EAE"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Les Parties peuvent constituer tout comité ou groupe de travail, qui est composé de représentants de chacune des Parties, à moins que les Parties en conviennent autrement.</w:t>
      </w:r>
    </w:p>
    <w:p w14:paraId="6C42D182" w14:textId="77777777" w:rsidR="00E8660D" w:rsidRPr="00F52884" w:rsidRDefault="00E8660D" w:rsidP="00215444">
      <w:pPr>
        <w:widowControl w:val="0"/>
        <w:tabs>
          <w:tab w:val="left" w:pos="567"/>
        </w:tabs>
        <w:autoSpaceDE w:val="0"/>
        <w:autoSpaceDN w:val="0"/>
        <w:adjustRightInd w:val="0"/>
        <w:rPr>
          <w:rFonts w:ascii="Arial" w:eastAsia="Times New Roman" w:hAnsi="Arial" w:cs="Arial"/>
          <w:szCs w:val="23"/>
          <w:lang w:val="fr-CA"/>
        </w:rPr>
      </w:pPr>
    </w:p>
    <w:p w14:paraId="5A6C50E6" w14:textId="77777777"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Les comités ou les groupes de travail constitués en vertu du paragraphe 1 peuvent entreprendre les activités suivantes :</w:t>
      </w:r>
    </w:p>
    <w:p w14:paraId="08687E52" w14:textId="77777777" w:rsidR="00E8660D" w:rsidRPr="00F52884" w:rsidRDefault="00E8660D" w:rsidP="00215444">
      <w:pPr>
        <w:widowControl w:val="0"/>
        <w:tabs>
          <w:tab w:val="left" w:pos="567"/>
        </w:tabs>
        <w:autoSpaceDE w:val="0"/>
        <w:autoSpaceDN w:val="0"/>
        <w:adjustRightInd w:val="0"/>
        <w:ind w:left="720"/>
        <w:rPr>
          <w:rFonts w:ascii="Arial" w:eastAsia="Times New Roman" w:hAnsi="Arial" w:cs="Arial"/>
          <w:szCs w:val="23"/>
          <w:lang w:val="fr-CA"/>
        </w:rPr>
      </w:pPr>
    </w:p>
    <w:p w14:paraId="2BC2BF72" w14:textId="77777777" w:rsidR="00E8660D" w:rsidRPr="00F52884" w:rsidRDefault="00E8660D" w:rsidP="00E8660D">
      <w:pPr>
        <w:widowControl w:val="0"/>
        <w:numPr>
          <w:ilvl w:val="1"/>
          <w:numId w:val="81"/>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surveiller</w:t>
      </w:r>
      <w:proofErr w:type="gramEnd"/>
      <w:r w:rsidRPr="00F52884">
        <w:rPr>
          <w:rFonts w:ascii="Arial" w:eastAsia="Times New Roman" w:hAnsi="Arial" w:cs="Arial"/>
          <w:szCs w:val="23"/>
          <w:lang w:val="fr-CA"/>
        </w:rPr>
        <w:t xml:space="preserve"> la mise en œuvre du présent accord par les Parties;</w:t>
      </w:r>
    </w:p>
    <w:p w14:paraId="69373FF8" w14:textId="77777777" w:rsidR="00E8660D" w:rsidRPr="00F52884" w:rsidRDefault="00E8660D" w:rsidP="00E8660D">
      <w:pPr>
        <w:widowControl w:val="0"/>
        <w:autoSpaceDE w:val="0"/>
        <w:autoSpaceDN w:val="0"/>
        <w:adjustRightInd w:val="0"/>
        <w:ind w:left="1440" w:hanging="720"/>
        <w:contextualSpacing/>
        <w:rPr>
          <w:rFonts w:ascii="Arial" w:eastAsia="Times New Roman" w:hAnsi="Arial" w:cs="Arial"/>
          <w:szCs w:val="23"/>
          <w:lang w:val="fr-CA"/>
        </w:rPr>
      </w:pPr>
    </w:p>
    <w:p w14:paraId="079DF8D8" w14:textId="77777777" w:rsidR="00E8660D" w:rsidRPr="00F52884" w:rsidRDefault="00E8660D" w:rsidP="00E8660D">
      <w:pPr>
        <w:widowControl w:val="0"/>
        <w:numPr>
          <w:ilvl w:val="1"/>
          <w:numId w:val="81"/>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cerner</w:t>
      </w:r>
      <w:proofErr w:type="gramEnd"/>
      <w:r w:rsidRPr="00F52884">
        <w:rPr>
          <w:rFonts w:ascii="Arial" w:eastAsia="Times New Roman" w:hAnsi="Arial" w:cs="Arial"/>
          <w:szCs w:val="23"/>
          <w:lang w:val="fr-CA"/>
        </w:rPr>
        <w:t xml:space="preserve"> et résoudre les problèmes de mise en œuvre; </w:t>
      </w:r>
    </w:p>
    <w:p w14:paraId="52603196" w14:textId="77777777" w:rsidR="00E8660D" w:rsidRPr="00F52884" w:rsidRDefault="00E8660D" w:rsidP="00E8660D">
      <w:pPr>
        <w:widowControl w:val="0"/>
        <w:autoSpaceDE w:val="0"/>
        <w:autoSpaceDN w:val="0"/>
        <w:adjustRightInd w:val="0"/>
        <w:ind w:left="1440" w:hanging="720"/>
        <w:contextualSpacing/>
        <w:rPr>
          <w:rFonts w:ascii="Arial" w:eastAsia="Times New Roman" w:hAnsi="Arial" w:cs="Arial"/>
          <w:szCs w:val="23"/>
          <w:lang w:val="fr-CA"/>
        </w:rPr>
      </w:pPr>
    </w:p>
    <w:p w14:paraId="4F5B2D65" w14:textId="704FEBB3" w:rsidR="00E8660D" w:rsidRPr="00F52884" w:rsidRDefault="00E8660D" w:rsidP="00E8660D">
      <w:pPr>
        <w:widowControl w:val="0"/>
        <w:numPr>
          <w:ilvl w:val="1"/>
          <w:numId w:val="81"/>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identifier</w:t>
      </w:r>
      <w:proofErr w:type="gramEnd"/>
      <w:r w:rsidRPr="00F52884">
        <w:rPr>
          <w:rFonts w:ascii="Arial" w:eastAsia="Times New Roman" w:hAnsi="Arial" w:cs="Arial"/>
          <w:szCs w:val="23"/>
          <w:lang w:val="fr-CA"/>
        </w:rPr>
        <w:t xml:space="preserve"> les possibilités de progrès quant à des collaborations et à des efforts de libéralisation futurs; </w:t>
      </w:r>
    </w:p>
    <w:p w14:paraId="77E956BA" w14:textId="77777777" w:rsidR="00E8660D" w:rsidRPr="00F52884" w:rsidRDefault="00E8660D" w:rsidP="00E8660D">
      <w:pPr>
        <w:widowControl w:val="0"/>
        <w:autoSpaceDE w:val="0"/>
        <w:autoSpaceDN w:val="0"/>
        <w:adjustRightInd w:val="0"/>
        <w:ind w:left="1440" w:hanging="720"/>
        <w:contextualSpacing/>
        <w:rPr>
          <w:rFonts w:ascii="Arial" w:eastAsia="Times New Roman" w:hAnsi="Arial" w:cs="Arial"/>
          <w:szCs w:val="23"/>
          <w:lang w:val="fr-CA"/>
        </w:rPr>
      </w:pPr>
    </w:p>
    <w:p w14:paraId="4DB11202" w14:textId="451220D9" w:rsidR="00E8660D" w:rsidRPr="00F52884" w:rsidRDefault="00E8660D" w:rsidP="00E8660D">
      <w:pPr>
        <w:widowControl w:val="0"/>
        <w:numPr>
          <w:ilvl w:val="1"/>
          <w:numId w:val="81"/>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servir</w:t>
      </w:r>
      <w:proofErr w:type="gramEnd"/>
      <w:r w:rsidRPr="00F52884">
        <w:rPr>
          <w:rFonts w:ascii="Arial" w:eastAsia="Times New Roman" w:hAnsi="Arial" w:cs="Arial"/>
          <w:szCs w:val="23"/>
          <w:lang w:val="fr-CA"/>
        </w:rPr>
        <w:t xml:space="preserve"> de tribune permettant aux Parties de discuter des questions se rapportant au commerce, à l’investissement ou à la mobilité de la main</w:t>
      </w:r>
      <w:r w:rsidRPr="00F52884">
        <w:rPr>
          <w:rFonts w:ascii="Arial" w:eastAsia="Times New Roman" w:hAnsi="Arial" w:cs="Arial"/>
          <w:szCs w:val="23"/>
          <w:lang w:val="fr-CA"/>
        </w:rPr>
        <w:noBreakHyphen/>
        <w:t>d’œuvre à l’intérieur du Canada;</w:t>
      </w:r>
    </w:p>
    <w:p w14:paraId="1D0CBB0F" w14:textId="77777777" w:rsidR="00E8660D" w:rsidRPr="00F52884" w:rsidRDefault="00E8660D" w:rsidP="00E8660D">
      <w:pPr>
        <w:widowControl w:val="0"/>
        <w:autoSpaceDE w:val="0"/>
        <w:autoSpaceDN w:val="0"/>
        <w:adjustRightInd w:val="0"/>
        <w:ind w:left="1440" w:hanging="720"/>
        <w:contextualSpacing/>
        <w:rPr>
          <w:rFonts w:ascii="Arial" w:eastAsia="Times New Roman" w:hAnsi="Arial" w:cs="Arial"/>
          <w:szCs w:val="23"/>
          <w:lang w:val="fr-CA"/>
        </w:rPr>
      </w:pPr>
    </w:p>
    <w:p w14:paraId="0C70EA3F" w14:textId="6382F12F" w:rsidR="00E8660D" w:rsidRPr="00F52884" w:rsidRDefault="00E8660D" w:rsidP="00E8660D">
      <w:pPr>
        <w:widowControl w:val="0"/>
        <w:numPr>
          <w:ilvl w:val="1"/>
          <w:numId w:val="81"/>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faire</w:t>
      </w:r>
      <w:proofErr w:type="gramEnd"/>
      <w:r w:rsidRPr="00F52884">
        <w:rPr>
          <w:rFonts w:ascii="Arial" w:eastAsia="Times New Roman" w:hAnsi="Arial" w:cs="Arial"/>
          <w:szCs w:val="23"/>
          <w:lang w:val="fr-CA"/>
        </w:rPr>
        <w:t xml:space="preserve"> rapport sur les questions intéressant le Comité, au besoin.</w:t>
      </w:r>
    </w:p>
    <w:p w14:paraId="62D7246A" w14:textId="77777777" w:rsidR="00E8660D" w:rsidRPr="00F52884" w:rsidRDefault="00E8660D" w:rsidP="00215444">
      <w:pPr>
        <w:widowControl w:val="0"/>
        <w:tabs>
          <w:tab w:val="left" w:pos="567"/>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 xml:space="preserve"> </w:t>
      </w:r>
    </w:p>
    <w:p w14:paraId="729CD2D1" w14:textId="316B7570" w:rsidR="00E8660D" w:rsidRPr="00F52884" w:rsidRDefault="00E8660D" w:rsidP="00215444">
      <w:pPr>
        <w:rPr>
          <w:rFonts w:ascii="Arial" w:eastAsia="Times New Roman" w:hAnsi="Arial" w:cs="Arial"/>
          <w:i/>
          <w:szCs w:val="23"/>
          <w:lang w:val="fr-CA"/>
        </w:rPr>
      </w:pPr>
      <w:r w:rsidRPr="00F52884">
        <w:rPr>
          <w:rFonts w:ascii="Arial" w:eastAsia="Times New Roman" w:hAnsi="Arial" w:cs="Arial"/>
          <w:i/>
          <w:szCs w:val="23"/>
          <w:lang w:val="fr-CA"/>
        </w:rPr>
        <w:t>Comité des mesures et des normes en matière de consommation</w:t>
      </w:r>
    </w:p>
    <w:p w14:paraId="055093BD" w14:textId="77777777" w:rsidR="00E8660D" w:rsidRPr="00F52884" w:rsidRDefault="00E8660D" w:rsidP="00215444">
      <w:pPr>
        <w:rPr>
          <w:rFonts w:ascii="Arial" w:eastAsia="Times New Roman" w:hAnsi="Arial" w:cs="Arial"/>
          <w:szCs w:val="23"/>
          <w:u w:val="single"/>
          <w:lang w:val="fr-CA"/>
        </w:rPr>
      </w:pPr>
    </w:p>
    <w:p w14:paraId="7F407E37" w14:textId="77777777"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 xml:space="preserve">Le Comité des mesures et des normes en matière de consommation (« Comité des mesures en matière de consommation »), constitué en vertu de l’article 809 (Comité des mesures et des normes en matière de consommation) de l’Accord sur le commerce intérieur, est reconduit en vertu du présent accord. </w:t>
      </w:r>
    </w:p>
    <w:p w14:paraId="68370BE6" w14:textId="77777777" w:rsidR="00E8660D" w:rsidRPr="00F52884" w:rsidRDefault="00E8660D" w:rsidP="00E8660D">
      <w:pPr>
        <w:widowControl w:val="0"/>
        <w:autoSpaceDE w:val="0"/>
        <w:autoSpaceDN w:val="0"/>
        <w:adjustRightInd w:val="0"/>
        <w:ind w:left="720"/>
        <w:rPr>
          <w:rFonts w:ascii="Arial" w:eastAsia="Times New Roman" w:hAnsi="Arial" w:cs="Arial"/>
          <w:szCs w:val="23"/>
          <w:lang w:val="fr-CA"/>
        </w:rPr>
      </w:pPr>
    </w:p>
    <w:p w14:paraId="22D06394" w14:textId="44CE3076"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 xml:space="preserve">Le Comité des mesures en matière de consommation exerce, entre autres, les fonctions suivantes : </w:t>
      </w:r>
    </w:p>
    <w:p w14:paraId="2F88E342" w14:textId="77777777" w:rsidR="00E8660D" w:rsidRPr="00F52884" w:rsidRDefault="00E8660D" w:rsidP="00215444">
      <w:pPr>
        <w:ind w:left="720"/>
        <w:contextualSpacing/>
        <w:rPr>
          <w:rFonts w:ascii="Arial" w:eastAsia="Times New Roman" w:hAnsi="Arial" w:cs="Arial"/>
          <w:szCs w:val="23"/>
          <w:lang w:val="fr-CA"/>
        </w:rPr>
      </w:pPr>
    </w:p>
    <w:p w14:paraId="31832130" w14:textId="3525FEB4" w:rsidR="00E8660D" w:rsidRPr="00F52884" w:rsidRDefault="00E8660D" w:rsidP="00E8660D">
      <w:pPr>
        <w:widowControl w:val="0"/>
        <w:numPr>
          <w:ilvl w:val="1"/>
          <w:numId w:val="88"/>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servir</w:t>
      </w:r>
      <w:proofErr w:type="gramEnd"/>
      <w:r w:rsidRPr="00F52884">
        <w:rPr>
          <w:rFonts w:ascii="Arial" w:eastAsia="Times New Roman" w:hAnsi="Arial" w:cs="Arial"/>
          <w:szCs w:val="23"/>
          <w:lang w:val="fr-CA"/>
        </w:rPr>
        <w:t xml:space="preserve"> de tribune permettant aux Parties de discuter des questions se rapportant aux mesures et normes en matière de consommation; </w:t>
      </w:r>
    </w:p>
    <w:p w14:paraId="0E9CE97C" w14:textId="77777777" w:rsidR="00E8660D" w:rsidRPr="00F52884" w:rsidRDefault="00E8660D" w:rsidP="00E8660D">
      <w:pPr>
        <w:widowControl w:val="0"/>
        <w:autoSpaceDE w:val="0"/>
        <w:autoSpaceDN w:val="0"/>
        <w:adjustRightInd w:val="0"/>
        <w:ind w:left="1440" w:hanging="720"/>
        <w:rPr>
          <w:rFonts w:ascii="Arial" w:eastAsia="Times New Roman" w:hAnsi="Arial" w:cs="Arial"/>
          <w:szCs w:val="23"/>
          <w:lang w:val="fr-CA"/>
        </w:rPr>
      </w:pPr>
    </w:p>
    <w:p w14:paraId="34B5F29E" w14:textId="07054F5F" w:rsidR="00E8660D" w:rsidRPr="00F52884" w:rsidRDefault="00E8660D" w:rsidP="00E8660D">
      <w:pPr>
        <w:widowControl w:val="0"/>
        <w:numPr>
          <w:ilvl w:val="1"/>
          <w:numId w:val="88"/>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identifier</w:t>
      </w:r>
      <w:proofErr w:type="gramEnd"/>
      <w:r w:rsidRPr="00F52884">
        <w:rPr>
          <w:rFonts w:ascii="Arial" w:eastAsia="Times New Roman" w:hAnsi="Arial" w:cs="Arial"/>
          <w:szCs w:val="23"/>
          <w:lang w:val="fr-CA"/>
        </w:rPr>
        <w:t xml:space="preserve"> les possibilités et faciliter les processus en vue de la conciliation des mesures réglementaires en matière de consommation qui pourraient être examinées par la TCCR constituée en vertu de l’article 404 (Table de conciliation et de coopération en matière de réglementation);</w:t>
      </w:r>
    </w:p>
    <w:p w14:paraId="4329768F" w14:textId="77777777" w:rsidR="00E8660D" w:rsidRPr="00F52884" w:rsidRDefault="00E8660D" w:rsidP="00E8660D">
      <w:pPr>
        <w:widowControl w:val="0"/>
        <w:autoSpaceDE w:val="0"/>
        <w:autoSpaceDN w:val="0"/>
        <w:adjustRightInd w:val="0"/>
        <w:ind w:left="1440" w:hanging="720"/>
        <w:rPr>
          <w:rFonts w:ascii="Arial" w:eastAsia="Times New Roman" w:hAnsi="Arial" w:cs="Arial"/>
          <w:szCs w:val="23"/>
          <w:lang w:val="fr-CA"/>
        </w:rPr>
      </w:pPr>
    </w:p>
    <w:p w14:paraId="28B619A7" w14:textId="36D95AFB" w:rsidR="00E8660D" w:rsidRPr="00F52884" w:rsidRDefault="00E8660D" w:rsidP="00E8660D">
      <w:pPr>
        <w:widowControl w:val="0"/>
        <w:numPr>
          <w:ilvl w:val="1"/>
          <w:numId w:val="88"/>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aider</w:t>
      </w:r>
      <w:proofErr w:type="gramEnd"/>
      <w:r w:rsidRPr="00F52884">
        <w:rPr>
          <w:rFonts w:ascii="Arial" w:eastAsia="Times New Roman" w:hAnsi="Arial" w:cs="Arial"/>
          <w:szCs w:val="23"/>
          <w:lang w:val="fr-CA"/>
        </w:rPr>
        <w:t xml:space="preserve"> les Parties à formuler leurs propositions à l’intention de la TCCR afin de coopérer à l’élaboration de futures mesures réglementaires en matière de consommation conformément à l’article 408 (Élaboration conjointe de futures mesures réglementaires);</w:t>
      </w:r>
    </w:p>
    <w:p w14:paraId="6D02DD01" w14:textId="77777777" w:rsidR="00E8660D" w:rsidRPr="00F52884" w:rsidRDefault="00E8660D" w:rsidP="00E8660D">
      <w:pPr>
        <w:widowControl w:val="0"/>
        <w:autoSpaceDE w:val="0"/>
        <w:autoSpaceDN w:val="0"/>
        <w:adjustRightInd w:val="0"/>
        <w:ind w:left="1440" w:hanging="720"/>
        <w:rPr>
          <w:rFonts w:ascii="Arial" w:eastAsia="Times New Roman" w:hAnsi="Arial" w:cs="Arial"/>
          <w:szCs w:val="23"/>
          <w:lang w:val="fr-CA"/>
        </w:rPr>
      </w:pPr>
    </w:p>
    <w:p w14:paraId="21E55831" w14:textId="4B8429EC" w:rsidR="00E8660D" w:rsidRPr="00F52884" w:rsidRDefault="00E8660D" w:rsidP="00E8660D">
      <w:pPr>
        <w:widowControl w:val="0"/>
        <w:numPr>
          <w:ilvl w:val="1"/>
          <w:numId w:val="88"/>
        </w:numPr>
        <w:autoSpaceDE w:val="0"/>
        <w:autoSpaceDN w:val="0"/>
        <w:adjustRightInd w:val="0"/>
        <w:ind w:left="1440"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faire</w:t>
      </w:r>
      <w:proofErr w:type="gramEnd"/>
      <w:r w:rsidRPr="00F52884">
        <w:rPr>
          <w:rFonts w:ascii="Arial" w:eastAsia="Times New Roman" w:hAnsi="Arial" w:cs="Arial"/>
          <w:szCs w:val="23"/>
          <w:lang w:val="fr-CA"/>
        </w:rPr>
        <w:t xml:space="preserve"> rapport au Comité des ministres chargés des mesures et normes en matière de consommation sur toute collaboration importante entre les Parties concernant des initiatives ou ententes en matière de protection des consommateurs, le cas échéant, en vue d’une transmission au Comité. </w:t>
      </w:r>
    </w:p>
    <w:p w14:paraId="767507C5" w14:textId="77777777" w:rsidR="00E8660D" w:rsidRPr="00F52884" w:rsidRDefault="00E8660D" w:rsidP="00215444">
      <w:pPr>
        <w:widowControl w:val="0"/>
        <w:tabs>
          <w:tab w:val="left" w:pos="567"/>
        </w:tabs>
        <w:autoSpaceDE w:val="0"/>
        <w:autoSpaceDN w:val="0"/>
        <w:adjustRightInd w:val="0"/>
        <w:ind w:left="1440"/>
        <w:contextualSpacing/>
        <w:rPr>
          <w:rFonts w:ascii="Arial" w:eastAsia="Times New Roman" w:hAnsi="Arial" w:cs="Arial"/>
          <w:szCs w:val="23"/>
          <w:lang w:val="fr-CA"/>
        </w:rPr>
      </w:pPr>
    </w:p>
    <w:p w14:paraId="02B804B6" w14:textId="77777777" w:rsidR="00E8660D" w:rsidRPr="00F52884" w:rsidRDefault="00E8660D" w:rsidP="00215444">
      <w:pPr>
        <w:rPr>
          <w:rFonts w:ascii="Arial" w:eastAsia="Times New Roman" w:hAnsi="Arial" w:cs="Arial"/>
          <w:i/>
          <w:szCs w:val="23"/>
          <w:lang w:val="fr-CA"/>
        </w:rPr>
      </w:pPr>
      <w:r w:rsidRPr="00F52884">
        <w:rPr>
          <w:rFonts w:ascii="Arial" w:eastAsia="Times New Roman" w:hAnsi="Arial" w:cs="Arial"/>
          <w:i/>
          <w:iCs/>
          <w:szCs w:val="23"/>
          <w:lang w:val="fr-CA"/>
        </w:rPr>
        <w:t>Groupe de travail sur les boissons alcooliques</w:t>
      </w:r>
    </w:p>
    <w:p w14:paraId="68995C35" w14:textId="77777777" w:rsidR="00E8660D" w:rsidRPr="00F52884" w:rsidRDefault="00E8660D" w:rsidP="00215444">
      <w:pPr>
        <w:widowControl w:val="0"/>
        <w:tabs>
          <w:tab w:val="left" w:pos="567"/>
        </w:tabs>
        <w:autoSpaceDE w:val="0"/>
        <w:autoSpaceDN w:val="0"/>
        <w:adjustRightInd w:val="0"/>
        <w:ind w:left="360"/>
        <w:rPr>
          <w:rFonts w:ascii="Arial" w:eastAsia="Times New Roman" w:hAnsi="Arial" w:cs="Arial"/>
          <w:szCs w:val="23"/>
          <w:lang w:val="fr-CA"/>
        </w:rPr>
      </w:pPr>
    </w:p>
    <w:p w14:paraId="5E734FE5" w14:textId="28491B4D" w:rsidR="00E8660D" w:rsidRPr="00F52884" w:rsidRDefault="00E8660D" w:rsidP="00E8660D">
      <w:pPr>
        <w:widowControl w:val="0"/>
        <w:numPr>
          <w:ilvl w:val="0"/>
          <w:numId w:val="82"/>
        </w:numPr>
        <w:autoSpaceDE w:val="0"/>
        <w:autoSpaceDN w:val="0"/>
        <w:adjustRightInd w:val="0"/>
        <w:ind w:left="0" w:firstLine="0"/>
        <w:rPr>
          <w:rFonts w:ascii="Arial" w:eastAsia="Arial" w:hAnsi="Arial" w:cs="Arial"/>
          <w:szCs w:val="23"/>
          <w:lang w:val="fr-CA"/>
        </w:rPr>
      </w:pPr>
      <w:r w:rsidRPr="00F52884">
        <w:rPr>
          <w:rFonts w:ascii="Arial" w:eastAsia="Arial" w:hAnsi="Arial" w:cs="Arial"/>
          <w:szCs w:val="23"/>
          <w:lang w:val="fr-CA"/>
        </w:rPr>
        <w:t xml:space="preserve">Les Parties constituent un groupe de travail sur les boissons alcooliques (« Groupe de travail sur les boissons alcooliques »), composé de représentants de chaque Parties. </w:t>
      </w:r>
    </w:p>
    <w:p w14:paraId="08CCF197" w14:textId="77777777" w:rsidR="00E8660D" w:rsidRPr="00F52884" w:rsidRDefault="00E8660D" w:rsidP="00215444">
      <w:pPr>
        <w:rPr>
          <w:rFonts w:ascii="Arial" w:eastAsia="Arial" w:hAnsi="Arial" w:cs="Arial"/>
          <w:szCs w:val="23"/>
          <w:lang w:val="fr-CA"/>
        </w:rPr>
      </w:pPr>
    </w:p>
    <w:p w14:paraId="395CE8D3" w14:textId="5202AB1C" w:rsidR="00E8660D" w:rsidRPr="00F52884" w:rsidRDefault="00E8660D" w:rsidP="00E8660D">
      <w:pPr>
        <w:widowControl w:val="0"/>
        <w:numPr>
          <w:ilvl w:val="0"/>
          <w:numId w:val="82"/>
        </w:numPr>
        <w:autoSpaceDE w:val="0"/>
        <w:autoSpaceDN w:val="0"/>
        <w:adjustRightInd w:val="0"/>
        <w:ind w:left="0" w:firstLine="0"/>
        <w:rPr>
          <w:rFonts w:ascii="Arial" w:eastAsia="Arial" w:hAnsi="Arial" w:cs="Arial"/>
          <w:szCs w:val="23"/>
          <w:lang w:val="fr-CA"/>
        </w:rPr>
      </w:pPr>
      <w:r w:rsidRPr="00F52884">
        <w:rPr>
          <w:rFonts w:ascii="Arial" w:eastAsia="Arial" w:hAnsi="Arial" w:cs="Arial"/>
          <w:szCs w:val="23"/>
          <w:lang w:val="fr-CA"/>
        </w:rPr>
        <w:t xml:space="preserve">Au cours de l’année qui suit la date d’entrée en vigueur, le Groupe de travail sur les boissons alcooliques présente au Comité un rapport qui identifie des possibilités </w:t>
      </w:r>
      <w:r w:rsidRPr="00F52884">
        <w:rPr>
          <w:rFonts w:ascii="Arial" w:eastAsia="Arial" w:hAnsi="Arial" w:cs="Arial"/>
          <w:szCs w:val="23"/>
          <w:lang w:val="fr-CA"/>
        </w:rPr>
        <w:lastRenderedPageBreak/>
        <w:t>particulières et recommande des initiatives visant à accroître davantage le commerce de boissons alcooliques à l’intérieur du Canada, tout en tenant compte de la responsabilité sociale et des obligations internationales.</w:t>
      </w:r>
    </w:p>
    <w:p w14:paraId="3C5CBE9E" w14:textId="77777777" w:rsidR="00E8660D" w:rsidRPr="00F52884" w:rsidRDefault="00E8660D" w:rsidP="00215444">
      <w:pPr>
        <w:rPr>
          <w:rFonts w:ascii="Arial" w:eastAsia="Arial" w:hAnsi="Arial" w:cs="Arial"/>
          <w:b/>
          <w:szCs w:val="23"/>
          <w:lang w:val="fr-CA"/>
        </w:rPr>
      </w:pPr>
    </w:p>
    <w:p w14:paraId="4D0996AE" w14:textId="4B6B28D6" w:rsidR="00E8660D" w:rsidRPr="00F52884" w:rsidRDefault="00E8660D" w:rsidP="00E8660D">
      <w:pPr>
        <w:widowControl w:val="0"/>
        <w:numPr>
          <w:ilvl w:val="0"/>
          <w:numId w:val="82"/>
        </w:numPr>
        <w:autoSpaceDE w:val="0"/>
        <w:autoSpaceDN w:val="0"/>
        <w:adjustRightInd w:val="0"/>
        <w:ind w:left="0" w:firstLine="0"/>
        <w:rPr>
          <w:rFonts w:ascii="Arial" w:eastAsia="Arial" w:hAnsi="Arial" w:cs="Arial"/>
          <w:szCs w:val="23"/>
          <w:lang w:val="fr-CA"/>
        </w:rPr>
      </w:pPr>
      <w:r w:rsidRPr="00F52884">
        <w:rPr>
          <w:rFonts w:ascii="Arial" w:eastAsia="Arial" w:hAnsi="Arial" w:cs="Arial"/>
          <w:szCs w:val="23"/>
          <w:lang w:val="fr-CA"/>
        </w:rPr>
        <w:t>En complément du paragraphe 6, le rapport peut notamment identifier :</w:t>
      </w:r>
    </w:p>
    <w:p w14:paraId="03E65E8A" w14:textId="77777777" w:rsidR="00E8660D" w:rsidRPr="00F52884" w:rsidRDefault="00E8660D" w:rsidP="00215444">
      <w:pPr>
        <w:rPr>
          <w:rFonts w:ascii="Arial" w:eastAsia="Arial" w:hAnsi="Arial" w:cs="Arial"/>
          <w:szCs w:val="23"/>
          <w:lang w:val="fr-CA"/>
        </w:rPr>
      </w:pPr>
      <w:r w:rsidRPr="00F52884">
        <w:rPr>
          <w:rFonts w:ascii="Arial" w:eastAsia="Arial" w:hAnsi="Arial" w:cs="Arial"/>
          <w:szCs w:val="23"/>
          <w:lang w:val="fr-CA"/>
        </w:rPr>
        <w:t xml:space="preserve"> </w:t>
      </w:r>
    </w:p>
    <w:p w14:paraId="37C598FE" w14:textId="40B354C7" w:rsidR="00E8660D" w:rsidRPr="00F52884" w:rsidRDefault="00E8660D" w:rsidP="00E8660D">
      <w:pPr>
        <w:numPr>
          <w:ilvl w:val="1"/>
          <w:numId w:val="85"/>
        </w:numPr>
        <w:ind w:left="1440" w:hanging="720"/>
        <w:rPr>
          <w:rFonts w:ascii="Arial" w:eastAsia="Arial" w:hAnsi="Arial" w:cs="Arial"/>
          <w:szCs w:val="23"/>
          <w:lang w:val="fr-CA"/>
        </w:rPr>
      </w:pPr>
      <w:proofErr w:type="gramStart"/>
      <w:r w:rsidRPr="00F52884">
        <w:rPr>
          <w:rFonts w:ascii="Arial" w:eastAsia="Arial" w:hAnsi="Arial" w:cs="Arial"/>
          <w:szCs w:val="23"/>
          <w:lang w:val="fr-CA"/>
        </w:rPr>
        <w:t>de</w:t>
      </w:r>
      <w:proofErr w:type="gramEnd"/>
      <w:r w:rsidRPr="00F52884">
        <w:rPr>
          <w:rFonts w:ascii="Arial" w:eastAsia="Arial" w:hAnsi="Arial" w:cs="Arial"/>
          <w:szCs w:val="23"/>
          <w:lang w:val="fr-CA"/>
        </w:rPr>
        <w:t xml:space="preserve"> nouvelles technologies et d’autres approches visant à offrir davantage de choix et une commodité accrue aux consommateurs dans le secteur des boissons alcooliques; </w:t>
      </w:r>
    </w:p>
    <w:p w14:paraId="328B1F57" w14:textId="77777777" w:rsidR="00E8660D" w:rsidRPr="00F52884" w:rsidRDefault="00E8660D" w:rsidP="00E8660D">
      <w:pPr>
        <w:ind w:left="1440" w:hanging="720"/>
        <w:rPr>
          <w:rFonts w:ascii="Arial" w:eastAsia="Arial" w:hAnsi="Arial" w:cs="Arial"/>
          <w:szCs w:val="23"/>
          <w:lang w:val="fr-CA"/>
        </w:rPr>
      </w:pPr>
    </w:p>
    <w:p w14:paraId="1E3E28FF" w14:textId="3C759D96" w:rsidR="00E8660D" w:rsidRPr="00F52884" w:rsidRDefault="00E8660D" w:rsidP="00E8660D">
      <w:pPr>
        <w:numPr>
          <w:ilvl w:val="1"/>
          <w:numId w:val="85"/>
        </w:numPr>
        <w:ind w:left="1440" w:hanging="720"/>
        <w:rPr>
          <w:rFonts w:ascii="Arial" w:eastAsia="Arial" w:hAnsi="Arial" w:cs="Arial"/>
          <w:szCs w:val="23"/>
          <w:lang w:val="fr-CA"/>
        </w:rPr>
      </w:pPr>
      <w:proofErr w:type="gramStart"/>
      <w:r w:rsidRPr="00F52884">
        <w:rPr>
          <w:rFonts w:ascii="Arial" w:eastAsia="Arial" w:hAnsi="Arial" w:cs="Arial"/>
          <w:szCs w:val="23"/>
          <w:lang w:val="fr-CA"/>
        </w:rPr>
        <w:t>des</w:t>
      </w:r>
      <w:proofErr w:type="gramEnd"/>
      <w:r w:rsidRPr="00F52884">
        <w:rPr>
          <w:rFonts w:ascii="Arial" w:eastAsia="Arial" w:hAnsi="Arial" w:cs="Arial"/>
          <w:szCs w:val="23"/>
          <w:lang w:val="fr-CA"/>
        </w:rPr>
        <w:t xml:space="preserve"> possibilités de remédier aux obstacles réglementaires au commerce des boissons alcooliques qui pourraient être examinées par la TCCR constituée en vertu de l’article 404 (Table de conciliation et de coopération en matière de réglementation).</w:t>
      </w:r>
    </w:p>
    <w:p w14:paraId="51B770B0" w14:textId="77777777" w:rsidR="00E8660D" w:rsidRPr="00F52884" w:rsidRDefault="00E8660D" w:rsidP="00215444">
      <w:pPr>
        <w:rPr>
          <w:rFonts w:ascii="Arial" w:eastAsia="Arial" w:hAnsi="Arial" w:cs="Arial"/>
          <w:szCs w:val="23"/>
          <w:lang w:val="fr-CA"/>
        </w:rPr>
      </w:pPr>
    </w:p>
    <w:p w14:paraId="056AF6AB" w14:textId="7FE8CEB5" w:rsidR="00E8660D" w:rsidRPr="00F52884" w:rsidRDefault="00E8660D" w:rsidP="00E8660D">
      <w:pPr>
        <w:widowControl w:val="0"/>
        <w:numPr>
          <w:ilvl w:val="0"/>
          <w:numId w:val="82"/>
        </w:numPr>
        <w:autoSpaceDE w:val="0"/>
        <w:autoSpaceDN w:val="0"/>
        <w:adjustRightInd w:val="0"/>
        <w:ind w:left="0" w:firstLine="0"/>
        <w:rPr>
          <w:rFonts w:ascii="Arial" w:eastAsia="Arial" w:hAnsi="Arial" w:cs="Arial"/>
          <w:szCs w:val="23"/>
          <w:lang w:val="fr-CA"/>
        </w:rPr>
      </w:pPr>
      <w:r w:rsidRPr="00F52884">
        <w:rPr>
          <w:rFonts w:ascii="Arial" w:eastAsia="Arial" w:hAnsi="Arial" w:cs="Arial"/>
          <w:szCs w:val="23"/>
          <w:lang w:val="fr-CA"/>
        </w:rPr>
        <w:t>Sur la base du rapport du Groupe de travail sur les boissons alcooliques, les Parties déterminent les moyens susceptibles d’accroître davantage le commerce des boissons alcooliques à l’intérieur du Canada.</w:t>
      </w:r>
    </w:p>
    <w:p w14:paraId="7385B2B8" w14:textId="77777777" w:rsidR="00E8660D" w:rsidRPr="00F52884" w:rsidRDefault="00E8660D" w:rsidP="00215444">
      <w:pPr>
        <w:widowControl w:val="0"/>
        <w:tabs>
          <w:tab w:val="left" w:pos="567"/>
        </w:tabs>
        <w:autoSpaceDE w:val="0"/>
        <w:autoSpaceDN w:val="0"/>
        <w:adjustRightInd w:val="0"/>
        <w:ind w:left="360"/>
        <w:rPr>
          <w:rFonts w:ascii="Arial" w:eastAsia="Times New Roman" w:hAnsi="Arial" w:cs="Arial"/>
          <w:szCs w:val="23"/>
          <w:lang w:val="fr-CA"/>
        </w:rPr>
      </w:pPr>
    </w:p>
    <w:p w14:paraId="6B262A50" w14:textId="214EE52D" w:rsidR="00E8660D" w:rsidRPr="00F52884" w:rsidRDefault="00E8660D" w:rsidP="00215444">
      <w:pPr>
        <w:widowControl w:val="0"/>
        <w:tabs>
          <w:tab w:val="left" w:pos="567"/>
        </w:tabs>
        <w:autoSpaceDE w:val="0"/>
        <w:autoSpaceDN w:val="0"/>
        <w:adjustRightInd w:val="0"/>
        <w:rPr>
          <w:rFonts w:ascii="Arial" w:eastAsia="Times New Roman" w:hAnsi="Arial" w:cs="Arial"/>
          <w:i/>
          <w:szCs w:val="23"/>
          <w:lang w:val="fr-CA"/>
        </w:rPr>
      </w:pPr>
      <w:r w:rsidRPr="00F52884">
        <w:rPr>
          <w:rFonts w:ascii="Arial" w:eastAsia="Times New Roman" w:hAnsi="Arial" w:cs="Arial"/>
          <w:i/>
          <w:iCs/>
          <w:szCs w:val="23"/>
          <w:lang w:val="fr-CA"/>
        </w:rPr>
        <w:t>Groupe de travail sur le commerce du poisson et des produits du poisson</w:t>
      </w:r>
    </w:p>
    <w:p w14:paraId="32322770" w14:textId="77777777" w:rsidR="00E8660D" w:rsidRPr="00F52884" w:rsidRDefault="00E8660D" w:rsidP="00215444">
      <w:pPr>
        <w:widowControl w:val="0"/>
        <w:tabs>
          <w:tab w:val="left" w:pos="567"/>
        </w:tabs>
        <w:autoSpaceDE w:val="0"/>
        <w:autoSpaceDN w:val="0"/>
        <w:adjustRightInd w:val="0"/>
        <w:ind w:left="360"/>
        <w:rPr>
          <w:rFonts w:ascii="Arial" w:eastAsia="Times New Roman" w:hAnsi="Arial" w:cs="Arial"/>
          <w:szCs w:val="23"/>
          <w:lang w:val="fr-CA"/>
        </w:rPr>
      </w:pPr>
    </w:p>
    <w:p w14:paraId="491FCE93" w14:textId="2EE73D8E"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Les Parties constituent un groupe de travail sur le commerce du poisson et des produits du poisson afin d’examiner les moyens d’accroître davantage le commerce du poisson et des produits du poisson à l’intérieur du Canada au titre du présent accord.</w:t>
      </w:r>
    </w:p>
    <w:p w14:paraId="6444C3E7" w14:textId="77777777" w:rsidR="00E8660D" w:rsidRPr="00F52884" w:rsidRDefault="00E8660D" w:rsidP="00215444">
      <w:pPr>
        <w:widowControl w:val="0"/>
        <w:tabs>
          <w:tab w:val="left" w:pos="567"/>
        </w:tabs>
        <w:autoSpaceDE w:val="0"/>
        <w:autoSpaceDN w:val="0"/>
        <w:adjustRightInd w:val="0"/>
        <w:ind w:left="720"/>
        <w:rPr>
          <w:rFonts w:ascii="Arial" w:eastAsia="Times New Roman" w:hAnsi="Arial" w:cs="Arial"/>
          <w:szCs w:val="23"/>
          <w:lang w:val="fr-CA"/>
        </w:rPr>
      </w:pPr>
    </w:p>
    <w:p w14:paraId="3D1C6157" w14:textId="783146C0" w:rsidR="00E8660D" w:rsidRPr="00F52884" w:rsidRDefault="00E8660D" w:rsidP="00215444">
      <w:pPr>
        <w:rPr>
          <w:rFonts w:ascii="Arial" w:eastAsia="Times New Roman" w:hAnsi="Arial" w:cs="Arial"/>
          <w:i/>
          <w:szCs w:val="23"/>
          <w:lang w:val="fr-CA"/>
        </w:rPr>
      </w:pPr>
      <w:r w:rsidRPr="00F52884">
        <w:rPr>
          <w:rFonts w:ascii="Arial" w:eastAsia="Times New Roman" w:hAnsi="Arial" w:cs="Arial"/>
          <w:i/>
          <w:iCs/>
          <w:szCs w:val="23"/>
          <w:lang w:val="fr-CA"/>
        </w:rPr>
        <w:t>Groupe de travail sur les exceptions propres aux Parties</w:t>
      </w:r>
    </w:p>
    <w:p w14:paraId="04CF1A14" w14:textId="77777777" w:rsidR="00E8660D" w:rsidRPr="00F52884" w:rsidRDefault="00E8660D" w:rsidP="00215444">
      <w:pPr>
        <w:rPr>
          <w:rFonts w:ascii="Arial" w:eastAsia="Times New Roman" w:hAnsi="Arial" w:cs="Arial"/>
          <w:i/>
          <w:szCs w:val="23"/>
          <w:lang w:val="fr-CA"/>
        </w:rPr>
      </w:pPr>
    </w:p>
    <w:p w14:paraId="18283215" w14:textId="5C9522F7"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Les Parties constituent un groupe de travail sur les exceptions propres aux Parties afin d’examiner les moyens de réduire au minimum et d’éliminer ces exceptions pour relever le niveau général d’ambition du présent accord.</w:t>
      </w:r>
    </w:p>
    <w:p w14:paraId="591607AD" w14:textId="77777777" w:rsidR="00E8660D" w:rsidRPr="00F52884" w:rsidRDefault="00E8660D" w:rsidP="00215444">
      <w:pPr>
        <w:widowControl w:val="0"/>
        <w:tabs>
          <w:tab w:val="left" w:pos="567"/>
        </w:tabs>
        <w:autoSpaceDE w:val="0"/>
        <w:autoSpaceDN w:val="0"/>
        <w:adjustRightInd w:val="0"/>
        <w:rPr>
          <w:rFonts w:ascii="Arial" w:eastAsia="Times New Roman" w:hAnsi="Arial" w:cs="Arial"/>
          <w:szCs w:val="23"/>
          <w:lang w:val="fr-CA"/>
        </w:rPr>
      </w:pPr>
    </w:p>
    <w:p w14:paraId="3D314C98" w14:textId="606B4DAD" w:rsidR="00E8660D" w:rsidRPr="00F52884" w:rsidRDefault="00E8660D" w:rsidP="00215444">
      <w:pPr>
        <w:rPr>
          <w:rFonts w:ascii="Arial" w:eastAsia="Times New Roman" w:hAnsi="Arial" w:cs="Arial"/>
          <w:i/>
          <w:szCs w:val="23"/>
          <w:lang w:val="fr-CA"/>
        </w:rPr>
      </w:pPr>
      <w:r w:rsidRPr="00F52884">
        <w:rPr>
          <w:rFonts w:ascii="Arial" w:eastAsia="Times New Roman" w:hAnsi="Arial" w:cs="Arial"/>
          <w:i/>
          <w:iCs/>
          <w:szCs w:val="23"/>
          <w:lang w:val="fr-CA"/>
        </w:rPr>
        <w:t>Groupe de travail sur le développement du secteur alimentaire dans les Territoires</w:t>
      </w:r>
    </w:p>
    <w:p w14:paraId="27542768" w14:textId="77777777" w:rsidR="00E8660D" w:rsidRPr="00F52884" w:rsidRDefault="00E8660D" w:rsidP="00215444">
      <w:pPr>
        <w:rPr>
          <w:rFonts w:ascii="Arial" w:eastAsia="Times New Roman" w:hAnsi="Arial" w:cs="Arial"/>
          <w:i/>
          <w:szCs w:val="23"/>
          <w:lang w:val="fr-CA"/>
        </w:rPr>
      </w:pPr>
    </w:p>
    <w:p w14:paraId="62787F7F" w14:textId="203E3C24"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Les Parties constituent un groupe de travail sur le développement du secteur alimentaire dans les Territoires (« Groupe de travail sur le secteur alimentaire des Territoires ») pour répondre aux défis liés à la production d’aliments sains et atténuer le coût élevé des aliments pour les résidents des Territoires. Le Groupe de travail sur le secteur alimentaire des Territoires exerce les fonctions suivantes :</w:t>
      </w:r>
    </w:p>
    <w:p w14:paraId="43C00640" w14:textId="77777777" w:rsidR="00E8660D" w:rsidRPr="00F52884" w:rsidRDefault="00E8660D" w:rsidP="00215444">
      <w:pPr>
        <w:widowControl w:val="0"/>
        <w:tabs>
          <w:tab w:val="left" w:pos="567"/>
        </w:tabs>
        <w:autoSpaceDE w:val="0"/>
        <w:autoSpaceDN w:val="0"/>
        <w:adjustRightInd w:val="0"/>
        <w:contextualSpacing/>
        <w:rPr>
          <w:rFonts w:ascii="Arial" w:eastAsia="Times New Roman" w:hAnsi="Arial" w:cs="Arial"/>
          <w:szCs w:val="23"/>
          <w:lang w:val="fr-CA"/>
        </w:rPr>
      </w:pPr>
    </w:p>
    <w:p w14:paraId="38BC9A4B" w14:textId="25AC7824" w:rsidR="00E8660D" w:rsidRPr="00F52884" w:rsidRDefault="00E8660D" w:rsidP="00E8660D">
      <w:pPr>
        <w:numPr>
          <w:ilvl w:val="0"/>
          <w:numId w:val="111"/>
        </w:numPr>
        <w:ind w:left="1440" w:hanging="720"/>
        <w:contextualSpacing/>
        <w:rPr>
          <w:rFonts w:ascii="Arial" w:eastAsia="Arial" w:hAnsi="Arial" w:cs="Arial"/>
          <w:szCs w:val="23"/>
          <w:lang w:val="fr-CA"/>
        </w:rPr>
      </w:pPr>
      <w:proofErr w:type="gramStart"/>
      <w:r w:rsidRPr="00F52884">
        <w:rPr>
          <w:rFonts w:ascii="Arial" w:eastAsia="Arial" w:hAnsi="Arial" w:cs="Arial"/>
          <w:szCs w:val="23"/>
          <w:lang w:val="fr-CA"/>
        </w:rPr>
        <w:t>identifier</w:t>
      </w:r>
      <w:proofErr w:type="gramEnd"/>
      <w:r w:rsidRPr="00F52884">
        <w:rPr>
          <w:rFonts w:ascii="Arial" w:eastAsia="Arial" w:hAnsi="Arial" w:cs="Arial"/>
          <w:szCs w:val="23"/>
          <w:lang w:val="fr-CA"/>
        </w:rPr>
        <w:t xml:space="preserve"> les façons dont les provinces et le gouvernement du Canada pourraient collaborer avec les Territoires pour mieux orienter les forces innovantes du secteur agricole et agroalimentaire du Canada de manière à procurer des avantages économiques et à améliorer l’accès aux aliments sains dans les Territoires;</w:t>
      </w:r>
    </w:p>
    <w:p w14:paraId="36780F4E" w14:textId="77777777" w:rsidR="00E8660D" w:rsidRPr="00F52884" w:rsidRDefault="00E8660D" w:rsidP="00E8660D">
      <w:pPr>
        <w:ind w:left="1440" w:hanging="720"/>
        <w:contextualSpacing/>
        <w:rPr>
          <w:rFonts w:ascii="Arial" w:eastAsia="Arial" w:hAnsi="Arial" w:cs="Arial"/>
          <w:szCs w:val="23"/>
          <w:lang w:val="fr-CA"/>
        </w:rPr>
      </w:pPr>
    </w:p>
    <w:p w14:paraId="36EFF7EE" w14:textId="6489D39E" w:rsidR="00E8660D" w:rsidRPr="00F52884" w:rsidRDefault="00E8660D" w:rsidP="00E8660D">
      <w:pPr>
        <w:numPr>
          <w:ilvl w:val="0"/>
          <w:numId w:val="111"/>
        </w:numPr>
        <w:tabs>
          <w:tab w:val="left" w:pos="1440"/>
        </w:tabs>
        <w:ind w:left="1440" w:hanging="720"/>
        <w:contextualSpacing/>
        <w:rPr>
          <w:rFonts w:ascii="Arial" w:eastAsia="Arial" w:hAnsi="Arial" w:cs="Arial"/>
          <w:szCs w:val="23"/>
          <w:lang w:val="fr-CA"/>
        </w:rPr>
      </w:pPr>
      <w:proofErr w:type="gramStart"/>
      <w:r w:rsidRPr="00F52884">
        <w:rPr>
          <w:rFonts w:ascii="Arial" w:eastAsia="Arial" w:hAnsi="Arial" w:cs="Arial"/>
          <w:szCs w:val="23"/>
          <w:lang w:val="fr-CA"/>
        </w:rPr>
        <w:t>évaluer</w:t>
      </w:r>
      <w:proofErr w:type="gramEnd"/>
      <w:r w:rsidRPr="00F52884">
        <w:rPr>
          <w:rFonts w:ascii="Arial" w:eastAsia="Arial" w:hAnsi="Arial" w:cs="Arial"/>
          <w:szCs w:val="23"/>
          <w:lang w:val="fr-CA"/>
        </w:rPr>
        <w:t xml:space="preserve"> et examiner le rôle de la gestion de l’offre, y compris le processus d’attribution des contingents, dans le développement économique des Territoires.</w:t>
      </w:r>
    </w:p>
    <w:p w14:paraId="2F074213" w14:textId="77777777" w:rsidR="00E8660D" w:rsidRPr="00F52884" w:rsidRDefault="00E8660D" w:rsidP="00215444">
      <w:pPr>
        <w:widowControl w:val="0"/>
        <w:tabs>
          <w:tab w:val="left" w:pos="567"/>
        </w:tabs>
        <w:autoSpaceDE w:val="0"/>
        <w:autoSpaceDN w:val="0"/>
        <w:adjustRightInd w:val="0"/>
        <w:ind w:left="720"/>
        <w:contextualSpacing/>
        <w:rPr>
          <w:rFonts w:ascii="Arial" w:eastAsia="Times New Roman" w:hAnsi="Arial" w:cs="Arial"/>
          <w:szCs w:val="23"/>
          <w:lang w:val="fr-CA"/>
        </w:rPr>
      </w:pPr>
    </w:p>
    <w:p w14:paraId="447E99DC" w14:textId="20E01266" w:rsidR="00E8660D" w:rsidRPr="00F52884" w:rsidRDefault="00E8660D" w:rsidP="00E8660D">
      <w:pPr>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lastRenderedPageBreak/>
        <w:t xml:space="preserve">Le gouvernement du Canada convoque le Groupe de travail sur le secteur alimentaire </w:t>
      </w:r>
      <w:r w:rsidR="008A39F0" w:rsidRPr="00F52884">
        <w:rPr>
          <w:rFonts w:ascii="Arial" w:eastAsia="Times New Roman" w:hAnsi="Arial" w:cs="Arial"/>
          <w:szCs w:val="23"/>
          <w:lang w:val="fr-CA"/>
        </w:rPr>
        <w:t xml:space="preserve">des </w:t>
      </w:r>
      <w:r w:rsidRPr="00F52884">
        <w:rPr>
          <w:rFonts w:ascii="Arial" w:eastAsia="Times New Roman" w:hAnsi="Arial" w:cs="Arial"/>
          <w:szCs w:val="23"/>
          <w:lang w:val="fr-CA"/>
        </w:rPr>
        <w:t>Territoires, lequel fournit des recommandations au Comité au cours de l’année qui sui</w:t>
      </w:r>
      <w:r w:rsidR="0076440B" w:rsidRPr="00F52884">
        <w:rPr>
          <w:rFonts w:ascii="Arial" w:eastAsia="Times New Roman" w:hAnsi="Arial" w:cs="Arial"/>
          <w:szCs w:val="23"/>
          <w:lang w:val="fr-CA"/>
        </w:rPr>
        <w:t>t</w:t>
      </w:r>
      <w:r w:rsidRPr="00F52884">
        <w:rPr>
          <w:rFonts w:ascii="Arial" w:eastAsia="Times New Roman" w:hAnsi="Arial" w:cs="Arial"/>
          <w:szCs w:val="23"/>
          <w:lang w:val="fr-CA"/>
        </w:rPr>
        <w:t xml:space="preserve"> la date d’entrée en vigueur.</w:t>
      </w:r>
    </w:p>
    <w:p w14:paraId="47E16749" w14:textId="77777777" w:rsidR="00E8660D" w:rsidRPr="00F52884" w:rsidRDefault="00E8660D" w:rsidP="00215444">
      <w:pPr>
        <w:contextualSpacing/>
        <w:rPr>
          <w:rFonts w:ascii="Arial" w:eastAsia="Times New Roman" w:hAnsi="Arial" w:cs="Arial"/>
          <w:szCs w:val="23"/>
          <w:lang w:val="fr-CA"/>
        </w:rPr>
      </w:pPr>
    </w:p>
    <w:p w14:paraId="2D44379C" w14:textId="7016DB71" w:rsidR="00E8660D" w:rsidRPr="00F52884" w:rsidRDefault="00E8660D" w:rsidP="00215444">
      <w:pPr>
        <w:contextualSpacing/>
        <w:rPr>
          <w:rFonts w:ascii="Arial" w:eastAsia="Times New Roman" w:hAnsi="Arial" w:cs="Arial"/>
          <w:i/>
          <w:szCs w:val="23"/>
          <w:lang w:val="fr-CA"/>
        </w:rPr>
      </w:pPr>
      <w:r w:rsidRPr="00F52884">
        <w:rPr>
          <w:rFonts w:ascii="Arial" w:eastAsia="Times New Roman" w:hAnsi="Arial" w:cs="Arial"/>
          <w:i/>
          <w:szCs w:val="23"/>
          <w:lang w:val="fr-CA"/>
        </w:rPr>
        <w:t>Groupe de travail sur les possibilités et initiatives de développement économique dans le secteur alimentaire des Territoires</w:t>
      </w:r>
    </w:p>
    <w:p w14:paraId="2D161837" w14:textId="77777777" w:rsidR="00E8660D" w:rsidRPr="00F52884" w:rsidRDefault="00E8660D" w:rsidP="00215444">
      <w:pPr>
        <w:contextualSpacing/>
        <w:rPr>
          <w:rFonts w:ascii="Arial" w:eastAsia="Times New Roman" w:hAnsi="Arial" w:cs="Arial"/>
          <w:szCs w:val="23"/>
          <w:lang w:val="fr-CA"/>
        </w:rPr>
      </w:pPr>
    </w:p>
    <w:p w14:paraId="43ABC6D4" w14:textId="06506B08" w:rsidR="00E8660D" w:rsidRPr="00F52884" w:rsidRDefault="00E8660D" w:rsidP="00E8660D">
      <w:pPr>
        <w:widowControl w:val="0"/>
        <w:numPr>
          <w:ilvl w:val="0"/>
          <w:numId w:val="82"/>
        </w:numPr>
        <w:autoSpaceDE w:val="0"/>
        <w:autoSpaceDN w:val="0"/>
        <w:adjustRightInd w:val="0"/>
        <w:ind w:left="0" w:firstLine="0"/>
        <w:rPr>
          <w:rFonts w:ascii="Arial" w:eastAsia="Times New Roman" w:hAnsi="Arial" w:cs="Arial"/>
          <w:szCs w:val="23"/>
          <w:lang w:val="fr-CA"/>
        </w:rPr>
      </w:pPr>
      <w:r w:rsidRPr="00F52884">
        <w:rPr>
          <w:rFonts w:ascii="Arial" w:eastAsia="Times New Roman" w:hAnsi="Arial" w:cs="Arial"/>
          <w:szCs w:val="23"/>
          <w:lang w:val="fr-CA"/>
        </w:rPr>
        <w:t>En plus du Groupe de travail sur le secteur alimentaire des Territoires, un groupe de travail distinct, composé seulement du gouvernement du Canada et des Territoires, est constitué pour identifier les possibilités et les initiatives de développement économique dans le secteur alimentaire des Territoires, et pour élaborer des options au cours des six mois qui suivent la date d’entrée en vigueur.</w:t>
      </w:r>
    </w:p>
    <w:p w14:paraId="2FF78C7B" w14:textId="77777777" w:rsidR="00E8660D" w:rsidRPr="00F52884" w:rsidRDefault="00E8660D" w:rsidP="00215444">
      <w:pPr>
        <w:widowControl w:val="0"/>
        <w:autoSpaceDE w:val="0"/>
        <w:autoSpaceDN w:val="0"/>
        <w:adjustRightInd w:val="0"/>
        <w:ind w:left="1440"/>
        <w:contextualSpacing/>
        <w:rPr>
          <w:rFonts w:ascii="Arial" w:eastAsia="Times New Roman" w:hAnsi="Arial" w:cs="Arial"/>
          <w:szCs w:val="23"/>
          <w:lang w:val="fr-CA"/>
        </w:rPr>
      </w:pPr>
      <w:r w:rsidRPr="00F52884">
        <w:rPr>
          <w:rFonts w:ascii="Arial" w:eastAsia="Times New Roman" w:hAnsi="Arial" w:cs="Arial"/>
          <w:szCs w:val="23"/>
          <w:lang w:val="fr-CA"/>
        </w:rPr>
        <w:t xml:space="preserve"> </w:t>
      </w:r>
    </w:p>
    <w:p w14:paraId="46D51FE1" w14:textId="2B14BDD3" w:rsidR="00E8660D" w:rsidRPr="00F52884" w:rsidRDefault="00E8660D" w:rsidP="00215444">
      <w:pPr>
        <w:widowControl w:val="0"/>
        <w:autoSpaceDE w:val="0"/>
        <w:autoSpaceDN w:val="0"/>
        <w:adjustRightInd w:val="0"/>
        <w:contextualSpacing/>
        <w:jc w:val="center"/>
        <w:rPr>
          <w:rFonts w:ascii="Arial" w:eastAsia="Times New Roman" w:hAnsi="Arial" w:cs="Arial"/>
          <w:b/>
          <w:szCs w:val="23"/>
          <w:lang w:val="fr-CA"/>
        </w:rPr>
      </w:pPr>
      <w:r w:rsidRPr="00F52884">
        <w:rPr>
          <w:rFonts w:ascii="Arial" w:eastAsia="Times New Roman" w:hAnsi="Arial" w:cs="Arial"/>
          <w:b/>
          <w:bCs/>
          <w:szCs w:val="23"/>
          <w:lang w:val="fr-CA"/>
        </w:rPr>
        <w:t xml:space="preserve">Article 1104 : </w:t>
      </w:r>
      <w:r w:rsidR="00D752EB" w:rsidRPr="00F52884">
        <w:rPr>
          <w:rFonts w:ascii="Arial" w:eastAsia="Times New Roman" w:hAnsi="Arial" w:cs="Arial"/>
          <w:b/>
          <w:bCs/>
          <w:szCs w:val="23"/>
          <w:lang w:val="fr-CA"/>
        </w:rPr>
        <w:tab/>
      </w:r>
      <w:r w:rsidRPr="00F52884">
        <w:rPr>
          <w:rFonts w:ascii="Arial" w:eastAsia="Times New Roman" w:hAnsi="Arial" w:cs="Arial"/>
          <w:b/>
          <w:bCs/>
          <w:szCs w:val="23"/>
          <w:lang w:val="fr-CA"/>
        </w:rPr>
        <w:t>Comités ministériels</w:t>
      </w:r>
    </w:p>
    <w:p w14:paraId="7934C25E" w14:textId="77777777" w:rsidR="00E8660D" w:rsidRPr="00F52884" w:rsidRDefault="00E8660D" w:rsidP="00215444">
      <w:pPr>
        <w:widowControl w:val="0"/>
        <w:autoSpaceDE w:val="0"/>
        <w:autoSpaceDN w:val="0"/>
        <w:adjustRightInd w:val="0"/>
        <w:ind w:left="1440"/>
        <w:contextualSpacing/>
        <w:rPr>
          <w:rFonts w:ascii="Arial" w:eastAsia="Times New Roman" w:hAnsi="Arial" w:cs="Arial"/>
          <w:szCs w:val="23"/>
          <w:lang w:val="fr-CA"/>
        </w:rPr>
      </w:pPr>
    </w:p>
    <w:p w14:paraId="781182DC" w14:textId="5F6C0603" w:rsidR="00E8660D" w:rsidRPr="00F52884" w:rsidRDefault="00E8660D" w:rsidP="00215444">
      <w:pPr>
        <w:ind w:firstLine="720"/>
        <w:rPr>
          <w:rFonts w:ascii="Arial" w:eastAsia="Times New Roman" w:hAnsi="Arial" w:cs="Arial"/>
          <w:szCs w:val="23"/>
          <w:lang w:val="fr-CA"/>
        </w:rPr>
      </w:pPr>
      <w:r w:rsidRPr="00F52884">
        <w:rPr>
          <w:rFonts w:ascii="Arial" w:eastAsia="Times New Roman" w:hAnsi="Arial" w:cs="Arial"/>
          <w:szCs w:val="23"/>
          <w:lang w:val="fr-CA"/>
        </w:rPr>
        <w:t>Le Comité peut coordonner ses travaux avec ceux de tout comité ministériel lorsqu’il l’estime nécessaire pour atteindre les objectifs du présent accord.</w:t>
      </w:r>
    </w:p>
    <w:p w14:paraId="52D635B8" w14:textId="77777777" w:rsidR="00E8660D" w:rsidRPr="00F52884" w:rsidRDefault="00E8660D" w:rsidP="00215444">
      <w:pPr>
        <w:rPr>
          <w:rFonts w:ascii="Arial" w:eastAsia="Arial" w:hAnsi="Arial" w:cs="Arial"/>
          <w:szCs w:val="23"/>
          <w:lang w:val="fr-CA"/>
        </w:rPr>
      </w:pPr>
    </w:p>
    <w:p w14:paraId="7ED7C129" w14:textId="77777777" w:rsidR="00E8660D" w:rsidRPr="00F52884" w:rsidRDefault="00E8660D" w:rsidP="00215444">
      <w:pPr>
        <w:rPr>
          <w:rFonts w:ascii="Arial" w:eastAsia="Arial" w:hAnsi="Arial" w:cs="Arial"/>
          <w:szCs w:val="23"/>
          <w:lang w:val="fr-CA"/>
        </w:rPr>
      </w:pPr>
    </w:p>
    <w:p w14:paraId="750C5F64" w14:textId="77777777" w:rsidR="00AA05B4" w:rsidRPr="00F52884" w:rsidRDefault="00AA05B4">
      <w:pPr>
        <w:rPr>
          <w:rFonts w:cstheme="minorHAnsi"/>
          <w:szCs w:val="23"/>
          <w:lang w:val="fr-CA"/>
        </w:rPr>
      </w:pPr>
    </w:p>
    <w:p w14:paraId="76B4666D" w14:textId="77777777" w:rsidR="00AA05B4" w:rsidRPr="00F52884" w:rsidRDefault="00AA05B4">
      <w:pPr>
        <w:rPr>
          <w:rFonts w:cstheme="minorHAnsi"/>
          <w:szCs w:val="23"/>
          <w:lang w:val="fr-CA"/>
        </w:rPr>
      </w:pPr>
      <w:r w:rsidRPr="00F52884">
        <w:rPr>
          <w:rFonts w:cstheme="minorHAnsi"/>
          <w:szCs w:val="23"/>
          <w:lang w:val="fr-CA"/>
        </w:rPr>
        <w:br w:type="page"/>
      </w:r>
    </w:p>
    <w:p w14:paraId="29D16AD2" w14:textId="77777777" w:rsidR="0057782C" w:rsidRPr="00F52884" w:rsidRDefault="0057782C" w:rsidP="0057782C">
      <w:pPr>
        <w:pStyle w:val="Heading2"/>
        <w:jc w:val="center"/>
        <w:rPr>
          <w:sz w:val="24"/>
          <w:szCs w:val="24"/>
          <w:lang w:val="fr-CA"/>
        </w:rPr>
      </w:pPr>
      <w:bookmarkStart w:id="232" w:name="_Toc471907461"/>
      <w:bookmarkStart w:id="233" w:name="_Toc156311782"/>
      <w:r w:rsidRPr="00F52884">
        <w:rPr>
          <w:sz w:val="24"/>
          <w:szCs w:val="24"/>
          <w:lang w:val="fr-CA"/>
        </w:rPr>
        <w:lastRenderedPageBreak/>
        <w:t>Chapitre Douze – Dispositions finales</w:t>
      </w:r>
      <w:bookmarkEnd w:id="232"/>
      <w:bookmarkEnd w:id="233"/>
    </w:p>
    <w:p w14:paraId="61FBC344" w14:textId="77777777" w:rsidR="0057782C" w:rsidRPr="00F52884" w:rsidRDefault="0057782C" w:rsidP="0057782C">
      <w:pPr>
        <w:rPr>
          <w:rFonts w:ascii="Arial" w:eastAsia="Arial" w:hAnsi="Arial" w:cs="Arial"/>
          <w:szCs w:val="23"/>
          <w:lang w:val="fr-CA"/>
        </w:rPr>
      </w:pPr>
    </w:p>
    <w:p w14:paraId="127F04C3" w14:textId="77777777" w:rsidR="0057782C" w:rsidRPr="00F52884" w:rsidRDefault="0057782C" w:rsidP="0057782C">
      <w:pPr>
        <w:jc w:val="center"/>
        <w:rPr>
          <w:rFonts w:ascii="Arial" w:eastAsia="Times New Roman" w:hAnsi="Arial" w:cs="Arial"/>
          <w:b/>
          <w:bCs/>
          <w:szCs w:val="23"/>
          <w:lang w:val="fr-CA"/>
        </w:rPr>
      </w:pPr>
    </w:p>
    <w:p w14:paraId="2DE66663" w14:textId="77777777" w:rsidR="0057782C" w:rsidRPr="00F52884" w:rsidRDefault="0057782C" w:rsidP="0057782C">
      <w:pPr>
        <w:jc w:val="center"/>
        <w:rPr>
          <w:rFonts w:ascii="Arial" w:eastAsia="Arial" w:hAnsi="Arial" w:cs="Arial"/>
          <w:szCs w:val="23"/>
          <w:lang w:val="fr-CA"/>
        </w:rPr>
      </w:pPr>
      <w:r w:rsidRPr="00F52884">
        <w:rPr>
          <w:rFonts w:ascii="Arial" w:eastAsia="Times New Roman" w:hAnsi="Arial" w:cs="Arial"/>
          <w:b/>
          <w:bCs/>
          <w:szCs w:val="23"/>
          <w:lang w:val="fr-CA"/>
        </w:rPr>
        <w:t xml:space="preserve">Article 1200 : </w:t>
      </w:r>
      <w:r w:rsidRPr="00F52884">
        <w:rPr>
          <w:rFonts w:ascii="Arial" w:eastAsia="Times New Roman" w:hAnsi="Arial" w:cs="Arial"/>
          <w:b/>
          <w:bCs/>
          <w:szCs w:val="23"/>
          <w:lang w:val="fr-CA"/>
        </w:rPr>
        <w:tab/>
        <w:t>Réaffirmation des pouvoirs et responsabilités constitutionnels</w:t>
      </w:r>
    </w:p>
    <w:p w14:paraId="7AF2AA9E" w14:textId="77777777" w:rsidR="0057782C" w:rsidRPr="00F52884" w:rsidRDefault="0057782C" w:rsidP="0057782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firstLine="576"/>
        <w:rPr>
          <w:rFonts w:ascii="Arial" w:eastAsia="Times New Roman" w:hAnsi="Arial" w:cs="Arial"/>
          <w:b/>
          <w:szCs w:val="23"/>
          <w:lang w:val="fr-CA"/>
        </w:rPr>
      </w:pPr>
    </w:p>
    <w:p w14:paraId="4A887A9D" w14:textId="32A2474D"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ab/>
        <w:t>Aucune disposition du présent accord ne modifie les autorités législatives ou autres du Parlement du Canada, des législatures provinciales, du gouvernement du Canada ou des gouvernements provinciaux, ni leurs droits en ce qui a trait à l’exercice des autorités législatives ou autres qui leur sont conférées par la Constitution du Canada.</w:t>
      </w:r>
    </w:p>
    <w:p w14:paraId="70D4C5C1" w14:textId="77777777" w:rsidR="0057782C" w:rsidRPr="00F52884" w:rsidRDefault="0057782C" w:rsidP="0057782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firstLine="576"/>
        <w:rPr>
          <w:rFonts w:ascii="Arial" w:eastAsia="Times New Roman" w:hAnsi="Arial" w:cs="Arial"/>
          <w:szCs w:val="23"/>
          <w:lang w:val="fr-CA"/>
        </w:rPr>
      </w:pPr>
      <w:r w:rsidRPr="00F52884">
        <w:rPr>
          <w:rFonts w:ascii="Arial" w:eastAsia="Times New Roman" w:hAnsi="Arial" w:cs="Arial"/>
          <w:szCs w:val="23"/>
          <w:lang w:val="fr-CA"/>
        </w:rPr>
        <w:tab/>
      </w:r>
    </w:p>
    <w:p w14:paraId="2DB36C75" w14:textId="77777777" w:rsidR="0057782C" w:rsidRPr="00F52884" w:rsidRDefault="0057782C" w:rsidP="0057782C">
      <w:pPr>
        <w:jc w:val="center"/>
        <w:rPr>
          <w:rFonts w:ascii="Arial" w:eastAsia="Arial" w:hAnsi="Arial" w:cs="Arial"/>
          <w:b/>
          <w:szCs w:val="23"/>
          <w:lang w:val="fr-CA"/>
        </w:rPr>
      </w:pPr>
      <w:bookmarkStart w:id="234" w:name="_Toc331669529"/>
      <w:r w:rsidRPr="00F52884">
        <w:rPr>
          <w:rFonts w:ascii="Arial" w:eastAsia="Arial" w:hAnsi="Arial" w:cs="Arial"/>
          <w:b/>
          <w:bCs/>
          <w:szCs w:val="23"/>
          <w:lang w:val="fr-CA"/>
        </w:rPr>
        <w:t>Article 1201 :</w:t>
      </w:r>
      <w:r w:rsidRPr="00F52884">
        <w:rPr>
          <w:rFonts w:ascii="Arial" w:eastAsia="Arial" w:hAnsi="Arial" w:cs="Arial"/>
          <w:szCs w:val="23"/>
          <w:lang w:val="fr-CA"/>
        </w:rPr>
        <w:t xml:space="preserve"> </w:t>
      </w:r>
      <w:r w:rsidRPr="00F52884">
        <w:rPr>
          <w:rFonts w:ascii="Arial" w:eastAsia="Arial" w:hAnsi="Arial" w:cs="Arial"/>
          <w:szCs w:val="23"/>
          <w:lang w:val="fr-CA"/>
        </w:rPr>
        <w:tab/>
      </w:r>
      <w:r w:rsidRPr="00F52884">
        <w:rPr>
          <w:rFonts w:ascii="Arial" w:eastAsia="Arial" w:hAnsi="Arial" w:cs="Arial"/>
          <w:b/>
          <w:bCs/>
          <w:szCs w:val="23"/>
          <w:lang w:val="fr-CA"/>
        </w:rPr>
        <w:t>Langue</w:t>
      </w:r>
      <w:bookmarkEnd w:id="234"/>
    </w:p>
    <w:p w14:paraId="57549B58" w14:textId="77777777" w:rsidR="0057782C" w:rsidRPr="00F52884" w:rsidRDefault="0057782C" w:rsidP="0057782C">
      <w:pPr>
        <w:rPr>
          <w:rFonts w:ascii="Arial" w:eastAsia="Times New Roman" w:hAnsi="Arial" w:cs="Arial"/>
          <w:szCs w:val="23"/>
          <w:lang w:val="fr-CA"/>
        </w:rPr>
      </w:pPr>
    </w:p>
    <w:p w14:paraId="63D86CD0" w14:textId="7C812855" w:rsidR="0057782C" w:rsidRPr="00F52884" w:rsidRDefault="0057782C" w:rsidP="0057782C">
      <w:pPr>
        <w:ind w:left="11"/>
        <w:contextualSpacing/>
        <w:rPr>
          <w:rFonts w:ascii="Arial" w:eastAsia="Times New Roman" w:hAnsi="Arial" w:cs="Arial"/>
          <w:szCs w:val="23"/>
          <w:lang w:val="fr-CA"/>
        </w:rPr>
      </w:pPr>
      <w:r w:rsidRPr="00F52884">
        <w:rPr>
          <w:rFonts w:ascii="Arial" w:eastAsia="Times New Roman" w:hAnsi="Arial" w:cs="Arial"/>
          <w:szCs w:val="23"/>
          <w:lang w:val="fr-CA"/>
        </w:rPr>
        <w:tab/>
        <w:t>Le présent accord a été établi et signé en langues française et anglaise, les deux versions faisant également foi.</w:t>
      </w:r>
    </w:p>
    <w:p w14:paraId="00D34C58" w14:textId="77777777" w:rsidR="0057782C" w:rsidRPr="00F52884" w:rsidRDefault="0057782C" w:rsidP="0057782C">
      <w:pPr>
        <w:rPr>
          <w:rFonts w:ascii="Arial" w:eastAsia="Arial" w:hAnsi="Arial" w:cs="Arial"/>
          <w:szCs w:val="23"/>
          <w:lang w:val="fr-CA"/>
        </w:rPr>
      </w:pPr>
    </w:p>
    <w:p w14:paraId="45248B35" w14:textId="01F549E1" w:rsidR="0057782C" w:rsidRPr="00F52884" w:rsidRDefault="0057782C" w:rsidP="0057782C">
      <w:pPr>
        <w:jc w:val="center"/>
        <w:rPr>
          <w:rFonts w:ascii="Arial" w:eastAsia="Arial" w:hAnsi="Arial" w:cs="Arial"/>
          <w:b/>
          <w:szCs w:val="23"/>
          <w:lang w:val="fr-CA"/>
        </w:rPr>
      </w:pPr>
      <w:bookmarkStart w:id="235" w:name="_Toc331669526"/>
      <w:r w:rsidRPr="00F52884">
        <w:rPr>
          <w:rFonts w:ascii="Arial" w:eastAsia="Arial" w:hAnsi="Arial" w:cs="Arial"/>
          <w:b/>
          <w:bCs/>
          <w:szCs w:val="23"/>
          <w:lang w:val="fr-CA"/>
        </w:rPr>
        <w:t>Article 1202 :</w:t>
      </w:r>
      <w:r w:rsidRPr="00F52884">
        <w:rPr>
          <w:rFonts w:ascii="Arial" w:eastAsia="Arial" w:hAnsi="Arial" w:cs="Arial"/>
          <w:szCs w:val="23"/>
          <w:lang w:val="fr-CA"/>
        </w:rPr>
        <w:t xml:space="preserve"> </w:t>
      </w:r>
      <w:r w:rsidRPr="00F52884">
        <w:rPr>
          <w:rFonts w:ascii="Arial" w:eastAsia="Arial" w:hAnsi="Arial" w:cs="Arial"/>
          <w:szCs w:val="23"/>
          <w:lang w:val="fr-CA"/>
        </w:rPr>
        <w:tab/>
      </w:r>
      <w:r w:rsidRPr="00F52884">
        <w:rPr>
          <w:rFonts w:ascii="Arial" w:eastAsia="Arial" w:hAnsi="Arial" w:cs="Arial"/>
          <w:b/>
          <w:bCs/>
          <w:szCs w:val="23"/>
          <w:lang w:val="fr-CA"/>
        </w:rPr>
        <w:t>Relation avec les accords internationaux</w:t>
      </w:r>
      <w:bookmarkEnd w:id="235"/>
    </w:p>
    <w:p w14:paraId="25FD55C9"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02D0C3AF" w14:textId="50056576"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Aucune disposition du présent accord ne vise à conférer et ne peut être interprété comme conférant, directement ou indirectement,</w:t>
      </w:r>
      <w:r w:rsidR="00D752EB" w:rsidRPr="00F52884">
        <w:rPr>
          <w:rFonts w:ascii="Arial" w:eastAsia="Times New Roman" w:hAnsi="Arial" w:cs="Arial"/>
          <w:szCs w:val="23"/>
          <w:lang w:val="fr-CA"/>
        </w:rPr>
        <w:t xml:space="preserve"> à </w:t>
      </w:r>
      <w:r w:rsidRPr="00F52884">
        <w:rPr>
          <w:rFonts w:ascii="Arial" w:eastAsia="Times New Roman" w:hAnsi="Arial" w:cs="Arial"/>
          <w:szCs w:val="23"/>
          <w:lang w:val="fr-CA"/>
        </w:rPr>
        <w:t>toute personne, Partie ou tierce partie, quelque droit, cause d’action ou recours que ce soit fondé sur un accord international.</w:t>
      </w:r>
    </w:p>
    <w:p w14:paraId="1DEFC4E0"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Arial" w:hAnsi="Arial" w:cs="Arial"/>
          <w:szCs w:val="23"/>
          <w:lang w:val="fr-CA"/>
        </w:rPr>
        <w:t xml:space="preserve"> </w:t>
      </w:r>
    </w:p>
    <w:p w14:paraId="126096FA" w14:textId="66A0007E" w:rsidR="0057782C" w:rsidRPr="00F52884" w:rsidRDefault="0057782C" w:rsidP="0057782C">
      <w:pPr>
        <w:rPr>
          <w:rFonts w:ascii="Arial" w:eastAsia="Times New Roman" w:hAnsi="Arial" w:cs="Arial"/>
          <w:szCs w:val="23"/>
          <w:lang w:val="fr-CA"/>
        </w:rPr>
      </w:pPr>
      <w:r w:rsidRPr="00F52884">
        <w:rPr>
          <w:rFonts w:ascii="Arial" w:eastAsia="Times New Roman" w:hAnsi="Arial" w:cs="Arial"/>
          <w:szCs w:val="23"/>
          <w:lang w:val="fr-CA"/>
        </w:rPr>
        <w:t>2.</w:t>
      </w:r>
      <w:r w:rsidRPr="00F52884">
        <w:rPr>
          <w:rFonts w:ascii="Arial" w:eastAsia="Times New Roman" w:hAnsi="Arial" w:cs="Arial"/>
          <w:szCs w:val="23"/>
          <w:lang w:val="fr-CA"/>
        </w:rPr>
        <w:tab/>
        <w:t>Les Parties reconnaissent que la coopération entre le gouvernement du Canada et les Provinces constitue un élément essentiel pour la réalisation des objectifs commerciaux et économiques du Canada sur la scène internationale.</w:t>
      </w:r>
    </w:p>
    <w:p w14:paraId="1E8CB7E2" w14:textId="77777777" w:rsidR="0057782C" w:rsidRPr="00F52884" w:rsidRDefault="0057782C" w:rsidP="0057782C">
      <w:pPr>
        <w:rPr>
          <w:rFonts w:ascii="Arial" w:eastAsia="Times New Roman" w:hAnsi="Arial" w:cs="Arial"/>
          <w:szCs w:val="23"/>
          <w:lang w:val="fr-CA"/>
        </w:rPr>
      </w:pPr>
    </w:p>
    <w:p w14:paraId="17772262" w14:textId="2A61A849" w:rsidR="0057782C" w:rsidRPr="00F52884" w:rsidRDefault="0057782C" w:rsidP="0057782C">
      <w:pPr>
        <w:rPr>
          <w:rFonts w:ascii="Arial" w:eastAsia="Times New Roman" w:hAnsi="Arial" w:cs="Arial"/>
          <w:szCs w:val="23"/>
          <w:lang w:val="fr-CA"/>
        </w:rPr>
      </w:pPr>
      <w:r w:rsidRPr="00F52884">
        <w:rPr>
          <w:rFonts w:ascii="Arial" w:eastAsia="Times New Roman" w:hAnsi="Arial" w:cs="Arial"/>
          <w:szCs w:val="23"/>
          <w:lang w:val="fr-CA"/>
        </w:rPr>
        <w:t>3.</w:t>
      </w:r>
      <w:r w:rsidRPr="00F52884">
        <w:rPr>
          <w:rFonts w:ascii="Arial" w:eastAsia="Times New Roman" w:hAnsi="Arial" w:cs="Arial"/>
          <w:szCs w:val="23"/>
          <w:lang w:val="fr-CA"/>
        </w:rPr>
        <w:tab/>
        <w:t>Les Parties continueront de recourir aux mécanismes établis en lien avec les négociations et accords commerciaux internationaux qui permettent la tenue de consultations significatives avec les Provinces ainsi que leur participation.</w:t>
      </w:r>
    </w:p>
    <w:p w14:paraId="506ED5CE" w14:textId="77777777" w:rsidR="0057782C" w:rsidRPr="00F52884" w:rsidRDefault="0057782C" w:rsidP="0057782C">
      <w:pPr>
        <w:tabs>
          <w:tab w:val="left" w:pos="6300"/>
        </w:tabs>
        <w:rPr>
          <w:rFonts w:ascii="Arial" w:eastAsia="Arial" w:hAnsi="Arial" w:cs="Arial"/>
          <w:szCs w:val="23"/>
          <w:lang w:val="fr-CA"/>
        </w:rPr>
      </w:pPr>
    </w:p>
    <w:p w14:paraId="470D0F43" w14:textId="2700522D" w:rsidR="0057782C" w:rsidRPr="00F52884" w:rsidRDefault="0057782C" w:rsidP="0057782C">
      <w:pPr>
        <w:rPr>
          <w:rFonts w:ascii="Arial" w:eastAsia="Arial" w:hAnsi="Arial" w:cs="Arial"/>
          <w:b/>
          <w:szCs w:val="23"/>
          <w:lang w:val="fr-CA"/>
        </w:rPr>
      </w:pPr>
      <w:r w:rsidRPr="00F52884">
        <w:rPr>
          <w:rFonts w:ascii="Arial" w:eastAsia="Times New Roman" w:hAnsi="Arial" w:cs="Arial"/>
          <w:szCs w:val="23"/>
          <w:lang w:val="fr-CA"/>
        </w:rPr>
        <w:t>4.</w:t>
      </w:r>
      <w:r w:rsidRPr="00F52884">
        <w:rPr>
          <w:rFonts w:ascii="Arial" w:eastAsia="Times New Roman" w:hAnsi="Arial" w:cs="Arial"/>
          <w:szCs w:val="23"/>
          <w:lang w:val="fr-CA"/>
        </w:rPr>
        <w:tab/>
        <w:t>Les Parties prennent les mesures appropriées pour évaluer les obligations internationales, de manière à faire en sorte que la relation entre toute obligation internationale et le présent accord soit prise en considération lorsque sont négociées de nouvelles obligations internationales ou que surgissent des différends en matière de commerce international.</w:t>
      </w:r>
    </w:p>
    <w:p w14:paraId="5B0F457F" w14:textId="77777777" w:rsidR="0057782C" w:rsidRPr="00F52884" w:rsidRDefault="0057782C" w:rsidP="0057782C">
      <w:pPr>
        <w:jc w:val="center"/>
        <w:rPr>
          <w:rFonts w:ascii="Arial" w:eastAsia="Arial" w:hAnsi="Arial" w:cs="Arial"/>
          <w:b/>
          <w:bCs/>
          <w:szCs w:val="23"/>
          <w:lang w:val="fr-CA"/>
        </w:rPr>
      </w:pPr>
      <w:bookmarkStart w:id="236" w:name="_Toc331669517"/>
    </w:p>
    <w:p w14:paraId="73E9EFE7" w14:textId="2013F728" w:rsidR="0057782C" w:rsidRPr="00F52884" w:rsidRDefault="0057782C" w:rsidP="0057782C">
      <w:pPr>
        <w:jc w:val="center"/>
        <w:rPr>
          <w:rFonts w:ascii="Arial" w:eastAsia="Arial" w:hAnsi="Arial" w:cs="Arial"/>
          <w:b/>
          <w:szCs w:val="23"/>
          <w:lang w:val="fr-CA"/>
        </w:rPr>
      </w:pPr>
      <w:r w:rsidRPr="00F52884">
        <w:rPr>
          <w:rFonts w:ascii="Arial" w:eastAsia="Arial" w:hAnsi="Arial" w:cs="Arial"/>
          <w:b/>
          <w:bCs/>
          <w:szCs w:val="23"/>
          <w:lang w:val="fr-CA"/>
        </w:rPr>
        <w:t xml:space="preserve">Article 1203 : </w:t>
      </w:r>
      <w:r w:rsidRPr="00F52884">
        <w:rPr>
          <w:rFonts w:ascii="Arial" w:eastAsia="Arial" w:hAnsi="Arial" w:cs="Arial"/>
          <w:b/>
          <w:bCs/>
          <w:szCs w:val="23"/>
          <w:lang w:val="fr-CA"/>
        </w:rPr>
        <w:tab/>
        <w:t>Arrangements visant à accroître le commerce</w:t>
      </w:r>
      <w:bookmarkEnd w:id="236"/>
      <w:r w:rsidRPr="00F52884">
        <w:rPr>
          <w:rFonts w:ascii="Arial" w:eastAsia="Arial" w:hAnsi="Arial" w:cs="Arial"/>
          <w:b/>
          <w:bCs/>
          <w:szCs w:val="23"/>
          <w:lang w:val="fr-CA"/>
        </w:rPr>
        <w:t>, l’investissement et la mobilité de la main-d’œuvre</w:t>
      </w:r>
    </w:p>
    <w:p w14:paraId="70A557CB"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1225EFB9" w14:textId="6E962CD8"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Les Parties reconnaissent qu’il convient de conclure des arrangements bilatéraux ou multilatéraux visant à accroître le commerce, l’investissement ou la mobilité de la main</w:t>
      </w:r>
      <w:r w:rsidRPr="00F52884">
        <w:rPr>
          <w:rFonts w:ascii="Arial" w:eastAsia="Times New Roman" w:hAnsi="Arial" w:cs="Arial"/>
          <w:szCs w:val="23"/>
          <w:lang w:val="fr-CA"/>
        </w:rPr>
        <w:noBreakHyphen/>
        <w:t>d’œuvre.</w:t>
      </w:r>
    </w:p>
    <w:p w14:paraId="546A521D" w14:textId="77777777"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0DDD0E6F" w14:textId="63B32CC5"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2.</w:t>
      </w:r>
      <w:r w:rsidRPr="00F52884">
        <w:rPr>
          <w:rFonts w:ascii="Arial" w:eastAsia="Times New Roman" w:hAnsi="Arial" w:cs="Arial"/>
          <w:szCs w:val="23"/>
          <w:lang w:val="fr-CA"/>
        </w:rPr>
        <w:tab/>
        <w:t>Le présent accord n’empêche pas le maintien ou la conclusion d’un arrangement visant à accroître le commerce, l’investissement ou la mobilité de la main</w:t>
      </w:r>
      <w:r w:rsidRPr="00F52884">
        <w:rPr>
          <w:rFonts w:ascii="Arial" w:eastAsia="Times New Roman" w:hAnsi="Arial" w:cs="Arial"/>
          <w:szCs w:val="23"/>
          <w:lang w:val="fr-CA"/>
        </w:rPr>
        <w:noBreakHyphen/>
        <w:t>d’œuvre lorsque les conditions suivantes sont réunies :</w:t>
      </w:r>
    </w:p>
    <w:p w14:paraId="747F8160"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5A9343E6" w14:textId="6BC96EBC" w:rsidR="0057782C" w:rsidRPr="00F52884" w:rsidRDefault="0057782C" w:rsidP="0057782C">
      <w:pPr>
        <w:numPr>
          <w:ilvl w:val="0"/>
          <w:numId w:val="98"/>
        </w:numPr>
        <w:autoSpaceDE w:val="0"/>
        <w:autoSpaceDN w:val="0"/>
        <w:adjustRightInd w:val="0"/>
        <w:ind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l’arrangement</w:t>
      </w:r>
      <w:proofErr w:type="gramEnd"/>
      <w:r w:rsidRPr="00F52884">
        <w:rPr>
          <w:rFonts w:ascii="Arial" w:eastAsia="Times New Roman" w:hAnsi="Arial" w:cs="Arial"/>
          <w:szCs w:val="23"/>
          <w:lang w:val="fr-CA"/>
        </w:rPr>
        <w:t xml:space="preserve"> libéralise le commerce, l’investissement ou la mobilité de la main-d’œuvre au-delà du niveau atteint dans le cadre du présent accord;</w:t>
      </w:r>
    </w:p>
    <w:p w14:paraId="5EA0AA7D" w14:textId="77777777" w:rsidR="0057782C" w:rsidRPr="00F52884" w:rsidRDefault="0057782C" w:rsidP="0057782C">
      <w:pPr>
        <w:autoSpaceDE w:val="0"/>
        <w:autoSpaceDN w:val="0"/>
        <w:adjustRightInd w:val="0"/>
        <w:ind w:left="1440" w:hanging="720"/>
        <w:rPr>
          <w:rFonts w:ascii="Arial" w:eastAsia="Times New Roman" w:hAnsi="Arial" w:cs="Arial"/>
          <w:szCs w:val="23"/>
          <w:lang w:val="fr-CA"/>
        </w:rPr>
      </w:pPr>
    </w:p>
    <w:p w14:paraId="54B978BE" w14:textId="7CF7D151" w:rsidR="0057782C" w:rsidRPr="00F52884" w:rsidRDefault="0057782C" w:rsidP="0057782C">
      <w:pPr>
        <w:numPr>
          <w:ilvl w:val="0"/>
          <w:numId w:val="98"/>
        </w:numPr>
        <w:autoSpaceDE w:val="0"/>
        <w:autoSpaceDN w:val="0"/>
        <w:adjustRightInd w:val="0"/>
        <w:ind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les</w:t>
      </w:r>
      <w:proofErr w:type="gramEnd"/>
      <w:r w:rsidRPr="00F52884">
        <w:rPr>
          <w:rFonts w:ascii="Arial" w:eastAsia="Times New Roman" w:hAnsi="Arial" w:cs="Arial"/>
          <w:szCs w:val="23"/>
          <w:lang w:val="fr-CA"/>
        </w:rPr>
        <w:t xml:space="preserve"> détails de l’arrangement sont communiqués intégralement à toutes les autres Parties au moins 60 jours avant sa mise en œuvre;</w:t>
      </w:r>
    </w:p>
    <w:p w14:paraId="6A59EA1C" w14:textId="77777777" w:rsidR="0057782C" w:rsidRPr="00F52884" w:rsidRDefault="0057782C" w:rsidP="0057782C">
      <w:pPr>
        <w:autoSpaceDE w:val="0"/>
        <w:autoSpaceDN w:val="0"/>
        <w:adjustRightInd w:val="0"/>
        <w:ind w:left="1440" w:hanging="720"/>
        <w:rPr>
          <w:rFonts w:ascii="Arial" w:eastAsia="Times New Roman" w:hAnsi="Arial" w:cs="Arial"/>
          <w:szCs w:val="23"/>
          <w:lang w:val="fr-CA"/>
        </w:rPr>
      </w:pPr>
    </w:p>
    <w:p w14:paraId="16773341" w14:textId="77777777" w:rsidR="0057782C" w:rsidRPr="00F52884" w:rsidRDefault="0057782C" w:rsidP="0057782C">
      <w:pPr>
        <w:numPr>
          <w:ilvl w:val="0"/>
          <w:numId w:val="98"/>
        </w:numPr>
        <w:autoSpaceDE w:val="0"/>
        <w:autoSpaceDN w:val="0"/>
        <w:adjustRightInd w:val="0"/>
        <w:ind w:hanging="720"/>
        <w:contextualSpacing/>
        <w:rPr>
          <w:rFonts w:ascii="Arial" w:eastAsia="Times New Roman" w:hAnsi="Arial" w:cs="Arial"/>
          <w:szCs w:val="23"/>
          <w:lang w:val="fr-CA"/>
        </w:rPr>
      </w:pPr>
      <w:proofErr w:type="gramStart"/>
      <w:r w:rsidRPr="00F52884">
        <w:rPr>
          <w:rFonts w:ascii="Arial" w:eastAsia="Times New Roman" w:hAnsi="Arial" w:cs="Arial"/>
          <w:szCs w:val="23"/>
          <w:lang w:val="fr-CA"/>
        </w:rPr>
        <w:t>les</w:t>
      </w:r>
      <w:proofErr w:type="gramEnd"/>
      <w:r w:rsidRPr="00F52884">
        <w:rPr>
          <w:rFonts w:ascii="Arial" w:eastAsia="Times New Roman" w:hAnsi="Arial" w:cs="Arial"/>
          <w:szCs w:val="23"/>
          <w:lang w:val="fr-CA"/>
        </w:rPr>
        <w:t xml:space="preserve"> signataires de l’arrangement sont prêts à étendre son application, dans un délai raisonnable, à toutes les autres Parties qui sont disposées à en accepter les conditions.</w:t>
      </w:r>
    </w:p>
    <w:p w14:paraId="75F5FA7C" w14:textId="77777777" w:rsidR="0057782C" w:rsidRPr="00F52884" w:rsidRDefault="0057782C" w:rsidP="0057782C">
      <w:pPr>
        <w:tabs>
          <w:tab w:val="left" w:pos="1440"/>
        </w:tabs>
        <w:ind w:left="1440" w:hanging="720"/>
        <w:rPr>
          <w:rFonts w:ascii="Arial" w:eastAsia="Arial" w:hAnsi="Arial" w:cs="Arial"/>
          <w:szCs w:val="23"/>
          <w:lang w:val="fr-CA"/>
        </w:rPr>
      </w:pPr>
    </w:p>
    <w:p w14:paraId="789757E3" w14:textId="15D73B76" w:rsidR="0057782C" w:rsidRPr="00F52884" w:rsidRDefault="0057782C" w:rsidP="0057782C">
      <w:pPr>
        <w:rPr>
          <w:rFonts w:ascii="Arial" w:eastAsia="Arial" w:hAnsi="Arial" w:cs="Arial"/>
          <w:szCs w:val="23"/>
          <w:lang w:val="fr-CA"/>
        </w:rPr>
      </w:pPr>
      <w:r w:rsidRPr="00F52884">
        <w:rPr>
          <w:rFonts w:ascii="Arial" w:eastAsia="Arial" w:hAnsi="Arial" w:cs="Arial"/>
          <w:szCs w:val="23"/>
          <w:lang w:val="fr-CA"/>
        </w:rPr>
        <w:t>3.</w:t>
      </w:r>
      <w:r w:rsidRPr="00F52884">
        <w:rPr>
          <w:rFonts w:ascii="Arial" w:eastAsia="Arial" w:hAnsi="Arial" w:cs="Arial"/>
          <w:szCs w:val="23"/>
          <w:lang w:val="fr-CA"/>
        </w:rPr>
        <w:tab/>
        <w:t>Les Parties peuvent conclure un arrangement visant à accroître le commerce dans le domaine de la conciliation ou de la coopération en matière de réglementation qui soit distinct des processus prévus aux parties B et C du chapitre Quatre (Notification, conciliation et coopération en matière de réglementation) à l’égard de toute mesure qui ne relève pas du champ d’application du présent accord.</w:t>
      </w:r>
    </w:p>
    <w:p w14:paraId="61138E95" w14:textId="77777777" w:rsidR="0057782C" w:rsidRPr="00F52884" w:rsidRDefault="0057782C" w:rsidP="0057782C">
      <w:pPr>
        <w:jc w:val="center"/>
        <w:rPr>
          <w:rFonts w:ascii="Arial" w:eastAsia="Arial" w:hAnsi="Arial" w:cs="Arial"/>
          <w:b/>
          <w:bCs/>
          <w:szCs w:val="23"/>
          <w:lang w:val="fr-CA"/>
        </w:rPr>
      </w:pPr>
      <w:bookmarkStart w:id="237" w:name="_Toc331669527"/>
    </w:p>
    <w:p w14:paraId="4651D25B" w14:textId="77777777" w:rsidR="0057782C" w:rsidRPr="00F52884" w:rsidRDefault="0057782C" w:rsidP="0057782C">
      <w:pPr>
        <w:jc w:val="center"/>
        <w:rPr>
          <w:rFonts w:ascii="Arial" w:eastAsia="Arial" w:hAnsi="Arial" w:cs="Arial"/>
          <w:b/>
          <w:szCs w:val="23"/>
          <w:lang w:val="fr-CA"/>
        </w:rPr>
      </w:pPr>
      <w:r w:rsidRPr="00F52884">
        <w:rPr>
          <w:rFonts w:ascii="Arial" w:eastAsia="Arial" w:hAnsi="Arial" w:cs="Arial"/>
          <w:b/>
          <w:bCs/>
          <w:szCs w:val="23"/>
          <w:lang w:val="fr-CA"/>
        </w:rPr>
        <w:t xml:space="preserve">Article 1204 : </w:t>
      </w:r>
      <w:r w:rsidRPr="00F52884">
        <w:rPr>
          <w:rFonts w:ascii="Arial" w:eastAsia="Arial" w:hAnsi="Arial" w:cs="Arial"/>
          <w:b/>
          <w:bCs/>
          <w:szCs w:val="23"/>
          <w:lang w:val="fr-CA"/>
        </w:rPr>
        <w:tab/>
        <w:t>Négociations futures</w:t>
      </w:r>
      <w:bookmarkEnd w:id="237"/>
    </w:p>
    <w:p w14:paraId="4BFFB9EF"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2C8CED9A" w14:textId="411212D6" w:rsidR="0057782C" w:rsidRPr="00F52884" w:rsidRDefault="0057782C" w:rsidP="0057782C">
      <w:pPr>
        <w:numPr>
          <w:ilvl w:val="3"/>
          <w:numId w:val="159"/>
        </w:num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0" w:firstLine="0"/>
        <w:contextualSpacing/>
        <w:rPr>
          <w:rFonts w:ascii="Arial" w:eastAsia="Times New Roman" w:hAnsi="Arial" w:cs="Arial"/>
          <w:szCs w:val="23"/>
          <w:lang w:val="fr-CA"/>
        </w:rPr>
      </w:pPr>
      <w:r w:rsidRPr="00F52884">
        <w:rPr>
          <w:rFonts w:ascii="Arial" w:eastAsia="Times New Roman" w:hAnsi="Arial" w:cs="Arial"/>
          <w:szCs w:val="23"/>
          <w:lang w:val="fr-CA"/>
        </w:rPr>
        <w:t>Les Parties ont convenu de respecter leur engagement à tenir des négociations sur des questions particulières conformément au présent accord.</w:t>
      </w:r>
    </w:p>
    <w:p w14:paraId="3583F660" w14:textId="77777777"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228F9B04" w14:textId="489F0153" w:rsidR="0057782C" w:rsidRPr="00F52884" w:rsidRDefault="0057782C" w:rsidP="0057782C">
      <w:pPr>
        <w:numPr>
          <w:ilvl w:val="3"/>
          <w:numId w:val="159"/>
        </w:num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0" w:firstLine="0"/>
        <w:contextualSpacing/>
        <w:rPr>
          <w:rFonts w:ascii="Arial" w:eastAsia="Times New Roman" w:hAnsi="Arial" w:cs="Arial"/>
          <w:szCs w:val="23"/>
          <w:lang w:val="fr-CA"/>
        </w:rPr>
      </w:pPr>
      <w:r w:rsidRPr="00F52884">
        <w:rPr>
          <w:rFonts w:ascii="Arial" w:eastAsia="Times New Roman" w:hAnsi="Arial" w:cs="Arial"/>
          <w:szCs w:val="23"/>
          <w:lang w:val="fr-CA"/>
        </w:rPr>
        <w:t>Le Comité peut examiner le champ d’application et la portée du présent accord et recommander aux Parties d’étendre son application à des mesures qui ne relèvent pas du champ d’application du présent accord.</w:t>
      </w:r>
    </w:p>
    <w:p w14:paraId="7A3AAFA2" w14:textId="77777777" w:rsidR="0057782C" w:rsidRPr="00F52884" w:rsidRDefault="0057782C" w:rsidP="0057782C">
      <w:p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3870C91F" w14:textId="1BB5821B" w:rsidR="0057782C" w:rsidRPr="00F52884" w:rsidRDefault="0057782C" w:rsidP="0057782C">
      <w:pPr>
        <w:numPr>
          <w:ilvl w:val="3"/>
          <w:numId w:val="159"/>
        </w:numPr>
        <w:tabs>
          <w:tab w:val="left" w:pos="709"/>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0" w:firstLine="0"/>
        <w:contextualSpacing/>
        <w:rPr>
          <w:rFonts w:ascii="Arial" w:eastAsia="Times New Roman" w:hAnsi="Arial" w:cs="Arial"/>
          <w:szCs w:val="23"/>
          <w:lang w:val="fr-CA"/>
        </w:rPr>
      </w:pPr>
      <w:r w:rsidRPr="00F52884">
        <w:rPr>
          <w:rFonts w:ascii="Arial" w:eastAsia="Times New Roman" w:hAnsi="Arial" w:cs="Arial"/>
          <w:szCs w:val="23"/>
          <w:lang w:val="fr-CA"/>
        </w:rPr>
        <w:t>Avant la conclusion de toute négociation visée au paragraphe 1 ou de toute négociation entre les Parties tenue conformément aux recommandations formulées en application du paragraphe 2 relativement à une question particulière, une Partie n’adopte pas de nouvelle mesure ni ne modifie une mesure existante concernant cette question d’une manière qui n’est pas conforme aux principes énoncés à l’article 102 (Principes mutuellement convenus).</w:t>
      </w:r>
    </w:p>
    <w:p w14:paraId="59E07A0F"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contextualSpacing/>
        <w:rPr>
          <w:rFonts w:ascii="Arial" w:eastAsia="Times New Roman" w:hAnsi="Arial" w:cs="Arial"/>
          <w:szCs w:val="23"/>
          <w:lang w:val="fr-CA"/>
        </w:rPr>
      </w:pPr>
    </w:p>
    <w:p w14:paraId="13B77C73" w14:textId="77777777" w:rsidR="0057782C" w:rsidRPr="00F52884" w:rsidRDefault="0057782C" w:rsidP="0057782C">
      <w:pPr>
        <w:jc w:val="center"/>
        <w:rPr>
          <w:rFonts w:ascii="Arial" w:eastAsia="Arial" w:hAnsi="Arial" w:cs="Arial"/>
          <w:b/>
          <w:bCs/>
          <w:szCs w:val="23"/>
          <w:lang w:val="fr-CA"/>
        </w:rPr>
      </w:pPr>
      <w:r w:rsidRPr="00F52884">
        <w:rPr>
          <w:rFonts w:ascii="Arial" w:eastAsia="Arial" w:hAnsi="Arial" w:cs="Arial"/>
          <w:b/>
          <w:bCs/>
          <w:szCs w:val="23"/>
          <w:lang w:val="fr-CA"/>
        </w:rPr>
        <w:t xml:space="preserve">Article 1205 : </w:t>
      </w:r>
      <w:r w:rsidRPr="00F52884">
        <w:rPr>
          <w:rFonts w:ascii="Arial" w:eastAsia="Arial" w:hAnsi="Arial" w:cs="Arial"/>
          <w:b/>
          <w:bCs/>
          <w:szCs w:val="23"/>
          <w:lang w:val="fr-CA"/>
        </w:rPr>
        <w:tab/>
        <w:t>Services financiers</w:t>
      </w:r>
    </w:p>
    <w:p w14:paraId="012E09F1" w14:textId="77777777" w:rsidR="0057782C" w:rsidRPr="00F52884" w:rsidRDefault="0057782C" w:rsidP="0057782C">
      <w:pPr>
        <w:rPr>
          <w:rFonts w:ascii="Arial" w:eastAsia="Arial" w:hAnsi="Arial" w:cs="Arial"/>
          <w:b/>
          <w:szCs w:val="23"/>
          <w:lang w:val="fr-CA"/>
        </w:rPr>
      </w:pPr>
    </w:p>
    <w:p w14:paraId="5E4024F0" w14:textId="5189140E" w:rsidR="0057782C" w:rsidRPr="00F52884" w:rsidRDefault="0057782C" w:rsidP="0057782C">
      <w:pPr>
        <w:rPr>
          <w:rFonts w:ascii="Arial" w:eastAsia="Arial" w:hAnsi="Arial" w:cs="Arial"/>
          <w:szCs w:val="23"/>
          <w:lang w:val="fr-CA"/>
        </w:rPr>
      </w:pPr>
      <w:r w:rsidRPr="00F52884">
        <w:rPr>
          <w:rFonts w:ascii="Arial" w:eastAsia="Arial" w:hAnsi="Arial" w:cs="Arial"/>
          <w:szCs w:val="23"/>
          <w:lang w:val="fr-CA"/>
        </w:rPr>
        <w:t xml:space="preserve">1. </w:t>
      </w:r>
      <w:r w:rsidRPr="00F52884">
        <w:rPr>
          <w:rFonts w:ascii="Arial" w:eastAsia="Arial" w:hAnsi="Arial" w:cs="Arial"/>
          <w:szCs w:val="23"/>
          <w:lang w:val="fr-CA"/>
        </w:rPr>
        <w:tab/>
        <w:t>À l’exception du chapitre Sept (Mobilité de la main-d’œuvre) et sous réserve des paragraphes 4 à 6, le présent accord ne s’applique pas à une mesure adoptée ou maintenue concernant les services financiers.</w:t>
      </w:r>
    </w:p>
    <w:p w14:paraId="5DD5E27B" w14:textId="091EA5D7" w:rsidR="0057782C" w:rsidRPr="00F52884" w:rsidRDefault="0057782C" w:rsidP="0057782C">
      <w:pPr>
        <w:spacing w:before="100" w:beforeAutospacing="1" w:after="100" w:afterAutospacing="1"/>
        <w:rPr>
          <w:rFonts w:ascii="Arial" w:eastAsia="Times New Roman" w:hAnsi="Arial" w:cs="Arial"/>
          <w:szCs w:val="23"/>
          <w:lang w:val="fr-CA"/>
        </w:rPr>
      </w:pPr>
      <w:r w:rsidRPr="00F52884">
        <w:rPr>
          <w:rFonts w:ascii="Arial" w:eastAsia="Times New Roman" w:hAnsi="Arial" w:cs="Arial"/>
          <w:szCs w:val="23"/>
          <w:lang w:val="fr-CA"/>
        </w:rPr>
        <w:t>2.  </w:t>
      </w:r>
      <w:r w:rsidRPr="00F52884">
        <w:rPr>
          <w:rFonts w:ascii="Arial" w:eastAsia="Times New Roman" w:hAnsi="Arial" w:cs="Arial"/>
          <w:szCs w:val="23"/>
          <w:lang w:val="fr-CA"/>
        </w:rPr>
        <w:tab/>
        <w:t>Lors des discussions exploratoires et des négociations décrites aux paragraphes 3 à 5, une Partie peut inclure dans sa délégation des représentants de son ministère responsable des services financiers. Ces discussions s’appuient aussi sur la preuve et les commentaires des parties prenantes et des autorités réglementaires concernées.</w:t>
      </w:r>
    </w:p>
    <w:p w14:paraId="715E5F13" w14:textId="344879E6" w:rsidR="0057782C" w:rsidRPr="00F52884" w:rsidRDefault="0057782C" w:rsidP="0057782C">
      <w:pPr>
        <w:spacing w:before="100" w:beforeAutospacing="1" w:after="100" w:afterAutospacing="1"/>
        <w:rPr>
          <w:rFonts w:ascii="Arial" w:eastAsia="Arial" w:hAnsi="Arial" w:cs="Arial"/>
          <w:szCs w:val="23"/>
          <w:lang w:val="fr-CA"/>
        </w:rPr>
      </w:pPr>
      <w:r w:rsidRPr="00F52884">
        <w:rPr>
          <w:rFonts w:ascii="Arial" w:eastAsia="Times New Roman" w:hAnsi="Arial" w:cs="Arial"/>
          <w:szCs w:val="23"/>
          <w:lang w:val="fr-CA"/>
        </w:rPr>
        <w:t>3.</w:t>
      </w:r>
      <w:r w:rsidRPr="00F52884">
        <w:rPr>
          <w:rFonts w:ascii="Arial" w:eastAsia="Times New Roman" w:hAnsi="Arial" w:cs="Arial"/>
          <w:szCs w:val="23"/>
          <w:lang w:val="fr-CA"/>
        </w:rPr>
        <w:tab/>
        <w:t xml:space="preserve">Dans les six mois qui suivent la date d’entrée en vigueur, les Parties engagent des discussions exploratoires pour évaluer l’opportunité d’intégrer des règles applicables aux services financiers dans le présent accord. </w:t>
      </w:r>
    </w:p>
    <w:p w14:paraId="4C72464D" w14:textId="53DF6145" w:rsidR="0057782C" w:rsidRPr="00F52884" w:rsidRDefault="0057782C" w:rsidP="0057782C">
      <w:pPr>
        <w:spacing w:before="100" w:beforeAutospacing="1" w:after="100" w:afterAutospacing="1"/>
        <w:rPr>
          <w:rFonts w:ascii="Arial" w:eastAsia="Times New Roman" w:hAnsi="Arial" w:cs="Arial"/>
          <w:szCs w:val="23"/>
          <w:lang w:val="fr-CA"/>
        </w:rPr>
      </w:pPr>
      <w:r w:rsidRPr="00F52884">
        <w:rPr>
          <w:rFonts w:ascii="Arial" w:eastAsia="Times New Roman" w:hAnsi="Arial" w:cs="Arial"/>
          <w:szCs w:val="23"/>
          <w:lang w:val="fr-CA"/>
        </w:rPr>
        <w:t>4.</w:t>
      </w:r>
      <w:r w:rsidRPr="00F52884">
        <w:rPr>
          <w:rFonts w:ascii="Arial" w:eastAsia="Times New Roman" w:hAnsi="Arial" w:cs="Arial"/>
          <w:szCs w:val="23"/>
          <w:lang w:val="fr-CA"/>
        </w:rPr>
        <w:tab/>
        <w:t>À la suite et sur la base des discussions exploratoires visées au paragraphe 3, les Parties :</w:t>
      </w:r>
    </w:p>
    <w:p w14:paraId="56FFCF1D" w14:textId="15B8B260" w:rsidR="0057782C" w:rsidRPr="00F52884" w:rsidRDefault="0057782C" w:rsidP="0057782C">
      <w:pPr>
        <w:numPr>
          <w:ilvl w:val="0"/>
          <w:numId w:val="76"/>
        </w:numPr>
        <w:ind w:left="1440" w:hanging="720"/>
        <w:rPr>
          <w:rFonts w:ascii="Arial" w:eastAsia="Times New Roman" w:hAnsi="Arial" w:cs="Arial"/>
          <w:szCs w:val="23"/>
          <w:lang w:val="fr-CA"/>
        </w:rPr>
      </w:pPr>
      <w:proofErr w:type="gramStart"/>
      <w:r w:rsidRPr="00F52884">
        <w:rPr>
          <w:rFonts w:ascii="Arial" w:eastAsia="Times New Roman" w:hAnsi="Arial" w:cs="Arial"/>
          <w:szCs w:val="23"/>
          <w:lang w:val="fr-CA"/>
        </w:rPr>
        <w:lastRenderedPageBreak/>
        <w:t>d'une</w:t>
      </w:r>
      <w:proofErr w:type="gramEnd"/>
      <w:r w:rsidRPr="00F52884">
        <w:rPr>
          <w:rFonts w:ascii="Arial" w:eastAsia="Times New Roman" w:hAnsi="Arial" w:cs="Arial"/>
          <w:szCs w:val="23"/>
          <w:lang w:val="fr-CA"/>
        </w:rPr>
        <w:t xml:space="preserve"> part, engagent des négociations en vue d’intégrer les règles applicables aux services financiers dans le présent accord. Ces négociations se terminent dans les deux années qui suivent le début des discussions exploratoires visées au paragraphe 3;</w:t>
      </w:r>
    </w:p>
    <w:p w14:paraId="2EB96EE4" w14:textId="77777777" w:rsidR="0057782C" w:rsidRPr="00F52884" w:rsidRDefault="0057782C" w:rsidP="0057782C">
      <w:pPr>
        <w:ind w:left="1440" w:hanging="720"/>
        <w:rPr>
          <w:rFonts w:ascii="Arial" w:eastAsia="Times New Roman" w:hAnsi="Arial" w:cs="Arial"/>
          <w:szCs w:val="23"/>
          <w:lang w:val="fr-CA"/>
        </w:rPr>
      </w:pPr>
    </w:p>
    <w:p w14:paraId="1ADFF520" w14:textId="2FBD18B7" w:rsidR="0057782C" w:rsidRPr="00F52884" w:rsidRDefault="0057782C" w:rsidP="0057782C">
      <w:pPr>
        <w:numPr>
          <w:ilvl w:val="0"/>
          <w:numId w:val="76"/>
        </w:numPr>
        <w:ind w:left="1440" w:hanging="720"/>
        <w:rPr>
          <w:rFonts w:ascii="Arial" w:eastAsia="Times New Roman" w:hAnsi="Arial" w:cs="Arial"/>
          <w:szCs w:val="23"/>
          <w:lang w:val="fr-CA"/>
        </w:rPr>
      </w:pPr>
      <w:proofErr w:type="gramStart"/>
      <w:r w:rsidRPr="00F52884">
        <w:rPr>
          <w:rFonts w:ascii="Arial" w:eastAsia="Arial" w:hAnsi="Arial" w:cs="Arial"/>
          <w:szCs w:val="23"/>
          <w:lang w:val="fr-CA"/>
        </w:rPr>
        <w:t>d’autre</w:t>
      </w:r>
      <w:proofErr w:type="gramEnd"/>
      <w:r w:rsidRPr="00F52884">
        <w:rPr>
          <w:rFonts w:ascii="Arial" w:eastAsia="Arial" w:hAnsi="Arial" w:cs="Arial"/>
          <w:szCs w:val="23"/>
          <w:lang w:val="fr-CA"/>
        </w:rPr>
        <w:t xml:space="preserve"> part, présentent au Comité, au moins tous les six mois, un rapport sur les discussions exploratoires et les négociations. </w:t>
      </w:r>
    </w:p>
    <w:p w14:paraId="1CCB8D5E" w14:textId="77777777" w:rsidR="0057782C" w:rsidRPr="00F52884" w:rsidRDefault="0057782C" w:rsidP="0057782C">
      <w:pPr>
        <w:rPr>
          <w:rFonts w:ascii="Arial" w:eastAsia="Times New Roman" w:hAnsi="Arial" w:cs="Arial"/>
          <w:szCs w:val="23"/>
          <w:lang w:val="fr-CA"/>
        </w:rPr>
      </w:pPr>
    </w:p>
    <w:p w14:paraId="47FB003A" w14:textId="6EBA37E2"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5.</w:t>
      </w:r>
      <w:r w:rsidRPr="00F52884">
        <w:rPr>
          <w:rFonts w:ascii="Arial" w:eastAsia="Times New Roman" w:hAnsi="Arial" w:cs="Arial"/>
          <w:szCs w:val="23"/>
          <w:lang w:val="fr-CA"/>
        </w:rPr>
        <w:tab/>
        <w:t>Les négociations visées au paragraphe 4 sont menées en tenant compte des obligations internationales pertinentes au regard des services financiers.</w:t>
      </w:r>
    </w:p>
    <w:p w14:paraId="034489F0"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776C7FFF" w14:textId="6B2D0B4B"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i/>
          <w:szCs w:val="23"/>
          <w:lang w:val="fr-CA"/>
        </w:rPr>
      </w:pPr>
      <w:r w:rsidRPr="00F52884">
        <w:rPr>
          <w:rFonts w:ascii="Arial" w:eastAsia="Times New Roman" w:hAnsi="Arial" w:cs="Arial"/>
          <w:szCs w:val="23"/>
          <w:lang w:val="fr-CA"/>
        </w:rPr>
        <w:t>6.</w:t>
      </w:r>
      <w:r w:rsidRPr="00F52884">
        <w:rPr>
          <w:rFonts w:ascii="Arial" w:eastAsia="Times New Roman" w:hAnsi="Arial" w:cs="Arial"/>
          <w:szCs w:val="23"/>
          <w:lang w:val="fr-CA"/>
        </w:rPr>
        <w:tab/>
        <w:t>Dès la conclusion des négociations visées au paragraphe 4, une Partie peut modifier ses exceptions énoncées dans ses listes jointes à la partie VII (Listes des Parties) ou dans sa liste jointe à l’annexe 5</w:t>
      </w:r>
      <w:r w:rsidR="0027120C">
        <w:rPr>
          <w:rFonts w:ascii="Arial" w:eastAsia="Times New Roman" w:hAnsi="Arial" w:cs="Arial"/>
          <w:szCs w:val="23"/>
          <w:lang w:val="fr-CA"/>
        </w:rPr>
        <w:t>19</w:t>
      </w:r>
      <w:r w:rsidRPr="00F52884">
        <w:rPr>
          <w:rFonts w:ascii="Arial" w:eastAsia="Times New Roman" w:hAnsi="Arial" w:cs="Arial"/>
          <w:szCs w:val="23"/>
          <w:lang w:val="fr-CA"/>
        </w:rPr>
        <w:t>.1 (Exceptions propres aux Parties) pour y inclure les exceptions à toute nouvelle obligation ayant trait aux services financiers. Toute modification éventuelle apportée aux exceptions de la Partie devient partie intégrante de ses listes jointes à la partie VII ou de sa liste jointe à l’annexe 520.1.</w:t>
      </w:r>
    </w:p>
    <w:p w14:paraId="1877423E"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756B9B60" w14:textId="69F6C8A0" w:rsidR="0057782C" w:rsidRPr="00F52884" w:rsidRDefault="0057782C" w:rsidP="0057782C">
      <w:pPr>
        <w:jc w:val="center"/>
        <w:rPr>
          <w:rFonts w:ascii="Arial" w:eastAsia="Arial" w:hAnsi="Arial" w:cs="Arial"/>
          <w:b/>
          <w:szCs w:val="23"/>
          <w:lang w:val="fr-CA"/>
        </w:rPr>
      </w:pPr>
      <w:bookmarkStart w:id="238" w:name="_Toc331669528"/>
      <w:r w:rsidRPr="00F52884">
        <w:rPr>
          <w:rFonts w:ascii="Arial" w:eastAsia="Arial" w:hAnsi="Arial" w:cs="Arial"/>
          <w:b/>
          <w:bCs/>
          <w:szCs w:val="23"/>
          <w:lang w:val="fr-CA"/>
        </w:rPr>
        <w:t>Article 120</w:t>
      </w:r>
      <w:r w:rsidR="00C20778">
        <w:rPr>
          <w:rFonts w:ascii="Arial" w:eastAsia="Arial" w:hAnsi="Arial" w:cs="Arial"/>
          <w:b/>
          <w:bCs/>
          <w:szCs w:val="23"/>
          <w:lang w:val="fr-CA"/>
        </w:rPr>
        <w:t>6</w:t>
      </w:r>
      <w:r w:rsidRPr="00F52884">
        <w:rPr>
          <w:rFonts w:ascii="Arial" w:eastAsia="Arial" w:hAnsi="Arial" w:cs="Arial"/>
          <w:b/>
          <w:bCs/>
          <w:szCs w:val="23"/>
          <w:lang w:val="fr-CA"/>
        </w:rPr>
        <w:t> :</w:t>
      </w:r>
      <w:r w:rsidRPr="00F52884">
        <w:rPr>
          <w:rFonts w:ascii="Arial" w:eastAsia="Arial" w:hAnsi="Arial" w:cs="Arial"/>
          <w:szCs w:val="23"/>
          <w:lang w:val="fr-CA"/>
        </w:rPr>
        <w:t xml:space="preserve"> </w:t>
      </w:r>
      <w:r w:rsidRPr="00F52884">
        <w:rPr>
          <w:rFonts w:ascii="Arial" w:eastAsia="Arial" w:hAnsi="Arial" w:cs="Arial"/>
          <w:szCs w:val="23"/>
          <w:lang w:val="fr-CA"/>
        </w:rPr>
        <w:tab/>
      </w:r>
      <w:r w:rsidRPr="00F52884">
        <w:rPr>
          <w:rFonts w:ascii="Arial" w:eastAsia="Arial" w:hAnsi="Arial" w:cs="Arial"/>
          <w:b/>
          <w:bCs/>
          <w:szCs w:val="23"/>
          <w:lang w:val="fr-CA"/>
        </w:rPr>
        <w:t>Contrats existant</w:t>
      </w:r>
      <w:bookmarkEnd w:id="238"/>
      <w:r w:rsidRPr="00F52884">
        <w:rPr>
          <w:rFonts w:ascii="Arial" w:eastAsia="Arial" w:hAnsi="Arial" w:cs="Arial"/>
          <w:b/>
          <w:bCs/>
          <w:szCs w:val="23"/>
          <w:lang w:val="fr-CA"/>
        </w:rPr>
        <w:t>s</w:t>
      </w:r>
    </w:p>
    <w:p w14:paraId="3C349F45" w14:textId="77777777" w:rsidR="0057782C" w:rsidRPr="00F52884" w:rsidRDefault="0057782C" w:rsidP="0057782C">
      <w:pPr>
        <w:rPr>
          <w:rFonts w:ascii="Arial" w:eastAsia="Times New Roman" w:hAnsi="Arial" w:cs="Arial"/>
          <w:szCs w:val="23"/>
          <w:lang w:val="fr-CA"/>
        </w:rPr>
      </w:pPr>
    </w:p>
    <w:p w14:paraId="49CEFB66" w14:textId="07CF2EAB" w:rsidR="0057782C" w:rsidRPr="00F52884" w:rsidRDefault="0057782C" w:rsidP="0057782C">
      <w:pPr>
        <w:tabs>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ab/>
        <w:t xml:space="preserve">Le présent accord ne peut être interprété comme obligeant une Partie, selon le cas : </w:t>
      </w:r>
    </w:p>
    <w:p w14:paraId="248F5006" w14:textId="77777777" w:rsidR="0057782C" w:rsidRPr="00F52884" w:rsidRDefault="0057782C" w:rsidP="0057782C">
      <w:pPr>
        <w:keepNext/>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28FDB319" w14:textId="77777777" w:rsidR="0057782C" w:rsidRPr="00F52884" w:rsidRDefault="0057782C" w:rsidP="0057782C">
      <w:pPr>
        <w:keepNext/>
        <w:autoSpaceDE w:val="0"/>
        <w:autoSpaceDN w:val="0"/>
        <w:adjustRightInd w:val="0"/>
        <w:ind w:left="1440" w:hanging="720"/>
        <w:rPr>
          <w:rFonts w:ascii="Arial" w:eastAsia="Times New Roman" w:hAnsi="Arial" w:cs="Arial"/>
          <w:szCs w:val="23"/>
          <w:lang w:val="fr-CA"/>
        </w:rPr>
      </w:pPr>
      <w:r w:rsidRPr="00F52884">
        <w:rPr>
          <w:rFonts w:ascii="Arial" w:eastAsia="Times New Roman" w:hAnsi="Arial" w:cs="Arial"/>
          <w:szCs w:val="23"/>
          <w:lang w:val="fr-CA"/>
        </w:rPr>
        <w:t xml:space="preserve">a) </w:t>
      </w:r>
      <w:r w:rsidRPr="00F52884">
        <w:rPr>
          <w:rFonts w:ascii="Arial" w:eastAsia="Times New Roman" w:hAnsi="Arial" w:cs="Arial"/>
          <w:szCs w:val="23"/>
          <w:lang w:val="fr-CA"/>
        </w:rPr>
        <w:tab/>
        <w:t>à modifier un contrat conclu avec une personne avant la date de la signature du présent accord, si ce contrat a été autorisé par une mesure qui est incompatible avec le présent accord;</w:t>
      </w:r>
    </w:p>
    <w:p w14:paraId="27CC9369" w14:textId="77777777" w:rsidR="0057782C" w:rsidRPr="00F52884" w:rsidRDefault="0057782C" w:rsidP="0057782C">
      <w:pPr>
        <w:autoSpaceDE w:val="0"/>
        <w:autoSpaceDN w:val="0"/>
        <w:adjustRightInd w:val="0"/>
        <w:ind w:left="1440" w:hanging="720"/>
        <w:rPr>
          <w:rFonts w:ascii="Arial" w:eastAsia="Times New Roman" w:hAnsi="Arial" w:cs="Arial"/>
          <w:szCs w:val="23"/>
          <w:lang w:val="fr-CA"/>
        </w:rPr>
      </w:pPr>
    </w:p>
    <w:p w14:paraId="6E3FE800" w14:textId="77777777" w:rsidR="0057782C" w:rsidRPr="00F52884" w:rsidRDefault="0057782C" w:rsidP="0057782C">
      <w:pPr>
        <w:autoSpaceDE w:val="0"/>
        <w:autoSpaceDN w:val="0"/>
        <w:adjustRightInd w:val="0"/>
        <w:ind w:left="1440" w:hanging="720"/>
        <w:rPr>
          <w:rFonts w:ascii="Arial" w:eastAsia="Times New Roman" w:hAnsi="Arial" w:cs="Arial"/>
          <w:szCs w:val="23"/>
          <w:lang w:val="fr-CA"/>
        </w:rPr>
      </w:pPr>
      <w:r w:rsidRPr="00F52884">
        <w:rPr>
          <w:rFonts w:ascii="Arial" w:eastAsia="Times New Roman" w:hAnsi="Arial" w:cs="Arial"/>
          <w:szCs w:val="23"/>
          <w:lang w:val="fr-CA"/>
        </w:rPr>
        <w:t xml:space="preserve">b) </w:t>
      </w:r>
      <w:r w:rsidRPr="00F52884">
        <w:rPr>
          <w:rFonts w:ascii="Arial" w:eastAsia="Times New Roman" w:hAnsi="Arial" w:cs="Arial"/>
          <w:szCs w:val="23"/>
          <w:lang w:val="fr-CA"/>
        </w:rPr>
        <w:tab/>
        <w:t>à modifier un tel contrat qui a été renouvelé à la date de la signature du présent accord, ou après celle-ci, s’il a été renouvelé en vertu d’une option de renouvellement.</w:t>
      </w:r>
    </w:p>
    <w:p w14:paraId="3B7C80E5" w14:textId="77777777" w:rsidR="0057782C" w:rsidRPr="00F52884" w:rsidRDefault="0057782C" w:rsidP="0057782C">
      <w:pPr>
        <w:jc w:val="center"/>
        <w:rPr>
          <w:rFonts w:ascii="Arial" w:eastAsia="Arial" w:hAnsi="Arial" w:cs="Arial"/>
          <w:b/>
          <w:bCs/>
          <w:szCs w:val="23"/>
          <w:lang w:val="fr-CA"/>
        </w:rPr>
      </w:pPr>
      <w:bookmarkStart w:id="239" w:name="_Toc331669530"/>
    </w:p>
    <w:p w14:paraId="3269ACE8" w14:textId="0A6E3809" w:rsidR="0057782C" w:rsidRPr="00F52884" w:rsidRDefault="0057782C" w:rsidP="0057782C">
      <w:pPr>
        <w:jc w:val="center"/>
        <w:rPr>
          <w:rFonts w:ascii="Arial" w:eastAsia="Arial" w:hAnsi="Arial" w:cs="Arial"/>
          <w:b/>
          <w:szCs w:val="23"/>
          <w:lang w:val="fr-CA"/>
        </w:rPr>
      </w:pPr>
      <w:r w:rsidRPr="00F52884">
        <w:rPr>
          <w:rFonts w:ascii="Arial" w:eastAsia="Arial" w:hAnsi="Arial" w:cs="Arial"/>
          <w:b/>
          <w:bCs/>
          <w:szCs w:val="23"/>
          <w:lang w:val="fr-CA"/>
        </w:rPr>
        <w:t>Article 120</w:t>
      </w:r>
      <w:r w:rsidR="00C20778">
        <w:rPr>
          <w:rFonts w:ascii="Arial" w:eastAsia="Arial" w:hAnsi="Arial" w:cs="Arial"/>
          <w:b/>
          <w:bCs/>
          <w:szCs w:val="23"/>
          <w:lang w:val="fr-CA"/>
        </w:rPr>
        <w:t>7</w:t>
      </w:r>
      <w:r w:rsidRPr="00F52884">
        <w:rPr>
          <w:rFonts w:ascii="Arial" w:eastAsia="Arial" w:hAnsi="Arial" w:cs="Arial"/>
          <w:b/>
          <w:bCs/>
          <w:szCs w:val="23"/>
          <w:lang w:val="fr-CA"/>
        </w:rPr>
        <w:t> :</w:t>
      </w:r>
      <w:r w:rsidRPr="00F52884">
        <w:rPr>
          <w:rFonts w:ascii="Arial" w:eastAsia="Arial" w:hAnsi="Arial" w:cs="Arial"/>
          <w:szCs w:val="23"/>
          <w:lang w:val="fr-CA"/>
        </w:rPr>
        <w:t xml:space="preserve"> </w:t>
      </w:r>
      <w:r w:rsidRPr="00F52884">
        <w:rPr>
          <w:rFonts w:ascii="Arial" w:eastAsia="Arial" w:hAnsi="Arial" w:cs="Arial"/>
          <w:szCs w:val="23"/>
          <w:lang w:val="fr-CA"/>
        </w:rPr>
        <w:tab/>
      </w:r>
      <w:r w:rsidRPr="00F52884">
        <w:rPr>
          <w:rFonts w:ascii="Arial" w:eastAsia="Arial" w:hAnsi="Arial" w:cs="Arial"/>
          <w:b/>
          <w:bCs/>
          <w:szCs w:val="23"/>
          <w:lang w:val="fr-CA"/>
        </w:rPr>
        <w:t>Règles d’interprétation</w:t>
      </w:r>
      <w:bookmarkEnd w:id="239"/>
    </w:p>
    <w:p w14:paraId="1B1B0059" w14:textId="77777777" w:rsidR="0057782C" w:rsidRPr="00F52884" w:rsidRDefault="0057782C" w:rsidP="0057782C">
      <w:pPr>
        <w:rPr>
          <w:rFonts w:ascii="Arial" w:eastAsia="Times New Roman" w:hAnsi="Arial" w:cs="Arial"/>
          <w:szCs w:val="23"/>
          <w:lang w:val="fr-CA"/>
        </w:rPr>
      </w:pPr>
    </w:p>
    <w:p w14:paraId="75E9156B" w14:textId="46AA74ED" w:rsidR="0057782C" w:rsidRPr="00F52884" w:rsidRDefault="0057782C" w:rsidP="0057782C">
      <w:pPr>
        <w:contextualSpacing/>
        <w:jc w:val="both"/>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 xml:space="preserve">Le présent accord est interprété suivant le sens ordinaire à attribuer aux termes du présent accord dans leur contexte et à la lumière des principes et objectifs énoncés dans le préambule, à l’article 100 (Objectif) et à l’article 102 (Principes mutuellement convenus). </w:t>
      </w:r>
    </w:p>
    <w:p w14:paraId="09E7A7D4" w14:textId="77777777" w:rsidR="0057782C" w:rsidRPr="00F52884" w:rsidRDefault="0057782C" w:rsidP="0057782C">
      <w:pPr>
        <w:ind w:left="720"/>
        <w:contextualSpacing/>
        <w:rPr>
          <w:rFonts w:ascii="Arial" w:eastAsia="Times New Roman" w:hAnsi="Arial" w:cs="Arial"/>
          <w:szCs w:val="23"/>
          <w:lang w:val="fr-CA"/>
        </w:rPr>
      </w:pPr>
    </w:p>
    <w:p w14:paraId="171E3088" w14:textId="48C96B19" w:rsidR="0057782C" w:rsidRPr="00F52884" w:rsidRDefault="0057782C" w:rsidP="0057782C">
      <w:pPr>
        <w:jc w:val="both"/>
        <w:rPr>
          <w:rFonts w:ascii="Arial" w:eastAsia="Times New Roman" w:hAnsi="Arial" w:cs="Arial"/>
          <w:szCs w:val="23"/>
          <w:lang w:val="fr-CA"/>
        </w:rPr>
      </w:pPr>
      <w:r w:rsidRPr="00F52884">
        <w:rPr>
          <w:rFonts w:ascii="Arial" w:eastAsia="Times New Roman" w:hAnsi="Arial" w:cs="Arial"/>
          <w:szCs w:val="23"/>
          <w:lang w:val="fr-CA"/>
        </w:rPr>
        <w:t xml:space="preserve">2. </w:t>
      </w:r>
      <w:r w:rsidRPr="00F52884">
        <w:rPr>
          <w:rFonts w:ascii="Arial" w:eastAsia="Times New Roman" w:hAnsi="Arial" w:cs="Arial"/>
          <w:szCs w:val="23"/>
          <w:lang w:val="fr-CA"/>
        </w:rPr>
        <w:tab/>
        <w:t>Lorsqu’il interprète les dispositions du présent accord, un organe décisionnel peut tenir compte de toute interprétation ou conclusion pertinente énoncée dans les rapports :</w:t>
      </w:r>
    </w:p>
    <w:p w14:paraId="7C3893F0" w14:textId="77777777" w:rsidR="0057782C" w:rsidRPr="00F52884" w:rsidRDefault="0057782C" w:rsidP="0057782C">
      <w:pPr>
        <w:contextualSpacing/>
        <w:jc w:val="both"/>
        <w:rPr>
          <w:rFonts w:ascii="Arial" w:eastAsia="Times New Roman" w:hAnsi="Arial" w:cs="Arial"/>
          <w:szCs w:val="23"/>
          <w:lang w:val="fr-CA"/>
        </w:rPr>
      </w:pPr>
    </w:p>
    <w:p w14:paraId="219069C8" w14:textId="77777777" w:rsidR="0057782C" w:rsidRPr="005F269F" w:rsidRDefault="0057782C" w:rsidP="0057782C">
      <w:pPr>
        <w:numPr>
          <w:ilvl w:val="0"/>
          <w:numId w:val="185"/>
        </w:numPr>
        <w:ind w:left="1440" w:hanging="720"/>
        <w:contextualSpacing/>
        <w:rPr>
          <w:rFonts w:ascii="Arial" w:eastAsia="Times New Roman" w:hAnsi="Arial" w:cs="Arial"/>
          <w:szCs w:val="23"/>
          <w:lang w:val="fr-CA"/>
        </w:rPr>
      </w:pPr>
      <w:proofErr w:type="gramStart"/>
      <w:r w:rsidRPr="005F269F">
        <w:rPr>
          <w:rFonts w:ascii="Arial" w:eastAsia="Times New Roman" w:hAnsi="Arial" w:cs="Arial"/>
          <w:szCs w:val="23"/>
          <w:lang w:val="fr-CA"/>
        </w:rPr>
        <w:t>d’autres</w:t>
      </w:r>
      <w:proofErr w:type="gramEnd"/>
      <w:r w:rsidRPr="005F269F">
        <w:rPr>
          <w:rFonts w:ascii="Arial" w:eastAsia="Times New Roman" w:hAnsi="Arial" w:cs="Arial"/>
          <w:szCs w:val="23"/>
          <w:lang w:val="fr-CA"/>
        </w:rPr>
        <w:t xml:space="preserve"> organes décisionnels établis en vertu du présent accord; </w:t>
      </w:r>
    </w:p>
    <w:p w14:paraId="3C36E06B" w14:textId="77777777" w:rsidR="0057782C" w:rsidRPr="005F269F" w:rsidRDefault="0057782C" w:rsidP="0057782C">
      <w:pPr>
        <w:ind w:left="1440" w:hanging="720"/>
        <w:contextualSpacing/>
        <w:rPr>
          <w:rFonts w:ascii="Arial" w:eastAsia="Times New Roman" w:hAnsi="Arial" w:cs="Arial"/>
          <w:szCs w:val="23"/>
          <w:lang w:val="fr-CA"/>
        </w:rPr>
      </w:pPr>
    </w:p>
    <w:p w14:paraId="204C3CA5" w14:textId="77777777" w:rsidR="0057782C" w:rsidRPr="005F269F" w:rsidRDefault="0057782C" w:rsidP="0057782C">
      <w:pPr>
        <w:numPr>
          <w:ilvl w:val="0"/>
          <w:numId w:val="185"/>
        </w:numPr>
        <w:ind w:left="1440" w:hanging="720"/>
        <w:contextualSpacing/>
        <w:rPr>
          <w:rFonts w:ascii="Arial" w:eastAsia="Arial" w:hAnsi="Arial" w:cs="Arial"/>
          <w:szCs w:val="23"/>
          <w:lang w:val="fr-CA"/>
        </w:rPr>
      </w:pPr>
      <w:proofErr w:type="gramStart"/>
      <w:r w:rsidRPr="005F269F">
        <w:rPr>
          <w:rFonts w:ascii="Arial" w:eastAsia="Arial" w:hAnsi="Arial" w:cs="Arial"/>
          <w:szCs w:val="23"/>
          <w:lang w:val="fr-CA"/>
        </w:rPr>
        <w:t>des</w:t>
      </w:r>
      <w:proofErr w:type="gramEnd"/>
      <w:r w:rsidRPr="005F269F">
        <w:rPr>
          <w:rFonts w:ascii="Arial" w:eastAsia="Arial" w:hAnsi="Arial" w:cs="Arial"/>
          <w:szCs w:val="23"/>
          <w:lang w:val="fr-CA"/>
        </w:rPr>
        <w:t xml:space="preserve"> groupes spéciaux de l’OMC et de l’Organe d’appel de l’OMC, adoptés par l’Organe de règlement des différends de l’OMC, ainsi que dans les décisions rendues par d’autres tribunaux internationaux;</w:t>
      </w:r>
    </w:p>
    <w:p w14:paraId="27BF3C44" w14:textId="77777777" w:rsidR="0057782C" w:rsidRPr="005F269F" w:rsidRDefault="0057782C" w:rsidP="0057782C">
      <w:pPr>
        <w:ind w:left="1440" w:hanging="720"/>
        <w:contextualSpacing/>
        <w:rPr>
          <w:rFonts w:ascii="Arial" w:eastAsia="Arial" w:hAnsi="Arial" w:cs="Arial"/>
          <w:szCs w:val="23"/>
          <w:lang w:val="fr-CA"/>
        </w:rPr>
      </w:pPr>
    </w:p>
    <w:p w14:paraId="6E77CAA0" w14:textId="721E839B" w:rsidR="0057782C" w:rsidRPr="005F269F" w:rsidRDefault="0057782C" w:rsidP="0057782C">
      <w:pPr>
        <w:numPr>
          <w:ilvl w:val="0"/>
          <w:numId w:val="185"/>
        </w:numPr>
        <w:ind w:left="1440" w:hanging="720"/>
        <w:contextualSpacing/>
        <w:rPr>
          <w:rFonts w:ascii="Arial" w:eastAsia="Arial" w:hAnsi="Arial" w:cs="Arial"/>
          <w:szCs w:val="23"/>
          <w:lang w:val="fr-CA"/>
        </w:rPr>
      </w:pPr>
      <w:proofErr w:type="gramStart"/>
      <w:r w:rsidRPr="005F269F">
        <w:rPr>
          <w:rFonts w:ascii="Arial" w:eastAsia="Times New Roman" w:hAnsi="Arial" w:cs="Arial"/>
          <w:szCs w:val="23"/>
          <w:lang w:val="fr-CA"/>
        </w:rPr>
        <w:t>des</w:t>
      </w:r>
      <w:proofErr w:type="gramEnd"/>
      <w:r w:rsidRPr="005F269F">
        <w:rPr>
          <w:rFonts w:ascii="Arial" w:eastAsia="Times New Roman" w:hAnsi="Arial" w:cs="Arial"/>
          <w:szCs w:val="23"/>
          <w:lang w:val="fr-CA"/>
        </w:rPr>
        <w:t xml:space="preserve"> organes décisionnels établis en vertu de l’Accord sur le commerce intérieur.</w:t>
      </w:r>
    </w:p>
    <w:p w14:paraId="04A558BC" w14:textId="77777777" w:rsidR="0057782C" w:rsidRPr="00F52884" w:rsidRDefault="0057782C" w:rsidP="0057782C">
      <w:pPr>
        <w:rPr>
          <w:rFonts w:ascii="Arial" w:eastAsia="Times New Roman" w:hAnsi="Arial" w:cs="Arial"/>
          <w:szCs w:val="23"/>
          <w:lang w:val="fr-CA"/>
        </w:rPr>
      </w:pPr>
    </w:p>
    <w:p w14:paraId="5649DA78" w14:textId="36467844" w:rsidR="0057782C" w:rsidRPr="00F52884" w:rsidRDefault="0057782C" w:rsidP="0057782C">
      <w:pPr>
        <w:tabs>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lastRenderedPageBreak/>
        <w:t xml:space="preserve">3. </w:t>
      </w:r>
      <w:r w:rsidRPr="00F52884">
        <w:rPr>
          <w:rFonts w:ascii="Arial" w:eastAsia="Times New Roman" w:hAnsi="Arial" w:cs="Arial"/>
          <w:szCs w:val="23"/>
          <w:lang w:val="fr-CA"/>
        </w:rPr>
        <w:tab/>
        <w:t>Le présent accord est interprété conformément à la réaffirmation énoncée à l’article 1200.</w:t>
      </w:r>
    </w:p>
    <w:p w14:paraId="6A4F13F2" w14:textId="77777777" w:rsidR="0057782C" w:rsidRPr="00F52884" w:rsidRDefault="0057782C" w:rsidP="0057782C">
      <w:pPr>
        <w:rPr>
          <w:rFonts w:ascii="Arial" w:eastAsia="Times New Roman" w:hAnsi="Arial" w:cs="Arial"/>
          <w:szCs w:val="23"/>
          <w:lang w:val="fr-CA"/>
        </w:rPr>
      </w:pPr>
    </w:p>
    <w:p w14:paraId="76BD0965" w14:textId="2DCBBDA9" w:rsidR="0057782C" w:rsidRPr="00F52884" w:rsidRDefault="0057782C" w:rsidP="0057782C">
      <w:pPr>
        <w:jc w:val="both"/>
        <w:rPr>
          <w:rFonts w:ascii="Arial" w:eastAsia="Times New Roman" w:hAnsi="Arial" w:cs="Arial"/>
          <w:szCs w:val="23"/>
          <w:lang w:val="fr-CA"/>
        </w:rPr>
      </w:pPr>
      <w:r w:rsidRPr="00F52884">
        <w:rPr>
          <w:rFonts w:ascii="Arial" w:eastAsia="Arial" w:hAnsi="Arial" w:cs="Arial"/>
          <w:szCs w:val="23"/>
          <w:lang w:val="fr-CA"/>
        </w:rPr>
        <w:t>4.</w:t>
      </w:r>
      <w:r w:rsidRPr="00F52884">
        <w:rPr>
          <w:rFonts w:ascii="Arial" w:eastAsia="Arial" w:hAnsi="Arial" w:cs="Arial"/>
          <w:szCs w:val="23"/>
          <w:lang w:val="fr-CA"/>
        </w:rPr>
        <w:tab/>
        <w:t>En cas d’incompatibilité entre une disposition de la partie II (Règles générales) et une disposition de la partie III (Règles spécifiques), la disposition de la partie III l’emporte dans la mesure de l’incompatibilité.</w:t>
      </w:r>
    </w:p>
    <w:p w14:paraId="4D1E69C4" w14:textId="77777777" w:rsidR="0057782C" w:rsidRPr="00F52884" w:rsidRDefault="0057782C" w:rsidP="0057782C">
      <w:pPr>
        <w:jc w:val="both"/>
        <w:rPr>
          <w:rFonts w:ascii="Arial" w:eastAsia="Times New Roman" w:hAnsi="Arial" w:cs="Arial"/>
          <w:szCs w:val="23"/>
          <w:lang w:val="fr-CA"/>
        </w:rPr>
      </w:pPr>
    </w:p>
    <w:p w14:paraId="22CC6AA2" w14:textId="5E2421DD" w:rsidR="0057782C" w:rsidRPr="00F52884" w:rsidRDefault="0057782C" w:rsidP="0057782C">
      <w:pPr>
        <w:jc w:val="both"/>
        <w:rPr>
          <w:rFonts w:ascii="Arial" w:eastAsia="Times New Roman" w:hAnsi="Arial" w:cs="Arial"/>
          <w:szCs w:val="23"/>
          <w:lang w:val="fr-CA"/>
        </w:rPr>
      </w:pPr>
      <w:r w:rsidRPr="00F52884">
        <w:rPr>
          <w:rFonts w:ascii="Arial" w:eastAsia="Times New Roman" w:hAnsi="Arial" w:cs="Arial"/>
          <w:szCs w:val="23"/>
          <w:lang w:val="fr-CA"/>
        </w:rPr>
        <w:t xml:space="preserve">5. </w:t>
      </w:r>
      <w:r w:rsidRPr="00F52884">
        <w:rPr>
          <w:rFonts w:ascii="Arial" w:eastAsia="Times New Roman" w:hAnsi="Arial" w:cs="Arial"/>
          <w:szCs w:val="23"/>
          <w:lang w:val="fr-CA"/>
        </w:rPr>
        <w:tab/>
        <w:t>En cas d’incompatibilité entre deux ou plusieurs dispositions de la partie III (Règles spécifiques), la disposition qui régit le plus directement la question en cause l’emporte dans la mesure de l’incompatibilité. Pour arriver à cette décision, il peut être tenu compte, en plus des dispositions en cause, d’autres dispositions pertinentes, y compris le préambule, l’article 100 (Objectif) et l’article 102 (Principes mutuellement convenus).</w:t>
      </w:r>
    </w:p>
    <w:p w14:paraId="172387F2" w14:textId="77777777" w:rsidR="0057782C" w:rsidRPr="00F52884" w:rsidRDefault="0057782C" w:rsidP="0057782C">
      <w:pPr>
        <w:tabs>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49230024" w14:textId="591A94EF" w:rsidR="0057782C" w:rsidRPr="00F52884" w:rsidRDefault="0057782C" w:rsidP="0057782C">
      <w:pPr>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6.</w:t>
      </w:r>
      <w:r w:rsidRPr="00F52884">
        <w:rPr>
          <w:rFonts w:ascii="Arial" w:eastAsia="Times New Roman" w:hAnsi="Arial" w:cs="Arial"/>
          <w:szCs w:val="23"/>
          <w:lang w:val="fr-CA"/>
        </w:rPr>
        <w:tab/>
        <w:t>Il incombe à la</w:t>
      </w:r>
      <w:r w:rsidRPr="00F52884">
        <w:rPr>
          <w:rFonts w:ascii="Arial" w:eastAsia="Arial" w:hAnsi="Arial" w:cs="Arial"/>
          <w:szCs w:val="23"/>
          <w:lang w:val="fr-CA"/>
        </w:rPr>
        <w:t xml:space="preserve"> Partie ou à la Personne qui fait valoir qu’une mesure ou une mesure projetée est incompatible avec les dispositions du présent accord de prouver cette incompatibilité.</w:t>
      </w:r>
      <w:r w:rsidRPr="00F52884">
        <w:rPr>
          <w:rFonts w:ascii="Arial" w:eastAsia="Times New Roman" w:hAnsi="Arial" w:cs="Arial"/>
          <w:szCs w:val="23"/>
          <w:lang w:val="fr-CA"/>
        </w:rPr>
        <w:t xml:space="preserve"> Pour l’application du présent paragraphe, le terme « Personne » s’entend d’une « Personne » au sens de l’article 1041 (Définitions).</w:t>
      </w:r>
    </w:p>
    <w:p w14:paraId="5EC94BE1" w14:textId="77777777" w:rsidR="0057782C" w:rsidRPr="00F52884" w:rsidRDefault="0057782C" w:rsidP="0057782C">
      <w:pPr>
        <w:keepNext/>
        <w:autoSpaceDE w:val="0"/>
        <w:autoSpaceDN w:val="0"/>
        <w:adjustRightInd w:val="0"/>
        <w:rPr>
          <w:rFonts w:ascii="Arial" w:eastAsia="Times New Roman" w:hAnsi="Arial" w:cs="Arial"/>
          <w:szCs w:val="23"/>
          <w:lang w:val="fr-CA"/>
        </w:rPr>
      </w:pPr>
    </w:p>
    <w:p w14:paraId="6B70D8AB" w14:textId="50EA8AC8" w:rsidR="0057782C" w:rsidRPr="00F52884" w:rsidRDefault="0057782C" w:rsidP="0057782C">
      <w:pPr>
        <w:rPr>
          <w:rFonts w:ascii="Arial" w:eastAsia="Arial" w:hAnsi="Arial" w:cs="Arial"/>
          <w:szCs w:val="23"/>
          <w:lang w:val="fr-CA"/>
        </w:rPr>
      </w:pPr>
      <w:r w:rsidRPr="00F52884">
        <w:rPr>
          <w:rFonts w:ascii="Arial" w:eastAsia="Arial" w:hAnsi="Arial" w:cs="Arial"/>
          <w:szCs w:val="23"/>
          <w:lang w:val="fr-CA"/>
        </w:rPr>
        <w:t>7.</w:t>
      </w:r>
      <w:r w:rsidRPr="00F52884">
        <w:rPr>
          <w:rFonts w:ascii="Arial" w:eastAsia="Arial" w:hAnsi="Arial" w:cs="Arial"/>
          <w:szCs w:val="23"/>
          <w:lang w:val="fr-CA"/>
        </w:rPr>
        <w:tab/>
        <w:t>Il incombe à la Partie qui fait valoir qu’une mesure ou une mesure projetée est soumise à une exception prévue au présent accord de prouver que cette exception s’applique.</w:t>
      </w:r>
    </w:p>
    <w:p w14:paraId="63350178" w14:textId="77777777" w:rsidR="0057782C" w:rsidRPr="00F52884" w:rsidRDefault="0057782C" w:rsidP="0057782C">
      <w:pPr>
        <w:tabs>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0386416C" w14:textId="7C2A2F10" w:rsidR="0057782C" w:rsidRPr="00F52884" w:rsidRDefault="0057782C" w:rsidP="0057782C">
      <w:pPr>
        <w:keepNext/>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8.</w:t>
      </w:r>
      <w:r w:rsidRPr="00F52884">
        <w:rPr>
          <w:rFonts w:ascii="Arial" w:eastAsia="Times New Roman" w:hAnsi="Arial" w:cs="Arial"/>
          <w:szCs w:val="23"/>
          <w:lang w:val="fr-CA"/>
        </w:rPr>
        <w:tab/>
        <w:t>Le renvoi à un article comprend toute annexe mentionnée dans cet article.</w:t>
      </w:r>
    </w:p>
    <w:p w14:paraId="50888421" w14:textId="77777777" w:rsidR="0057782C" w:rsidRPr="00F52884" w:rsidRDefault="0057782C" w:rsidP="0057782C">
      <w:pPr>
        <w:autoSpaceDE w:val="0"/>
        <w:autoSpaceDN w:val="0"/>
        <w:adjustRightInd w:val="0"/>
        <w:rPr>
          <w:rFonts w:ascii="Arial" w:eastAsia="Times New Roman" w:hAnsi="Arial" w:cs="Arial"/>
          <w:szCs w:val="23"/>
          <w:lang w:val="fr-CA"/>
        </w:rPr>
      </w:pPr>
    </w:p>
    <w:p w14:paraId="2041D329" w14:textId="1AC195A2" w:rsidR="0057782C" w:rsidRPr="00F52884" w:rsidRDefault="0057782C" w:rsidP="0057782C">
      <w:pPr>
        <w:keepNext/>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9.</w:t>
      </w:r>
      <w:r w:rsidRPr="00F52884">
        <w:rPr>
          <w:rFonts w:ascii="Arial" w:eastAsia="Times New Roman" w:hAnsi="Arial" w:cs="Arial"/>
          <w:szCs w:val="23"/>
          <w:lang w:val="fr-CA"/>
        </w:rPr>
        <w:tab/>
        <w:t>L’emploi d’un terme au singulier inclut le pluriel et, si le contexte le requiert, l’emploi d’un terme au pluriel inclut le singulier.</w:t>
      </w:r>
    </w:p>
    <w:p w14:paraId="184E9853" w14:textId="77777777" w:rsidR="0057782C" w:rsidRPr="00F52884" w:rsidRDefault="0057782C" w:rsidP="0057782C">
      <w:pPr>
        <w:shd w:val="clear" w:color="auto" w:fill="FFFFFF"/>
        <w:rPr>
          <w:rFonts w:ascii="Arial" w:eastAsia="Times New Roman" w:hAnsi="Arial" w:cs="Arial"/>
          <w:szCs w:val="23"/>
          <w:lang w:val="fr-CA"/>
        </w:rPr>
      </w:pPr>
    </w:p>
    <w:p w14:paraId="1A36661F" w14:textId="268E86F1" w:rsidR="0057782C" w:rsidRPr="00F52884" w:rsidRDefault="0057782C" w:rsidP="0057782C">
      <w:pPr>
        <w:keepNext/>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10.</w:t>
      </w:r>
      <w:r w:rsidRPr="00F52884">
        <w:rPr>
          <w:rFonts w:ascii="Arial" w:eastAsia="Times New Roman" w:hAnsi="Arial" w:cs="Arial"/>
          <w:szCs w:val="23"/>
          <w:lang w:val="fr-CA"/>
        </w:rPr>
        <w:tab/>
        <w:t>L’emploi du terme « y compris » signifie « y compris, mais sans s’y limiter », et celui du terme « comprend » signifie « comprend, mais sans s’y limiter », à moins que le contexte n'indique clairement le contraire.</w:t>
      </w:r>
    </w:p>
    <w:p w14:paraId="33F86F0E" w14:textId="77777777" w:rsidR="0057782C" w:rsidRPr="00F52884" w:rsidRDefault="0057782C" w:rsidP="0057782C">
      <w:pPr>
        <w:widowControl w:val="0"/>
        <w:autoSpaceDE w:val="0"/>
        <w:autoSpaceDN w:val="0"/>
        <w:adjustRightInd w:val="0"/>
        <w:rPr>
          <w:rFonts w:ascii="Arial" w:eastAsia="Times New Roman" w:hAnsi="Arial" w:cs="Arial"/>
          <w:szCs w:val="23"/>
          <w:lang w:val="fr-CA"/>
        </w:rPr>
      </w:pPr>
    </w:p>
    <w:p w14:paraId="5CC943FA" w14:textId="77777777" w:rsidR="0057782C" w:rsidRPr="00F52884" w:rsidRDefault="0057782C" w:rsidP="0057782C">
      <w:pPr>
        <w:widowControl w:val="0"/>
        <w:autoSpaceDE w:val="0"/>
        <w:autoSpaceDN w:val="0"/>
        <w:adjustRightInd w:val="0"/>
        <w:rPr>
          <w:rFonts w:ascii="Arial" w:eastAsia="Times New Roman" w:hAnsi="Arial" w:cs="Arial"/>
          <w:i/>
          <w:szCs w:val="23"/>
          <w:lang w:val="fr-CA"/>
        </w:rPr>
      </w:pPr>
      <w:r w:rsidRPr="00F52884">
        <w:rPr>
          <w:rFonts w:ascii="Arial" w:eastAsia="Arial" w:hAnsi="Arial" w:cs="Arial"/>
          <w:szCs w:val="23"/>
          <w:lang w:val="fr-CA"/>
        </w:rPr>
        <w:t>11.</w:t>
      </w:r>
      <w:r w:rsidRPr="00F52884">
        <w:rPr>
          <w:rFonts w:ascii="Arial" w:eastAsia="Times New Roman" w:hAnsi="Arial" w:cs="Arial"/>
          <w:i/>
          <w:szCs w:val="23"/>
          <w:lang w:val="fr-CA"/>
        </w:rPr>
        <w:tab/>
      </w:r>
      <w:r w:rsidRPr="00F52884">
        <w:rPr>
          <w:rFonts w:ascii="Arial" w:eastAsia="Times New Roman" w:hAnsi="Arial" w:cs="Arial"/>
          <w:szCs w:val="23"/>
          <w:lang w:val="fr-CA"/>
        </w:rPr>
        <w:t>Les délais imposés par le présent accord sont calculés comme suit :</w:t>
      </w:r>
    </w:p>
    <w:p w14:paraId="3041AA22" w14:textId="77777777" w:rsidR="0057782C" w:rsidRPr="00F52884" w:rsidRDefault="0057782C" w:rsidP="0057782C">
      <w:pPr>
        <w:widowControl w:val="0"/>
        <w:autoSpaceDE w:val="0"/>
        <w:autoSpaceDN w:val="0"/>
        <w:adjustRightInd w:val="0"/>
        <w:ind w:left="720" w:hanging="720"/>
        <w:rPr>
          <w:rFonts w:ascii="Arial" w:eastAsia="Times New Roman" w:hAnsi="Arial" w:cs="Arial"/>
          <w:szCs w:val="23"/>
          <w:lang w:val="fr-CA"/>
        </w:rPr>
      </w:pPr>
    </w:p>
    <w:p w14:paraId="6228ABCC" w14:textId="77777777" w:rsidR="0057782C" w:rsidRPr="00F52884" w:rsidRDefault="002B7C66" w:rsidP="0057782C">
      <w:pPr>
        <w:widowControl w:val="0"/>
        <w:autoSpaceDE w:val="0"/>
        <w:autoSpaceDN w:val="0"/>
        <w:adjustRightInd w:val="0"/>
        <w:ind w:left="720" w:hanging="720"/>
        <w:rPr>
          <w:rFonts w:ascii="Arial" w:eastAsia="Times New Roman" w:hAnsi="Arial" w:cs="Arial"/>
          <w:i/>
          <w:szCs w:val="23"/>
          <w:lang w:val="fr-CA"/>
        </w:rPr>
      </w:pPr>
      <w:hyperlink r:id="rId17" w:anchor="codese:26" w:tooltip="Loi d’interprétation 26. Délais et jours fériés" w:history="1">
        <w:r w:rsidR="0057782C" w:rsidRPr="00F52884">
          <w:rPr>
            <w:rFonts w:ascii="Arial" w:eastAsia="Times New Roman" w:hAnsi="Arial" w:cs="Arial"/>
            <w:i/>
            <w:iCs/>
            <w:szCs w:val="23"/>
            <w:lang w:val="fr-CA"/>
          </w:rPr>
          <w:t>Délais et jours fériés</w:t>
        </w:r>
      </w:hyperlink>
    </w:p>
    <w:p w14:paraId="4D539BF5" w14:textId="77777777" w:rsidR="0057782C" w:rsidRPr="00F52884" w:rsidRDefault="0057782C" w:rsidP="0057782C">
      <w:pPr>
        <w:widowControl w:val="0"/>
        <w:autoSpaceDE w:val="0"/>
        <w:autoSpaceDN w:val="0"/>
        <w:adjustRightInd w:val="0"/>
        <w:ind w:left="720" w:hanging="720"/>
        <w:rPr>
          <w:rFonts w:ascii="Arial" w:eastAsia="Times New Roman" w:hAnsi="Arial" w:cs="Arial"/>
          <w:szCs w:val="23"/>
          <w:lang w:val="fr-CA"/>
        </w:rPr>
      </w:pPr>
    </w:p>
    <w:p w14:paraId="1B92E098" w14:textId="22544764" w:rsidR="0057782C" w:rsidRPr="00F52884" w:rsidRDefault="0057782C" w:rsidP="0057782C">
      <w:pPr>
        <w:widowControl w:val="0"/>
        <w:numPr>
          <w:ilvl w:val="0"/>
          <w:numId w:val="186"/>
        </w:num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 xml:space="preserve">Si le délai pour accomplir un acte expire ou prend fin un jour férié, il est prorogé jusqu’au premier jour non férié qui suit. </w:t>
      </w:r>
    </w:p>
    <w:p w14:paraId="6CBEF1D8" w14:textId="77777777" w:rsidR="0057782C" w:rsidRPr="00F52884" w:rsidRDefault="0057782C" w:rsidP="0057782C">
      <w:pPr>
        <w:widowControl w:val="0"/>
        <w:autoSpaceDE w:val="0"/>
        <w:autoSpaceDN w:val="0"/>
        <w:adjustRightInd w:val="0"/>
        <w:ind w:left="630"/>
        <w:rPr>
          <w:rFonts w:ascii="Arial" w:eastAsia="Times New Roman" w:hAnsi="Arial" w:cs="Arial"/>
          <w:szCs w:val="23"/>
          <w:lang w:val="fr-CA"/>
        </w:rPr>
      </w:pPr>
    </w:p>
    <w:p w14:paraId="7450E85F" w14:textId="77777777" w:rsidR="0057782C" w:rsidRPr="00F52884" w:rsidRDefault="0057782C" w:rsidP="0057782C">
      <w:pPr>
        <w:widowControl w:val="0"/>
        <w:autoSpaceDE w:val="0"/>
        <w:autoSpaceDN w:val="0"/>
        <w:adjustRightInd w:val="0"/>
        <w:rPr>
          <w:rFonts w:ascii="Arial" w:eastAsia="Times New Roman" w:hAnsi="Arial" w:cs="Arial"/>
          <w:i/>
          <w:iCs/>
          <w:szCs w:val="23"/>
          <w:lang w:val="fr-CA"/>
        </w:rPr>
      </w:pPr>
      <w:r w:rsidRPr="00F52884">
        <w:rPr>
          <w:rFonts w:ascii="Arial" w:eastAsia="Times New Roman" w:hAnsi="Arial" w:cs="Arial"/>
          <w:i/>
          <w:iCs/>
          <w:szCs w:val="23"/>
          <w:lang w:val="fr-CA"/>
        </w:rPr>
        <w:t>Nombre de jours entre deux événements</w:t>
      </w:r>
    </w:p>
    <w:p w14:paraId="5EEF7CEC" w14:textId="77777777" w:rsidR="0057782C" w:rsidRPr="00F52884" w:rsidRDefault="0057782C" w:rsidP="0057782C">
      <w:pPr>
        <w:widowControl w:val="0"/>
        <w:autoSpaceDE w:val="0"/>
        <w:autoSpaceDN w:val="0"/>
        <w:adjustRightInd w:val="0"/>
        <w:ind w:left="720" w:hanging="720"/>
        <w:rPr>
          <w:rFonts w:ascii="Arial" w:eastAsia="Times New Roman" w:hAnsi="Arial" w:cs="Arial"/>
          <w:i/>
          <w:szCs w:val="23"/>
          <w:lang w:val="fr-CA"/>
        </w:rPr>
      </w:pPr>
    </w:p>
    <w:p w14:paraId="24983FAE" w14:textId="0883EF1E" w:rsidR="0057782C" w:rsidRPr="00F52884" w:rsidRDefault="0057782C" w:rsidP="0057782C">
      <w:pPr>
        <w:widowControl w:val="0"/>
        <w:numPr>
          <w:ilvl w:val="0"/>
          <w:numId w:val="186"/>
        </w:numPr>
        <w:autoSpaceDE w:val="0"/>
        <w:autoSpaceDN w:val="0"/>
        <w:adjustRightInd w:val="0"/>
        <w:ind w:left="1440" w:hanging="720"/>
        <w:contextualSpacing/>
        <w:rPr>
          <w:rFonts w:ascii="Arial" w:eastAsia="Times New Roman" w:hAnsi="Arial" w:cs="Arial"/>
          <w:szCs w:val="23"/>
          <w:lang w:val="fr-CA"/>
        </w:rPr>
      </w:pPr>
      <w:bookmarkStart w:id="240" w:name="anchorse:27-ss:_1_"/>
      <w:bookmarkStart w:id="241" w:name="P78"/>
      <w:bookmarkStart w:id="242" w:name="aSec27"/>
      <w:bookmarkStart w:id="243" w:name="anchorse:27"/>
      <w:bookmarkEnd w:id="240"/>
      <w:bookmarkEnd w:id="241"/>
      <w:bookmarkEnd w:id="242"/>
      <w:bookmarkEnd w:id="243"/>
      <w:r w:rsidRPr="00F52884">
        <w:rPr>
          <w:rFonts w:ascii="Arial" w:eastAsia="Times New Roman" w:hAnsi="Arial" w:cs="Arial"/>
          <w:szCs w:val="23"/>
          <w:lang w:val="fr-CA"/>
        </w:rPr>
        <w:t>Si le délai est exprimé en un nombre minimal de jours entre deux événements ou en utilisant l’expression « au moins » assortie d’un certain nombre de jours entre deux événements, les jours où les événements surviennent sont exclus du calcul de ce nombre de jours.</w:t>
      </w:r>
    </w:p>
    <w:p w14:paraId="7FCFB6CC" w14:textId="77777777" w:rsidR="0057782C" w:rsidRPr="00F52884" w:rsidRDefault="0057782C" w:rsidP="0057782C">
      <w:pPr>
        <w:widowControl w:val="0"/>
        <w:autoSpaceDE w:val="0"/>
        <w:autoSpaceDN w:val="0"/>
        <w:adjustRightInd w:val="0"/>
        <w:ind w:left="1440" w:hanging="720"/>
        <w:rPr>
          <w:rFonts w:ascii="Arial" w:eastAsia="Times New Roman" w:hAnsi="Arial" w:cs="Arial"/>
          <w:szCs w:val="23"/>
          <w:lang w:val="fr-CA"/>
        </w:rPr>
      </w:pPr>
    </w:p>
    <w:p w14:paraId="5EA49FFA" w14:textId="4F0B92A0" w:rsidR="0057782C" w:rsidRPr="00F52884" w:rsidRDefault="0057782C" w:rsidP="0057782C">
      <w:pPr>
        <w:widowControl w:val="0"/>
        <w:numPr>
          <w:ilvl w:val="0"/>
          <w:numId w:val="186"/>
        </w:numPr>
        <w:autoSpaceDE w:val="0"/>
        <w:autoSpaceDN w:val="0"/>
        <w:adjustRightInd w:val="0"/>
        <w:ind w:left="1440" w:hanging="720"/>
        <w:contextualSpacing/>
        <w:rPr>
          <w:rFonts w:ascii="Arial" w:eastAsia="Times New Roman" w:hAnsi="Arial" w:cs="Arial"/>
          <w:szCs w:val="23"/>
          <w:lang w:val="fr-CA"/>
        </w:rPr>
      </w:pPr>
      <w:bookmarkStart w:id="244" w:name="P79"/>
      <w:bookmarkStart w:id="245" w:name="anchorse:27-ss:_2_"/>
      <w:bookmarkEnd w:id="244"/>
      <w:bookmarkEnd w:id="245"/>
      <w:r w:rsidRPr="00F52884">
        <w:rPr>
          <w:rFonts w:ascii="Arial" w:eastAsia="Times New Roman" w:hAnsi="Arial" w:cs="Arial"/>
          <w:szCs w:val="23"/>
          <w:lang w:val="fr-CA"/>
        </w:rPr>
        <w:t xml:space="preserve">Si le délai est exprimé en un nombre de jours entre deux événements, le jour où le premier événement survient est exclu du calcul de ce nombre de jours, et le jour où le deuxième événement survient est compté. </w:t>
      </w:r>
    </w:p>
    <w:p w14:paraId="6C9A1B00" w14:textId="77777777" w:rsidR="0057782C" w:rsidRPr="00F52884" w:rsidRDefault="0057782C" w:rsidP="0057782C">
      <w:pPr>
        <w:ind w:left="720" w:hanging="720"/>
        <w:rPr>
          <w:rFonts w:ascii="Arial" w:eastAsia="Times New Roman" w:hAnsi="Arial" w:cs="Arial"/>
          <w:szCs w:val="23"/>
          <w:lang w:val="fr-CA"/>
        </w:rPr>
      </w:pPr>
    </w:p>
    <w:bookmarkStart w:id="246" w:name="anchorse:27-ss:_3_"/>
    <w:bookmarkStart w:id="247" w:name="P80"/>
    <w:bookmarkStart w:id="248" w:name="codese:27-ss:_3_"/>
    <w:bookmarkEnd w:id="246"/>
    <w:bookmarkEnd w:id="247"/>
    <w:p w14:paraId="6F0ABF64" w14:textId="77777777" w:rsidR="0057782C" w:rsidRPr="00F52884" w:rsidRDefault="0057782C" w:rsidP="0057782C">
      <w:pPr>
        <w:widowControl w:val="0"/>
        <w:autoSpaceDE w:val="0"/>
        <w:autoSpaceDN w:val="0"/>
        <w:adjustRightInd w:val="0"/>
        <w:ind w:left="720" w:hanging="720"/>
        <w:rPr>
          <w:rFonts w:ascii="Arial" w:eastAsia="Times New Roman" w:hAnsi="Arial" w:cs="Arial"/>
          <w:szCs w:val="23"/>
          <w:lang w:val="fr-CA"/>
        </w:rPr>
      </w:pPr>
      <w:r w:rsidRPr="00F52884">
        <w:rPr>
          <w:rFonts w:ascii="Arial" w:eastAsia="Times New Roman" w:hAnsi="Arial" w:cs="Arial"/>
          <w:szCs w:val="23"/>
          <w:lang w:val="fr-CA"/>
        </w:rPr>
        <w:lastRenderedPageBreak/>
        <w:fldChar w:fldCharType="begin"/>
      </w:r>
      <w:r w:rsidRPr="00F52884">
        <w:rPr>
          <w:rFonts w:ascii="Arial" w:eastAsia="Times New Roman" w:hAnsi="Arial" w:cs="Arial"/>
          <w:szCs w:val="23"/>
          <w:lang w:val="fr-CA"/>
        </w:rPr>
        <w:instrText xml:space="preserve"> HYPERLINK "http://laws.justice.gc.ca/fr/ShowDoc/cs/I-21/bo-ga:s_5::bo-ga:s_8_1/fr?page=3&amp;isPrinting=false" \l "codese:27-ss:_3_" \o "Interpretation Act 27. (3) Beginning and ending of prescribed periods" </w:instrText>
      </w:r>
      <w:r w:rsidRPr="00F52884">
        <w:rPr>
          <w:rFonts w:ascii="Arial" w:eastAsia="Times New Roman" w:hAnsi="Arial" w:cs="Arial"/>
          <w:szCs w:val="23"/>
          <w:lang w:val="fr-CA"/>
        </w:rPr>
      </w:r>
      <w:r w:rsidRPr="00F52884">
        <w:rPr>
          <w:rFonts w:ascii="Arial" w:eastAsia="Times New Roman" w:hAnsi="Arial" w:cs="Arial"/>
          <w:szCs w:val="23"/>
          <w:lang w:val="fr-CA"/>
        </w:rPr>
        <w:fldChar w:fldCharType="separate"/>
      </w:r>
      <w:r w:rsidRPr="00F52884">
        <w:rPr>
          <w:rFonts w:ascii="Arial" w:eastAsia="Times New Roman" w:hAnsi="Arial" w:cs="Arial"/>
          <w:i/>
          <w:iCs/>
          <w:szCs w:val="23"/>
          <w:lang w:val="fr-CA"/>
        </w:rPr>
        <w:t>Début et fin d’un délai</w:t>
      </w:r>
      <w:r w:rsidRPr="00F52884">
        <w:rPr>
          <w:rFonts w:ascii="Arial" w:eastAsia="Times New Roman" w:hAnsi="Arial" w:cs="Arial"/>
          <w:szCs w:val="23"/>
          <w:lang w:val="fr-CA"/>
        </w:rPr>
        <w:fldChar w:fldCharType="end"/>
      </w:r>
      <w:bookmarkEnd w:id="248"/>
      <w:r w:rsidRPr="00F52884">
        <w:rPr>
          <w:rFonts w:ascii="Arial" w:eastAsia="Times New Roman" w:hAnsi="Arial" w:cs="Arial"/>
          <w:i/>
          <w:szCs w:val="23"/>
          <w:lang w:val="fr-CA"/>
        </w:rPr>
        <w:t xml:space="preserve"> prescrit</w:t>
      </w:r>
    </w:p>
    <w:p w14:paraId="0A5D4ADB" w14:textId="77777777" w:rsidR="0057782C" w:rsidRPr="00F52884" w:rsidRDefault="0057782C" w:rsidP="0057782C">
      <w:pPr>
        <w:widowControl w:val="0"/>
        <w:autoSpaceDE w:val="0"/>
        <w:autoSpaceDN w:val="0"/>
        <w:adjustRightInd w:val="0"/>
        <w:ind w:left="720" w:hanging="720"/>
        <w:rPr>
          <w:rFonts w:ascii="Arial" w:eastAsia="Times New Roman" w:hAnsi="Arial" w:cs="Arial"/>
          <w:i/>
          <w:szCs w:val="23"/>
          <w:lang w:val="fr-CA"/>
        </w:rPr>
      </w:pPr>
    </w:p>
    <w:p w14:paraId="380D59D9" w14:textId="0172A61A" w:rsidR="0057782C" w:rsidRPr="00F52884" w:rsidRDefault="0057782C" w:rsidP="0057782C">
      <w:pPr>
        <w:widowControl w:val="0"/>
        <w:numPr>
          <w:ilvl w:val="0"/>
          <w:numId w:val="186"/>
        </w:num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 xml:space="preserve">Si le délai commence à courir ou prend fin un jour déterminé, ou qu’il court jusqu’à un jour </w:t>
      </w:r>
      <w:proofErr w:type="gramStart"/>
      <w:r w:rsidRPr="00F52884">
        <w:rPr>
          <w:rFonts w:ascii="Arial" w:eastAsia="Times New Roman" w:hAnsi="Arial" w:cs="Arial"/>
          <w:szCs w:val="23"/>
          <w:lang w:val="fr-CA"/>
        </w:rPr>
        <w:t>déterminé</w:t>
      </w:r>
      <w:proofErr w:type="gramEnd"/>
      <w:r w:rsidRPr="00F52884">
        <w:rPr>
          <w:rFonts w:ascii="Arial" w:eastAsia="Times New Roman" w:hAnsi="Arial" w:cs="Arial"/>
          <w:szCs w:val="23"/>
          <w:lang w:val="fr-CA"/>
        </w:rPr>
        <w:t xml:space="preserve">, ce jour est compté. </w:t>
      </w:r>
      <w:bookmarkStart w:id="249" w:name="P81"/>
      <w:bookmarkStart w:id="250" w:name="anchorse:27-ss:_4_"/>
      <w:bookmarkStart w:id="251" w:name="codese:27-ss:_4_"/>
      <w:bookmarkEnd w:id="249"/>
      <w:bookmarkEnd w:id="250"/>
    </w:p>
    <w:p w14:paraId="733CACB3" w14:textId="77777777" w:rsidR="0057782C" w:rsidRPr="00F52884" w:rsidRDefault="0057782C" w:rsidP="0057782C">
      <w:pPr>
        <w:widowControl w:val="0"/>
        <w:autoSpaceDE w:val="0"/>
        <w:autoSpaceDN w:val="0"/>
        <w:adjustRightInd w:val="0"/>
        <w:ind w:left="630"/>
        <w:rPr>
          <w:rFonts w:ascii="Arial" w:eastAsia="Times New Roman" w:hAnsi="Arial" w:cs="Arial"/>
          <w:szCs w:val="23"/>
          <w:lang w:val="fr-CA"/>
        </w:rPr>
      </w:pPr>
    </w:p>
    <w:p w14:paraId="79BA4B2E" w14:textId="265ADFBB" w:rsidR="0057782C" w:rsidRPr="00F52884" w:rsidRDefault="0057782C" w:rsidP="0057782C">
      <w:pPr>
        <w:widowControl w:val="0"/>
        <w:autoSpaceDE w:val="0"/>
        <w:autoSpaceDN w:val="0"/>
        <w:adjustRightInd w:val="0"/>
        <w:ind w:left="720" w:hanging="720"/>
        <w:rPr>
          <w:rFonts w:ascii="Arial" w:eastAsia="Times New Roman" w:hAnsi="Arial" w:cs="Arial"/>
          <w:i/>
          <w:iCs/>
          <w:szCs w:val="23"/>
          <w:lang w:val="fr-CA"/>
        </w:rPr>
      </w:pPr>
      <w:r w:rsidRPr="00F52884">
        <w:rPr>
          <w:rFonts w:ascii="Arial" w:eastAsia="Times New Roman" w:hAnsi="Arial" w:cs="Arial"/>
          <w:i/>
          <w:iCs/>
          <w:szCs w:val="23"/>
          <w:lang w:val="fr-CA"/>
        </w:rPr>
        <w:t xml:space="preserve">Délai commençant à courir après un jour </w:t>
      </w:r>
      <w:proofErr w:type="gramStart"/>
      <w:r w:rsidRPr="00F52884">
        <w:rPr>
          <w:rFonts w:ascii="Arial" w:eastAsia="Times New Roman" w:hAnsi="Arial" w:cs="Arial"/>
          <w:i/>
          <w:iCs/>
          <w:szCs w:val="23"/>
          <w:lang w:val="fr-CA"/>
        </w:rPr>
        <w:t>déterminé</w:t>
      </w:r>
      <w:bookmarkEnd w:id="251"/>
      <w:proofErr w:type="gramEnd"/>
    </w:p>
    <w:p w14:paraId="7AE32329" w14:textId="77777777" w:rsidR="0057782C" w:rsidRPr="00F52884" w:rsidRDefault="0057782C" w:rsidP="0057782C">
      <w:pPr>
        <w:widowControl w:val="0"/>
        <w:autoSpaceDE w:val="0"/>
        <w:autoSpaceDN w:val="0"/>
        <w:adjustRightInd w:val="0"/>
        <w:ind w:left="720" w:hanging="720"/>
        <w:rPr>
          <w:rFonts w:ascii="Arial" w:eastAsia="Times New Roman" w:hAnsi="Arial" w:cs="Arial"/>
          <w:i/>
          <w:szCs w:val="23"/>
          <w:lang w:val="fr-CA"/>
        </w:rPr>
      </w:pPr>
    </w:p>
    <w:p w14:paraId="76C8DB0B" w14:textId="5D8B23A6" w:rsidR="0057782C" w:rsidRPr="00F52884" w:rsidRDefault="0057782C" w:rsidP="0057782C">
      <w:pPr>
        <w:widowControl w:val="0"/>
        <w:numPr>
          <w:ilvl w:val="0"/>
          <w:numId w:val="186"/>
        </w:num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 xml:space="preserve">Si le délai commence à courir après un jour </w:t>
      </w:r>
      <w:proofErr w:type="gramStart"/>
      <w:r w:rsidRPr="00F52884">
        <w:rPr>
          <w:rFonts w:ascii="Arial" w:eastAsia="Times New Roman" w:hAnsi="Arial" w:cs="Arial"/>
          <w:szCs w:val="23"/>
          <w:lang w:val="fr-CA"/>
        </w:rPr>
        <w:t>déterminé</w:t>
      </w:r>
      <w:proofErr w:type="gramEnd"/>
      <w:r w:rsidRPr="00F52884">
        <w:rPr>
          <w:rFonts w:ascii="Arial" w:eastAsia="Times New Roman" w:hAnsi="Arial" w:cs="Arial"/>
          <w:szCs w:val="23"/>
          <w:lang w:val="fr-CA"/>
        </w:rPr>
        <w:t xml:space="preserve"> ou à partir d’un jour déterminé, ce jour est exclu. </w:t>
      </w:r>
    </w:p>
    <w:p w14:paraId="12883EA4" w14:textId="77777777" w:rsidR="0057782C" w:rsidRPr="00F52884" w:rsidRDefault="0057782C" w:rsidP="0057782C">
      <w:pPr>
        <w:widowControl w:val="0"/>
        <w:autoSpaceDE w:val="0"/>
        <w:autoSpaceDN w:val="0"/>
        <w:adjustRightInd w:val="0"/>
        <w:ind w:left="630"/>
        <w:rPr>
          <w:rFonts w:ascii="Arial" w:eastAsia="Times New Roman" w:hAnsi="Arial" w:cs="Arial"/>
          <w:szCs w:val="23"/>
          <w:lang w:val="fr-CA"/>
        </w:rPr>
      </w:pPr>
      <w:bookmarkStart w:id="252" w:name="anchorse:27-ss:_5_"/>
      <w:bookmarkStart w:id="253" w:name="P82"/>
      <w:bookmarkStart w:id="254" w:name="codese:27-ss:_5_"/>
      <w:bookmarkEnd w:id="252"/>
      <w:bookmarkEnd w:id="253"/>
    </w:p>
    <w:p w14:paraId="0FD7E6FB" w14:textId="77777777" w:rsidR="0057782C" w:rsidRPr="00F52884" w:rsidRDefault="0057782C" w:rsidP="0057782C">
      <w:pPr>
        <w:widowControl w:val="0"/>
        <w:autoSpaceDE w:val="0"/>
        <w:autoSpaceDN w:val="0"/>
        <w:adjustRightInd w:val="0"/>
        <w:ind w:left="720" w:hanging="720"/>
        <w:rPr>
          <w:rFonts w:ascii="Arial" w:eastAsia="Times New Roman" w:hAnsi="Arial" w:cs="Arial"/>
          <w:i/>
          <w:szCs w:val="23"/>
          <w:lang w:val="fr-CA"/>
        </w:rPr>
      </w:pPr>
      <w:r w:rsidRPr="00F52884">
        <w:rPr>
          <w:rFonts w:ascii="Arial" w:eastAsia="Times New Roman" w:hAnsi="Arial" w:cs="Arial"/>
          <w:i/>
          <w:szCs w:val="23"/>
          <w:lang w:val="fr-CA"/>
        </w:rPr>
        <w:t>Acte à accomplir dans un délai</w:t>
      </w:r>
      <w:bookmarkEnd w:id="254"/>
    </w:p>
    <w:p w14:paraId="68C4F702" w14:textId="77777777" w:rsidR="0057782C" w:rsidRPr="00F52884" w:rsidRDefault="0057782C" w:rsidP="0057782C">
      <w:pPr>
        <w:widowControl w:val="0"/>
        <w:autoSpaceDE w:val="0"/>
        <w:autoSpaceDN w:val="0"/>
        <w:adjustRightInd w:val="0"/>
        <w:ind w:left="720" w:hanging="720"/>
        <w:rPr>
          <w:rFonts w:ascii="Arial" w:eastAsia="Times New Roman" w:hAnsi="Arial" w:cs="Arial"/>
          <w:i/>
          <w:szCs w:val="23"/>
          <w:lang w:val="fr-CA"/>
        </w:rPr>
      </w:pPr>
    </w:p>
    <w:p w14:paraId="67450109" w14:textId="5E29F40E" w:rsidR="0057782C" w:rsidRPr="00F52884" w:rsidRDefault="0057782C" w:rsidP="0057782C">
      <w:pPr>
        <w:widowControl w:val="0"/>
        <w:numPr>
          <w:ilvl w:val="0"/>
          <w:numId w:val="186"/>
        </w:numPr>
        <w:autoSpaceDE w:val="0"/>
        <w:autoSpaceDN w:val="0"/>
        <w:adjustRightInd w:val="0"/>
        <w:ind w:left="1440" w:hanging="720"/>
        <w:contextualSpacing/>
        <w:rPr>
          <w:rFonts w:ascii="Arial" w:eastAsia="Times New Roman" w:hAnsi="Arial" w:cs="Arial"/>
          <w:szCs w:val="23"/>
          <w:lang w:val="fr-CA"/>
        </w:rPr>
      </w:pPr>
      <w:r w:rsidRPr="00F52884">
        <w:rPr>
          <w:rFonts w:ascii="Arial" w:eastAsia="Times New Roman" w:hAnsi="Arial" w:cs="Arial"/>
          <w:szCs w:val="23"/>
          <w:lang w:val="fr-CA"/>
        </w:rPr>
        <w:t xml:space="preserve">Si un acte doit être accompli dans un délai qui commence à courir, suit ou précède un jour </w:t>
      </w:r>
      <w:proofErr w:type="gramStart"/>
      <w:r w:rsidRPr="00F52884">
        <w:rPr>
          <w:rFonts w:ascii="Arial" w:eastAsia="Times New Roman" w:hAnsi="Arial" w:cs="Arial"/>
          <w:szCs w:val="23"/>
          <w:lang w:val="fr-CA"/>
        </w:rPr>
        <w:t>déterminé</w:t>
      </w:r>
      <w:proofErr w:type="gramEnd"/>
      <w:r w:rsidRPr="00F52884">
        <w:rPr>
          <w:rFonts w:ascii="Arial" w:eastAsia="Times New Roman" w:hAnsi="Arial" w:cs="Arial"/>
          <w:szCs w:val="23"/>
          <w:lang w:val="fr-CA"/>
        </w:rPr>
        <w:t xml:space="preserve">, ce jour est exclu. </w:t>
      </w:r>
    </w:p>
    <w:p w14:paraId="5D459307" w14:textId="77777777" w:rsidR="0057782C" w:rsidRPr="00F52884" w:rsidRDefault="0057782C" w:rsidP="0057782C">
      <w:pPr>
        <w:widowControl w:val="0"/>
        <w:autoSpaceDE w:val="0"/>
        <w:autoSpaceDN w:val="0"/>
        <w:adjustRightInd w:val="0"/>
        <w:ind w:left="630"/>
        <w:rPr>
          <w:rFonts w:ascii="Arial" w:eastAsia="Times New Roman" w:hAnsi="Arial" w:cs="Arial"/>
          <w:szCs w:val="23"/>
          <w:lang w:val="fr-CA"/>
        </w:rPr>
      </w:pPr>
    </w:p>
    <w:p w14:paraId="51266ECD" w14:textId="5A185C2F" w:rsidR="0057782C" w:rsidRPr="00F52884" w:rsidRDefault="0057782C" w:rsidP="0057782C">
      <w:pPr>
        <w:widowControl w:val="0"/>
        <w:autoSpaceDE w:val="0"/>
        <w:autoSpaceDN w:val="0"/>
        <w:adjustRightInd w:val="0"/>
        <w:rPr>
          <w:rFonts w:ascii="Arial" w:eastAsia="Times New Roman" w:hAnsi="Arial" w:cs="Arial"/>
          <w:szCs w:val="23"/>
          <w:lang w:val="fr-CA"/>
        </w:rPr>
      </w:pPr>
      <w:r w:rsidRPr="00F52884">
        <w:rPr>
          <w:rFonts w:ascii="Arial" w:eastAsia="Times New Roman" w:hAnsi="Arial" w:cs="Arial"/>
          <w:szCs w:val="23"/>
          <w:lang w:val="fr-CA"/>
        </w:rPr>
        <w:t xml:space="preserve">12. </w:t>
      </w:r>
      <w:r w:rsidRPr="00F52884">
        <w:rPr>
          <w:rFonts w:ascii="Arial" w:eastAsia="Times New Roman" w:hAnsi="Arial" w:cs="Arial"/>
          <w:szCs w:val="23"/>
          <w:lang w:val="fr-CA"/>
        </w:rPr>
        <w:tab/>
        <w:t>Aucune disposition du présent accord ne peut être interprété comme obligeant une Partie à conduire ses activités ou celles de son administration dans une langue officielle particulière d’une Partie.</w:t>
      </w:r>
    </w:p>
    <w:p w14:paraId="4A758098" w14:textId="77777777" w:rsidR="0057782C" w:rsidRPr="00F52884" w:rsidRDefault="0057782C" w:rsidP="0057782C">
      <w:pPr>
        <w:widowControl w:val="0"/>
        <w:tabs>
          <w:tab w:val="left" w:pos="720"/>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18D3240F" w14:textId="56739E91" w:rsidR="0057782C" w:rsidRPr="00F52884" w:rsidRDefault="0057782C" w:rsidP="0057782C">
      <w:pPr>
        <w:jc w:val="center"/>
        <w:rPr>
          <w:rFonts w:ascii="Arial" w:eastAsia="Arial" w:hAnsi="Arial" w:cs="Arial"/>
          <w:b/>
          <w:szCs w:val="23"/>
          <w:lang w:val="fr-CA"/>
        </w:rPr>
      </w:pPr>
      <w:r w:rsidRPr="00F52884">
        <w:rPr>
          <w:rFonts w:ascii="Arial" w:eastAsia="Arial" w:hAnsi="Arial" w:cs="Arial"/>
          <w:b/>
          <w:bCs/>
          <w:szCs w:val="23"/>
          <w:lang w:val="fr-CA"/>
        </w:rPr>
        <w:t>Article 120</w:t>
      </w:r>
      <w:r w:rsidR="00C20778">
        <w:rPr>
          <w:rFonts w:ascii="Arial" w:eastAsia="Arial" w:hAnsi="Arial" w:cs="Arial"/>
          <w:b/>
          <w:bCs/>
          <w:szCs w:val="23"/>
          <w:lang w:val="fr-CA"/>
        </w:rPr>
        <w:t>8</w:t>
      </w:r>
      <w:r w:rsidRPr="00F52884">
        <w:rPr>
          <w:rFonts w:ascii="Arial" w:eastAsia="Arial" w:hAnsi="Arial" w:cs="Arial"/>
          <w:b/>
          <w:bCs/>
          <w:szCs w:val="23"/>
          <w:lang w:val="fr-CA"/>
        </w:rPr>
        <w:t xml:space="preserve"> : </w:t>
      </w:r>
      <w:r w:rsidRPr="00F52884">
        <w:rPr>
          <w:rFonts w:ascii="Arial" w:eastAsia="Arial" w:hAnsi="Arial" w:cs="Arial"/>
          <w:b/>
          <w:bCs/>
          <w:szCs w:val="23"/>
          <w:lang w:val="fr-CA"/>
        </w:rPr>
        <w:tab/>
        <w:t>Publication de notes interprétatives</w:t>
      </w:r>
    </w:p>
    <w:p w14:paraId="771B08F2" w14:textId="77777777" w:rsidR="0057782C" w:rsidRPr="00F52884" w:rsidRDefault="0057782C" w:rsidP="0057782C">
      <w:pPr>
        <w:widowControl w:val="0"/>
        <w:tabs>
          <w:tab w:val="left" w:pos="720"/>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szCs w:val="23"/>
          <w:lang w:val="fr-CA"/>
        </w:rPr>
      </w:pPr>
    </w:p>
    <w:p w14:paraId="63332047" w14:textId="0AA94FAF" w:rsidR="0057782C" w:rsidRPr="00F52884" w:rsidRDefault="0057782C" w:rsidP="0057782C">
      <w:pPr>
        <w:keepNext/>
        <w:keepLines/>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Times New Roman" w:hAnsi="Arial" w:cs="Arial"/>
          <w:iCs/>
          <w:szCs w:val="23"/>
          <w:lang w:val="fr-CA"/>
        </w:rPr>
      </w:pPr>
      <w:r w:rsidRPr="00F52884">
        <w:rPr>
          <w:rFonts w:ascii="Arial" w:eastAsia="Arial" w:hAnsi="Arial" w:cs="Arial"/>
          <w:szCs w:val="23"/>
          <w:lang w:val="fr-CA"/>
        </w:rPr>
        <w:tab/>
        <w:t>Les Parties peuvent, en tout temps, publier une note interprétative précisant leur interprétation du présent accord. Toute note interprétative est l’expression péremptoire des intentions des Parties en ce qui concerne la disposition qui en fait l’objet, et elle lie les Parties et tout organe décisionnel à compter de la date de sa publication.</w:t>
      </w:r>
    </w:p>
    <w:p w14:paraId="3B6A2114" w14:textId="77777777" w:rsidR="0057782C" w:rsidRPr="00F52884" w:rsidRDefault="0057782C" w:rsidP="0057782C">
      <w:pPr>
        <w:jc w:val="center"/>
        <w:rPr>
          <w:rFonts w:ascii="Arial" w:eastAsia="Arial" w:hAnsi="Arial" w:cs="Arial"/>
          <w:szCs w:val="23"/>
          <w:lang w:val="fr-CA"/>
        </w:rPr>
      </w:pPr>
      <w:bookmarkStart w:id="255" w:name="_Toc331669531"/>
    </w:p>
    <w:p w14:paraId="7183DB92" w14:textId="52BB6CE9" w:rsidR="0057782C" w:rsidRPr="00F52884" w:rsidRDefault="0057782C" w:rsidP="0057782C">
      <w:pPr>
        <w:jc w:val="center"/>
        <w:rPr>
          <w:rFonts w:ascii="Arial" w:eastAsia="Arial" w:hAnsi="Arial" w:cs="Arial"/>
          <w:b/>
          <w:szCs w:val="23"/>
          <w:lang w:val="fr-CA"/>
        </w:rPr>
      </w:pPr>
      <w:r w:rsidRPr="00F52884">
        <w:rPr>
          <w:rFonts w:ascii="Arial" w:eastAsia="Arial" w:hAnsi="Arial" w:cs="Arial"/>
          <w:b/>
          <w:bCs/>
          <w:szCs w:val="23"/>
          <w:lang w:val="fr-CA"/>
        </w:rPr>
        <w:t>Article 12</w:t>
      </w:r>
      <w:r w:rsidR="00C20778">
        <w:rPr>
          <w:rFonts w:ascii="Arial" w:eastAsia="Arial" w:hAnsi="Arial" w:cs="Arial"/>
          <w:b/>
          <w:bCs/>
          <w:szCs w:val="23"/>
          <w:lang w:val="fr-CA"/>
        </w:rPr>
        <w:t>09</w:t>
      </w:r>
      <w:r w:rsidRPr="00F52884">
        <w:rPr>
          <w:rFonts w:ascii="Arial" w:eastAsia="Arial" w:hAnsi="Arial" w:cs="Arial"/>
          <w:b/>
          <w:bCs/>
          <w:szCs w:val="23"/>
          <w:lang w:val="fr-CA"/>
        </w:rPr>
        <w:t xml:space="preserve"> : </w:t>
      </w:r>
      <w:r w:rsidRPr="00F52884">
        <w:rPr>
          <w:rFonts w:ascii="Arial" w:eastAsia="Arial" w:hAnsi="Arial" w:cs="Arial"/>
          <w:b/>
          <w:bCs/>
          <w:szCs w:val="23"/>
          <w:lang w:val="fr-CA"/>
        </w:rPr>
        <w:tab/>
        <w:t>Entrée en vigueur</w:t>
      </w:r>
      <w:bookmarkEnd w:id="255"/>
    </w:p>
    <w:p w14:paraId="6A8B720A" w14:textId="77777777" w:rsidR="0057782C" w:rsidRPr="00F52884" w:rsidRDefault="0057782C" w:rsidP="0057782C">
      <w:pPr>
        <w:rPr>
          <w:rFonts w:ascii="Arial" w:eastAsia="Times New Roman" w:hAnsi="Arial" w:cs="Arial"/>
          <w:b/>
          <w:szCs w:val="23"/>
          <w:lang w:val="fr-CA"/>
        </w:rPr>
      </w:pPr>
    </w:p>
    <w:p w14:paraId="02A2C92C" w14:textId="77777777" w:rsidR="0057782C" w:rsidRPr="00F52884" w:rsidRDefault="0057782C" w:rsidP="0057782C">
      <w:pPr>
        <w:numPr>
          <w:ilvl w:val="6"/>
          <w:numId w:val="190"/>
        </w:numPr>
        <w:ind w:left="0" w:firstLine="0"/>
        <w:contextualSpacing/>
        <w:rPr>
          <w:rFonts w:ascii="Arial" w:eastAsia="Times New Roman" w:hAnsi="Arial" w:cs="Arial"/>
          <w:szCs w:val="23"/>
          <w:lang w:val="fr-CA"/>
        </w:rPr>
      </w:pPr>
      <w:r w:rsidRPr="00F52884">
        <w:rPr>
          <w:rFonts w:ascii="Arial" w:eastAsia="Times New Roman" w:hAnsi="Arial" w:cs="Arial"/>
          <w:szCs w:val="23"/>
          <w:lang w:val="fr-CA"/>
        </w:rPr>
        <w:t>Sous réserve du paragraphe 2, le présent accord entre en vigueur le 1</w:t>
      </w:r>
      <w:r w:rsidRPr="00F52884">
        <w:rPr>
          <w:rFonts w:ascii="Arial" w:eastAsia="Times New Roman" w:hAnsi="Arial" w:cs="Arial"/>
          <w:szCs w:val="23"/>
          <w:vertAlign w:val="superscript"/>
          <w:lang w:val="fr-CA"/>
        </w:rPr>
        <w:t>er</w:t>
      </w:r>
      <w:r w:rsidRPr="00F52884">
        <w:rPr>
          <w:rFonts w:ascii="Arial" w:eastAsia="Times New Roman" w:hAnsi="Arial" w:cs="Arial"/>
          <w:szCs w:val="23"/>
          <w:lang w:val="fr-CA"/>
        </w:rPr>
        <w:t xml:space="preserve"> juillet 2017 (« date d’entrée en vigueur »). À cette date, les Parties devront avoir pris toutes les mesures nécessaires pour lui donner effet.</w:t>
      </w:r>
    </w:p>
    <w:p w14:paraId="3A0C40CD" w14:textId="77777777" w:rsidR="0057782C" w:rsidRPr="00F52884" w:rsidRDefault="0057782C" w:rsidP="0057782C">
      <w:pPr>
        <w:contextualSpacing/>
        <w:rPr>
          <w:rFonts w:ascii="Arial" w:eastAsia="Times New Roman" w:hAnsi="Arial" w:cs="Arial"/>
          <w:szCs w:val="23"/>
          <w:lang w:val="fr-CA"/>
        </w:rPr>
      </w:pPr>
    </w:p>
    <w:p w14:paraId="031ECB93" w14:textId="62BC8A50" w:rsidR="0057782C" w:rsidRPr="00F52884" w:rsidRDefault="0057782C" w:rsidP="0057782C">
      <w:pPr>
        <w:numPr>
          <w:ilvl w:val="6"/>
          <w:numId w:val="190"/>
        </w:numPr>
        <w:ind w:left="0" w:firstLine="0"/>
        <w:contextualSpacing/>
        <w:rPr>
          <w:rFonts w:ascii="Arial" w:eastAsia="Times New Roman" w:hAnsi="Arial" w:cs="Arial"/>
          <w:szCs w:val="23"/>
          <w:lang w:val="fr-CA"/>
        </w:rPr>
      </w:pPr>
      <w:r w:rsidRPr="00F52884">
        <w:rPr>
          <w:rFonts w:ascii="Arial" w:eastAsia="Times New Roman" w:hAnsi="Arial" w:cs="Arial"/>
          <w:szCs w:val="23"/>
          <w:lang w:val="fr-CA"/>
        </w:rPr>
        <w:t xml:space="preserve">Le chapitre Cinq (Marchés publics) ne s’applique qu’aux marchés commençant à la date d’entrée en vigueur ou après celle-ci. Le processus de passation d’un marché commence après qu’une entité a défini ses prescriptions. </w:t>
      </w:r>
    </w:p>
    <w:p w14:paraId="4F747B60" w14:textId="77777777" w:rsidR="0057782C" w:rsidRPr="00F52884" w:rsidRDefault="0057782C" w:rsidP="0057782C">
      <w:pPr>
        <w:rPr>
          <w:rFonts w:ascii="Arial" w:eastAsia="Arial" w:hAnsi="Arial" w:cs="Arial"/>
          <w:szCs w:val="23"/>
          <w:lang w:val="fr-CA"/>
        </w:rPr>
      </w:pPr>
    </w:p>
    <w:p w14:paraId="42ADFBD3" w14:textId="57B97494" w:rsidR="0057782C" w:rsidRPr="00F52884" w:rsidRDefault="0057782C" w:rsidP="0057782C">
      <w:pPr>
        <w:jc w:val="center"/>
        <w:rPr>
          <w:rFonts w:ascii="Arial" w:eastAsia="Arial" w:hAnsi="Arial" w:cs="Arial"/>
          <w:b/>
          <w:szCs w:val="23"/>
          <w:lang w:val="fr-CA"/>
        </w:rPr>
      </w:pPr>
      <w:r w:rsidRPr="00F52884">
        <w:rPr>
          <w:rFonts w:ascii="Arial" w:eastAsia="Arial" w:hAnsi="Arial" w:cs="Arial"/>
          <w:b/>
          <w:bCs/>
          <w:szCs w:val="23"/>
          <w:lang w:val="fr-CA"/>
        </w:rPr>
        <w:t>Article 121</w:t>
      </w:r>
      <w:r w:rsidR="00C20778">
        <w:rPr>
          <w:rFonts w:ascii="Arial" w:eastAsia="Arial" w:hAnsi="Arial" w:cs="Arial"/>
          <w:b/>
          <w:bCs/>
          <w:szCs w:val="23"/>
          <w:lang w:val="fr-CA"/>
        </w:rPr>
        <w:t>0</w:t>
      </w:r>
      <w:r w:rsidRPr="00F52884">
        <w:rPr>
          <w:rFonts w:ascii="Arial" w:eastAsia="Arial" w:hAnsi="Arial" w:cs="Arial"/>
          <w:b/>
          <w:bCs/>
          <w:szCs w:val="23"/>
          <w:lang w:val="fr-CA"/>
        </w:rPr>
        <w:t xml:space="preserve"> : </w:t>
      </w:r>
      <w:r w:rsidRPr="00F52884">
        <w:rPr>
          <w:rFonts w:ascii="Arial" w:eastAsia="Arial" w:hAnsi="Arial" w:cs="Arial"/>
          <w:b/>
          <w:bCs/>
          <w:szCs w:val="23"/>
          <w:lang w:val="fr-CA"/>
        </w:rPr>
        <w:tab/>
        <w:t>Extinction de l’Accord sur le commerce intérieur</w:t>
      </w:r>
    </w:p>
    <w:p w14:paraId="27A2B85A" w14:textId="77777777" w:rsidR="0057782C" w:rsidRPr="00F52884" w:rsidRDefault="0057782C" w:rsidP="0057782C">
      <w:pPr>
        <w:rPr>
          <w:rFonts w:ascii="Arial" w:eastAsia="Arial" w:hAnsi="Arial" w:cs="Arial"/>
          <w:szCs w:val="23"/>
          <w:lang w:val="fr-CA"/>
        </w:rPr>
      </w:pPr>
    </w:p>
    <w:p w14:paraId="28872159" w14:textId="4B4EDF42" w:rsidR="0057782C" w:rsidRPr="00F52884" w:rsidRDefault="0057782C" w:rsidP="0057782C">
      <w:pPr>
        <w:numPr>
          <w:ilvl w:val="6"/>
          <w:numId w:val="24"/>
        </w:numPr>
        <w:ind w:left="0" w:firstLine="0"/>
        <w:contextualSpacing/>
        <w:rPr>
          <w:rFonts w:ascii="Arial" w:eastAsia="Arial" w:hAnsi="Arial" w:cs="Arial"/>
          <w:szCs w:val="23"/>
          <w:lang w:val="fr-CA"/>
        </w:rPr>
      </w:pPr>
      <w:r w:rsidRPr="00F52884">
        <w:rPr>
          <w:rFonts w:ascii="Arial" w:eastAsia="Arial" w:hAnsi="Arial" w:cs="Arial"/>
          <w:szCs w:val="23"/>
          <w:lang w:val="fr-CA"/>
        </w:rPr>
        <w:t>Sous réserve des paragraphes 2 et 3, les parties à l’Accord sur le commerce intérieur ont convenu que l’Accord sur le commerce intérieur</w:t>
      </w:r>
      <w:r w:rsidRPr="00F52884">
        <w:rPr>
          <w:rFonts w:ascii="Arial" w:eastAsia="Arial" w:hAnsi="Arial" w:cs="Arial"/>
          <w:i/>
          <w:szCs w:val="23"/>
          <w:lang w:val="fr-CA"/>
        </w:rPr>
        <w:t xml:space="preserve"> </w:t>
      </w:r>
      <w:r w:rsidRPr="00F52884">
        <w:rPr>
          <w:rFonts w:ascii="Arial" w:eastAsia="Arial" w:hAnsi="Arial" w:cs="Arial"/>
          <w:szCs w:val="23"/>
          <w:lang w:val="fr-CA"/>
        </w:rPr>
        <w:t>prend fin à la date d’entrée en vigueur et qu’il est par la suite remplacé par le présent accord.</w:t>
      </w:r>
    </w:p>
    <w:p w14:paraId="63172633" w14:textId="77777777" w:rsidR="0057782C" w:rsidRPr="00F52884" w:rsidRDefault="0057782C" w:rsidP="0057782C">
      <w:pPr>
        <w:contextualSpacing/>
        <w:rPr>
          <w:rFonts w:ascii="Arial" w:eastAsia="Arial" w:hAnsi="Arial" w:cs="Arial"/>
          <w:szCs w:val="23"/>
          <w:lang w:val="fr-CA"/>
        </w:rPr>
      </w:pPr>
    </w:p>
    <w:p w14:paraId="0A216EB0" w14:textId="5575A8F6" w:rsidR="0057782C" w:rsidRPr="00F52884" w:rsidRDefault="0057782C" w:rsidP="0057782C">
      <w:pPr>
        <w:numPr>
          <w:ilvl w:val="6"/>
          <w:numId w:val="24"/>
        </w:numPr>
        <w:ind w:left="0" w:firstLine="0"/>
        <w:contextualSpacing/>
        <w:rPr>
          <w:rFonts w:ascii="Arial" w:eastAsia="Arial" w:hAnsi="Arial" w:cs="Arial"/>
          <w:szCs w:val="23"/>
          <w:lang w:val="fr-CA"/>
        </w:rPr>
      </w:pPr>
      <w:r w:rsidRPr="00F52884">
        <w:rPr>
          <w:rFonts w:ascii="Arial" w:eastAsia="Arial" w:hAnsi="Arial" w:cs="Arial"/>
          <w:szCs w:val="23"/>
          <w:lang w:val="fr-CA"/>
        </w:rPr>
        <w:t>Le chapitre Cinq (Marchés publics) de l’Accord sur le commerce intérieur</w:t>
      </w:r>
      <w:r w:rsidRPr="00F52884">
        <w:rPr>
          <w:rFonts w:ascii="Arial" w:eastAsia="Arial" w:hAnsi="Arial" w:cs="Arial"/>
          <w:i/>
          <w:szCs w:val="23"/>
          <w:lang w:val="fr-CA"/>
        </w:rPr>
        <w:t xml:space="preserve"> </w:t>
      </w:r>
      <w:r w:rsidRPr="00F52884">
        <w:rPr>
          <w:rFonts w:ascii="Arial" w:eastAsia="Arial" w:hAnsi="Arial" w:cs="Arial"/>
          <w:szCs w:val="23"/>
          <w:lang w:val="fr-CA"/>
        </w:rPr>
        <w:t>et les dispositions applicables du chapitre Dix-sept (Procédures de règlement des différends) de l’Accord sur le commerce intérieur</w:t>
      </w:r>
      <w:r w:rsidRPr="00F52884">
        <w:rPr>
          <w:rFonts w:ascii="Arial" w:eastAsia="Arial" w:hAnsi="Arial" w:cs="Arial"/>
          <w:i/>
          <w:szCs w:val="23"/>
          <w:lang w:val="fr-CA"/>
        </w:rPr>
        <w:t xml:space="preserve"> </w:t>
      </w:r>
      <w:r w:rsidRPr="00F52884">
        <w:rPr>
          <w:rFonts w:ascii="Arial" w:eastAsia="Arial" w:hAnsi="Arial" w:cs="Arial"/>
          <w:szCs w:val="23"/>
          <w:lang w:val="fr-CA"/>
        </w:rPr>
        <w:t>continueront à s’appliquer après la date d’entrée en vigueur à tout marché qui a commencé avant la date d’entrée en vigueur. Le processus de passation d’un marché commence après qu’une entité a défini ses prescriptions.</w:t>
      </w:r>
    </w:p>
    <w:p w14:paraId="3FA00897" w14:textId="77777777" w:rsidR="0057782C" w:rsidRPr="00F52884" w:rsidRDefault="0057782C" w:rsidP="0057782C">
      <w:pPr>
        <w:contextualSpacing/>
        <w:rPr>
          <w:rFonts w:ascii="Arial" w:eastAsia="Arial" w:hAnsi="Arial" w:cs="Arial"/>
          <w:szCs w:val="23"/>
          <w:lang w:val="fr-CA"/>
        </w:rPr>
      </w:pPr>
    </w:p>
    <w:p w14:paraId="79765A99" w14:textId="29D375FF" w:rsidR="0057782C" w:rsidRPr="00F52884" w:rsidRDefault="0057782C" w:rsidP="0057782C">
      <w:pPr>
        <w:numPr>
          <w:ilvl w:val="6"/>
          <w:numId w:val="24"/>
        </w:numPr>
        <w:ind w:left="0" w:firstLine="0"/>
        <w:contextualSpacing/>
        <w:rPr>
          <w:rFonts w:ascii="Arial" w:eastAsia="Arial" w:hAnsi="Arial" w:cs="Arial"/>
          <w:szCs w:val="23"/>
          <w:lang w:val="fr-CA"/>
        </w:rPr>
      </w:pPr>
      <w:r w:rsidRPr="00F52884">
        <w:rPr>
          <w:rFonts w:ascii="Arial" w:eastAsia="Arial" w:hAnsi="Arial" w:cs="Arial"/>
          <w:szCs w:val="23"/>
          <w:lang w:val="fr-CA"/>
        </w:rPr>
        <w:lastRenderedPageBreak/>
        <w:t>Un différend préexistant est réglé et instruit conformément aux dispositions de l’Accord sur le commerce intérieur</w:t>
      </w:r>
      <w:r w:rsidRPr="00F52884">
        <w:rPr>
          <w:rFonts w:ascii="Arial" w:eastAsia="Arial" w:hAnsi="Arial" w:cs="Arial"/>
          <w:i/>
          <w:szCs w:val="23"/>
          <w:lang w:val="fr-CA"/>
        </w:rPr>
        <w:t xml:space="preserve"> </w:t>
      </w:r>
      <w:r w:rsidRPr="00F52884">
        <w:rPr>
          <w:rFonts w:ascii="Arial" w:eastAsia="Arial" w:hAnsi="Arial" w:cs="Arial"/>
          <w:szCs w:val="23"/>
          <w:lang w:val="fr-CA"/>
        </w:rPr>
        <w:t>selon ce qui est prévu à l’article 1014 (Différends préexistants).</w:t>
      </w:r>
    </w:p>
    <w:p w14:paraId="4C7EA64D" w14:textId="77777777" w:rsidR="0057782C" w:rsidRPr="00F52884" w:rsidRDefault="0057782C" w:rsidP="0057782C">
      <w:pPr>
        <w:rPr>
          <w:rFonts w:ascii="Arial" w:eastAsia="Arial" w:hAnsi="Arial" w:cs="Arial"/>
          <w:b/>
          <w:bCs/>
          <w:szCs w:val="23"/>
          <w:lang w:val="fr-CA"/>
        </w:rPr>
      </w:pPr>
    </w:p>
    <w:p w14:paraId="31BEC897" w14:textId="0C445840" w:rsidR="0057782C" w:rsidRPr="00F52884" w:rsidRDefault="0057782C" w:rsidP="0057782C">
      <w:pPr>
        <w:keepNext/>
        <w:keepLines/>
        <w:jc w:val="center"/>
        <w:rPr>
          <w:rFonts w:ascii="Arial" w:eastAsia="Arial" w:hAnsi="Arial" w:cs="Arial"/>
          <w:b/>
          <w:szCs w:val="23"/>
          <w:lang w:val="fr-CA"/>
        </w:rPr>
      </w:pPr>
      <w:r w:rsidRPr="00F52884">
        <w:rPr>
          <w:rFonts w:ascii="Arial" w:eastAsia="Arial" w:hAnsi="Arial" w:cs="Arial"/>
          <w:b/>
          <w:bCs/>
          <w:szCs w:val="23"/>
          <w:lang w:val="fr-CA"/>
        </w:rPr>
        <w:t>Article 121</w:t>
      </w:r>
      <w:r w:rsidR="00C20778">
        <w:rPr>
          <w:rFonts w:ascii="Arial" w:eastAsia="Arial" w:hAnsi="Arial" w:cs="Arial"/>
          <w:b/>
          <w:bCs/>
          <w:szCs w:val="23"/>
          <w:lang w:val="fr-CA"/>
        </w:rPr>
        <w:t>1</w:t>
      </w:r>
      <w:r w:rsidRPr="00F52884">
        <w:rPr>
          <w:rFonts w:ascii="Arial" w:eastAsia="Arial" w:hAnsi="Arial" w:cs="Arial"/>
          <w:b/>
          <w:bCs/>
          <w:szCs w:val="23"/>
          <w:lang w:val="fr-CA"/>
        </w:rPr>
        <w:t> :</w:t>
      </w:r>
      <w:r w:rsidRPr="00F52884">
        <w:rPr>
          <w:rFonts w:ascii="Arial" w:eastAsia="Arial" w:hAnsi="Arial" w:cs="Arial"/>
          <w:szCs w:val="23"/>
          <w:lang w:val="fr-CA"/>
        </w:rPr>
        <w:t xml:space="preserve"> </w:t>
      </w:r>
      <w:r w:rsidRPr="00F52884">
        <w:rPr>
          <w:rFonts w:ascii="Arial" w:eastAsia="Arial" w:hAnsi="Arial" w:cs="Arial"/>
          <w:szCs w:val="23"/>
          <w:lang w:val="fr-CA"/>
        </w:rPr>
        <w:tab/>
      </w:r>
      <w:r w:rsidRPr="00F52884">
        <w:rPr>
          <w:rFonts w:ascii="Arial" w:eastAsia="Arial" w:hAnsi="Arial" w:cs="Arial"/>
          <w:b/>
          <w:bCs/>
          <w:szCs w:val="23"/>
          <w:lang w:val="fr-CA"/>
        </w:rPr>
        <w:t>Dispositions transitoires</w:t>
      </w:r>
    </w:p>
    <w:p w14:paraId="7F2222EA" w14:textId="77777777" w:rsidR="0057782C" w:rsidRPr="00F52884" w:rsidRDefault="0057782C" w:rsidP="0057782C">
      <w:pPr>
        <w:keepNext/>
        <w:keepLines/>
        <w:rPr>
          <w:rFonts w:ascii="Arial" w:eastAsia="Arial" w:hAnsi="Arial" w:cs="Arial"/>
          <w:szCs w:val="23"/>
          <w:lang w:val="fr-CA"/>
        </w:rPr>
      </w:pPr>
    </w:p>
    <w:p w14:paraId="5BA277F2" w14:textId="52C24083" w:rsidR="0057782C" w:rsidRPr="00F52884" w:rsidRDefault="0057782C" w:rsidP="0057782C">
      <w:pPr>
        <w:numPr>
          <w:ilvl w:val="0"/>
          <w:numId w:val="74"/>
        </w:numPr>
        <w:autoSpaceDE w:val="0"/>
        <w:autoSpaceDN w:val="0"/>
        <w:adjustRightInd w:val="0"/>
        <w:ind w:left="0" w:firstLine="0"/>
        <w:contextualSpacing/>
        <w:rPr>
          <w:rFonts w:ascii="Arial" w:eastAsia="Arial" w:hAnsi="Arial" w:cs="Arial"/>
          <w:szCs w:val="23"/>
          <w:lang w:val="fr-CA"/>
        </w:rPr>
      </w:pPr>
      <w:r w:rsidRPr="00F52884">
        <w:rPr>
          <w:rFonts w:ascii="Arial" w:eastAsia="Arial" w:hAnsi="Arial" w:cs="Arial"/>
          <w:szCs w:val="23"/>
          <w:lang w:val="fr-CA"/>
        </w:rPr>
        <w:t>Sous réserve du paragraphe 3, pendant la période commençant à la date de la signature du présent accord et se terminant à la date d’entrée en vigueur, une Partie n’adopte pas une mesure qui serait incompatible avec le présent accord, et elle ne modifie pas ni ne reconduit une mesure d’une manière qui réduirait la compatibilité de celle-ci avec le présent accord.</w:t>
      </w:r>
    </w:p>
    <w:p w14:paraId="02E07262" w14:textId="77777777" w:rsidR="0057782C" w:rsidRPr="00F52884" w:rsidRDefault="0057782C" w:rsidP="0057782C">
      <w:pPr>
        <w:autoSpaceDE w:val="0"/>
        <w:autoSpaceDN w:val="0"/>
        <w:rPr>
          <w:rFonts w:ascii="Arial" w:eastAsia="Arial" w:hAnsi="Arial" w:cs="Arial"/>
          <w:szCs w:val="23"/>
          <w:lang w:val="fr-CA"/>
        </w:rPr>
      </w:pPr>
    </w:p>
    <w:p w14:paraId="7790C98D" w14:textId="6B5EE3FF" w:rsidR="0057782C" w:rsidRPr="00F52884" w:rsidRDefault="0057782C" w:rsidP="0057782C">
      <w:pPr>
        <w:numPr>
          <w:ilvl w:val="0"/>
          <w:numId w:val="74"/>
        </w:numPr>
        <w:autoSpaceDE w:val="0"/>
        <w:autoSpaceDN w:val="0"/>
        <w:adjustRightInd w:val="0"/>
        <w:ind w:left="0" w:firstLine="0"/>
        <w:contextualSpacing/>
        <w:rPr>
          <w:rFonts w:ascii="Arial" w:eastAsia="Arial" w:hAnsi="Arial" w:cs="Arial"/>
          <w:szCs w:val="23"/>
          <w:lang w:val="fr-CA"/>
        </w:rPr>
      </w:pPr>
      <w:r w:rsidRPr="00F52884">
        <w:rPr>
          <w:rFonts w:ascii="Arial" w:eastAsia="Arial" w:hAnsi="Arial" w:cs="Arial"/>
          <w:szCs w:val="23"/>
          <w:lang w:val="fr-CA"/>
        </w:rPr>
        <w:t>À l’exception des mesures relevant du champ d’application du chapitre Cinq (Marchés publics) ou du chapitre Sept (Mobilité de la main-d’œuvre), les mesures adoptées ou maintenues par les administrations régionales, locales, de district ou autres formes d’administration municipale d’une Partie ne sont pas soumises au chapitre Dix (Règlement des différends) pendant une période de deux ans suivant la date d’entrée en vigueur.</w:t>
      </w:r>
    </w:p>
    <w:p w14:paraId="08913006" w14:textId="77777777" w:rsidR="0057782C" w:rsidRPr="00F52884" w:rsidRDefault="0057782C" w:rsidP="0057782C">
      <w:pPr>
        <w:contextualSpacing/>
        <w:rPr>
          <w:rFonts w:ascii="Arial" w:eastAsia="Arial" w:hAnsi="Arial" w:cs="Arial"/>
          <w:szCs w:val="23"/>
          <w:lang w:val="fr-CA"/>
        </w:rPr>
      </w:pPr>
    </w:p>
    <w:p w14:paraId="44EBFBB8" w14:textId="0D1A61C4" w:rsidR="0057782C" w:rsidRPr="00F52884" w:rsidRDefault="0057782C" w:rsidP="0057782C">
      <w:pPr>
        <w:numPr>
          <w:ilvl w:val="0"/>
          <w:numId w:val="74"/>
        </w:numPr>
        <w:autoSpaceDE w:val="0"/>
        <w:autoSpaceDN w:val="0"/>
        <w:adjustRightInd w:val="0"/>
        <w:ind w:left="0" w:firstLine="0"/>
        <w:contextualSpacing/>
        <w:rPr>
          <w:rFonts w:ascii="Arial" w:eastAsia="Arial" w:hAnsi="Arial" w:cs="Arial"/>
          <w:szCs w:val="23"/>
          <w:lang w:val="fr-CA"/>
        </w:rPr>
      </w:pPr>
      <w:r w:rsidRPr="00F52884">
        <w:rPr>
          <w:rFonts w:ascii="Arial" w:eastAsia="Arial" w:hAnsi="Arial" w:cs="Arial"/>
          <w:szCs w:val="23"/>
          <w:lang w:val="fr-CA"/>
        </w:rPr>
        <w:t>À l’exception des mesures relevant du champ d’application du chapitre Cinq (Marchés publics) ou du chapitre Sept (Mobilité de la main-d’œuvre), le paragraphe 1 continue à s’appliquer aux mesures des administrations régionales, locales, de district ou autres formes d’administration municipale d’une Partie pendant une période de deux ans suivant la date d’entrée en vigueur.</w:t>
      </w:r>
    </w:p>
    <w:p w14:paraId="2C249BC2" w14:textId="77777777" w:rsidR="0057782C" w:rsidRPr="00F52884" w:rsidRDefault="0057782C" w:rsidP="0057782C">
      <w:pPr>
        <w:rPr>
          <w:rFonts w:ascii="Arial" w:eastAsia="Arial" w:hAnsi="Arial" w:cs="Arial"/>
          <w:szCs w:val="23"/>
          <w:lang w:val="fr-CA"/>
        </w:rPr>
      </w:pPr>
    </w:p>
    <w:p w14:paraId="13783A1F" w14:textId="201FEA08" w:rsidR="0057782C" w:rsidRPr="00F52884" w:rsidRDefault="0057782C" w:rsidP="0057782C">
      <w:pPr>
        <w:numPr>
          <w:ilvl w:val="0"/>
          <w:numId w:val="74"/>
        </w:numPr>
        <w:autoSpaceDE w:val="0"/>
        <w:autoSpaceDN w:val="0"/>
        <w:adjustRightInd w:val="0"/>
        <w:ind w:left="0" w:firstLine="0"/>
        <w:contextualSpacing/>
        <w:rPr>
          <w:rFonts w:ascii="Arial" w:eastAsia="Arial" w:hAnsi="Arial" w:cs="Arial"/>
          <w:szCs w:val="23"/>
          <w:lang w:val="fr-CA"/>
        </w:rPr>
      </w:pPr>
      <w:r w:rsidRPr="00F52884">
        <w:rPr>
          <w:rFonts w:ascii="Arial" w:eastAsia="Times New Roman" w:hAnsi="Arial" w:cs="Arial"/>
          <w:szCs w:val="23"/>
          <w:lang w:val="fr-CA"/>
        </w:rPr>
        <w:t>Il est entendu qu’à compter de la date d’entrée en vigueur, le chapitre Cinq (</w:t>
      </w:r>
      <w:r w:rsidRPr="00F52884">
        <w:rPr>
          <w:rFonts w:ascii="Arial" w:eastAsia="Arial" w:hAnsi="Arial" w:cs="Arial"/>
          <w:szCs w:val="23"/>
          <w:lang w:val="fr-CA"/>
        </w:rPr>
        <w:t>Marchés publics) et le chapitre Sept (Mobilité de la main-d’œuvre) s’appliquent aux mesures des administrations régionales, locales, de district ou autres formes d’administration municipale d’une Partie relevant du champ d’application de ces chapitres, et que les mesures relevant du champ d’application de ces chapitres sont aussi soumises au chapitre Dix (Règlement des différends).</w:t>
      </w:r>
    </w:p>
    <w:p w14:paraId="065A662C" w14:textId="77777777" w:rsidR="0057782C" w:rsidRPr="00F52884" w:rsidRDefault="0057782C" w:rsidP="0057782C">
      <w:pPr>
        <w:contextualSpacing/>
        <w:rPr>
          <w:rFonts w:ascii="Arial" w:eastAsia="Arial" w:hAnsi="Arial" w:cs="Arial"/>
          <w:szCs w:val="23"/>
          <w:lang w:val="fr-CA"/>
        </w:rPr>
      </w:pPr>
    </w:p>
    <w:p w14:paraId="550E4E38" w14:textId="36B8F723" w:rsidR="0057782C" w:rsidRPr="00F52884" w:rsidRDefault="0057782C" w:rsidP="0057782C">
      <w:pPr>
        <w:numPr>
          <w:ilvl w:val="0"/>
          <w:numId w:val="74"/>
        </w:numPr>
        <w:autoSpaceDE w:val="0"/>
        <w:autoSpaceDN w:val="0"/>
        <w:adjustRightInd w:val="0"/>
        <w:ind w:left="0" w:firstLine="0"/>
        <w:contextualSpacing/>
        <w:rPr>
          <w:rFonts w:ascii="Arial" w:eastAsia="Arial" w:hAnsi="Arial" w:cs="Arial"/>
          <w:szCs w:val="23"/>
          <w:lang w:val="fr-CA"/>
        </w:rPr>
      </w:pPr>
      <w:r w:rsidRPr="00F52884">
        <w:rPr>
          <w:rFonts w:ascii="Arial" w:eastAsia="Arial" w:hAnsi="Arial" w:cs="Arial"/>
          <w:szCs w:val="23"/>
          <w:lang w:val="fr-CA"/>
        </w:rPr>
        <w:t>La partie A du chapitre Quatre (Notification, conciliation et coopération en matière de réglementation) ne s’applique au Yukon qu’un an après la date d’entrée en vigueur.</w:t>
      </w:r>
    </w:p>
    <w:p w14:paraId="20DBA8F1"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Arial" w:hAnsi="Arial" w:cs="Arial"/>
          <w:b/>
          <w:szCs w:val="23"/>
          <w:lang w:val="fr-CA"/>
        </w:rPr>
      </w:pPr>
      <w:r w:rsidRPr="00F52884">
        <w:rPr>
          <w:rFonts w:ascii="Arial" w:eastAsia="Arial" w:hAnsi="Arial" w:cs="Arial"/>
          <w:b/>
          <w:szCs w:val="23"/>
          <w:lang w:val="fr-CA"/>
        </w:rPr>
        <w:tab/>
      </w:r>
      <w:r w:rsidRPr="00F52884">
        <w:rPr>
          <w:rFonts w:ascii="Arial" w:eastAsia="Arial" w:hAnsi="Arial" w:cs="Arial"/>
          <w:b/>
          <w:szCs w:val="23"/>
          <w:lang w:val="fr-CA"/>
        </w:rPr>
        <w:tab/>
      </w:r>
      <w:r w:rsidRPr="00F52884">
        <w:rPr>
          <w:rFonts w:ascii="Arial" w:eastAsia="Arial" w:hAnsi="Arial" w:cs="Arial"/>
          <w:b/>
          <w:szCs w:val="23"/>
          <w:lang w:val="fr-CA"/>
        </w:rPr>
        <w:tab/>
      </w:r>
      <w:r w:rsidRPr="00F52884">
        <w:rPr>
          <w:rFonts w:ascii="Arial" w:eastAsia="Arial" w:hAnsi="Arial" w:cs="Arial"/>
          <w:b/>
          <w:szCs w:val="23"/>
          <w:lang w:val="fr-CA"/>
        </w:rPr>
        <w:tab/>
      </w:r>
      <w:r w:rsidRPr="00F52884">
        <w:rPr>
          <w:rFonts w:ascii="Arial" w:eastAsia="Arial" w:hAnsi="Arial" w:cs="Arial"/>
          <w:b/>
          <w:szCs w:val="23"/>
          <w:lang w:val="fr-CA"/>
        </w:rPr>
        <w:tab/>
      </w:r>
    </w:p>
    <w:p w14:paraId="25ECDCED" w14:textId="3A6C367E"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jc w:val="center"/>
        <w:rPr>
          <w:rFonts w:ascii="Arial" w:eastAsia="Arial" w:hAnsi="Arial" w:cs="Arial"/>
          <w:b/>
          <w:szCs w:val="23"/>
          <w:lang w:val="fr-CA"/>
        </w:rPr>
      </w:pPr>
      <w:r w:rsidRPr="00F52884">
        <w:rPr>
          <w:rFonts w:ascii="Arial" w:eastAsia="Arial" w:hAnsi="Arial" w:cs="Arial"/>
          <w:b/>
          <w:szCs w:val="23"/>
          <w:lang w:val="fr-CA"/>
        </w:rPr>
        <w:t>Article 121</w:t>
      </w:r>
      <w:r w:rsidR="00C20778">
        <w:rPr>
          <w:rFonts w:ascii="Arial" w:eastAsia="Arial" w:hAnsi="Arial" w:cs="Arial"/>
          <w:b/>
          <w:szCs w:val="23"/>
          <w:lang w:val="fr-CA"/>
        </w:rPr>
        <w:t>2</w:t>
      </w:r>
      <w:r w:rsidRPr="00F52884">
        <w:rPr>
          <w:rFonts w:ascii="Arial" w:eastAsia="Arial" w:hAnsi="Arial" w:cs="Arial"/>
          <w:b/>
          <w:szCs w:val="23"/>
          <w:lang w:val="fr-CA"/>
        </w:rPr>
        <w:t>:</w:t>
      </w:r>
      <w:r w:rsidRPr="00F52884">
        <w:rPr>
          <w:rFonts w:ascii="Arial" w:eastAsia="Arial" w:hAnsi="Arial" w:cs="Arial"/>
          <w:b/>
          <w:szCs w:val="23"/>
          <w:lang w:val="fr-CA"/>
        </w:rPr>
        <w:tab/>
        <w:t>Modifications</w:t>
      </w:r>
    </w:p>
    <w:p w14:paraId="0AE42C7E" w14:textId="77777777" w:rsidR="0057782C" w:rsidRPr="00F52884"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Arial" w:hAnsi="Arial" w:cs="Arial"/>
          <w:b/>
          <w:szCs w:val="23"/>
          <w:lang w:val="fr-CA"/>
        </w:rPr>
      </w:pPr>
    </w:p>
    <w:p w14:paraId="6E8BA0AF" w14:textId="18F252AA" w:rsidR="0057782C" w:rsidRDefault="0057782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Arial" w:hAnsi="Arial" w:cs="Arial"/>
          <w:szCs w:val="23"/>
          <w:lang w:val="fr-CA"/>
        </w:rPr>
      </w:pPr>
      <w:r w:rsidRPr="00F52884">
        <w:rPr>
          <w:rFonts w:ascii="Arial" w:eastAsia="Arial" w:hAnsi="Arial" w:cs="Arial"/>
          <w:szCs w:val="23"/>
          <w:lang w:val="fr-CA"/>
        </w:rPr>
        <w:tab/>
        <w:t>Les Parties peuvent convenir par écrit de modifier le présent accord, et toute modification entrera en vigueur à la date convenue entre les Parties.</w:t>
      </w:r>
    </w:p>
    <w:p w14:paraId="235A14D5" w14:textId="51DDF762" w:rsidR="0027120C" w:rsidRDefault="0027120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Arial" w:hAnsi="Arial" w:cs="Arial"/>
          <w:szCs w:val="23"/>
          <w:lang w:val="fr-CA"/>
        </w:rPr>
      </w:pPr>
    </w:p>
    <w:p w14:paraId="4B6859CB" w14:textId="67D48818" w:rsidR="0027120C" w:rsidRPr="003E0DDA" w:rsidRDefault="0027120C" w:rsidP="003E0DDA">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jc w:val="center"/>
        <w:rPr>
          <w:rFonts w:eastAsia="Arial" w:cstheme="minorHAnsi"/>
          <w:b/>
          <w:szCs w:val="23"/>
          <w:lang w:val="fr-CA"/>
        </w:rPr>
      </w:pPr>
      <w:r w:rsidRPr="003E0DDA">
        <w:rPr>
          <w:rFonts w:eastAsia="Arial" w:cstheme="minorHAnsi"/>
          <w:b/>
          <w:szCs w:val="23"/>
          <w:lang w:val="fr-CA"/>
        </w:rPr>
        <w:t>Article 121</w:t>
      </w:r>
      <w:r w:rsidR="00C20778">
        <w:rPr>
          <w:rFonts w:eastAsia="Arial" w:cstheme="minorHAnsi"/>
          <w:b/>
          <w:szCs w:val="23"/>
          <w:lang w:val="fr-CA"/>
        </w:rPr>
        <w:t>3</w:t>
      </w:r>
      <w:r w:rsidRPr="003E0DDA">
        <w:rPr>
          <w:rFonts w:eastAsia="Arial" w:cstheme="minorHAnsi"/>
          <w:b/>
          <w:szCs w:val="23"/>
          <w:lang w:val="fr-CA"/>
        </w:rPr>
        <w:t> : Modifications des exceptions propres aux Parties</w:t>
      </w:r>
    </w:p>
    <w:p w14:paraId="69075181" w14:textId="58CEB2DB" w:rsidR="0027120C" w:rsidRPr="003E0DDA" w:rsidRDefault="0027120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Arial" w:cstheme="minorHAnsi"/>
          <w:szCs w:val="23"/>
          <w:lang w:val="fr-CA"/>
        </w:rPr>
      </w:pPr>
    </w:p>
    <w:p w14:paraId="42F6386B" w14:textId="77777777" w:rsidR="0027120C" w:rsidRPr="00172781" w:rsidRDefault="0027120C" w:rsidP="003E0DDA">
      <w:pPr>
        <w:rPr>
          <w:rFonts w:cstheme="minorHAnsi"/>
          <w:i/>
          <w:szCs w:val="23"/>
        </w:rPr>
      </w:pPr>
      <w:proofErr w:type="spellStart"/>
      <w:r w:rsidRPr="00172781">
        <w:rPr>
          <w:rFonts w:cstheme="minorHAnsi"/>
          <w:i/>
          <w:szCs w:val="23"/>
        </w:rPr>
        <w:t>Définitions</w:t>
      </w:r>
      <w:proofErr w:type="spellEnd"/>
      <w:r w:rsidRPr="00172781">
        <w:rPr>
          <w:rFonts w:cstheme="minorHAnsi"/>
          <w:i/>
          <w:szCs w:val="23"/>
        </w:rPr>
        <w:t xml:space="preserve"> </w:t>
      </w:r>
      <w:r w:rsidRPr="003E0DDA">
        <w:rPr>
          <w:rFonts w:cstheme="minorHAnsi"/>
          <w:i/>
          <w:szCs w:val="23"/>
          <w:lang w:val="fr-CA" w:eastAsia="en-CA"/>
        </w:rPr>
        <w:t>particulières</w:t>
      </w:r>
      <w:r w:rsidRPr="00172781" w:rsidDel="00684D4A">
        <w:rPr>
          <w:rFonts w:cstheme="minorHAnsi"/>
          <w:i/>
          <w:szCs w:val="23"/>
        </w:rPr>
        <w:t xml:space="preserve"> </w:t>
      </w:r>
    </w:p>
    <w:p w14:paraId="7ADF28E0" w14:textId="77777777" w:rsidR="0027120C" w:rsidRPr="009D0B52" w:rsidRDefault="0027120C" w:rsidP="0027120C">
      <w:pPr>
        <w:ind w:left="720"/>
        <w:rPr>
          <w:rFonts w:cstheme="minorHAnsi"/>
          <w:i/>
          <w:szCs w:val="23"/>
          <w:lang w:eastAsia="en-CA"/>
        </w:rPr>
      </w:pPr>
    </w:p>
    <w:p w14:paraId="5E300891" w14:textId="41AC6D17" w:rsidR="0027120C" w:rsidRPr="003E0DDA" w:rsidRDefault="0027120C" w:rsidP="003E0DDA">
      <w:pPr>
        <w:pStyle w:val="ListParagraph"/>
        <w:numPr>
          <w:ilvl w:val="6"/>
          <w:numId w:val="225"/>
        </w:numPr>
        <w:rPr>
          <w:rFonts w:eastAsia="Times New Roman" w:cstheme="minorHAnsi"/>
          <w:szCs w:val="23"/>
          <w:lang w:val="fr-CA"/>
        </w:rPr>
      </w:pPr>
      <w:r w:rsidRPr="003E0DDA">
        <w:rPr>
          <w:rFonts w:eastAsia="Times New Roman" w:cstheme="minorHAnsi"/>
          <w:szCs w:val="23"/>
          <w:lang w:val="fr-CA"/>
        </w:rPr>
        <w:t>Aux fins du présent article :</w:t>
      </w:r>
    </w:p>
    <w:p w14:paraId="73C591CB" w14:textId="77777777" w:rsidR="0027120C" w:rsidRPr="003E0DDA" w:rsidRDefault="0027120C" w:rsidP="0027120C">
      <w:pPr>
        <w:pStyle w:val="ListParagraph"/>
        <w:rPr>
          <w:rFonts w:cstheme="minorHAnsi"/>
          <w:szCs w:val="23"/>
          <w:lang w:val="fr-CA"/>
        </w:rPr>
      </w:pPr>
    </w:p>
    <w:p w14:paraId="7D7700E5" w14:textId="77777777" w:rsidR="0027120C" w:rsidRPr="003E0DDA" w:rsidRDefault="0027120C" w:rsidP="003E0DDA">
      <w:pPr>
        <w:ind w:left="360"/>
        <w:rPr>
          <w:rFonts w:cstheme="minorHAnsi"/>
          <w:szCs w:val="23"/>
          <w:lang w:val="fr-CA"/>
        </w:rPr>
      </w:pPr>
      <w:r w:rsidRPr="003E0DDA">
        <w:rPr>
          <w:rFonts w:cstheme="minorHAnsi"/>
          <w:b/>
          <w:szCs w:val="23"/>
          <w:lang w:val="fr-CA"/>
        </w:rPr>
        <w:t xml:space="preserve">Partie modificatrice </w:t>
      </w:r>
      <w:r w:rsidRPr="003E0DDA">
        <w:rPr>
          <w:rFonts w:cstheme="minorHAnsi"/>
          <w:szCs w:val="23"/>
          <w:lang w:val="fr-CA"/>
        </w:rPr>
        <w:t xml:space="preserve">Une Partie proposant de retirer dans sa totalité ou de modifier l’une des exceptions qui lui est propre; </w:t>
      </w:r>
    </w:p>
    <w:p w14:paraId="596A3D9D" w14:textId="77777777" w:rsidR="0027120C" w:rsidRPr="003E0DDA" w:rsidRDefault="0027120C" w:rsidP="003E0DDA">
      <w:pPr>
        <w:pStyle w:val="ListParagraph"/>
        <w:ind w:left="1800"/>
        <w:rPr>
          <w:rFonts w:cstheme="minorHAnsi"/>
          <w:szCs w:val="23"/>
          <w:lang w:val="fr-CA"/>
        </w:rPr>
      </w:pPr>
    </w:p>
    <w:p w14:paraId="5BCA8394" w14:textId="77777777" w:rsidR="0027120C" w:rsidRPr="003E0DDA" w:rsidRDefault="0027120C" w:rsidP="003E0DDA">
      <w:pPr>
        <w:ind w:left="360"/>
        <w:rPr>
          <w:rFonts w:cstheme="minorHAnsi"/>
          <w:szCs w:val="23"/>
          <w:lang w:val="fr-CA"/>
        </w:rPr>
      </w:pPr>
      <w:r w:rsidRPr="003E0DDA">
        <w:rPr>
          <w:rFonts w:cstheme="minorHAnsi"/>
          <w:b/>
          <w:szCs w:val="23"/>
          <w:lang w:val="fr-CA"/>
        </w:rPr>
        <w:lastRenderedPageBreak/>
        <w:t xml:space="preserve">Partie qui formule une objection </w:t>
      </w:r>
      <w:r w:rsidRPr="003E0DDA">
        <w:rPr>
          <w:rFonts w:cstheme="minorHAnsi"/>
          <w:szCs w:val="23"/>
          <w:lang w:val="fr-CA"/>
        </w:rPr>
        <w:t>Une Partie qui s’objecte à une modification à une exception propre à une Partie;</w:t>
      </w:r>
    </w:p>
    <w:p w14:paraId="0326B2EA" w14:textId="77777777" w:rsidR="0027120C" w:rsidRPr="003E0DDA" w:rsidRDefault="0027120C" w:rsidP="003E0DDA">
      <w:pPr>
        <w:pStyle w:val="ListParagraph"/>
        <w:ind w:left="1080" w:firstLine="720"/>
        <w:rPr>
          <w:rFonts w:cstheme="minorHAnsi"/>
          <w:b/>
          <w:szCs w:val="23"/>
          <w:lang w:val="fr-CA"/>
        </w:rPr>
      </w:pPr>
    </w:p>
    <w:p w14:paraId="7EAA6EEE" w14:textId="77777777" w:rsidR="0027120C" w:rsidRPr="003E0DDA" w:rsidRDefault="0027120C" w:rsidP="003E0DDA">
      <w:pPr>
        <w:ind w:left="360"/>
        <w:rPr>
          <w:rFonts w:cstheme="minorHAnsi"/>
          <w:szCs w:val="23"/>
          <w:lang w:val="fr-CA"/>
        </w:rPr>
      </w:pPr>
      <w:r w:rsidRPr="003E0DDA">
        <w:rPr>
          <w:rFonts w:cstheme="minorHAnsi"/>
          <w:b/>
          <w:szCs w:val="23"/>
          <w:lang w:val="fr-CA"/>
        </w:rPr>
        <w:t xml:space="preserve">Exception propre à une Partie </w:t>
      </w:r>
      <w:r w:rsidRPr="003E0DDA">
        <w:rPr>
          <w:rFonts w:cstheme="minorHAnsi"/>
          <w:szCs w:val="23"/>
          <w:lang w:val="fr-CA"/>
        </w:rPr>
        <w:t>Une exception contenue dans :</w:t>
      </w:r>
    </w:p>
    <w:p w14:paraId="6B6E9BF1" w14:textId="77777777" w:rsidR="0027120C" w:rsidRPr="003E0DDA" w:rsidRDefault="0027120C" w:rsidP="0027120C">
      <w:pPr>
        <w:pStyle w:val="ListParagraph"/>
        <w:ind w:firstLine="720"/>
        <w:rPr>
          <w:rFonts w:cstheme="minorHAnsi"/>
          <w:szCs w:val="23"/>
          <w:lang w:val="fr-CA"/>
        </w:rPr>
      </w:pPr>
    </w:p>
    <w:p w14:paraId="0D616AA9" w14:textId="77777777" w:rsidR="0027120C" w:rsidRPr="003E0DDA" w:rsidRDefault="0027120C" w:rsidP="003E0DDA">
      <w:pPr>
        <w:pStyle w:val="ListParagraph"/>
        <w:numPr>
          <w:ilvl w:val="0"/>
          <w:numId w:val="436"/>
        </w:numPr>
        <w:ind w:left="1080"/>
        <w:rPr>
          <w:rFonts w:cstheme="minorHAnsi"/>
          <w:szCs w:val="23"/>
          <w:lang w:val="fr-CA"/>
        </w:rPr>
      </w:pPr>
      <w:proofErr w:type="gramStart"/>
      <w:r w:rsidRPr="003E0DDA">
        <w:rPr>
          <w:rFonts w:cstheme="minorHAnsi"/>
          <w:szCs w:val="23"/>
          <w:lang w:val="fr-CA"/>
        </w:rPr>
        <w:t>la</w:t>
      </w:r>
      <w:proofErr w:type="gramEnd"/>
      <w:r w:rsidRPr="003E0DDA">
        <w:rPr>
          <w:rFonts w:cstheme="minorHAnsi"/>
          <w:szCs w:val="23"/>
          <w:lang w:val="fr-CA"/>
        </w:rPr>
        <w:t xml:space="preserve"> liste d’une Partie jointe à la partie VII (Listes des Parties); ou</w:t>
      </w:r>
    </w:p>
    <w:p w14:paraId="6D457D7B" w14:textId="77777777" w:rsidR="0027120C" w:rsidRPr="003E0DDA" w:rsidRDefault="0027120C" w:rsidP="003E0DDA">
      <w:pPr>
        <w:ind w:left="2203" w:hanging="425"/>
        <w:rPr>
          <w:rFonts w:cstheme="minorHAnsi"/>
          <w:szCs w:val="23"/>
          <w:lang w:val="fr-CA"/>
        </w:rPr>
      </w:pPr>
    </w:p>
    <w:p w14:paraId="1DEBB858" w14:textId="77777777" w:rsidR="0027120C" w:rsidRPr="003E0DDA" w:rsidRDefault="0027120C" w:rsidP="003E0DDA">
      <w:pPr>
        <w:pStyle w:val="ListParagraph"/>
        <w:numPr>
          <w:ilvl w:val="0"/>
          <w:numId w:val="436"/>
        </w:numPr>
        <w:ind w:left="1080"/>
        <w:rPr>
          <w:rFonts w:cstheme="minorHAnsi"/>
          <w:szCs w:val="23"/>
          <w:lang w:val="fr-CA"/>
        </w:rPr>
      </w:pPr>
      <w:proofErr w:type="gramStart"/>
      <w:r w:rsidRPr="003E0DDA">
        <w:rPr>
          <w:rFonts w:cstheme="minorHAnsi"/>
          <w:szCs w:val="23"/>
          <w:lang w:val="fr-CA"/>
        </w:rPr>
        <w:t>la</w:t>
      </w:r>
      <w:proofErr w:type="gramEnd"/>
      <w:r w:rsidRPr="003E0DDA">
        <w:rPr>
          <w:rFonts w:cstheme="minorHAnsi"/>
          <w:szCs w:val="23"/>
          <w:lang w:val="fr-CA"/>
        </w:rPr>
        <w:t xml:space="preserve"> liste d’une Partie jointe à l’annexe 519.1 (Exceptions propres aux Parties). </w:t>
      </w:r>
    </w:p>
    <w:p w14:paraId="770BC7BB" w14:textId="77777777" w:rsidR="0027120C" w:rsidRPr="003E0DDA" w:rsidRDefault="0027120C" w:rsidP="0027120C">
      <w:pPr>
        <w:ind w:left="720"/>
        <w:rPr>
          <w:rFonts w:cstheme="minorHAnsi"/>
          <w:szCs w:val="23"/>
          <w:lang w:val="fr-CA" w:eastAsia="en-CA"/>
        </w:rPr>
      </w:pPr>
    </w:p>
    <w:p w14:paraId="19FA40E1" w14:textId="77777777" w:rsidR="0027120C" w:rsidRPr="003E0DDA" w:rsidRDefault="0027120C" w:rsidP="003E0DDA">
      <w:pPr>
        <w:rPr>
          <w:rFonts w:cstheme="minorHAnsi"/>
          <w:i/>
          <w:szCs w:val="23"/>
          <w:lang w:val="fr-CA"/>
        </w:rPr>
      </w:pPr>
      <w:r w:rsidRPr="003E0DDA">
        <w:rPr>
          <w:rFonts w:cstheme="minorHAnsi"/>
          <w:i/>
          <w:szCs w:val="23"/>
          <w:lang w:val="fr-CA"/>
        </w:rPr>
        <w:t>Retrait d’exceptions propres aux Parties</w:t>
      </w:r>
    </w:p>
    <w:p w14:paraId="3097B99A" w14:textId="77777777" w:rsidR="0027120C" w:rsidRPr="003E0DDA" w:rsidRDefault="0027120C" w:rsidP="0027120C">
      <w:pPr>
        <w:ind w:left="720"/>
        <w:rPr>
          <w:rFonts w:cstheme="minorHAnsi"/>
          <w:i/>
          <w:szCs w:val="23"/>
          <w:lang w:val="fr-CA" w:eastAsia="en-CA"/>
        </w:rPr>
      </w:pPr>
    </w:p>
    <w:p w14:paraId="47B815D2" w14:textId="2A8275BC" w:rsidR="0027120C" w:rsidRPr="003E0DDA" w:rsidRDefault="0027120C" w:rsidP="003E0DDA">
      <w:pPr>
        <w:pStyle w:val="ListParagraph"/>
        <w:numPr>
          <w:ilvl w:val="6"/>
          <w:numId w:val="225"/>
        </w:numPr>
        <w:ind w:left="0" w:firstLine="0"/>
        <w:rPr>
          <w:rFonts w:cstheme="minorHAnsi"/>
          <w:szCs w:val="23"/>
          <w:lang w:val="fr-CA"/>
        </w:rPr>
      </w:pPr>
      <w:r w:rsidRPr="003E0DDA">
        <w:rPr>
          <w:rFonts w:cstheme="minorHAnsi"/>
          <w:szCs w:val="23"/>
          <w:lang w:val="fr-CA"/>
        </w:rPr>
        <w:t>Nonobstant l’article 121</w:t>
      </w:r>
      <w:r w:rsidR="00C20778">
        <w:rPr>
          <w:rFonts w:cstheme="minorHAnsi"/>
          <w:szCs w:val="23"/>
          <w:lang w:val="fr-CA"/>
        </w:rPr>
        <w:t>2</w:t>
      </w:r>
      <w:r w:rsidRPr="003E0DDA">
        <w:rPr>
          <w:rFonts w:cstheme="minorHAnsi"/>
          <w:szCs w:val="23"/>
          <w:lang w:val="fr-CA"/>
        </w:rPr>
        <w:t xml:space="preserve">, une Partie modificatrice peut retirer la totalité d’une exception qui lui est propre en remettant aux Parties et au Secrétariat une notification écrite faisant part de son intention de procéder à un tel retrait. </w:t>
      </w:r>
    </w:p>
    <w:p w14:paraId="7C2A0110" w14:textId="77777777" w:rsidR="0027120C" w:rsidRPr="003E0DDA" w:rsidRDefault="0027120C" w:rsidP="009D0B52">
      <w:pPr>
        <w:pStyle w:val="ListParagraph"/>
        <w:ind w:left="0"/>
        <w:rPr>
          <w:rFonts w:cstheme="minorHAnsi"/>
          <w:szCs w:val="23"/>
          <w:lang w:val="fr-CA" w:eastAsia="en-CA"/>
        </w:rPr>
      </w:pPr>
    </w:p>
    <w:p w14:paraId="7277B29A" w14:textId="77777777" w:rsidR="0027120C" w:rsidRPr="003E0DDA" w:rsidRDefault="0027120C" w:rsidP="003E0DDA">
      <w:pPr>
        <w:rPr>
          <w:rFonts w:cstheme="minorHAnsi"/>
          <w:szCs w:val="23"/>
          <w:lang w:val="fr-CA"/>
        </w:rPr>
      </w:pPr>
      <w:r w:rsidRPr="003E0DDA">
        <w:rPr>
          <w:rFonts w:cstheme="minorHAnsi"/>
          <w:szCs w:val="23"/>
          <w:lang w:val="fr-CA"/>
        </w:rPr>
        <w:t>Le retrait de l’exception propre à une Partie prend effet à la date précisée par la Partie modificatrice dans la notification écrite ou, si aucune date n’est précisée dans cette notification écrite, à la réception de cette notification par le Secrétariat.</w:t>
      </w:r>
    </w:p>
    <w:p w14:paraId="750BBE72" w14:textId="77777777" w:rsidR="0027120C" w:rsidRPr="003E0DDA" w:rsidRDefault="0027120C" w:rsidP="009D0B52">
      <w:pPr>
        <w:rPr>
          <w:rFonts w:cstheme="minorHAnsi"/>
          <w:szCs w:val="23"/>
          <w:lang w:val="fr-CA" w:eastAsia="en-CA"/>
        </w:rPr>
      </w:pPr>
    </w:p>
    <w:p w14:paraId="5E960908" w14:textId="5F91FC9A" w:rsidR="0027120C" w:rsidRPr="003E0DDA" w:rsidRDefault="0027120C" w:rsidP="003E0DDA">
      <w:pPr>
        <w:pStyle w:val="Default"/>
        <w:numPr>
          <w:ilvl w:val="0"/>
          <w:numId w:val="225"/>
        </w:numPr>
        <w:ind w:left="0" w:firstLine="0"/>
        <w:rPr>
          <w:rFonts w:asciiTheme="minorHAnsi" w:hAnsiTheme="minorHAnsi" w:cstheme="minorHAnsi"/>
          <w:color w:val="auto"/>
          <w:sz w:val="23"/>
          <w:szCs w:val="23"/>
          <w:lang w:val="fr-CA"/>
        </w:rPr>
      </w:pPr>
      <w:r w:rsidRPr="003E0DDA">
        <w:rPr>
          <w:rFonts w:asciiTheme="minorHAnsi" w:hAnsiTheme="minorHAnsi" w:cstheme="minorHAnsi"/>
          <w:sz w:val="23"/>
          <w:szCs w:val="23"/>
          <w:lang w:val="fr-CA"/>
        </w:rPr>
        <w:t>Dans les cinq jours suivant la date de la prise d’effet du retrait, le Secrétariat modifie l’exception propre à une Partie dans la version de l’Accord publiée sur le site Web de l’Accord et il communique l’avis de modification aux Parties.</w:t>
      </w:r>
    </w:p>
    <w:p w14:paraId="3CE56E38" w14:textId="77777777" w:rsidR="0027120C" w:rsidRPr="003E0DDA" w:rsidRDefault="0027120C" w:rsidP="0027120C">
      <w:pPr>
        <w:pStyle w:val="ListParagraph"/>
        <w:rPr>
          <w:rFonts w:cstheme="minorHAnsi"/>
          <w:szCs w:val="23"/>
          <w:lang w:val="fr-CA"/>
        </w:rPr>
      </w:pPr>
      <w:r w:rsidRPr="003E0DDA">
        <w:rPr>
          <w:rFonts w:cstheme="minorHAnsi"/>
          <w:szCs w:val="23"/>
          <w:lang w:val="fr-CA"/>
        </w:rPr>
        <w:t xml:space="preserve"> </w:t>
      </w:r>
    </w:p>
    <w:p w14:paraId="48C22CEA" w14:textId="77777777" w:rsidR="0027120C" w:rsidRPr="003E0DDA" w:rsidRDefault="0027120C" w:rsidP="003E0DDA">
      <w:pPr>
        <w:rPr>
          <w:rFonts w:cstheme="minorHAnsi"/>
          <w:i/>
          <w:szCs w:val="23"/>
          <w:lang w:val="fr-CA"/>
        </w:rPr>
      </w:pPr>
      <w:bookmarkStart w:id="256" w:name="_Hlk14854662"/>
      <w:r w:rsidRPr="003E0DDA">
        <w:rPr>
          <w:rFonts w:cstheme="minorHAnsi"/>
          <w:i/>
          <w:szCs w:val="23"/>
          <w:lang w:val="fr-CA"/>
        </w:rPr>
        <w:t>Modification aux exceptions propres aux Parties</w:t>
      </w:r>
    </w:p>
    <w:bookmarkEnd w:id="256"/>
    <w:p w14:paraId="5C41ED4A" w14:textId="77777777" w:rsidR="0027120C" w:rsidRPr="003E0DDA" w:rsidRDefault="0027120C" w:rsidP="0027120C">
      <w:pPr>
        <w:pStyle w:val="ListParagraph"/>
        <w:widowControl w:val="0"/>
        <w:tabs>
          <w:tab w:val="left" w:pos="834"/>
        </w:tabs>
        <w:autoSpaceDE w:val="0"/>
        <w:autoSpaceDN w:val="0"/>
        <w:spacing w:before="1"/>
        <w:ind w:right="382"/>
        <w:contextualSpacing w:val="0"/>
        <w:rPr>
          <w:rFonts w:cstheme="minorHAnsi"/>
          <w:szCs w:val="23"/>
          <w:lang w:val="fr-CA"/>
        </w:rPr>
      </w:pPr>
    </w:p>
    <w:p w14:paraId="68391961" w14:textId="03FB8E7F"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Nonobstant l’article 121</w:t>
      </w:r>
      <w:r w:rsidR="00C20778">
        <w:rPr>
          <w:rFonts w:cstheme="minorHAnsi"/>
          <w:szCs w:val="23"/>
          <w:lang w:val="fr-CA"/>
        </w:rPr>
        <w:t>2</w:t>
      </w:r>
      <w:r w:rsidRPr="003E0DDA">
        <w:rPr>
          <w:rFonts w:cstheme="minorHAnsi"/>
          <w:szCs w:val="23"/>
          <w:lang w:val="fr-CA"/>
        </w:rPr>
        <w:t xml:space="preserve">, une Partie modificatrice peut proposer des modifications à une exception qui lui est propre en remettant une notification écrite au Secrétariat.  </w:t>
      </w:r>
    </w:p>
    <w:p w14:paraId="718F94D9" w14:textId="77777777" w:rsidR="0027120C" w:rsidRPr="003E0DDA" w:rsidRDefault="0027120C">
      <w:pPr>
        <w:rPr>
          <w:rFonts w:cstheme="minorHAnsi"/>
          <w:szCs w:val="23"/>
          <w:lang w:val="fr-CA" w:eastAsia="en-CA"/>
        </w:rPr>
      </w:pPr>
    </w:p>
    <w:p w14:paraId="2C4E3747" w14:textId="48699D77" w:rsidR="0027120C" w:rsidRPr="003E0DDA" w:rsidRDefault="0027120C" w:rsidP="003E0DDA">
      <w:pPr>
        <w:pStyle w:val="ListParagraph"/>
        <w:numPr>
          <w:ilvl w:val="0"/>
          <w:numId w:val="225"/>
        </w:numPr>
        <w:ind w:left="0" w:firstLine="0"/>
        <w:rPr>
          <w:rFonts w:cstheme="minorHAnsi"/>
          <w:szCs w:val="23"/>
          <w:lang w:val="fr-CA"/>
        </w:rPr>
      </w:pPr>
      <w:bookmarkStart w:id="257" w:name="_Hlk14854776"/>
      <w:r w:rsidRPr="003E0DDA">
        <w:rPr>
          <w:rFonts w:cstheme="minorHAnsi"/>
          <w:szCs w:val="23"/>
          <w:lang w:val="fr-CA"/>
        </w:rPr>
        <w:t>Une Partie modificatrice ne doit pas utiliser le présent article pour modifier une exception qui lui est propre contenue à la partie VII pour diminuer la conformité de la Partie modificatrice, tel qu’elle existait juste avant la modification, à l’article 201 (Traitement non discriminatoire), à l’article 301 (Droit d'entrée et de sortie), à l’article 307 (Accès aux marchés – Services), à l’article 312 (Accès aux marchés – Investissement), à l’article 313 (Prescriptions de résultats), ou à toute autre obligation identifiée par la Partie modificatrice dans la Partie VII.</w:t>
      </w:r>
    </w:p>
    <w:bookmarkEnd w:id="257"/>
    <w:p w14:paraId="4FAB6EBE" w14:textId="77777777" w:rsidR="0027120C" w:rsidRPr="003E0DDA" w:rsidRDefault="0027120C" w:rsidP="0027120C">
      <w:pPr>
        <w:pStyle w:val="ListParagraph"/>
        <w:ind w:left="360"/>
        <w:rPr>
          <w:rFonts w:cstheme="minorHAnsi"/>
          <w:szCs w:val="23"/>
          <w:lang w:val="fr-CA"/>
        </w:rPr>
      </w:pPr>
    </w:p>
    <w:p w14:paraId="7EC44197" w14:textId="454E996B"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 xml:space="preserve">La notification donnée conformément </w:t>
      </w:r>
      <w:r w:rsidRPr="003E0DDA">
        <w:rPr>
          <w:rFonts w:cstheme="minorHAnsi"/>
          <w:szCs w:val="23"/>
          <w:lang w:val="fr-CA" w:eastAsia="en-CA"/>
        </w:rPr>
        <w:t xml:space="preserve">au paragraphe </w:t>
      </w:r>
      <w:r w:rsidRPr="003E0DDA">
        <w:rPr>
          <w:rFonts w:cstheme="minorHAnsi"/>
          <w:szCs w:val="23"/>
          <w:lang w:val="fr-CA"/>
        </w:rPr>
        <w:t xml:space="preserve">4 doit inclure, en français et en anglais : </w:t>
      </w:r>
    </w:p>
    <w:p w14:paraId="4A154480" w14:textId="77777777" w:rsidR="0027120C" w:rsidRPr="003E0DDA" w:rsidRDefault="0027120C" w:rsidP="0027120C">
      <w:pPr>
        <w:pStyle w:val="ListParagraph"/>
        <w:rPr>
          <w:rFonts w:cstheme="minorHAnsi"/>
          <w:szCs w:val="23"/>
          <w:lang w:val="fr-CA" w:eastAsia="en-CA"/>
        </w:rPr>
      </w:pPr>
    </w:p>
    <w:p w14:paraId="2CF1CC13" w14:textId="1CB3CDC4" w:rsidR="0027120C" w:rsidRPr="003E0DDA" w:rsidRDefault="0027120C" w:rsidP="003E0DDA">
      <w:pPr>
        <w:pStyle w:val="ListParagraph"/>
        <w:numPr>
          <w:ilvl w:val="1"/>
          <w:numId w:val="225"/>
        </w:numPr>
        <w:rPr>
          <w:rFonts w:cstheme="minorHAnsi"/>
          <w:szCs w:val="23"/>
          <w:lang w:val="fr-CA"/>
        </w:rPr>
      </w:pPr>
      <w:proofErr w:type="gramStart"/>
      <w:r w:rsidRPr="003E0DDA">
        <w:rPr>
          <w:rFonts w:cstheme="minorHAnsi"/>
          <w:szCs w:val="23"/>
          <w:lang w:val="fr-CA"/>
        </w:rPr>
        <w:t>un</w:t>
      </w:r>
      <w:proofErr w:type="gramEnd"/>
      <w:r w:rsidRPr="003E0DDA">
        <w:rPr>
          <w:rFonts w:cstheme="minorHAnsi"/>
          <w:szCs w:val="23"/>
          <w:lang w:val="fr-CA"/>
        </w:rPr>
        <w:t xml:space="preserve"> libellé technique de la modification projetée;</w:t>
      </w:r>
    </w:p>
    <w:p w14:paraId="532ECC1E" w14:textId="77777777" w:rsidR="0027120C" w:rsidRPr="003E0DDA" w:rsidRDefault="0027120C" w:rsidP="0027120C">
      <w:pPr>
        <w:pStyle w:val="ListParagraph"/>
        <w:ind w:left="1134"/>
        <w:rPr>
          <w:rFonts w:cstheme="minorHAnsi"/>
          <w:szCs w:val="23"/>
          <w:lang w:val="fr-CA"/>
        </w:rPr>
      </w:pPr>
      <w:r w:rsidRPr="003E0DDA">
        <w:rPr>
          <w:rFonts w:cstheme="minorHAnsi"/>
          <w:szCs w:val="23"/>
          <w:lang w:val="fr-CA"/>
        </w:rPr>
        <w:t xml:space="preserve"> </w:t>
      </w:r>
    </w:p>
    <w:p w14:paraId="45598539" w14:textId="4C10F744" w:rsidR="0027120C" w:rsidRPr="003E0DDA" w:rsidRDefault="0027120C" w:rsidP="003E0DDA">
      <w:pPr>
        <w:pStyle w:val="ListParagraph"/>
        <w:numPr>
          <w:ilvl w:val="1"/>
          <w:numId w:val="225"/>
        </w:numPr>
        <w:rPr>
          <w:rFonts w:cstheme="minorHAnsi"/>
          <w:szCs w:val="23"/>
          <w:lang w:val="fr-CA"/>
        </w:rPr>
      </w:pPr>
      <w:proofErr w:type="gramStart"/>
      <w:r w:rsidRPr="003E0DDA">
        <w:rPr>
          <w:rFonts w:cstheme="minorHAnsi"/>
          <w:szCs w:val="23"/>
          <w:lang w:val="fr-CA"/>
        </w:rPr>
        <w:t>un</w:t>
      </w:r>
      <w:proofErr w:type="gramEnd"/>
      <w:r w:rsidRPr="003E0DDA">
        <w:rPr>
          <w:rFonts w:cstheme="minorHAnsi"/>
          <w:szCs w:val="23"/>
          <w:lang w:val="fr-CA"/>
        </w:rPr>
        <w:t xml:space="preserve"> énoncé décrivant les conséquences probables de la modification projetée sur l’Accord; </w:t>
      </w:r>
    </w:p>
    <w:p w14:paraId="1658ABE2" w14:textId="77777777" w:rsidR="0027120C" w:rsidRPr="003E0DDA" w:rsidRDefault="0027120C" w:rsidP="0027120C">
      <w:pPr>
        <w:pStyle w:val="ListParagraph"/>
        <w:ind w:left="1134"/>
        <w:rPr>
          <w:rFonts w:cstheme="minorHAnsi"/>
          <w:szCs w:val="23"/>
          <w:lang w:val="fr-CA"/>
        </w:rPr>
      </w:pPr>
    </w:p>
    <w:p w14:paraId="62C6BE36" w14:textId="1C59FED6" w:rsidR="0027120C" w:rsidRPr="003E0DDA" w:rsidRDefault="0027120C" w:rsidP="003E0DDA">
      <w:pPr>
        <w:pStyle w:val="ListParagraph"/>
        <w:numPr>
          <w:ilvl w:val="1"/>
          <w:numId w:val="225"/>
        </w:numPr>
        <w:rPr>
          <w:rFonts w:cstheme="minorHAnsi"/>
          <w:szCs w:val="23"/>
          <w:lang w:val="fr-CA"/>
        </w:rPr>
      </w:pPr>
      <w:proofErr w:type="gramStart"/>
      <w:r w:rsidRPr="003E0DDA">
        <w:rPr>
          <w:rFonts w:cstheme="minorHAnsi"/>
          <w:szCs w:val="23"/>
          <w:lang w:val="fr-CA"/>
        </w:rPr>
        <w:t>sous</w:t>
      </w:r>
      <w:proofErr w:type="gramEnd"/>
      <w:r w:rsidRPr="003E0DDA">
        <w:rPr>
          <w:rFonts w:cstheme="minorHAnsi"/>
          <w:szCs w:val="23"/>
          <w:lang w:val="fr-CA"/>
        </w:rPr>
        <w:t xml:space="preserve"> réserve du paragraphe 17, la date de la prise d’effet de la modification projetée.</w:t>
      </w:r>
    </w:p>
    <w:p w14:paraId="7D7C17E6" w14:textId="77777777" w:rsidR="0027120C" w:rsidRPr="003E0DDA" w:rsidRDefault="0027120C" w:rsidP="0027120C">
      <w:pPr>
        <w:pStyle w:val="ListParagraph"/>
        <w:rPr>
          <w:rFonts w:cstheme="minorHAnsi"/>
          <w:szCs w:val="23"/>
          <w:lang w:val="fr-CA" w:eastAsia="en-CA"/>
        </w:rPr>
      </w:pPr>
    </w:p>
    <w:p w14:paraId="1CADBD2E" w14:textId="54E24C3F" w:rsidR="0027120C" w:rsidRPr="003E0DDA" w:rsidRDefault="0027120C" w:rsidP="003E0DDA">
      <w:pPr>
        <w:pStyle w:val="ListParagraph"/>
        <w:numPr>
          <w:ilvl w:val="0"/>
          <w:numId w:val="225"/>
        </w:numPr>
        <w:rPr>
          <w:rFonts w:cstheme="minorHAnsi"/>
          <w:szCs w:val="23"/>
          <w:lang w:val="fr-CA"/>
        </w:rPr>
      </w:pPr>
      <w:r w:rsidRPr="003E0DDA">
        <w:rPr>
          <w:rFonts w:cstheme="minorHAnsi"/>
          <w:szCs w:val="23"/>
          <w:lang w:val="fr-CA"/>
        </w:rPr>
        <w:t>Le Secrétariat communique la notification écrite aux Parties dans les cinq jours suivant sa réception.</w:t>
      </w:r>
    </w:p>
    <w:p w14:paraId="503F5378" w14:textId="77777777" w:rsidR="0027120C" w:rsidRPr="003E0DDA" w:rsidRDefault="0027120C" w:rsidP="0027120C">
      <w:pPr>
        <w:pStyle w:val="ListParagraph"/>
        <w:rPr>
          <w:rFonts w:cstheme="minorHAnsi"/>
          <w:szCs w:val="23"/>
          <w:lang w:val="fr-CA" w:eastAsia="en-CA"/>
        </w:rPr>
      </w:pPr>
    </w:p>
    <w:p w14:paraId="2872008E" w14:textId="77777777" w:rsidR="0027120C" w:rsidRPr="003E0DDA" w:rsidRDefault="0027120C" w:rsidP="003E0DDA">
      <w:pPr>
        <w:rPr>
          <w:rFonts w:cstheme="minorHAnsi"/>
          <w:i/>
          <w:szCs w:val="23"/>
          <w:lang w:val="fr-CA"/>
        </w:rPr>
      </w:pPr>
      <w:r w:rsidRPr="003E0DDA">
        <w:rPr>
          <w:rFonts w:cstheme="minorHAnsi"/>
          <w:i/>
          <w:szCs w:val="23"/>
          <w:lang w:val="fr-CA"/>
        </w:rPr>
        <w:t>Objection à une modification</w:t>
      </w:r>
    </w:p>
    <w:p w14:paraId="388C18E2" w14:textId="77777777" w:rsidR="0027120C" w:rsidRPr="003E0DDA" w:rsidRDefault="0027120C" w:rsidP="0027120C">
      <w:pPr>
        <w:ind w:left="720"/>
        <w:rPr>
          <w:rFonts w:cstheme="minorHAnsi"/>
          <w:i/>
          <w:szCs w:val="23"/>
          <w:lang w:val="fr-CA" w:eastAsia="en-CA"/>
        </w:rPr>
      </w:pPr>
    </w:p>
    <w:p w14:paraId="71A37303" w14:textId="755B71D4" w:rsidR="0027120C" w:rsidRPr="003E0DDA" w:rsidRDefault="0027120C" w:rsidP="003E0DDA">
      <w:pPr>
        <w:pStyle w:val="CommentText"/>
        <w:widowControl w:val="0"/>
        <w:numPr>
          <w:ilvl w:val="0"/>
          <w:numId w:val="225"/>
        </w:numPr>
        <w:autoSpaceDE w:val="0"/>
        <w:autoSpaceDN w:val="0"/>
        <w:adjustRightInd w:val="0"/>
        <w:ind w:left="0" w:firstLine="0"/>
        <w:rPr>
          <w:rFonts w:cstheme="minorHAnsi"/>
          <w:sz w:val="23"/>
          <w:szCs w:val="23"/>
          <w:lang w:val="fr-CA"/>
        </w:rPr>
      </w:pPr>
      <w:r w:rsidRPr="003E0DDA">
        <w:rPr>
          <w:rFonts w:cstheme="minorHAnsi"/>
          <w:sz w:val="23"/>
          <w:szCs w:val="23"/>
          <w:lang w:val="fr-CA"/>
        </w:rPr>
        <w:t>Dans le cas d’une exception propre à une Partie contenue dans la partie VII, si une Partie qui formule une objection estime qu’une modification projetée est incompatible avec le paragraphe 5, elle peut notifier au Secrétariat son objection concernant la modification projetée.</w:t>
      </w:r>
    </w:p>
    <w:p w14:paraId="26801CEC" w14:textId="77777777" w:rsidR="0027120C" w:rsidRPr="003E0DDA" w:rsidRDefault="0027120C" w:rsidP="009D0B52">
      <w:pPr>
        <w:pStyle w:val="CommentText"/>
        <w:rPr>
          <w:rFonts w:cstheme="minorHAnsi"/>
          <w:sz w:val="23"/>
          <w:szCs w:val="23"/>
          <w:lang w:val="fr-CA" w:eastAsia="en-CA"/>
        </w:rPr>
      </w:pPr>
    </w:p>
    <w:p w14:paraId="1BE253B1" w14:textId="26BE9136" w:rsidR="0027120C" w:rsidRPr="003E0DDA" w:rsidRDefault="0027120C" w:rsidP="003E0DDA">
      <w:pPr>
        <w:pStyle w:val="CommentText"/>
        <w:widowControl w:val="0"/>
        <w:numPr>
          <w:ilvl w:val="0"/>
          <w:numId w:val="225"/>
        </w:numPr>
        <w:autoSpaceDE w:val="0"/>
        <w:autoSpaceDN w:val="0"/>
        <w:adjustRightInd w:val="0"/>
        <w:ind w:left="0" w:firstLine="0"/>
        <w:rPr>
          <w:rFonts w:cstheme="minorHAnsi"/>
          <w:sz w:val="23"/>
          <w:szCs w:val="23"/>
          <w:lang w:val="fr-CA"/>
        </w:rPr>
      </w:pPr>
      <w:r w:rsidRPr="003E0DDA">
        <w:rPr>
          <w:rFonts w:cstheme="minorHAnsi"/>
          <w:sz w:val="23"/>
          <w:szCs w:val="23"/>
          <w:lang w:val="fr-CA"/>
        </w:rPr>
        <w:t xml:space="preserve">Si une Partie qui formule une objection estime qu’une modification projetée réduit le champ d’application défini dans la liste jointe à l’annexe 519.1 de la Partie modificatrice, elle peut notifier au Secrétariat son objection à la modification projetée. </w:t>
      </w:r>
    </w:p>
    <w:p w14:paraId="54B16B7E" w14:textId="77777777" w:rsidR="0027120C" w:rsidRPr="003E0DDA" w:rsidRDefault="0027120C" w:rsidP="009D0B52">
      <w:pPr>
        <w:pStyle w:val="ListParagraph"/>
        <w:ind w:left="0"/>
        <w:rPr>
          <w:rFonts w:cstheme="minorHAnsi"/>
          <w:szCs w:val="23"/>
          <w:lang w:val="fr-CA" w:eastAsia="en-CA"/>
        </w:rPr>
      </w:pPr>
    </w:p>
    <w:p w14:paraId="35759179" w14:textId="51BD9B6A" w:rsidR="0027120C" w:rsidRPr="003E0DDA" w:rsidRDefault="0027120C" w:rsidP="003E0DDA">
      <w:pPr>
        <w:pStyle w:val="CommentText"/>
        <w:widowControl w:val="0"/>
        <w:numPr>
          <w:ilvl w:val="0"/>
          <w:numId w:val="225"/>
        </w:numPr>
        <w:autoSpaceDE w:val="0"/>
        <w:autoSpaceDN w:val="0"/>
        <w:adjustRightInd w:val="0"/>
        <w:ind w:left="0" w:firstLine="0"/>
        <w:rPr>
          <w:rFonts w:cstheme="minorHAnsi"/>
          <w:sz w:val="23"/>
          <w:szCs w:val="23"/>
          <w:lang w:val="fr-CA"/>
        </w:rPr>
      </w:pPr>
      <w:r w:rsidRPr="003E0DDA">
        <w:rPr>
          <w:rFonts w:cstheme="minorHAnsi"/>
          <w:sz w:val="23"/>
          <w:szCs w:val="23"/>
          <w:lang w:val="fr-CA"/>
        </w:rPr>
        <w:t>Une objection formulée conformément aux paragraphes 8 ou 9 doit être faite par écrit par la Partie qui formule une objection et elle doit définir les raisons pour lesquelles la modification projetée est incompatible avec le paragraphe 5 ou diminue le champ d’application auquel le paragraphe 9 réfère. L’objection doit être formulée dans les 45 jours suivant la date de la réception de la notification du Secrétariat conformément au paragraphe 7.</w:t>
      </w:r>
    </w:p>
    <w:p w14:paraId="7A5A9A7B" w14:textId="77777777" w:rsidR="0027120C" w:rsidRPr="003E0DDA" w:rsidRDefault="0027120C" w:rsidP="009D0B52">
      <w:pPr>
        <w:pStyle w:val="ListParagraph"/>
        <w:ind w:left="0"/>
        <w:rPr>
          <w:rFonts w:cstheme="minorHAnsi"/>
          <w:szCs w:val="23"/>
          <w:lang w:val="fr-CA"/>
        </w:rPr>
      </w:pPr>
      <w:r w:rsidRPr="003E0DDA">
        <w:rPr>
          <w:rFonts w:cstheme="minorHAnsi"/>
          <w:szCs w:val="23"/>
          <w:lang w:val="fr-CA"/>
        </w:rPr>
        <w:t xml:space="preserve"> </w:t>
      </w:r>
    </w:p>
    <w:p w14:paraId="00E5647D" w14:textId="74073C9D" w:rsidR="0027120C" w:rsidRPr="003E0DDA" w:rsidRDefault="0027120C" w:rsidP="003E0DDA">
      <w:pPr>
        <w:pStyle w:val="ListParagraph"/>
        <w:numPr>
          <w:ilvl w:val="0"/>
          <w:numId w:val="225"/>
        </w:numPr>
        <w:autoSpaceDE w:val="0"/>
        <w:autoSpaceDN w:val="0"/>
        <w:adjustRightInd w:val="0"/>
        <w:ind w:left="0" w:firstLine="0"/>
        <w:rPr>
          <w:rFonts w:eastAsia="Arial" w:cstheme="minorHAnsi"/>
          <w:szCs w:val="23"/>
          <w:lang w:val="fr-CA"/>
        </w:rPr>
      </w:pPr>
      <w:r w:rsidRPr="003E0DDA">
        <w:rPr>
          <w:rFonts w:eastAsia="Arial" w:cstheme="minorHAnsi"/>
          <w:szCs w:val="23"/>
          <w:lang w:val="fr-CA"/>
        </w:rPr>
        <w:t xml:space="preserve">Une Partie qui formule une objection peut retirer son objection en tout temps en remettant au Secrétariat une notification écrite.  </w:t>
      </w:r>
    </w:p>
    <w:p w14:paraId="7B4CB000" w14:textId="77777777" w:rsidR="0027120C" w:rsidRPr="003E0DDA" w:rsidRDefault="0027120C" w:rsidP="003E0DDA">
      <w:pPr>
        <w:pStyle w:val="ListParagraph"/>
        <w:ind w:left="0"/>
        <w:rPr>
          <w:rFonts w:cstheme="minorHAnsi"/>
          <w:szCs w:val="23"/>
          <w:lang w:val="fr-CA" w:eastAsia="en-CA"/>
        </w:rPr>
      </w:pPr>
    </w:p>
    <w:p w14:paraId="4808F0BA" w14:textId="7FD3DFDE"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Le Secrétariat doit communiquer l’objection ou le retrait de l’objection aux Parties dans les cinq jours suivant sa réception.</w:t>
      </w:r>
    </w:p>
    <w:p w14:paraId="1A07F733" w14:textId="77777777" w:rsidR="0027120C" w:rsidRPr="003E0DDA" w:rsidRDefault="0027120C">
      <w:pPr>
        <w:rPr>
          <w:rFonts w:cstheme="minorHAnsi"/>
          <w:szCs w:val="23"/>
          <w:lang w:val="fr-CA"/>
        </w:rPr>
      </w:pPr>
    </w:p>
    <w:p w14:paraId="3EA31B05" w14:textId="77777777" w:rsidR="0027120C" w:rsidRPr="003E0DDA" w:rsidRDefault="0027120C" w:rsidP="003E0DDA">
      <w:pPr>
        <w:rPr>
          <w:rFonts w:cstheme="minorHAnsi"/>
          <w:i/>
          <w:szCs w:val="23"/>
          <w:lang w:val="fr-CA"/>
        </w:rPr>
      </w:pPr>
      <w:r w:rsidRPr="003E0DDA">
        <w:rPr>
          <w:rFonts w:cstheme="minorHAnsi"/>
          <w:i/>
          <w:szCs w:val="23"/>
          <w:lang w:val="fr-CA"/>
        </w:rPr>
        <w:t xml:space="preserve">Consultations </w:t>
      </w:r>
    </w:p>
    <w:p w14:paraId="12507133" w14:textId="77777777" w:rsidR="0027120C" w:rsidRPr="003E0DDA" w:rsidRDefault="0027120C" w:rsidP="003E0DDA">
      <w:pPr>
        <w:rPr>
          <w:rFonts w:cstheme="minorHAnsi"/>
          <w:i/>
          <w:szCs w:val="23"/>
          <w:lang w:val="fr-CA" w:eastAsia="en-CA"/>
        </w:rPr>
      </w:pPr>
    </w:p>
    <w:p w14:paraId="331377F6" w14:textId="19C66D56"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 xml:space="preserve">Concernant une exception propre à une Partie contenue dans la Partie VII, la Partie modificatrice et une Partie qui formule une objection ne ménagent aucun effort pour régler la question par voie de consultations, dans les 30 jours suivant la date à laquelle l’objection leur a été communiquée par le Secrétariat. </w:t>
      </w:r>
    </w:p>
    <w:p w14:paraId="0CEDE852" w14:textId="77777777" w:rsidR="0027120C" w:rsidRPr="003E0DDA" w:rsidRDefault="0027120C" w:rsidP="003E0DDA">
      <w:pPr>
        <w:pStyle w:val="ListParagraph"/>
        <w:ind w:left="0"/>
        <w:rPr>
          <w:rFonts w:cstheme="minorHAnsi"/>
          <w:szCs w:val="23"/>
          <w:lang w:val="fr-CA"/>
        </w:rPr>
      </w:pPr>
    </w:p>
    <w:p w14:paraId="1DF63E00" w14:textId="09015371"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 xml:space="preserve">Concernant une exception propre à une Partie contenue dans l’annexe 519.1, la Partie modificatrice et une Partie qui formule une objection ne ménagent aucun effort pour régler la question par voie de consultations, dans les 30 jours suivant la date à laquelle l’objection leur a été communiquée par le Secrétariat, et ce, en cherchant à préserver l’équilibre des droits et des obligations et à maintenir le champ d’application mutuellement convenu au Chapitre 5 (Marchés publics) du présent Accord à un niveau comparable.  </w:t>
      </w:r>
    </w:p>
    <w:p w14:paraId="0AB53FEC" w14:textId="77777777" w:rsidR="0027120C" w:rsidRPr="003E0DDA" w:rsidRDefault="0027120C" w:rsidP="0027120C">
      <w:pPr>
        <w:pStyle w:val="ListParagraph"/>
        <w:rPr>
          <w:rFonts w:cstheme="minorHAnsi"/>
          <w:szCs w:val="23"/>
          <w:lang w:val="fr-CA"/>
        </w:rPr>
      </w:pPr>
    </w:p>
    <w:p w14:paraId="666203DE" w14:textId="77777777" w:rsidR="0027120C" w:rsidRPr="003E0DDA" w:rsidRDefault="0027120C" w:rsidP="003E0DDA">
      <w:pPr>
        <w:pStyle w:val="Default"/>
        <w:rPr>
          <w:rFonts w:asciiTheme="minorHAnsi" w:hAnsiTheme="minorHAnsi" w:cstheme="minorHAnsi"/>
          <w:sz w:val="23"/>
          <w:szCs w:val="23"/>
          <w:lang w:val="fr-CA"/>
        </w:rPr>
      </w:pPr>
      <w:r w:rsidRPr="003E0DDA">
        <w:rPr>
          <w:rFonts w:asciiTheme="minorHAnsi" w:hAnsiTheme="minorHAnsi" w:cstheme="minorHAnsi"/>
          <w:i/>
          <w:sz w:val="23"/>
          <w:szCs w:val="23"/>
          <w:lang w:val="fr-CA"/>
        </w:rPr>
        <w:t>Modification</w:t>
      </w:r>
      <w:r w:rsidRPr="003E0DDA">
        <w:rPr>
          <w:rFonts w:asciiTheme="minorHAnsi" w:hAnsiTheme="minorHAnsi" w:cstheme="minorHAnsi"/>
          <w:i/>
          <w:iCs/>
          <w:sz w:val="23"/>
          <w:szCs w:val="23"/>
          <w:lang w:val="fr-CA"/>
        </w:rPr>
        <w:t xml:space="preserve"> révisée </w:t>
      </w:r>
    </w:p>
    <w:p w14:paraId="593B5242" w14:textId="77777777" w:rsidR="0027120C" w:rsidRPr="003E0DDA" w:rsidRDefault="0027120C" w:rsidP="0027120C">
      <w:pPr>
        <w:pStyle w:val="Default"/>
        <w:ind w:left="720"/>
        <w:rPr>
          <w:rFonts w:asciiTheme="minorHAnsi" w:hAnsiTheme="minorHAnsi" w:cstheme="minorHAnsi"/>
          <w:sz w:val="23"/>
          <w:szCs w:val="23"/>
          <w:lang w:val="fr-CA"/>
        </w:rPr>
      </w:pPr>
    </w:p>
    <w:p w14:paraId="53CF9C6C" w14:textId="6161C5C6"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 xml:space="preserve">La Partie modificatrice notifie au Secrétariat toute révision apportée à la modification projetée à l’issue des consultations. </w:t>
      </w:r>
    </w:p>
    <w:p w14:paraId="5EB0AB08" w14:textId="77777777" w:rsidR="0027120C" w:rsidRPr="003E0DDA" w:rsidRDefault="0027120C" w:rsidP="003E0DDA">
      <w:pPr>
        <w:pStyle w:val="ListParagraph"/>
        <w:ind w:left="0"/>
        <w:rPr>
          <w:rFonts w:cstheme="minorHAnsi"/>
          <w:szCs w:val="23"/>
          <w:lang w:val="fr-CA"/>
        </w:rPr>
      </w:pPr>
    </w:p>
    <w:p w14:paraId="3A9E3CE8" w14:textId="421701E1" w:rsidR="0027120C" w:rsidRPr="003E0DDA" w:rsidRDefault="0027120C" w:rsidP="003E0DDA">
      <w:pPr>
        <w:pStyle w:val="ListParagraph"/>
        <w:numPr>
          <w:ilvl w:val="0"/>
          <w:numId w:val="225"/>
        </w:numPr>
        <w:ind w:left="0" w:firstLine="0"/>
        <w:rPr>
          <w:rFonts w:cstheme="minorHAnsi"/>
          <w:szCs w:val="23"/>
          <w:lang w:val="fr-CA"/>
        </w:rPr>
      </w:pPr>
      <w:r w:rsidRPr="003E0DDA">
        <w:rPr>
          <w:rFonts w:cstheme="minorHAnsi"/>
          <w:szCs w:val="23"/>
          <w:lang w:val="fr-CA"/>
        </w:rPr>
        <w:t>Le Secrétariat communique la modification projetée révisée aux Parties. Les paragraphes </w:t>
      </w:r>
      <w:r w:rsidRPr="003E0DDA" w:rsidDel="000D0C67">
        <w:rPr>
          <w:rFonts w:cstheme="minorHAnsi"/>
          <w:szCs w:val="23"/>
          <w:lang w:val="fr-CA"/>
        </w:rPr>
        <w:t>4</w:t>
      </w:r>
      <w:r w:rsidRPr="003E0DDA">
        <w:rPr>
          <w:rFonts w:cstheme="minorHAnsi"/>
          <w:szCs w:val="23"/>
          <w:lang w:val="fr-CA"/>
        </w:rPr>
        <w:t xml:space="preserve"> à 14 s’appliquent à la modification projetée révisée, avec les adaptations nécessaires. </w:t>
      </w:r>
    </w:p>
    <w:p w14:paraId="63935271" w14:textId="77777777" w:rsidR="0027120C" w:rsidRPr="003E0DDA" w:rsidRDefault="0027120C" w:rsidP="0027120C">
      <w:pPr>
        <w:rPr>
          <w:rFonts w:cstheme="minorHAnsi"/>
          <w:szCs w:val="23"/>
          <w:lang w:val="fr-CA"/>
        </w:rPr>
      </w:pPr>
    </w:p>
    <w:p w14:paraId="25CEA1CD" w14:textId="0F58255C" w:rsidR="0027120C" w:rsidRPr="003E0DDA" w:rsidRDefault="0027120C" w:rsidP="0027120C">
      <w:pPr>
        <w:rPr>
          <w:rFonts w:cstheme="minorHAnsi"/>
          <w:i/>
          <w:iCs/>
          <w:szCs w:val="23"/>
          <w:lang w:val="fr-CA"/>
        </w:rPr>
      </w:pPr>
      <w:r w:rsidRPr="003E0DDA">
        <w:rPr>
          <w:rFonts w:cstheme="minorHAnsi"/>
          <w:i/>
          <w:szCs w:val="23"/>
          <w:lang w:val="fr-CA"/>
        </w:rPr>
        <w:t>Prise d’effet de la modification</w:t>
      </w:r>
      <w:r w:rsidRPr="003E0DDA">
        <w:rPr>
          <w:rFonts w:cstheme="minorHAnsi"/>
          <w:i/>
          <w:iCs/>
          <w:szCs w:val="23"/>
          <w:lang w:val="fr-CA"/>
        </w:rPr>
        <w:t xml:space="preserve"> </w:t>
      </w:r>
    </w:p>
    <w:p w14:paraId="03220CC5" w14:textId="77777777" w:rsidR="0027120C" w:rsidRPr="003E0DDA" w:rsidRDefault="0027120C" w:rsidP="0027120C">
      <w:pPr>
        <w:pStyle w:val="Default"/>
        <w:ind w:left="720"/>
        <w:rPr>
          <w:rFonts w:asciiTheme="minorHAnsi" w:hAnsiTheme="minorHAnsi" w:cstheme="minorHAnsi"/>
          <w:i/>
          <w:iCs/>
          <w:sz w:val="23"/>
          <w:szCs w:val="23"/>
          <w:lang w:val="fr-CA"/>
        </w:rPr>
      </w:pPr>
    </w:p>
    <w:p w14:paraId="4C508622" w14:textId="2210AE2E" w:rsidR="0027120C" w:rsidRPr="003E0DDA" w:rsidRDefault="0027120C" w:rsidP="003E0DDA">
      <w:pPr>
        <w:pStyle w:val="Default"/>
        <w:numPr>
          <w:ilvl w:val="0"/>
          <w:numId w:val="225"/>
        </w:numPr>
        <w:ind w:left="0" w:firstLine="0"/>
        <w:rPr>
          <w:rFonts w:asciiTheme="minorHAnsi" w:hAnsiTheme="minorHAnsi" w:cstheme="minorHAnsi"/>
          <w:color w:val="auto"/>
          <w:sz w:val="23"/>
          <w:szCs w:val="23"/>
          <w:lang w:val="fr-CA"/>
        </w:rPr>
      </w:pPr>
      <w:r w:rsidRPr="003E0DDA">
        <w:rPr>
          <w:rFonts w:asciiTheme="minorHAnsi" w:hAnsiTheme="minorHAnsi" w:cstheme="minorHAnsi"/>
          <w:color w:val="auto"/>
          <w:sz w:val="23"/>
          <w:szCs w:val="23"/>
          <w:lang w:val="fr-CA"/>
        </w:rPr>
        <w:t xml:space="preserve">Une modification projetée ou une modification projetée révisée ne prend effet que dans l’un ou l’autre des cas suivants : </w:t>
      </w:r>
    </w:p>
    <w:p w14:paraId="48369268" w14:textId="77777777" w:rsidR="0027120C" w:rsidRPr="003E0DDA" w:rsidRDefault="0027120C" w:rsidP="0027120C">
      <w:pPr>
        <w:pStyle w:val="Default"/>
        <w:ind w:left="720"/>
        <w:rPr>
          <w:rFonts w:asciiTheme="minorHAnsi" w:hAnsiTheme="minorHAnsi" w:cstheme="minorHAnsi"/>
          <w:color w:val="auto"/>
          <w:sz w:val="23"/>
          <w:szCs w:val="23"/>
          <w:lang w:val="fr-CA"/>
        </w:rPr>
      </w:pPr>
    </w:p>
    <w:p w14:paraId="709B7845" w14:textId="59FB8ABB" w:rsidR="0027120C" w:rsidRPr="003E0DDA" w:rsidRDefault="0027120C" w:rsidP="003E0DDA">
      <w:pPr>
        <w:pStyle w:val="Default"/>
        <w:numPr>
          <w:ilvl w:val="1"/>
          <w:numId w:val="225"/>
        </w:numPr>
        <w:rPr>
          <w:rFonts w:asciiTheme="minorHAnsi" w:hAnsiTheme="minorHAnsi" w:cstheme="minorHAnsi"/>
          <w:color w:val="auto"/>
          <w:sz w:val="23"/>
          <w:szCs w:val="23"/>
          <w:lang w:val="fr-CA"/>
        </w:rPr>
      </w:pPr>
      <w:proofErr w:type="gramStart"/>
      <w:r w:rsidRPr="003E0DDA">
        <w:rPr>
          <w:rFonts w:asciiTheme="minorHAnsi" w:hAnsiTheme="minorHAnsi" w:cstheme="minorHAnsi"/>
          <w:color w:val="auto"/>
          <w:sz w:val="23"/>
          <w:szCs w:val="23"/>
          <w:lang w:val="fr-CA"/>
        </w:rPr>
        <w:t>aucune</w:t>
      </w:r>
      <w:proofErr w:type="gramEnd"/>
      <w:r w:rsidRPr="003E0DDA">
        <w:rPr>
          <w:rFonts w:asciiTheme="minorHAnsi" w:hAnsiTheme="minorHAnsi" w:cstheme="minorHAnsi"/>
          <w:color w:val="auto"/>
          <w:sz w:val="23"/>
          <w:szCs w:val="23"/>
          <w:lang w:val="fr-CA"/>
        </w:rPr>
        <w:t xml:space="preserve"> Partie ne présente une objection au Secrétariat conformément aux paragraphes 8 à 10; ou</w:t>
      </w:r>
    </w:p>
    <w:p w14:paraId="1761DCC4" w14:textId="77777777" w:rsidR="0027120C" w:rsidRPr="003E0DDA" w:rsidRDefault="0027120C" w:rsidP="0027120C">
      <w:pPr>
        <w:pStyle w:val="Default"/>
        <w:ind w:left="1134" w:hanging="414"/>
        <w:rPr>
          <w:rFonts w:asciiTheme="minorHAnsi" w:hAnsiTheme="minorHAnsi" w:cstheme="minorHAnsi"/>
          <w:color w:val="auto"/>
          <w:sz w:val="23"/>
          <w:szCs w:val="23"/>
          <w:lang w:val="fr-CA"/>
        </w:rPr>
      </w:pPr>
    </w:p>
    <w:p w14:paraId="205EFBAF" w14:textId="5394F24D" w:rsidR="0027120C" w:rsidRPr="003E0DDA" w:rsidRDefault="0027120C" w:rsidP="003E0DDA">
      <w:pPr>
        <w:pStyle w:val="Default"/>
        <w:numPr>
          <w:ilvl w:val="1"/>
          <w:numId w:val="225"/>
        </w:numPr>
        <w:rPr>
          <w:rFonts w:asciiTheme="minorHAnsi" w:hAnsiTheme="minorHAnsi" w:cstheme="minorHAnsi"/>
          <w:color w:val="auto"/>
          <w:sz w:val="23"/>
          <w:szCs w:val="23"/>
          <w:lang w:val="fr-CA"/>
        </w:rPr>
      </w:pPr>
      <w:proofErr w:type="gramStart"/>
      <w:r w:rsidRPr="003E0DDA">
        <w:rPr>
          <w:rFonts w:asciiTheme="minorHAnsi" w:hAnsiTheme="minorHAnsi" w:cstheme="minorHAnsi"/>
          <w:sz w:val="23"/>
          <w:szCs w:val="23"/>
          <w:lang w:val="fr-CA"/>
        </w:rPr>
        <w:t>toutes</w:t>
      </w:r>
      <w:proofErr w:type="gramEnd"/>
      <w:r w:rsidRPr="003E0DDA">
        <w:rPr>
          <w:rFonts w:asciiTheme="minorHAnsi" w:hAnsiTheme="minorHAnsi" w:cstheme="minorHAnsi"/>
          <w:sz w:val="23"/>
          <w:szCs w:val="23"/>
          <w:lang w:val="fr-CA"/>
        </w:rPr>
        <w:t xml:space="preserve"> les Parties ayant formulé une objection ont avisé le Secrétariat qu’elles retirent leurs objections. </w:t>
      </w:r>
    </w:p>
    <w:p w14:paraId="76EA300E" w14:textId="77777777" w:rsidR="0027120C" w:rsidRPr="003E0DDA" w:rsidRDefault="0027120C" w:rsidP="0027120C">
      <w:pPr>
        <w:pStyle w:val="Default"/>
        <w:ind w:left="720"/>
        <w:rPr>
          <w:rFonts w:asciiTheme="minorHAnsi" w:hAnsiTheme="minorHAnsi" w:cstheme="minorHAnsi"/>
          <w:sz w:val="23"/>
          <w:szCs w:val="23"/>
          <w:lang w:val="fr-CA"/>
        </w:rPr>
      </w:pPr>
    </w:p>
    <w:p w14:paraId="11426DDE" w14:textId="4B3528B6" w:rsidR="0027120C" w:rsidRPr="003E0DDA" w:rsidRDefault="0027120C" w:rsidP="003E0DDA">
      <w:pPr>
        <w:pStyle w:val="Default"/>
        <w:numPr>
          <w:ilvl w:val="0"/>
          <w:numId w:val="225"/>
        </w:numPr>
        <w:ind w:left="0" w:firstLine="0"/>
        <w:rPr>
          <w:rFonts w:asciiTheme="minorHAnsi" w:hAnsiTheme="minorHAnsi" w:cstheme="minorHAnsi"/>
          <w:color w:val="auto"/>
          <w:sz w:val="23"/>
          <w:szCs w:val="23"/>
          <w:lang w:val="fr-CA"/>
        </w:rPr>
      </w:pPr>
      <w:r w:rsidRPr="003E0DDA">
        <w:rPr>
          <w:rFonts w:asciiTheme="minorHAnsi" w:hAnsiTheme="minorHAnsi" w:cstheme="minorHAnsi"/>
          <w:sz w:val="23"/>
          <w:szCs w:val="23"/>
          <w:lang w:val="fr-CA"/>
        </w:rPr>
        <w:t>Dans les cinq jours suivant la prise d’effet de la modification projetée, le Secrétariat apporte les changements nécessaires à la liste des exceptions propres à la Partie modificatrice, dans la version de l’Accord publiée sur le site Web du présent Accord, et communique la modification aux Parties.</w:t>
      </w:r>
    </w:p>
    <w:p w14:paraId="3C7D9CF7" w14:textId="77777777" w:rsidR="0027120C" w:rsidRPr="003E0DDA" w:rsidRDefault="0027120C" w:rsidP="009D0B52">
      <w:pPr>
        <w:pStyle w:val="Default"/>
        <w:rPr>
          <w:rFonts w:asciiTheme="minorHAnsi" w:hAnsiTheme="minorHAnsi" w:cstheme="minorHAnsi"/>
          <w:color w:val="auto"/>
          <w:sz w:val="23"/>
          <w:szCs w:val="23"/>
          <w:lang w:val="fr-CA"/>
        </w:rPr>
      </w:pPr>
    </w:p>
    <w:p w14:paraId="39FB75DD" w14:textId="77777777" w:rsidR="0027120C" w:rsidRPr="003E0DDA" w:rsidRDefault="0027120C" w:rsidP="003E0DDA">
      <w:pPr>
        <w:pStyle w:val="Default"/>
        <w:rPr>
          <w:rFonts w:asciiTheme="minorHAnsi" w:hAnsiTheme="minorHAnsi" w:cstheme="minorHAnsi"/>
          <w:i/>
          <w:color w:val="auto"/>
          <w:sz w:val="23"/>
          <w:szCs w:val="23"/>
          <w:lang w:val="fr-CA"/>
        </w:rPr>
      </w:pPr>
      <w:r w:rsidRPr="003E0DDA">
        <w:rPr>
          <w:rFonts w:asciiTheme="minorHAnsi" w:hAnsiTheme="minorHAnsi" w:cstheme="minorHAnsi"/>
          <w:i/>
          <w:color w:val="auto"/>
          <w:sz w:val="23"/>
          <w:szCs w:val="23"/>
          <w:lang w:val="fr-CA"/>
        </w:rPr>
        <w:t>Liste des exceptions en matière de marchés publics – Nouveau-Brunswick</w:t>
      </w:r>
    </w:p>
    <w:p w14:paraId="7EE579B8" w14:textId="77777777" w:rsidR="0027120C" w:rsidRPr="003E0DDA" w:rsidRDefault="0027120C" w:rsidP="009D0B52">
      <w:pPr>
        <w:pStyle w:val="Default"/>
        <w:rPr>
          <w:rFonts w:asciiTheme="minorHAnsi" w:hAnsiTheme="minorHAnsi" w:cstheme="minorHAnsi"/>
          <w:sz w:val="23"/>
          <w:szCs w:val="23"/>
          <w:lang w:val="fr-CA"/>
        </w:rPr>
      </w:pPr>
    </w:p>
    <w:p w14:paraId="447B9143" w14:textId="3FDF5728" w:rsidR="0027120C" w:rsidRPr="003E0DDA" w:rsidRDefault="0027120C" w:rsidP="003E0DDA">
      <w:pPr>
        <w:pStyle w:val="Default"/>
        <w:numPr>
          <w:ilvl w:val="0"/>
          <w:numId w:val="225"/>
        </w:numPr>
        <w:ind w:left="0" w:firstLine="0"/>
        <w:rPr>
          <w:rFonts w:asciiTheme="minorHAnsi" w:hAnsiTheme="minorHAnsi" w:cstheme="minorHAnsi"/>
          <w:color w:val="auto"/>
          <w:sz w:val="23"/>
          <w:szCs w:val="23"/>
          <w:lang w:val="fr-CA"/>
        </w:rPr>
      </w:pPr>
      <w:r w:rsidRPr="003E0DDA">
        <w:rPr>
          <w:rFonts w:asciiTheme="minorHAnsi" w:hAnsiTheme="minorHAnsi" w:cstheme="minorHAnsi"/>
          <w:sz w:val="23"/>
          <w:szCs w:val="23"/>
          <w:lang w:val="fr-CA"/>
        </w:rPr>
        <w:t>Aucune disposition du présent article n’a pour effet d’annuler, de remplacer, de modifier, d’altérer, d’abroger ou de révoquer, de quelque manière que ce soit, la condition 3 dans la liste du Nouveau-Brunswick à l’annexe 519.1.</w:t>
      </w:r>
    </w:p>
    <w:p w14:paraId="0CB0521B" w14:textId="77777777" w:rsidR="0027120C" w:rsidRPr="00F52884" w:rsidRDefault="0027120C" w:rsidP="0057782C">
      <w:pPr>
        <w:tabs>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ascii="Arial" w:eastAsia="Arial" w:hAnsi="Arial" w:cs="Arial"/>
          <w:szCs w:val="23"/>
          <w:lang w:val="fr-CA"/>
        </w:rPr>
      </w:pPr>
    </w:p>
    <w:p w14:paraId="7DA03B47" w14:textId="77777777" w:rsidR="0057782C" w:rsidRPr="00F52884" w:rsidRDefault="0057782C" w:rsidP="0057782C">
      <w:pPr>
        <w:keepNext/>
        <w:keepLines/>
        <w:jc w:val="center"/>
        <w:rPr>
          <w:rFonts w:ascii="Arial" w:eastAsia="Arial" w:hAnsi="Arial" w:cs="Arial"/>
          <w:b/>
          <w:bCs/>
          <w:szCs w:val="23"/>
          <w:lang w:val="fr-CA"/>
        </w:rPr>
      </w:pPr>
    </w:p>
    <w:p w14:paraId="070F0D9B" w14:textId="0702B404" w:rsidR="0057782C" w:rsidRPr="00F52884" w:rsidRDefault="0057782C" w:rsidP="0057782C">
      <w:pPr>
        <w:keepNext/>
        <w:keepLines/>
        <w:jc w:val="center"/>
        <w:rPr>
          <w:rFonts w:ascii="Arial" w:eastAsia="Arial" w:hAnsi="Arial" w:cs="Arial"/>
          <w:b/>
          <w:szCs w:val="23"/>
          <w:lang w:val="fr-CA"/>
        </w:rPr>
      </w:pPr>
      <w:r w:rsidRPr="00F52884">
        <w:rPr>
          <w:rFonts w:ascii="Arial" w:eastAsia="Arial" w:hAnsi="Arial" w:cs="Arial"/>
          <w:b/>
          <w:bCs/>
          <w:szCs w:val="23"/>
          <w:lang w:val="fr-CA"/>
        </w:rPr>
        <w:t>Article 121</w:t>
      </w:r>
      <w:r w:rsidR="00C20778">
        <w:rPr>
          <w:rFonts w:ascii="Arial" w:eastAsia="Arial" w:hAnsi="Arial" w:cs="Arial"/>
          <w:b/>
          <w:bCs/>
          <w:szCs w:val="23"/>
          <w:lang w:val="fr-CA"/>
        </w:rPr>
        <w:t>4</w:t>
      </w:r>
      <w:r w:rsidRPr="00F52884">
        <w:rPr>
          <w:rFonts w:ascii="Arial" w:eastAsia="Arial" w:hAnsi="Arial" w:cs="Arial"/>
          <w:b/>
          <w:bCs/>
          <w:szCs w:val="23"/>
          <w:lang w:val="fr-CA"/>
        </w:rPr>
        <w:t> :</w:t>
      </w:r>
      <w:r w:rsidRPr="00F52884">
        <w:rPr>
          <w:rFonts w:ascii="Arial" w:eastAsia="Arial" w:hAnsi="Arial" w:cs="Arial"/>
          <w:szCs w:val="23"/>
          <w:lang w:val="fr-CA"/>
        </w:rPr>
        <w:t xml:space="preserve"> </w:t>
      </w:r>
      <w:r w:rsidRPr="00F52884">
        <w:rPr>
          <w:rFonts w:ascii="Arial" w:eastAsia="Arial" w:hAnsi="Arial" w:cs="Arial"/>
          <w:szCs w:val="23"/>
          <w:lang w:val="fr-CA"/>
        </w:rPr>
        <w:tab/>
      </w:r>
      <w:r w:rsidRPr="00F52884">
        <w:rPr>
          <w:rFonts w:ascii="Arial" w:eastAsia="Arial" w:hAnsi="Arial" w:cs="Arial"/>
          <w:b/>
          <w:bCs/>
          <w:szCs w:val="23"/>
          <w:lang w:val="fr-CA"/>
        </w:rPr>
        <w:t>Adhésion et retrait</w:t>
      </w:r>
    </w:p>
    <w:p w14:paraId="67899BB1" w14:textId="77777777" w:rsidR="0057782C" w:rsidRPr="00F52884" w:rsidRDefault="0057782C" w:rsidP="0057782C">
      <w:pPr>
        <w:rPr>
          <w:rFonts w:ascii="Arial" w:eastAsia="Arial" w:hAnsi="Arial" w:cs="Arial"/>
          <w:szCs w:val="23"/>
          <w:lang w:val="fr-CA"/>
        </w:rPr>
      </w:pPr>
    </w:p>
    <w:p w14:paraId="2526D1D5" w14:textId="13517164" w:rsidR="0057782C" w:rsidRPr="00F52884" w:rsidRDefault="0057782C" w:rsidP="0057782C">
      <w:pPr>
        <w:contextualSpacing/>
        <w:rPr>
          <w:rFonts w:ascii="Arial" w:eastAsia="Times New Roman" w:hAnsi="Arial" w:cs="Arial"/>
          <w:szCs w:val="23"/>
          <w:lang w:val="fr-CA"/>
        </w:rPr>
      </w:pPr>
      <w:r w:rsidRPr="00F52884">
        <w:rPr>
          <w:rFonts w:ascii="Arial" w:eastAsia="Times New Roman" w:hAnsi="Arial" w:cs="Arial"/>
          <w:szCs w:val="23"/>
          <w:lang w:val="fr-CA"/>
        </w:rPr>
        <w:t>1.</w:t>
      </w:r>
      <w:r w:rsidRPr="00F52884">
        <w:rPr>
          <w:rFonts w:ascii="Arial" w:eastAsia="Times New Roman" w:hAnsi="Arial" w:cs="Arial"/>
          <w:szCs w:val="23"/>
          <w:lang w:val="fr-CA"/>
        </w:rPr>
        <w:tab/>
        <w:t>Toute province ou tout territoire qui n’est pas une Partie peut adhérer au présent accord aux conditions convenues entre les Parties.</w:t>
      </w:r>
    </w:p>
    <w:p w14:paraId="5D4CADDF" w14:textId="77777777" w:rsidR="0057782C" w:rsidRPr="00F52884" w:rsidRDefault="0057782C" w:rsidP="0057782C">
      <w:pPr>
        <w:contextualSpacing/>
        <w:rPr>
          <w:rFonts w:ascii="Arial" w:eastAsia="Times New Roman" w:hAnsi="Arial" w:cs="Arial"/>
          <w:szCs w:val="23"/>
          <w:lang w:val="fr-CA"/>
        </w:rPr>
      </w:pPr>
    </w:p>
    <w:p w14:paraId="61B72784" w14:textId="2CB803CF" w:rsidR="0057782C" w:rsidRPr="00F52884" w:rsidRDefault="0057782C" w:rsidP="0057782C">
      <w:pPr>
        <w:contextualSpacing/>
        <w:rPr>
          <w:lang w:val="fr-CA"/>
        </w:rPr>
      </w:pPr>
      <w:r w:rsidRPr="00F52884">
        <w:rPr>
          <w:rFonts w:ascii="Arial" w:eastAsia="Times New Roman" w:hAnsi="Arial" w:cs="Arial"/>
          <w:szCs w:val="23"/>
          <w:lang w:val="fr-CA"/>
        </w:rPr>
        <w:t>2.</w:t>
      </w:r>
      <w:r w:rsidRPr="00F52884">
        <w:rPr>
          <w:rFonts w:ascii="Arial" w:eastAsia="Times New Roman" w:hAnsi="Arial" w:cs="Arial"/>
          <w:szCs w:val="23"/>
          <w:lang w:val="fr-CA"/>
        </w:rPr>
        <w:tab/>
        <w:t xml:space="preserve">Une Partie peut se retirer du présent accord moyennant un préavis écrit de 12 mois </w:t>
      </w:r>
      <w:proofErr w:type="gramStart"/>
      <w:r w:rsidRPr="00F52884">
        <w:rPr>
          <w:rFonts w:ascii="Arial" w:eastAsia="Times New Roman" w:hAnsi="Arial" w:cs="Arial"/>
          <w:szCs w:val="23"/>
          <w:lang w:val="fr-CA"/>
        </w:rPr>
        <w:t>adressé</w:t>
      </w:r>
      <w:proofErr w:type="gramEnd"/>
      <w:r w:rsidRPr="00F52884">
        <w:rPr>
          <w:rFonts w:ascii="Arial" w:eastAsia="Times New Roman" w:hAnsi="Arial" w:cs="Arial"/>
          <w:szCs w:val="23"/>
          <w:lang w:val="fr-CA"/>
        </w:rPr>
        <w:t xml:space="preserve"> aux autres Parties et au Secrétariat.</w:t>
      </w:r>
    </w:p>
    <w:p w14:paraId="053698BD" w14:textId="77777777" w:rsidR="00AA05B4" w:rsidRPr="00F52884" w:rsidRDefault="00AA05B4">
      <w:pPr>
        <w:rPr>
          <w:rFonts w:cstheme="minorHAnsi"/>
          <w:szCs w:val="23"/>
          <w:lang w:val="fr-CA"/>
        </w:rPr>
      </w:pPr>
    </w:p>
    <w:p w14:paraId="1A8E48DA" w14:textId="77777777" w:rsidR="00AA05B4" w:rsidRPr="00F52884" w:rsidRDefault="00AA05B4">
      <w:pPr>
        <w:rPr>
          <w:rFonts w:cstheme="minorHAnsi"/>
          <w:szCs w:val="23"/>
          <w:lang w:val="fr-CA"/>
        </w:rPr>
      </w:pPr>
      <w:r w:rsidRPr="00F52884">
        <w:rPr>
          <w:rFonts w:cstheme="minorHAnsi"/>
          <w:szCs w:val="23"/>
          <w:lang w:val="fr-CA"/>
        </w:rPr>
        <w:br w:type="page"/>
      </w:r>
    </w:p>
    <w:p w14:paraId="02B6BF1E" w14:textId="77777777" w:rsidR="00B308C6" w:rsidRPr="00F52884" w:rsidRDefault="00B308C6" w:rsidP="00B308C6">
      <w:pPr>
        <w:pStyle w:val="Heading1"/>
        <w:jc w:val="center"/>
        <w:rPr>
          <w:rFonts w:asciiTheme="minorHAnsi" w:hAnsiTheme="minorHAnsi" w:cstheme="minorHAnsi"/>
          <w:sz w:val="23"/>
          <w:szCs w:val="23"/>
          <w:lang w:val="fr-CA"/>
        </w:rPr>
      </w:pPr>
      <w:bookmarkStart w:id="258" w:name="_Toc471907462"/>
      <w:bookmarkStart w:id="259" w:name="_Toc156311783"/>
      <w:r w:rsidRPr="00F52884">
        <w:rPr>
          <w:rFonts w:asciiTheme="minorHAnsi" w:hAnsiTheme="minorHAnsi" w:cstheme="minorHAnsi"/>
          <w:sz w:val="23"/>
          <w:szCs w:val="23"/>
          <w:lang w:val="fr-CA"/>
        </w:rPr>
        <w:lastRenderedPageBreak/>
        <w:t>PARTIE VI – DÉFINITIONS</w:t>
      </w:r>
      <w:bookmarkEnd w:id="258"/>
      <w:bookmarkEnd w:id="259"/>
    </w:p>
    <w:p w14:paraId="37CEA483" w14:textId="77777777" w:rsidR="00B308C6" w:rsidRPr="00F52884" w:rsidRDefault="00B308C6" w:rsidP="00B308C6">
      <w:pPr>
        <w:rPr>
          <w:rFonts w:cstheme="minorHAnsi"/>
          <w:szCs w:val="23"/>
          <w:lang w:val="fr-CA"/>
        </w:rPr>
      </w:pPr>
    </w:p>
    <w:p w14:paraId="0D89FB6E" w14:textId="77777777" w:rsidR="00B308C6" w:rsidRPr="00F52884" w:rsidRDefault="00B308C6" w:rsidP="00B308C6">
      <w:pPr>
        <w:pStyle w:val="Heading2"/>
        <w:spacing w:before="0"/>
        <w:jc w:val="center"/>
        <w:rPr>
          <w:rFonts w:asciiTheme="minorHAnsi" w:hAnsiTheme="minorHAnsi" w:cstheme="minorHAnsi"/>
          <w:sz w:val="23"/>
          <w:szCs w:val="23"/>
          <w:lang w:val="fr-CA"/>
        </w:rPr>
      </w:pPr>
    </w:p>
    <w:p w14:paraId="017F5A2B" w14:textId="2A76E1BC" w:rsidR="00B308C6" w:rsidRPr="00F52884" w:rsidRDefault="00B308C6" w:rsidP="00B308C6">
      <w:pPr>
        <w:pStyle w:val="Heading2"/>
        <w:spacing w:before="0"/>
        <w:jc w:val="center"/>
        <w:rPr>
          <w:rFonts w:asciiTheme="minorHAnsi" w:hAnsiTheme="minorHAnsi" w:cstheme="minorHAnsi"/>
          <w:sz w:val="23"/>
          <w:szCs w:val="23"/>
          <w:lang w:val="fr-CA"/>
        </w:rPr>
      </w:pPr>
      <w:bookmarkStart w:id="260" w:name="_Toc471907463"/>
      <w:bookmarkStart w:id="261" w:name="_Toc156311784"/>
      <w:r w:rsidRPr="00F52884">
        <w:rPr>
          <w:rFonts w:asciiTheme="minorHAnsi" w:hAnsiTheme="minorHAnsi" w:cstheme="minorHAnsi"/>
          <w:sz w:val="23"/>
          <w:szCs w:val="23"/>
          <w:lang w:val="fr-CA"/>
        </w:rPr>
        <w:t>Chapitre Treize – Définitions</w:t>
      </w:r>
      <w:bookmarkEnd w:id="260"/>
      <w:bookmarkEnd w:id="261"/>
    </w:p>
    <w:p w14:paraId="0DB2E7BC" w14:textId="77777777" w:rsidR="00B308C6" w:rsidRPr="00F52884" w:rsidRDefault="00B308C6" w:rsidP="00B308C6">
      <w:pPr>
        <w:rPr>
          <w:rFonts w:cstheme="minorHAnsi"/>
          <w:szCs w:val="23"/>
          <w:lang w:val="fr-CA"/>
        </w:rPr>
      </w:pPr>
    </w:p>
    <w:p w14:paraId="2370CF0C" w14:textId="77777777" w:rsidR="00B308C6" w:rsidRPr="00F52884" w:rsidRDefault="00B308C6" w:rsidP="00B308C6">
      <w:pPr>
        <w:rPr>
          <w:rFonts w:cstheme="minorHAnsi"/>
          <w:szCs w:val="23"/>
          <w:lang w:val="fr-CA"/>
        </w:rPr>
      </w:pPr>
      <w:r w:rsidRPr="00F52884">
        <w:rPr>
          <w:rFonts w:cstheme="minorHAnsi"/>
          <w:szCs w:val="23"/>
          <w:lang w:val="fr-CA"/>
        </w:rPr>
        <w:t>Sauf disposition contraire, les définitions qui suivent s’appliquent au présent accord :</w:t>
      </w:r>
    </w:p>
    <w:p w14:paraId="39C3C3BB" w14:textId="77777777" w:rsidR="00B308C6" w:rsidRPr="00F52884" w:rsidRDefault="00B308C6" w:rsidP="00B308C6">
      <w:pPr>
        <w:rPr>
          <w:rFonts w:cstheme="minorHAnsi"/>
          <w:szCs w:val="23"/>
          <w:lang w:val="fr-CA"/>
        </w:rPr>
      </w:pPr>
    </w:p>
    <w:p w14:paraId="2638C041" w14:textId="6A8DD297" w:rsidR="00B308C6" w:rsidRPr="00F52884" w:rsidRDefault="00B308C6" w:rsidP="00B308C6">
      <w:pPr>
        <w:rPr>
          <w:rFonts w:cstheme="minorHAnsi"/>
          <w:szCs w:val="23"/>
          <w:lang w:val="fr-CA"/>
        </w:rPr>
      </w:pPr>
      <w:r w:rsidRPr="00F52884">
        <w:rPr>
          <w:rFonts w:cstheme="minorHAnsi"/>
          <w:b/>
          <w:bCs/>
          <w:szCs w:val="23"/>
          <w:lang w:val="fr-CA"/>
        </w:rPr>
        <w:t>Accord</w:t>
      </w:r>
      <w:r w:rsidRPr="00F52884">
        <w:rPr>
          <w:rFonts w:cstheme="minorHAnsi"/>
          <w:szCs w:val="23"/>
          <w:lang w:val="fr-CA"/>
        </w:rPr>
        <w:t xml:space="preserve"> </w:t>
      </w:r>
      <w:proofErr w:type="spellStart"/>
      <w:r w:rsidRPr="00F52884">
        <w:rPr>
          <w:rFonts w:cstheme="minorHAnsi"/>
          <w:szCs w:val="23"/>
          <w:lang w:val="fr-CA"/>
        </w:rPr>
        <w:t>Accord</w:t>
      </w:r>
      <w:proofErr w:type="spellEnd"/>
      <w:r w:rsidRPr="00F52884">
        <w:rPr>
          <w:rFonts w:cstheme="minorHAnsi"/>
          <w:szCs w:val="23"/>
          <w:lang w:val="fr-CA"/>
        </w:rPr>
        <w:t xml:space="preserve"> de libre-échange canadien, avec ses modifications;</w:t>
      </w:r>
    </w:p>
    <w:p w14:paraId="6A343B34" w14:textId="77777777" w:rsidR="00B308C6" w:rsidRPr="00F52884" w:rsidRDefault="00B308C6" w:rsidP="00B308C6">
      <w:pPr>
        <w:rPr>
          <w:rFonts w:cstheme="minorHAnsi"/>
          <w:szCs w:val="23"/>
          <w:lang w:val="fr-CA"/>
        </w:rPr>
      </w:pPr>
    </w:p>
    <w:p w14:paraId="70D01F91" w14:textId="44E9B83D" w:rsidR="00B308C6" w:rsidRPr="00F52884" w:rsidRDefault="00B308C6" w:rsidP="00B308C6">
      <w:pPr>
        <w:rPr>
          <w:rFonts w:cstheme="minorHAnsi"/>
          <w:szCs w:val="23"/>
          <w:lang w:val="fr-CA"/>
        </w:rPr>
      </w:pPr>
      <w:r w:rsidRPr="00F52884">
        <w:rPr>
          <w:rFonts w:cstheme="minorHAnsi"/>
          <w:b/>
          <w:szCs w:val="23"/>
          <w:lang w:val="fr-CA"/>
        </w:rPr>
        <w:t>Accord sur le commerce intérieur</w:t>
      </w:r>
      <w:r w:rsidRPr="00F52884">
        <w:rPr>
          <w:rFonts w:cstheme="minorHAnsi"/>
          <w:szCs w:val="23"/>
          <w:lang w:val="fr-CA"/>
        </w:rPr>
        <w:t xml:space="preserve"> Accord sur le commerce intérieur, signé en 1994, avec ses modifications; </w:t>
      </w:r>
    </w:p>
    <w:p w14:paraId="7B57EA2B" w14:textId="77777777" w:rsidR="00B308C6" w:rsidRPr="00F52884" w:rsidRDefault="00B308C6" w:rsidP="00B308C6">
      <w:pPr>
        <w:rPr>
          <w:rFonts w:cstheme="minorHAnsi"/>
          <w:szCs w:val="23"/>
          <w:lang w:val="fr-CA"/>
        </w:rPr>
      </w:pPr>
    </w:p>
    <w:p w14:paraId="76BF746B" w14:textId="0BE135C9" w:rsidR="00B308C6" w:rsidRPr="00F52884" w:rsidRDefault="00B308C6" w:rsidP="00B308C6">
      <w:pPr>
        <w:rPr>
          <w:rFonts w:cstheme="minorHAnsi"/>
          <w:szCs w:val="23"/>
          <w:lang w:val="fr-CA"/>
        </w:rPr>
      </w:pPr>
      <w:proofErr w:type="gramStart"/>
      <w:r w:rsidRPr="00F52884">
        <w:rPr>
          <w:rFonts w:cstheme="minorHAnsi"/>
          <w:b/>
          <w:bCs/>
          <w:szCs w:val="23"/>
          <w:lang w:val="fr-CA"/>
        </w:rPr>
        <w:t>accrédité</w:t>
      </w:r>
      <w:proofErr w:type="gramEnd"/>
      <w:r w:rsidRPr="00F52884">
        <w:rPr>
          <w:rFonts w:cstheme="minorHAnsi"/>
          <w:szCs w:val="23"/>
          <w:lang w:val="fr-CA"/>
        </w:rPr>
        <w:t xml:space="preserve"> Pour l’application du chapitre Sept (Mobilité de la main-d’œuvre), se dit d’un travailleur qui est titulaire d’un certificat, d’une autorisation d’exercer, d’une immatriculation ou de toute autre reconnaissance professionnelle officielle accordé par l’organisme de réglementation d’une Partie, attestant que le travailleur est qualifié et, s’il y a lieu, est autorisé à exercer une profession ou un métier donné ou à utiliser un titre réservé sur le territoire de la Partie. Il est entendu que le terme « accrédité » ne comprend pas le fait de posséder uniquement une expérience de travail dans une profession ou un métier donné acquise sur le territoire d’une Partie où la reconnaissance professionnelle n’est pas exigée pour exercer ce métier ou cette profession;</w:t>
      </w:r>
    </w:p>
    <w:p w14:paraId="29E2365E" w14:textId="77777777" w:rsidR="00B308C6" w:rsidRPr="00F52884" w:rsidRDefault="00B308C6" w:rsidP="00B308C6">
      <w:pPr>
        <w:rPr>
          <w:rFonts w:cstheme="minorHAnsi"/>
          <w:szCs w:val="23"/>
          <w:lang w:val="fr-CA"/>
        </w:rPr>
      </w:pPr>
    </w:p>
    <w:p w14:paraId="664C739C" w14:textId="7722E7F6" w:rsidR="00B308C6" w:rsidRPr="00F52884" w:rsidRDefault="00B308C6" w:rsidP="00B308C6">
      <w:pPr>
        <w:rPr>
          <w:rFonts w:cstheme="minorHAnsi"/>
          <w:szCs w:val="23"/>
          <w:lang w:val="fr-CA"/>
        </w:rPr>
      </w:pPr>
      <w:proofErr w:type="gramStart"/>
      <w:r w:rsidRPr="00F52884">
        <w:rPr>
          <w:rFonts w:cstheme="minorHAnsi"/>
          <w:b/>
          <w:bCs/>
          <w:szCs w:val="23"/>
          <w:lang w:val="fr-CA"/>
        </w:rPr>
        <w:t>activités</w:t>
      </w:r>
      <w:proofErr w:type="gramEnd"/>
      <w:r w:rsidRPr="00F52884">
        <w:rPr>
          <w:rFonts w:cstheme="minorHAnsi"/>
          <w:b/>
          <w:bCs/>
          <w:szCs w:val="23"/>
          <w:lang w:val="fr-CA"/>
        </w:rPr>
        <w:t xml:space="preserve"> commerciales</w:t>
      </w:r>
      <w:r w:rsidRPr="00F52884">
        <w:rPr>
          <w:rFonts w:cstheme="minorHAnsi"/>
          <w:szCs w:val="23"/>
          <w:lang w:val="fr-CA"/>
        </w:rPr>
        <w:t xml:space="preserve"> Activités qu’une entreprise exerce dans un but lucratif et dont le résultat est la production ou l’achat d’un produit ou la fourniture ou l’achat d’un service qui sera vendu à une personne sur le marché concerné en quantités et à des prix déterminés par l’entreprise. Il est entendu que :</w:t>
      </w:r>
    </w:p>
    <w:p w14:paraId="1DFC221B" w14:textId="77777777" w:rsidR="00B308C6" w:rsidRPr="00F52884" w:rsidRDefault="00B308C6" w:rsidP="00B308C6">
      <w:pPr>
        <w:rPr>
          <w:rFonts w:cstheme="minorHAnsi"/>
          <w:szCs w:val="23"/>
          <w:lang w:val="fr-CA"/>
        </w:rPr>
      </w:pPr>
    </w:p>
    <w:p w14:paraId="6CB53801" w14:textId="08BE94DC" w:rsidR="00B308C6" w:rsidRPr="00F52884" w:rsidRDefault="00B308C6" w:rsidP="00B308C6">
      <w:pPr>
        <w:pStyle w:val="ListParagraph"/>
        <w:numPr>
          <w:ilvl w:val="0"/>
          <w:numId w:val="400"/>
        </w:numPr>
        <w:autoSpaceDE w:val="0"/>
        <w:autoSpaceDN w:val="0"/>
        <w:adjustRightInd w:val="0"/>
        <w:ind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activités exercées par une entreprise à but non lucratif ou par une entreprise exploitée selon le principe du recouvrement de coûts ne sont pas des activités exercées dans un but lucratif;</w:t>
      </w:r>
    </w:p>
    <w:p w14:paraId="7F32622A" w14:textId="77777777" w:rsidR="00B308C6" w:rsidRPr="00F52884" w:rsidRDefault="00B308C6" w:rsidP="00B308C6">
      <w:pPr>
        <w:pStyle w:val="ListParagraph"/>
        <w:autoSpaceDE w:val="0"/>
        <w:autoSpaceDN w:val="0"/>
        <w:adjustRightInd w:val="0"/>
        <w:ind w:left="1440" w:hanging="720"/>
        <w:rPr>
          <w:rFonts w:cstheme="minorHAnsi"/>
          <w:szCs w:val="23"/>
          <w:lang w:val="fr-CA"/>
        </w:rPr>
      </w:pPr>
    </w:p>
    <w:p w14:paraId="4AECE35D" w14:textId="3EA8117A" w:rsidR="00B308C6" w:rsidRPr="00F52884" w:rsidRDefault="00B308C6" w:rsidP="00B308C6">
      <w:pPr>
        <w:pStyle w:val="ListParagraph"/>
        <w:numPr>
          <w:ilvl w:val="0"/>
          <w:numId w:val="400"/>
        </w:numPr>
        <w:autoSpaceDE w:val="0"/>
        <w:autoSpaceDN w:val="0"/>
        <w:adjustRightInd w:val="0"/>
        <w:ind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mesures d’application générale au marché pertinent ne sont pas interprétée comme étant la fixation par une Partie du prix, de la production ou des décisions en matière d’approvisionnement d’une entreprise;</w:t>
      </w:r>
    </w:p>
    <w:p w14:paraId="7CDB353B" w14:textId="77777777" w:rsidR="00B308C6" w:rsidRPr="00F52884" w:rsidRDefault="00B308C6" w:rsidP="00B308C6">
      <w:pPr>
        <w:rPr>
          <w:rFonts w:cstheme="minorHAnsi"/>
          <w:szCs w:val="23"/>
          <w:lang w:val="fr-CA"/>
        </w:rPr>
      </w:pPr>
    </w:p>
    <w:p w14:paraId="00961F75" w14:textId="75883400" w:rsidR="00B308C6" w:rsidRPr="00F52884" w:rsidRDefault="00B308C6" w:rsidP="00B308C6">
      <w:pPr>
        <w:rPr>
          <w:rFonts w:cstheme="minorHAnsi"/>
          <w:szCs w:val="23"/>
          <w:lang w:val="fr-CA"/>
        </w:rPr>
      </w:pPr>
      <w:r w:rsidRPr="00F52884">
        <w:rPr>
          <w:rFonts w:cstheme="minorHAnsi"/>
          <w:b/>
          <w:szCs w:val="23"/>
          <w:lang w:val="fr-CA"/>
        </w:rPr>
        <w:t>AECG</w:t>
      </w:r>
      <w:r w:rsidRPr="00F52884">
        <w:rPr>
          <w:rFonts w:cstheme="minorHAnsi"/>
          <w:szCs w:val="23"/>
          <w:lang w:val="fr-CA"/>
        </w:rPr>
        <w:t xml:space="preserve"> Accord économique et commercial global entre le Canada et l’Union européenne, signé le 30 octobre 2016, avec ses modifications;</w:t>
      </w:r>
    </w:p>
    <w:p w14:paraId="1A418B45" w14:textId="77777777" w:rsidR="00B308C6" w:rsidRPr="00F52884" w:rsidRDefault="00B308C6" w:rsidP="00B308C6">
      <w:pPr>
        <w:rPr>
          <w:rFonts w:cstheme="minorHAnsi"/>
          <w:szCs w:val="23"/>
          <w:lang w:val="fr-CA"/>
        </w:rPr>
      </w:pPr>
    </w:p>
    <w:p w14:paraId="5F889FA5" w14:textId="1DEA7B21" w:rsidR="00B308C6" w:rsidRPr="00F52884" w:rsidRDefault="00B308C6" w:rsidP="00B308C6">
      <w:pPr>
        <w:rPr>
          <w:rFonts w:cstheme="minorHAnsi"/>
          <w:szCs w:val="23"/>
          <w:lang w:val="fr-CA"/>
        </w:rPr>
      </w:pPr>
      <w:proofErr w:type="gramStart"/>
      <w:r w:rsidRPr="00F52884">
        <w:rPr>
          <w:rFonts w:cstheme="minorHAnsi"/>
          <w:b/>
          <w:bCs/>
          <w:szCs w:val="23"/>
          <w:lang w:val="fr-CA"/>
        </w:rPr>
        <w:t>analyse</w:t>
      </w:r>
      <w:proofErr w:type="gramEnd"/>
      <w:r w:rsidRPr="00F52884">
        <w:rPr>
          <w:rFonts w:cstheme="minorHAnsi"/>
          <w:b/>
          <w:bCs/>
          <w:szCs w:val="23"/>
          <w:lang w:val="fr-CA"/>
        </w:rPr>
        <w:t xml:space="preserve"> nationale de professions </w:t>
      </w:r>
      <w:r w:rsidRPr="00F52884">
        <w:rPr>
          <w:rFonts w:cstheme="minorHAnsi"/>
          <w:szCs w:val="23"/>
          <w:lang w:val="fr-CA"/>
        </w:rPr>
        <w:t>Document produit dans le cadre du Programme des normes interprovinciales Sceau rouge qui décrit les tâches et les sous-tâches exécutées par un travailleur dans un métier donné;</w:t>
      </w:r>
    </w:p>
    <w:p w14:paraId="17617085" w14:textId="77777777" w:rsidR="00B308C6" w:rsidRPr="009A780E"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082EE59C" w14:textId="77777777" w:rsidR="00C20778" w:rsidRPr="009A780E" w:rsidRDefault="00C20778" w:rsidP="00C20778">
      <w:pPr>
        <w:widowControl w:val="0"/>
        <w:tabs>
          <w:tab w:val="left" w:pos="1440"/>
          <w:tab w:val="left" w:pos="2160"/>
          <w:tab w:val="left" w:pos="2880"/>
        </w:tabs>
        <w:autoSpaceDE w:val="0"/>
        <w:autoSpaceDN w:val="0"/>
        <w:adjustRightInd w:val="0"/>
        <w:rPr>
          <w:rFonts w:ascii="Arial" w:eastAsia="Arial" w:hAnsi="Arial" w:cs="Arial"/>
          <w:szCs w:val="23"/>
          <w:lang w:val="fr-CA"/>
        </w:rPr>
      </w:pPr>
      <w:proofErr w:type="gramStart"/>
      <w:r w:rsidRPr="009A780E">
        <w:rPr>
          <w:rFonts w:ascii="Arial" w:eastAsia="Arial" w:hAnsi="Arial" w:cs="Arial"/>
          <w:b/>
          <w:bCs/>
          <w:szCs w:val="23"/>
          <w:lang w:val="fr-CA"/>
        </w:rPr>
        <w:t>cannabis</w:t>
      </w:r>
      <w:proofErr w:type="gramEnd"/>
      <w:r w:rsidRPr="009A780E">
        <w:rPr>
          <w:rFonts w:ascii="Arial" w:eastAsia="Arial" w:hAnsi="Arial" w:cs="Arial"/>
          <w:szCs w:val="23"/>
          <w:lang w:val="fr-CA"/>
        </w:rPr>
        <w:t xml:space="preserve"> désigne « cannabis » tel que défini dans la </w:t>
      </w:r>
      <w:r w:rsidRPr="009A780E">
        <w:rPr>
          <w:rFonts w:ascii="Arial" w:eastAsia="Arial" w:hAnsi="Arial" w:cs="Arial"/>
          <w:i/>
          <w:iCs/>
          <w:szCs w:val="23"/>
          <w:lang w:val="fr-CA"/>
        </w:rPr>
        <w:t xml:space="preserve">Loi sur le cannabis </w:t>
      </w:r>
      <w:r w:rsidRPr="009A780E">
        <w:rPr>
          <w:rFonts w:ascii="Arial" w:eastAsia="Arial" w:hAnsi="Arial" w:cs="Arial"/>
          <w:szCs w:val="23"/>
          <w:lang w:val="fr-CA"/>
        </w:rPr>
        <w:t>(Canada), avec ses modifications. Aux fins du présent accord, « cannabis » n’inclut pas</w:t>
      </w:r>
      <w:bookmarkStart w:id="262" w:name="lt_pId103"/>
      <w:r w:rsidRPr="009A780E">
        <w:rPr>
          <w:rFonts w:ascii="Arial" w:eastAsia="Arial" w:hAnsi="Arial" w:cs="Arial"/>
          <w:szCs w:val="23"/>
          <w:lang w:val="fr-CA"/>
        </w:rPr>
        <w:t> :</w:t>
      </w:r>
      <w:bookmarkEnd w:id="262"/>
    </w:p>
    <w:p w14:paraId="0A2B392A" w14:textId="77777777" w:rsidR="00C20778" w:rsidRPr="009A780E" w:rsidRDefault="00C20778" w:rsidP="00C20778">
      <w:pPr>
        <w:ind w:left="1134" w:hanging="425"/>
        <w:rPr>
          <w:rFonts w:ascii="Arial" w:eastAsia="Arial" w:hAnsi="Arial" w:cs="Arial"/>
          <w:szCs w:val="23"/>
          <w:lang w:val="fr-CA"/>
        </w:rPr>
      </w:pPr>
    </w:p>
    <w:p w14:paraId="373CA92B" w14:textId="3EC4254C" w:rsidR="00C20778" w:rsidRPr="009A780E" w:rsidRDefault="00C20778" w:rsidP="00C20778">
      <w:pPr>
        <w:widowControl w:val="0"/>
        <w:tabs>
          <w:tab w:val="left" w:pos="720"/>
          <w:tab w:val="left" w:pos="1440"/>
          <w:tab w:val="left" w:pos="2160"/>
          <w:tab w:val="left" w:pos="2880"/>
        </w:tabs>
        <w:autoSpaceDE w:val="0"/>
        <w:autoSpaceDN w:val="0"/>
        <w:adjustRightInd w:val="0"/>
        <w:spacing w:after="240" w:line="252" w:lineRule="auto"/>
        <w:ind w:right="720"/>
        <w:rPr>
          <w:rFonts w:ascii="Arial" w:eastAsia="Arial" w:hAnsi="Arial" w:cs="Arial"/>
          <w:szCs w:val="23"/>
          <w:lang w:val="fr-CA"/>
        </w:rPr>
      </w:pPr>
      <w:bookmarkStart w:id="263" w:name="lt_pId104"/>
      <w:r w:rsidRPr="009A780E">
        <w:rPr>
          <w:rFonts w:ascii="Arial" w:eastAsia="Arial" w:hAnsi="Arial" w:cs="Arial"/>
          <w:szCs w:val="23"/>
          <w:lang w:val="fr-CA"/>
        </w:rPr>
        <w:tab/>
        <w:t>a)</w:t>
      </w:r>
      <w:r w:rsidRPr="009A780E">
        <w:rPr>
          <w:rFonts w:ascii="Arial" w:eastAsia="Arial" w:hAnsi="Arial" w:cs="Arial"/>
          <w:szCs w:val="23"/>
          <w:lang w:val="fr-CA"/>
        </w:rPr>
        <w:tab/>
        <w:t xml:space="preserve">un accessoire de cannabis qui ne contient pas de </w:t>
      </w:r>
      <w:r w:rsidRPr="009A780E">
        <w:rPr>
          <w:rFonts w:ascii="Arial" w:eastAsia="Times New Roman" w:hAnsi="Arial" w:cs="Arial"/>
          <w:szCs w:val="23"/>
          <w:lang w:val="fr-CA"/>
        </w:rPr>
        <w:t>cannabis</w:t>
      </w:r>
      <w:r w:rsidRPr="009A780E">
        <w:rPr>
          <w:rFonts w:ascii="Arial" w:eastAsia="Arial" w:hAnsi="Arial" w:cs="Arial"/>
          <w:szCs w:val="23"/>
          <w:lang w:val="fr-CA"/>
        </w:rPr>
        <w:t>;</w:t>
      </w:r>
      <w:bookmarkEnd w:id="263"/>
      <w:r w:rsidRPr="009A780E">
        <w:rPr>
          <w:rFonts w:ascii="Arial" w:eastAsia="Arial" w:hAnsi="Arial" w:cs="Arial"/>
          <w:szCs w:val="23"/>
          <w:lang w:val="fr-CA"/>
        </w:rPr>
        <w:t xml:space="preserve"> </w:t>
      </w:r>
    </w:p>
    <w:p w14:paraId="2D32B735" w14:textId="226E41D4" w:rsidR="00C20778" w:rsidRPr="009A780E" w:rsidRDefault="00C20778" w:rsidP="009A780E">
      <w:pPr>
        <w:widowControl w:val="0"/>
        <w:tabs>
          <w:tab w:val="left" w:pos="720"/>
          <w:tab w:val="left" w:pos="1440"/>
          <w:tab w:val="left" w:pos="2160"/>
          <w:tab w:val="left" w:pos="2880"/>
        </w:tabs>
        <w:autoSpaceDE w:val="0"/>
        <w:autoSpaceDN w:val="0"/>
        <w:adjustRightInd w:val="0"/>
        <w:spacing w:after="240" w:line="252" w:lineRule="auto"/>
        <w:ind w:left="1440" w:right="720" w:hanging="1440"/>
        <w:rPr>
          <w:rFonts w:ascii="Arial" w:eastAsia="Arial" w:hAnsi="Arial" w:cs="Arial"/>
          <w:szCs w:val="23"/>
          <w:lang w:val="fr-CA"/>
        </w:rPr>
      </w:pPr>
      <w:bookmarkStart w:id="264" w:name="lt_pId105"/>
      <w:r w:rsidRPr="009A780E">
        <w:rPr>
          <w:rFonts w:ascii="Arial" w:eastAsia="Arial" w:hAnsi="Arial" w:cs="Arial"/>
          <w:szCs w:val="23"/>
          <w:lang w:val="fr-CA"/>
        </w:rPr>
        <w:tab/>
        <w:t>b)</w:t>
      </w:r>
      <w:r w:rsidRPr="009A780E">
        <w:rPr>
          <w:rFonts w:ascii="Arial" w:eastAsia="Arial" w:hAnsi="Arial" w:cs="Arial"/>
          <w:szCs w:val="23"/>
          <w:lang w:val="fr-CA"/>
        </w:rPr>
        <w:tab/>
        <w:t>le « chanvre industriel » et « dérivés » tels que définis dans le</w:t>
      </w:r>
      <w:r w:rsidR="00FE3EAB" w:rsidRPr="009A780E">
        <w:rPr>
          <w:rFonts w:ascii="Arial" w:eastAsia="Arial" w:hAnsi="Arial" w:cs="Arial"/>
          <w:i/>
          <w:iCs/>
          <w:szCs w:val="23"/>
          <w:lang w:val="fr-CA"/>
        </w:rPr>
        <w:t xml:space="preserve"> </w:t>
      </w:r>
      <w:r w:rsidRPr="009A780E">
        <w:rPr>
          <w:rFonts w:ascii="Arial" w:eastAsia="Arial" w:hAnsi="Arial" w:cs="Arial"/>
          <w:i/>
          <w:iCs/>
          <w:szCs w:val="23"/>
          <w:lang w:val="fr-CA"/>
        </w:rPr>
        <w:lastRenderedPageBreak/>
        <w:t xml:space="preserve">Règlement sur le chanvre industriel </w:t>
      </w:r>
      <w:r w:rsidRPr="009A780E">
        <w:rPr>
          <w:rFonts w:ascii="Arial" w:eastAsia="Arial" w:hAnsi="Arial" w:cs="Arial"/>
          <w:iCs/>
          <w:szCs w:val="23"/>
          <w:lang w:val="fr-CA"/>
        </w:rPr>
        <w:t>(Canada), avec ses modifications</w:t>
      </w:r>
      <w:r w:rsidRPr="009A780E">
        <w:rPr>
          <w:rFonts w:ascii="Arial" w:eastAsia="Arial" w:hAnsi="Arial" w:cs="Arial"/>
          <w:i/>
          <w:iCs/>
          <w:szCs w:val="23"/>
          <w:lang w:val="fr-CA"/>
        </w:rPr>
        <w:t>;</w:t>
      </w:r>
      <w:bookmarkEnd w:id="264"/>
    </w:p>
    <w:p w14:paraId="0DAB24E7" w14:textId="5AF96DD7" w:rsidR="00C20778" w:rsidRPr="009A780E" w:rsidRDefault="00C20778" w:rsidP="009A780E">
      <w:pPr>
        <w:widowControl w:val="0"/>
        <w:tabs>
          <w:tab w:val="left" w:pos="720"/>
          <w:tab w:val="left" w:pos="1440"/>
          <w:tab w:val="left" w:pos="2160"/>
          <w:tab w:val="left" w:pos="2880"/>
        </w:tabs>
        <w:autoSpaceDE w:val="0"/>
        <w:autoSpaceDN w:val="0"/>
        <w:adjustRightInd w:val="0"/>
        <w:spacing w:after="240" w:line="252" w:lineRule="auto"/>
        <w:ind w:left="1440" w:right="720" w:hanging="1440"/>
        <w:rPr>
          <w:rFonts w:ascii="Arial" w:eastAsia="Arial" w:hAnsi="Arial" w:cs="Arial"/>
          <w:szCs w:val="23"/>
          <w:lang w:val="fr-CA"/>
        </w:rPr>
      </w:pPr>
      <w:bookmarkStart w:id="265" w:name="lt_pId106"/>
      <w:r w:rsidRPr="009A780E">
        <w:rPr>
          <w:rFonts w:ascii="Arial" w:eastAsia="Arial" w:hAnsi="Arial" w:cs="Arial"/>
          <w:szCs w:val="23"/>
          <w:lang w:val="fr-CA"/>
        </w:rPr>
        <w:tab/>
        <w:t>a)</w:t>
      </w:r>
      <w:r w:rsidRPr="009A780E">
        <w:rPr>
          <w:rFonts w:ascii="Arial" w:eastAsia="Arial" w:hAnsi="Arial" w:cs="Arial"/>
          <w:szCs w:val="23"/>
          <w:lang w:val="fr-CA"/>
        </w:rPr>
        <w:tab/>
        <w:t xml:space="preserve">le cannabis vendu à des fins médicales en vertu des articles 26 et 27 de la partie 2 ou de la partie 14 du </w:t>
      </w:r>
      <w:r w:rsidRPr="009A780E">
        <w:rPr>
          <w:rFonts w:ascii="Arial" w:eastAsia="Arial" w:hAnsi="Arial" w:cs="Arial"/>
          <w:i/>
          <w:iCs/>
          <w:szCs w:val="23"/>
          <w:lang w:val="fr-CA"/>
        </w:rPr>
        <w:t xml:space="preserve">Règlement sur le cannabis </w:t>
      </w:r>
      <w:r w:rsidRPr="009A780E">
        <w:rPr>
          <w:rFonts w:ascii="Arial" w:eastAsia="Arial" w:hAnsi="Arial" w:cs="Arial"/>
          <w:iCs/>
          <w:szCs w:val="23"/>
          <w:lang w:val="fr-CA"/>
        </w:rPr>
        <w:t>(Canada), avec ses modifications</w:t>
      </w:r>
      <w:r w:rsidRPr="009A780E">
        <w:rPr>
          <w:rFonts w:ascii="Arial" w:eastAsia="Arial" w:hAnsi="Arial" w:cs="Arial"/>
          <w:i/>
          <w:iCs/>
          <w:szCs w:val="23"/>
          <w:lang w:val="fr-CA"/>
        </w:rPr>
        <w:t>;</w:t>
      </w:r>
      <w:bookmarkEnd w:id="265"/>
    </w:p>
    <w:p w14:paraId="79B371AE" w14:textId="70E52D2B" w:rsidR="00C20778" w:rsidRPr="009A780E" w:rsidRDefault="00C20778" w:rsidP="009A780E">
      <w:pPr>
        <w:widowControl w:val="0"/>
        <w:tabs>
          <w:tab w:val="left" w:pos="720"/>
          <w:tab w:val="left" w:pos="1440"/>
          <w:tab w:val="left" w:pos="2160"/>
          <w:tab w:val="left" w:pos="2880"/>
        </w:tabs>
        <w:autoSpaceDE w:val="0"/>
        <w:autoSpaceDN w:val="0"/>
        <w:adjustRightInd w:val="0"/>
        <w:spacing w:after="240" w:line="252" w:lineRule="auto"/>
        <w:ind w:left="1440" w:right="720" w:hanging="1440"/>
        <w:rPr>
          <w:rFonts w:ascii="Arial" w:eastAsia="Arial" w:hAnsi="Arial" w:cs="Arial"/>
          <w:szCs w:val="23"/>
          <w:lang w:val="fr-CA"/>
        </w:rPr>
      </w:pPr>
      <w:bookmarkStart w:id="266" w:name="lt_pId107"/>
      <w:r w:rsidRPr="009A780E">
        <w:rPr>
          <w:rFonts w:ascii="Arial" w:eastAsia="Arial" w:hAnsi="Arial" w:cs="Arial"/>
          <w:szCs w:val="23"/>
          <w:lang w:val="fr-CA"/>
        </w:rPr>
        <w:tab/>
        <w:t>b)</w:t>
      </w:r>
      <w:r w:rsidRPr="009A780E">
        <w:rPr>
          <w:rFonts w:ascii="Arial" w:eastAsia="Arial" w:hAnsi="Arial" w:cs="Arial"/>
          <w:szCs w:val="23"/>
          <w:lang w:val="fr-CA"/>
        </w:rPr>
        <w:tab/>
        <w:t xml:space="preserve">les drogues contenant du cannabis, comme décrites dans le </w:t>
      </w:r>
      <w:r w:rsidRPr="009A780E">
        <w:rPr>
          <w:rFonts w:ascii="Arial" w:eastAsia="Arial" w:hAnsi="Arial" w:cs="Arial"/>
          <w:i/>
          <w:iCs/>
          <w:szCs w:val="23"/>
          <w:lang w:val="fr-CA"/>
        </w:rPr>
        <w:t xml:space="preserve">Règlement sur le cannabis </w:t>
      </w:r>
      <w:r w:rsidRPr="009A780E">
        <w:rPr>
          <w:rFonts w:ascii="Arial" w:eastAsia="Arial" w:hAnsi="Arial" w:cs="Arial"/>
          <w:iCs/>
          <w:szCs w:val="23"/>
          <w:lang w:val="fr-CA"/>
        </w:rPr>
        <w:t>(Canada), avec ses modifications;</w:t>
      </w:r>
      <w:bookmarkEnd w:id="266"/>
      <w:r w:rsidRPr="009A780E">
        <w:rPr>
          <w:rFonts w:ascii="Arial" w:eastAsia="Arial" w:hAnsi="Arial" w:cs="Arial"/>
          <w:i/>
          <w:iCs/>
          <w:szCs w:val="23"/>
          <w:lang w:val="fr-CA"/>
        </w:rPr>
        <w:t xml:space="preserve"> </w:t>
      </w:r>
    </w:p>
    <w:p w14:paraId="741D1027" w14:textId="4B4F0C7E" w:rsidR="00C20778" w:rsidRPr="009A780E" w:rsidRDefault="00C20778" w:rsidP="009A780E">
      <w:pPr>
        <w:widowControl w:val="0"/>
        <w:tabs>
          <w:tab w:val="left" w:pos="720"/>
          <w:tab w:val="left" w:pos="1440"/>
          <w:tab w:val="left" w:pos="2160"/>
          <w:tab w:val="left" w:pos="2880"/>
        </w:tabs>
        <w:autoSpaceDE w:val="0"/>
        <w:autoSpaceDN w:val="0"/>
        <w:adjustRightInd w:val="0"/>
        <w:spacing w:after="240" w:line="252" w:lineRule="auto"/>
        <w:ind w:left="1440" w:right="720" w:hanging="1440"/>
        <w:rPr>
          <w:rFonts w:ascii="Arial" w:eastAsia="Arial" w:hAnsi="Arial" w:cs="Arial"/>
          <w:szCs w:val="23"/>
          <w:lang w:val="fr-CA"/>
        </w:rPr>
      </w:pPr>
      <w:bookmarkStart w:id="267" w:name="lt_pId108"/>
      <w:r w:rsidRPr="009A780E">
        <w:rPr>
          <w:rFonts w:ascii="Arial" w:eastAsia="Arial" w:hAnsi="Arial" w:cs="Arial"/>
          <w:szCs w:val="23"/>
          <w:lang w:val="fr-CA"/>
        </w:rPr>
        <w:tab/>
        <w:t>c)</w:t>
      </w:r>
      <w:r w:rsidRPr="009A780E">
        <w:rPr>
          <w:rFonts w:ascii="Arial" w:eastAsia="Arial" w:hAnsi="Arial" w:cs="Arial"/>
          <w:szCs w:val="23"/>
          <w:lang w:val="fr-CA"/>
        </w:rPr>
        <w:tab/>
        <w:t xml:space="preserve">les « produits mixtes », comme définis dans le </w:t>
      </w:r>
      <w:r w:rsidRPr="009A780E">
        <w:rPr>
          <w:rFonts w:ascii="Arial" w:eastAsia="Arial" w:hAnsi="Arial" w:cs="Arial"/>
          <w:i/>
          <w:iCs/>
          <w:szCs w:val="23"/>
          <w:lang w:val="fr-CA"/>
        </w:rPr>
        <w:t xml:space="preserve">Règlement sur le cannabis </w:t>
      </w:r>
      <w:r w:rsidRPr="009A780E">
        <w:rPr>
          <w:rFonts w:ascii="Arial" w:eastAsia="Arial" w:hAnsi="Arial" w:cs="Arial"/>
          <w:iCs/>
          <w:szCs w:val="23"/>
          <w:lang w:val="fr-CA"/>
        </w:rPr>
        <w:t xml:space="preserve">(Canada), avec ses modifications; </w:t>
      </w:r>
      <w:bookmarkEnd w:id="267"/>
    </w:p>
    <w:p w14:paraId="1A019065" w14:textId="32575BD2" w:rsidR="00C20778" w:rsidRPr="009A780E" w:rsidRDefault="00C20778" w:rsidP="009A780E">
      <w:pPr>
        <w:widowControl w:val="0"/>
        <w:tabs>
          <w:tab w:val="left" w:pos="720"/>
          <w:tab w:val="left" w:pos="1440"/>
          <w:tab w:val="left" w:pos="2160"/>
          <w:tab w:val="left" w:pos="2880"/>
        </w:tabs>
        <w:autoSpaceDE w:val="0"/>
        <w:autoSpaceDN w:val="0"/>
        <w:adjustRightInd w:val="0"/>
        <w:spacing w:after="120" w:line="252" w:lineRule="auto"/>
        <w:ind w:left="1440" w:right="720" w:hanging="1440"/>
        <w:contextualSpacing/>
        <w:rPr>
          <w:rFonts w:ascii="Arial" w:eastAsia="Arial" w:hAnsi="Arial" w:cs="Arial"/>
          <w:iCs/>
          <w:szCs w:val="23"/>
          <w:lang w:val="fr-CA"/>
        </w:rPr>
      </w:pPr>
      <w:bookmarkStart w:id="268" w:name="lt_pId109"/>
      <w:r w:rsidRPr="009A780E">
        <w:rPr>
          <w:rFonts w:ascii="Arial" w:eastAsia="Arial" w:hAnsi="Arial" w:cs="Arial"/>
          <w:iCs/>
          <w:szCs w:val="23"/>
          <w:lang w:val="fr-CA"/>
        </w:rPr>
        <w:tab/>
        <w:t>d)</w:t>
      </w:r>
      <w:r w:rsidRPr="009A780E">
        <w:rPr>
          <w:rFonts w:ascii="Arial" w:eastAsia="Arial" w:hAnsi="Arial" w:cs="Arial"/>
          <w:iCs/>
          <w:szCs w:val="23"/>
          <w:lang w:val="fr-CA"/>
        </w:rPr>
        <w:tab/>
        <w:t xml:space="preserve">le cannabis qui n’est pas exclu de l’application de la </w:t>
      </w:r>
      <w:r w:rsidRPr="009A780E">
        <w:rPr>
          <w:rFonts w:ascii="Arial" w:eastAsia="Arial" w:hAnsi="Arial" w:cs="Arial"/>
          <w:i/>
          <w:iCs/>
          <w:szCs w:val="23"/>
          <w:lang w:val="fr-CA"/>
        </w:rPr>
        <w:t xml:space="preserve">Loi sur les aliments et les drogues </w:t>
      </w:r>
      <w:r w:rsidRPr="009A780E">
        <w:rPr>
          <w:rFonts w:ascii="Arial" w:eastAsia="Arial" w:hAnsi="Arial" w:cs="Arial"/>
          <w:iCs/>
          <w:szCs w:val="23"/>
          <w:lang w:val="fr-CA"/>
        </w:rPr>
        <w:t xml:space="preserve">(Canada) en vertu du </w:t>
      </w:r>
      <w:r w:rsidRPr="009A780E">
        <w:rPr>
          <w:rFonts w:ascii="Arial" w:eastAsia="Arial" w:hAnsi="Arial" w:cs="Arial"/>
          <w:i/>
          <w:szCs w:val="23"/>
          <w:lang w:val="fr-CA"/>
        </w:rPr>
        <w:t>Règlement d’exemption du cannabis (Loi sur les aliments et drogues)</w:t>
      </w:r>
      <w:r w:rsidRPr="009A780E">
        <w:rPr>
          <w:rFonts w:ascii="Arial" w:eastAsia="Arial" w:hAnsi="Arial" w:cs="Arial"/>
          <w:iCs/>
          <w:szCs w:val="23"/>
          <w:lang w:val="fr-CA"/>
        </w:rPr>
        <w:t xml:space="preserve"> (Canada), </w:t>
      </w:r>
      <w:bookmarkEnd w:id="268"/>
      <w:r w:rsidRPr="009A780E">
        <w:rPr>
          <w:rFonts w:ascii="Arial" w:eastAsia="Arial" w:hAnsi="Arial" w:cs="Arial"/>
          <w:iCs/>
          <w:szCs w:val="23"/>
          <w:lang w:val="fr-CA"/>
        </w:rPr>
        <w:t>avec ses modifications.</w:t>
      </w:r>
    </w:p>
    <w:p w14:paraId="490D3FA4" w14:textId="77777777" w:rsidR="00C20778" w:rsidRPr="009A780E" w:rsidRDefault="00C20778" w:rsidP="00C20778">
      <w:pPr>
        <w:widowControl w:val="0"/>
        <w:autoSpaceDE w:val="0"/>
        <w:autoSpaceDN w:val="0"/>
        <w:adjustRightInd w:val="0"/>
        <w:ind w:left="1134" w:hanging="425"/>
        <w:rPr>
          <w:rFonts w:ascii="Arial" w:eastAsia="Times New Roman" w:hAnsi="Arial" w:cs="Arial"/>
          <w:szCs w:val="23"/>
          <w:lang w:val="fr-CA" w:eastAsia="en-CA"/>
        </w:rPr>
      </w:pPr>
    </w:p>
    <w:p w14:paraId="1C4F6553" w14:textId="77777777" w:rsidR="00C20778" w:rsidRPr="009A780E" w:rsidRDefault="00C20778" w:rsidP="00C20778">
      <w:pPr>
        <w:widowControl w:val="0"/>
        <w:tabs>
          <w:tab w:val="left" w:pos="720"/>
          <w:tab w:val="left" w:pos="1440"/>
          <w:tab w:val="left" w:pos="2160"/>
          <w:tab w:val="left" w:pos="2880"/>
        </w:tabs>
        <w:autoSpaceDE w:val="0"/>
        <w:autoSpaceDN w:val="0"/>
        <w:adjustRightInd w:val="0"/>
        <w:rPr>
          <w:rFonts w:ascii="Arial" w:eastAsia="Times New Roman" w:hAnsi="Arial" w:cs="Arial"/>
          <w:szCs w:val="23"/>
          <w:lang w:val="fr-CA" w:eastAsia="en-CA"/>
        </w:rPr>
      </w:pPr>
      <w:bookmarkStart w:id="269" w:name="lt_pId110"/>
      <w:proofErr w:type="gramStart"/>
      <w:r w:rsidRPr="009A780E">
        <w:rPr>
          <w:rFonts w:ascii="Arial" w:eastAsia="Times New Roman" w:hAnsi="Arial" w:cs="Arial"/>
          <w:b/>
          <w:bCs/>
          <w:iCs/>
          <w:szCs w:val="23"/>
          <w:lang w:val="fr-CA" w:eastAsia="en-CA"/>
        </w:rPr>
        <w:t>accessoire</w:t>
      </w:r>
      <w:proofErr w:type="gramEnd"/>
      <w:r w:rsidRPr="009A780E">
        <w:rPr>
          <w:rFonts w:ascii="Arial" w:eastAsia="Times New Roman" w:hAnsi="Arial" w:cs="Arial"/>
          <w:b/>
          <w:bCs/>
          <w:iCs/>
          <w:szCs w:val="23"/>
          <w:lang w:val="fr-CA" w:eastAsia="en-CA"/>
        </w:rPr>
        <w:t xml:space="preserve"> de cannabis </w:t>
      </w:r>
      <w:r w:rsidRPr="009A780E">
        <w:rPr>
          <w:rFonts w:ascii="Arial" w:eastAsia="Times New Roman" w:hAnsi="Arial" w:cs="Arial"/>
          <w:szCs w:val="23"/>
          <w:lang w:val="fr-CA" w:eastAsia="en-CA"/>
        </w:rPr>
        <w:t xml:space="preserve">désigne « accessoire » tel que défini dans la </w:t>
      </w:r>
      <w:r w:rsidRPr="009A780E">
        <w:rPr>
          <w:rFonts w:ascii="Arial" w:eastAsia="Times New Roman" w:hAnsi="Arial" w:cs="Arial"/>
          <w:i/>
          <w:szCs w:val="23"/>
          <w:lang w:val="fr-CA" w:eastAsia="en-CA"/>
        </w:rPr>
        <w:t xml:space="preserve">Loi sur le cannabis </w:t>
      </w:r>
      <w:r w:rsidRPr="009A780E">
        <w:rPr>
          <w:rFonts w:ascii="Arial" w:eastAsia="Times New Roman" w:hAnsi="Arial" w:cs="Arial"/>
          <w:szCs w:val="23"/>
          <w:lang w:val="fr-CA" w:eastAsia="en-CA"/>
        </w:rPr>
        <w:t>(Canada)</w:t>
      </w:r>
      <w:r w:rsidRPr="009A780E">
        <w:rPr>
          <w:rFonts w:ascii="Arial" w:eastAsia="Times New Roman" w:hAnsi="Arial" w:cs="Arial"/>
          <w:i/>
          <w:szCs w:val="23"/>
          <w:lang w:val="fr-CA" w:eastAsia="en-CA"/>
        </w:rPr>
        <w:t xml:space="preserve">, </w:t>
      </w:r>
      <w:r w:rsidRPr="009A780E">
        <w:rPr>
          <w:rFonts w:ascii="Arial" w:eastAsia="Times New Roman" w:hAnsi="Arial" w:cs="Arial"/>
          <w:szCs w:val="23"/>
          <w:lang w:val="fr-CA" w:eastAsia="en-CA"/>
        </w:rPr>
        <w:t>avec ses modifications, mais n’inclut pas un accessoire de cannabis qui contient du cannabis;</w:t>
      </w:r>
      <w:bookmarkEnd w:id="269"/>
    </w:p>
    <w:p w14:paraId="2CEEE676" w14:textId="77777777" w:rsidR="00C20778" w:rsidRPr="009A780E" w:rsidRDefault="00C20778" w:rsidP="00C20778">
      <w:pPr>
        <w:widowControl w:val="0"/>
        <w:tabs>
          <w:tab w:val="left" w:pos="720"/>
          <w:tab w:val="left" w:pos="1440"/>
          <w:tab w:val="left" w:pos="2160"/>
          <w:tab w:val="left" w:pos="2880"/>
        </w:tabs>
        <w:autoSpaceDE w:val="0"/>
        <w:autoSpaceDN w:val="0"/>
        <w:adjustRightInd w:val="0"/>
        <w:ind w:left="1134" w:hanging="425"/>
        <w:rPr>
          <w:rFonts w:ascii="Arial" w:eastAsia="Times New Roman" w:hAnsi="Arial" w:cs="Arial"/>
          <w:szCs w:val="23"/>
          <w:lang w:val="fr-CA" w:eastAsia="en-CA"/>
        </w:rPr>
      </w:pPr>
    </w:p>
    <w:p w14:paraId="727685AF" w14:textId="640C1761" w:rsidR="00C20778" w:rsidRPr="009A780E" w:rsidRDefault="00C20778" w:rsidP="00C20778">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bookmarkStart w:id="270" w:name="lt_pId111"/>
      <w:proofErr w:type="gramStart"/>
      <w:r w:rsidRPr="009A780E">
        <w:rPr>
          <w:rFonts w:ascii="Arial" w:eastAsia="Times New Roman" w:hAnsi="Arial" w:cs="Arial"/>
          <w:b/>
          <w:szCs w:val="23"/>
          <w:lang w:val="fr-CA" w:eastAsia="en-CA"/>
        </w:rPr>
        <w:t>plante</w:t>
      </w:r>
      <w:proofErr w:type="gramEnd"/>
      <w:r w:rsidRPr="009A780E">
        <w:rPr>
          <w:rFonts w:ascii="Arial" w:eastAsia="Times New Roman" w:hAnsi="Arial" w:cs="Arial"/>
          <w:b/>
          <w:szCs w:val="23"/>
          <w:lang w:val="fr-CA" w:eastAsia="en-CA"/>
        </w:rPr>
        <w:t xml:space="preserve"> de cannabis </w:t>
      </w:r>
      <w:r w:rsidRPr="009A780E">
        <w:rPr>
          <w:rFonts w:ascii="Arial" w:eastAsia="Times New Roman" w:hAnsi="Arial" w:cs="Arial"/>
          <w:szCs w:val="23"/>
          <w:lang w:val="fr-CA" w:eastAsia="en-CA"/>
        </w:rPr>
        <w:t xml:space="preserve">désigne « plante de cannabis » tel que défini dans la </w:t>
      </w:r>
      <w:r w:rsidRPr="009A780E">
        <w:rPr>
          <w:rFonts w:ascii="Arial" w:eastAsia="Times New Roman" w:hAnsi="Arial" w:cs="Arial"/>
          <w:i/>
          <w:szCs w:val="23"/>
          <w:lang w:val="fr-CA" w:eastAsia="en-CA"/>
        </w:rPr>
        <w:t xml:space="preserve">Loi sur le cannabis </w:t>
      </w:r>
      <w:r w:rsidRPr="009A780E">
        <w:rPr>
          <w:rFonts w:ascii="Arial" w:eastAsia="Times New Roman" w:hAnsi="Arial" w:cs="Arial"/>
          <w:szCs w:val="23"/>
          <w:lang w:val="fr-CA" w:eastAsia="en-CA"/>
        </w:rPr>
        <w:t>(Canada)</w:t>
      </w:r>
      <w:r w:rsidRPr="009A780E">
        <w:rPr>
          <w:rFonts w:ascii="Arial" w:eastAsia="Times New Roman" w:hAnsi="Arial" w:cs="Arial"/>
          <w:i/>
          <w:szCs w:val="23"/>
          <w:lang w:val="fr-CA" w:eastAsia="en-CA"/>
        </w:rPr>
        <w:t xml:space="preserve">, </w:t>
      </w:r>
      <w:r w:rsidRPr="009A780E">
        <w:rPr>
          <w:rFonts w:ascii="Arial" w:eastAsia="Times New Roman" w:hAnsi="Arial" w:cs="Arial"/>
          <w:szCs w:val="23"/>
          <w:lang w:val="fr-CA" w:eastAsia="en-CA"/>
        </w:rPr>
        <w:t>avec ses modifications;</w:t>
      </w:r>
      <w:bookmarkEnd w:id="270"/>
      <w:r w:rsidRPr="009A780E">
        <w:rPr>
          <w:rFonts w:ascii="Arial" w:eastAsia="Times New Roman" w:hAnsi="Arial" w:cs="Arial"/>
          <w:szCs w:val="23"/>
          <w:lang w:val="fr-CA" w:eastAsia="en-CA"/>
        </w:rPr>
        <w:t> </w:t>
      </w:r>
    </w:p>
    <w:p w14:paraId="682333F7" w14:textId="77777777" w:rsidR="00C20778" w:rsidRPr="00F52884" w:rsidRDefault="00C20778"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10266BF2" w14:textId="42EBF177" w:rsidR="00B308C6" w:rsidRPr="00F52884" w:rsidRDefault="00B308C6" w:rsidP="00B308C6">
      <w:pPr>
        <w:rPr>
          <w:rFonts w:cstheme="minorHAnsi"/>
          <w:szCs w:val="23"/>
          <w:lang w:val="fr-CA"/>
        </w:rPr>
      </w:pPr>
      <w:r w:rsidRPr="00F52884">
        <w:rPr>
          <w:rFonts w:cstheme="minorHAnsi"/>
          <w:b/>
          <w:bCs/>
          <w:szCs w:val="23"/>
          <w:lang w:val="fr-CA"/>
        </w:rPr>
        <w:t>Comité</w:t>
      </w:r>
      <w:r w:rsidRPr="00F52884">
        <w:rPr>
          <w:rFonts w:cstheme="minorHAnsi"/>
          <w:szCs w:val="23"/>
          <w:lang w:val="fr-CA"/>
        </w:rPr>
        <w:t xml:space="preserve"> </w:t>
      </w:r>
      <w:proofErr w:type="spellStart"/>
      <w:r w:rsidRPr="00F52884">
        <w:rPr>
          <w:rFonts w:cstheme="minorHAnsi"/>
          <w:szCs w:val="23"/>
          <w:lang w:val="fr-CA"/>
        </w:rPr>
        <w:t>Comité</w:t>
      </w:r>
      <w:proofErr w:type="spellEnd"/>
      <w:r w:rsidRPr="00F52884">
        <w:rPr>
          <w:rFonts w:cstheme="minorHAnsi"/>
          <w:szCs w:val="23"/>
          <w:lang w:val="fr-CA"/>
        </w:rPr>
        <w:t xml:space="preserve"> du commerce intérieur reconduit en vertu de l’article 1100 (Comité du commerce intérieur);</w:t>
      </w:r>
    </w:p>
    <w:p w14:paraId="2D07DD49" w14:textId="77777777" w:rsidR="00B308C6" w:rsidRPr="00F52884" w:rsidRDefault="00B308C6" w:rsidP="00B308C6">
      <w:pPr>
        <w:rPr>
          <w:rFonts w:cstheme="minorHAnsi"/>
          <w:szCs w:val="23"/>
          <w:lang w:val="fr-CA"/>
        </w:rPr>
      </w:pPr>
    </w:p>
    <w:p w14:paraId="21C1001B" w14:textId="134E2F62"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roofErr w:type="gramStart"/>
      <w:r w:rsidRPr="00F52884">
        <w:rPr>
          <w:rFonts w:cstheme="minorHAnsi"/>
          <w:b/>
          <w:bCs/>
          <w:szCs w:val="23"/>
          <w:lang w:val="fr-CA"/>
        </w:rPr>
        <w:t>conciliation</w:t>
      </w:r>
      <w:proofErr w:type="gramEnd"/>
      <w:r w:rsidRPr="00F52884">
        <w:rPr>
          <w:rFonts w:cstheme="minorHAnsi"/>
          <w:szCs w:val="23"/>
          <w:lang w:val="fr-CA"/>
        </w:rPr>
        <w:t xml:space="preserve"> Résultat de la mise en œuvre d’un accord de conciliation destiné à faire en sorte que les mesures réglementaires identifiées dans cet accord ne constituent plus un </w:t>
      </w:r>
      <w:r w:rsidRPr="00F52884">
        <w:rPr>
          <w:rFonts w:eastAsia="Times New Roman" w:cstheme="minorHAnsi"/>
          <w:szCs w:val="23"/>
          <w:lang w:val="fr-CA"/>
        </w:rPr>
        <w:t>obstacle au commerce, à l’investissement ou à la mobilité de la main-d’œuvre à l’intérieur du Canada</w:t>
      </w:r>
      <w:r w:rsidRPr="00F52884">
        <w:rPr>
          <w:rFonts w:cstheme="minorHAnsi"/>
          <w:szCs w:val="23"/>
          <w:lang w:val="fr-CA"/>
        </w:rPr>
        <w:t>;</w:t>
      </w:r>
    </w:p>
    <w:p w14:paraId="6AAB5E35" w14:textId="397C82E4" w:rsidR="00B308C6" w:rsidRPr="00F52884" w:rsidRDefault="00B308C6" w:rsidP="00B308C6">
      <w:pPr>
        <w:rPr>
          <w:rFonts w:cstheme="minorHAnsi"/>
          <w:szCs w:val="23"/>
          <w:lang w:val="fr-CA"/>
        </w:rPr>
      </w:pPr>
      <w:r w:rsidRPr="00F52884" w:rsidDel="000E4026">
        <w:rPr>
          <w:rFonts w:cstheme="minorHAnsi"/>
          <w:szCs w:val="23"/>
          <w:lang w:val="fr-CA"/>
        </w:rPr>
        <w:t xml:space="preserve"> </w:t>
      </w:r>
    </w:p>
    <w:p w14:paraId="4B49F849" w14:textId="6B9DA2E8" w:rsidR="00B308C6" w:rsidRPr="00F52884" w:rsidRDefault="00B308C6" w:rsidP="00B308C6">
      <w:pPr>
        <w:rPr>
          <w:rFonts w:cstheme="minorHAnsi"/>
          <w:szCs w:val="23"/>
          <w:lang w:val="fr-CA"/>
        </w:rPr>
      </w:pPr>
      <w:proofErr w:type="gramStart"/>
      <w:r w:rsidRPr="00F52884">
        <w:rPr>
          <w:rFonts w:cstheme="minorHAnsi"/>
          <w:b/>
          <w:bCs/>
          <w:szCs w:val="23"/>
          <w:lang w:val="fr-CA"/>
        </w:rPr>
        <w:t>consommateur</w:t>
      </w:r>
      <w:proofErr w:type="gramEnd"/>
      <w:r w:rsidRPr="00F52884">
        <w:rPr>
          <w:rFonts w:cstheme="minorHAnsi"/>
          <w:szCs w:val="23"/>
          <w:lang w:val="fr-CA"/>
        </w:rPr>
        <w:t xml:space="preserve"> Personne physique qui se voit offrir, acquiert ou utilise un produit ou un service destiné principalement à des fins personnelles, familiales ou domestiques;</w:t>
      </w:r>
    </w:p>
    <w:p w14:paraId="6FC6EAF9" w14:textId="77777777" w:rsidR="00B308C6" w:rsidRPr="00F52884" w:rsidRDefault="00B308C6" w:rsidP="00B308C6">
      <w:pPr>
        <w:rPr>
          <w:rFonts w:cstheme="minorHAnsi"/>
          <w:szCs w:val="23"/>
          <w:lang w:val="fr-CA"/>
        </w:rPr>
      </w:pPr>
    </w:p>
    <w:p w14:paraId="3D314639" w14:textId="2746FE10" w:rsidR="00B308C6" w:rsidRPr="00F52884" w:rsidRDefault="00B308C6" w:rsidP="00B308C6">
      <w:pPr>
        <w:rPr>
          <w:rFonts w:cstheme="minorHAnsi"/>
          <w:szCs w:val="23"/>
          <w:lang w:val="fr-CA"/>
        </w:rPr>
      </w:pPr>
      <w:proofErr w:type="gramStart"/>
      <w:r w:rsidRPr="00F52884">
        <w:rPr>
          <w:rFonts w:cstheme="minorHAnsi"/>
          <w:b/>
          <w:bCs/>
          <w:szCs w:val="23"/>
          <w:lang w:val="fr-CA"/>
        </w:rPr>
        <w:t>contrôle</w:t>
      </w:r>
      <w:proofErr w:type="gramEnd"/>
      <w:r w:rsidRPr="00F52884">
        <w:rPr>
          <w:rFonts w:cstheme="minorHAnsi"/>
          <w:b/>
          <w:bCs/>
          <w:szCs w:val="23"/>
          <w:lang w:val="fr-CA"/>
        </w:rPr>
        <w:t xml:space="preserve"> du tabagisme</w:t>
      </w:r>
      <w:r w:rsidRPr="00F52884">
        <w:rPr>
          <w:rFonts w:cstheme="minorHAnsi"/>
          <w:szCs w:val="23"/>
          <w:lang w:val="fr-CA"/>
        </w:rPr>
        <w:t xml:space="preserve"> Mesure prise par une Partie concernant la production ou la consommation de produits du tabac fabriqués (notamment les produits à base du tabac ou dérivés du tabac), la distribution, l’étiquetage, le conditionnement, la publicité, la commercialisation, la promotion, la vente, l’achat ou l’usage de ces produits, ainsi que les mesures d’application comme l’inspection, la tenue de registres et les prescriptions en matière de communication de rapports;</w:t>
      </w:r>
    </w:p>
    <w:p w14:paraId="265FC49C" w14:textId="77777777" w:rsidR="00B308C6" w:rsidRPr="00F52884" w:rsidRDefault="00B308C6" w:rsidP="00B308C6">
      <w:pPr>
        <w:rPr>
          <w:rFonts w:cstheme="minorHAnsi"/>
          <w:szCs w:val="23"/>
          <w:lang w:val="fr-CA"/>
        </w:rPr>
      </w:pPr>
    </w:p>
    <w:p w14:paraId="4BE8BB30" w14:textId="4B333C9A"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b/>
          <w:szCs w:val="23"/>
          <w:lang w:val="fr-CA"/>
        </w:rPr>
      </w:pPr>
      <w:r w:rsidRPr="00F52884">
        <w:rPr>
          <w:rFonts w:eastAsia="Times New Roman" w:cstheme="minorHAnsi"/>
          <w:b/>
          <w:szCs w:val="23"/>
          <w:lang w:val="fr-CA"/>
        </w:rPr>
        <w:t>CPC</w:t>
      </w:r>
      <w:r w:rsidRPr="00F52884">
        <w:rPr>
          <w:rFonts w:cstheme="minorHAnsi"/>
          <w:szCs w:val="23"/>
          <w:lang w:val="fr-CA"/>
        </w:rPr>
        <w:t xml:space="preserve"> </w:t>
      </w:r>
      <w:r w:rsidRPr="00F52884">
        <w:rPr>
          <w:rFonts w:eastAsia="Times New Roman" w:cstheme="minorHAnsi"/>
          <w:szCs w:val="23"/>
          <w:lang w:val="fr-CA"/>
        </w:rPr>
        <w:t>Classification centrale de produits provisoire telle qu'établie dans le document Études statistiques, Série M, n° 77, </w:t>
      </w:r>
      <w:r w:rsidRPr="00F52884">
        <w:rPr>
          <w:rFonts w:eastAsia="Times New Roman" w:cstheme="minorHAnsi"/>
          <w:i/>
          <w:iCs/>
          <w:szCs w:val="23"/>
          <w:lang w:val="fr-CA"/>
        </w:rPr>
        <w:t>Classification centrale de produits (CPC) provisoire</w:t>
      </w:r>
      <w:r w:rsidRPr="00F52884">
        <w:rPr>
          <w:rFonts w:eastAsia="Times New Roman" w:cstheme="minorHAnsi"/>
          <w:szCs w:val="23"/>
          <w:lang w:val="fr-CA"/>
        </w:rPr>
        <w:t>, 1991 du Bureau de statistique des Nations Unies;</w:t>
      </w:r>
    </w:p>
    <w:p w14:paraId="3A620332"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b/>
          <w:szCs w:val="23"/>
          <w:lang w:val="fr-CA"/>
        </w:rPr>
      </w:pPr>
      <w:r w:rsidRPr="00F52884">
        <w:rPr>
          <w:rFonts w:eastAsia="Times New Roman" w:cstheme="minorHAnsi"/>
          <w:b/>
          <w:szCs w:val="23"/>
          <w:lang w:val="fr-CA"/>
        </w:rPr>
        <w:t xml:space="preserve"> </w:t>
      </w:r>
    </w:p>
    <w:p w14:paraId="5D215813" w14:textId="7A7094CD" w:rsidR="00B308C6" w:rsidRPr="00F52884" w:rsidRDefault="00B308C6" w:rsidP="00B308C6">
      <w:pPr>
        <w:rPr>
          <w:rFonts w:cstheme="minorHAnsi"/>
          <w:b/>
          <w:szCs w:val="23"/>
          <w:lang w:val="fr-CA"/>
        </w:rPr>
      </w:pPr>
      <w:proofErr w:type="gramStart"/>
      <w:r w:rsidRPr="00F52884">
        <w:rPr>
          <w:rFonts w:eastAsia="Times New Roman" w:cstheme="minorHAnsi"/>
          <w:b/>
          <w:szCs w:val="23"/>
          <w:lang w:val="fr-CA"/>
        </w:rPr>
        <w:t>date</w:t>
      </w:r>
      <w:proofErr w:type="gramEnd"/>
      <w:r w:rsidRPr="00F52884">
        <w:rPr>
          <w:rFonts w:eastAsia="Times New Roman" w:cstheme="minorHAnsi"/>
          <w:b/>
          <w:szCs w:val="23"/>
          <w:lang w:val="fr-CA"/>
        </w:rPr>
        <w:t xml:space="preserve"> d’entrée en vigueur</w:t>
      </w:r>
      <w:r w:rsidRPr="00F52884">
        <w:rPr>
          <w:rFonts w:eastAsia="Times New Roman" w:cstheme="minorHAnsi"/>
          <w:szCs w:val="23"/>
          <w:lang w:val="fr-CA"/>
        </w:rPr>
        <w:t xml:space="preserve"> Désigne la « date d’entrée en vigueur » au sens de l’article 12</w:t>
      </w:r>
      <w:r w:rsidR="00C20778">
        <w:rPr>
          <w:rFonts w:eastAsia="Times New Roman" w:cstheme="minorHAnsi"/>
          <w:szCs w:val="23"/>
          <w:lang w:val="fr-CA"/>
        </w:rPr>
        <w:t>09</w:t>
      </w:r>
      <w:r w:rsidRPr="00F52884">
        <w:rPr>
          <w:rFonts w:eastAsia="Times New Roman" w:cstheme="minorHAnsi"/>
          <w:szCs w:val="23"/>
          <w:lang w:val="fr-CA"/>
        </w:rPr>
        <w:t xml:space="preserve"> (Entrée en vigueur);</w:t>
      </w:r>
    </w:p>
    <w:p w14:paraId="633CB29B" w14:textId="77777777" w:rsidR="00B308C6" w:rsidRPr="00F52884" w:rsidRDefault="00B308C6" w:rsidP="00B308C6">
      <w:pPr>
        <w:rPr>
          <w:rFonts w:cstheme="minorHAnsi"/>
          <w:szCs w:val="23"/>
          <w:lang w:val="fr-CA"/>
        </w:rPr>
      </w:pPr>
    </w:p>
    <w:p w14:paraId="2A9CDF1E" w14:textId="7E54992A" w:rsidR="00B308C6" w:rsidRPr="00F52884" w:rsidRDefault="00B308C6" w:rsidP="00B308C6">
      <w:pPr>
        <w:rPr>
          <w:rFonts w:cstheme="minorHAnsi"/>
          <w:szCs w:val="23"/>
          <w:lang w:val="fr-CA"/>
        </w:rPr>
      </w:pPr>
      <w:proofErr w:type="gramStart"/>
      <w:r w:rsidRPr="00F52884">
        <w:rPr>
          <w:rFonts w:cstheme="minorHAnsi"/>
          <w:b/>
          <w:bCs/>
          <w:szCs w:val="23"/>
          <w:lang w:val="fr-CA"/>
        </w:rPr>
        <w:t>date</w:t>
      </w:r>
      <w:proofErr w:type="gramEnd"/>
      <w:r w:rsidRPr="00F52884">
        <w:rPr>
          <w:rFonts w:cstheme="minorHAnsi"/>
          <w:b/>
          <w:bCs/>
          <w:szCs w:val="23"/>
          <w:lang w:val="fr-CA"/>
        </w:rPr>
        <w:t xml:space="preserve"> de la signature du présent accord</w:t>
      </w:r>
      <w:r w:rsidRPr="00F52884">
        <w:rPr>
          <w:rFonts w:cstheme="minorHAnsi"/>
          <w:szCs w:val="23"/>
          <w:lang w:val="fr-CA"/>
        </w:rPr>
        <w:t xml:space="preserve"> Date à laquelle toutes les Parties auront signé le présent accord, à savoir le </w:t>
      </w:r>
      <w:r w:rsidR="00BC5398">
        <w:rPr>
          <w:rFonts w:cstheme="minorHAnsi"/>
          <w:szCs w:val="23"/>
          <w:lang w:val="fr-CA"/>
        </w:rPr>
        <w:t>6 a</w:t>
      </w:r>
      <w:r w:rsidR="00B23531" w:rsidRPr="00F52884">
        <w:rPr>
          <w:rFonts w:cstheme="minorHAnsi"/>
          <w:szCs w:val="23"/>
          <w:lang w:val="fr-CA"/>
        </w:rPr>
        <w:t xml:space="preserve">vril </w:t>
      </w:r>
      <w:r w:rsidR="00BC5398">
        <w:rPr>
          <w:rFonts w:cstheme="minorHAnsi"/>
          <w:szCs w:val="23"/>
          <w:lang w:val="fr-CA"/>
        </w:rPr>
        <w:t>2017</w:t>
      </w:r>
      <w:r w:rsidRPr="00F52884">
        <w:rPr>
          <w:rFonts w:cstheme="minorHAnsi"/>
          <w:szCs w:val="23"/>
          <w:lang w:val="fr-CA"/>
        </w:rPr>
        <w:t>;</w:t>
      </w:r>
    </w:p>
    <w:p w14:paraId="5F285092" w14:textId="77777777" w:rsidR="00B308C6" w:rsidRPr="00F52884" w:rsidRDefault="00B308C6" w:rsidP="00B308C6">
      <w:pPr>
        <w:rPr>
          <w:rFonts w:cstheme="minorHAnsi"/>
          <w:szCs w:val="23"/>
          <w:lang w:val="fr-CA"/>
        </w:rPr>
      </w:pPr>
    </w:p>
    <w:p w14:paraId="28A7E69A" w14:textId="7A934B2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roofErr w:type="gramStart"/>
      <w:r w:rsidRPr="00F52884">
        <w:rPr>
          <w:rFonts w:cstheme="minorHAnsi"/>
          <w:b/>
          <w:bCs/>
          <w:szCs w:val="23"/>
          <w:lang w:val="fr-CA"/>
        </w:rPr>
        <w:t>différend</w:t>
      </w:r>
      <w:proofErr w:type="gramEnd"/>
      <w:r w:rsidRPr="00F52884">
        <w:rPr>
          <w:rFonts w:cstheme="minorHAnsi"/>
          <w:b/>
          <w:bCs/>
          <w:szCs w:val="23"/>
          <w:lang w:val="fr-CA"/>
        </w:rPr>
        <w:t xml:space="preserve"> préexistant</w:t>
      </w:r>
      <w:r w:rsidRPr="00F52884">
        <w:rPr>
          <w:rFonts w:cstheme="minorHAnsi"/>
          <w:szCs w:val="23"/>
          <w:lang w:val="fr-CA"/>
        </w:rPr>
        <w:t xml:space="preserve"> Désigne un « différend préexistant » au sens de l’article 1041 (Définitions);</w:t>
      </w:r>
    </w:p>
    <w:p w14:paraId="4C467B8F"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46FF0014" w14:textId="1682306C" w:rsidR="00B308C6" w:rsidRPr="00F52884" w:rsidRDefault="00B308C6" w:rsidP="00B308C6">
      <w:pPr>
        <w:rPr>
          <w:rFonts w:eastAsia="Times New Roman" w:cstheme="minorHAnsi"/>
          <w:szCs w:val="23"/>
          <w:lang w:val="fr-CA"/>
        </w:rPr>
      </w:pPr>
      <w:proofErr w:type="gramStart"/>
      <w:r w:rsidRPr="00F52884">
        <w:rPr>
          <w:rFonts w:eastAsia="Times New Roman" w:cstheme="minorHAnsi"/>
          <w:b/>
          <w:bCs/>
          <w:szCs w:val="23"/>
          <w:lang w:val="fr-CA"/>
        </w:rPr>
        <w:t>en</w:t>
      </w:r>
      <w:proofErr w:type="gramEnd"/>
      <w:r w:rsidRPr="00F52884">
        <w:rPr>
          <w:rFonts w:eastAsia="Times New Roman" w:cstheme="minorHAnsi"/>
          <w:b/>
          <w:bCs/>
          <w:szCs w:val="23"/>
          <w:lang w:val="fr-CA"/>
        </w:rPr>
        <w:t xml:space="preserve"> s’inspirant de considérations d’ordre commercial</w:t>
      </w:r>
      <w:r w:rsidRPr="00F52884">
        <w:rPr>
          <w:rFonts w:eastAsia="Times New Roman" w:cstheme="minorHAnsi"/>
          <w:szCs w:val="23"/>
          <w:lang w:val="fr-CA"/>
        </w:rPr>
        <w:t xml:space="preserve"> Le prix, la qualité, les quantités disponibles, les qualités marchandes, les transports et les autres modalités et conditions d’achat ou de vente, ou les autres facteurs qui seraient normalement pris en compte dans les décisions commerciales d’une entreprise privée sur le marché concerné;</w:t>
      </w:r>
    </w:p>
    <w:p w14:paraId="3FB2E505" w14:textId="77777777" w:rsidR="00B308C6" w:rsidRPr="00F52884" w:rsidRDefault="00B308C6" w:rsidP="00B308C6">
      <w:pPr>
        <w:pStyle w:val="subparagraph"/>
        <w:tabs>
          <w:tab w:val="left" w:pos="1440"/>
        </w:tabs>
        <w:spacing w:after="0"/>
        <w:ind w:left="0" w:firstLine="0"/>
        <w:rPr>
          <w:rFonts w:asciiTheme="minorHAnsi" w:eastAsia="Times New Roman" w:hAnsiTheme="minorHAnsi" w:cstheme="minorHAnsi"/>
          <w:szCs w:val="23"/>
          <w:lang w:val="fr-CA"/>
        </w:rPr>
      </w:pPr>
    </w:p>
    <w:p w14:paraId="4D08BDEB" w14:textId="532EDBA0" w:rsidR="00B308C6" w:rsidRPr="00F52884" w:rsidRDefault="00B308C6" w:rsidP="00B308C6">
      <w:pPr>
        <w:rPr>
          <w:rFonts w:cstheme="minorHAnsi"/>
          <w:szCs w:val="23"/>
          <w:lang w:val="fr-CA"/>
        </w:rPr>
      </w:pPr>
      <w:proofErr w:type="gramStart"/>
      <w:r w:rsidRPr="00F52884">
        <w:rPr>
          <w:rFonts w:cstheme="minorHAnsi"/>
          <w:b/>
          <w:bCs/>
          <w:szCs w:val="23"/>
          <w:lang w:val="fr-CA"/>
        </w:rPr>
        <w:t>entreprise</w:t>
      </w:r>
      <w:proofErr w:type="gramEnd"/>
      <w:r w:rsidRPr="00F52884">
        <w:rPr>
          <w:rFonts w:cstheme="minorHAnsi"/>
          <w:szCs w:val="23"/>
          <w:lang w:val="fr-CA"/>
        </w:rPr>
        <w:t xml:space="preserve"> Entité constituée, établie ou organisée conformément à la législation applicable, dans un but lucratif ou non, qu’elle soit détenue par le secteur privé ou par le secteur public;</w:t>
      </w:r>
    </w:p>
    <w:p w14:paraId="636AB6B0" w14:textId="77777777" w:rsidR="00B308C6" w:rsidRPr="00F52884" w:rsidRDefault="00B308C6" w:rsidP="00B308C6">
      <w:pPr>
        <w:rPr>
          <w:rFonts w:cstheme="minorHAnsi"/>
          <w:szCs w:val="23"/>
          <w:lang w:val="fr-CA"/>
        </w:rPr>
      </w:pPr>
    </w:p>
    <w:p w14:paraId="0FEF615F" w14:textId="11F3FFCE" w:rsidR="00B308C6" w:rsidRPr="00F52884" w:rsidRDefault="00B308C6" w:rsidP="00B308C6">
      <w:pPr>
        <w:rPr>
          <w:rFonts w:cstheme="minorHAnsi"/>
          <w:szCs w:val="23"/>
          <w:lang w:val="fr-CA"/>
        </w:rPr>
      </w:pPr>
      <w:proofErr w:type="gramStart"/>
      <w:r w:rsidRPr="00F52884">
        <w:rPr>
          <w:rFonts w:cstheme="minorHAnsi"/>
          <w:b/>
          <w:szCs w:val="23"/>
          <w:lang w:val="fr-CA"/>
        </w:rPr>
        <w:t>entreprise</w:t>
      </w:r>
      <w:proofErr w:type="gramEnd"/>
      <w:r w:rsidRPr="00F52884">
        <w:rPr>
          <w:rFonts w:cstheme="minorHAnsi"/>
          <w:szCs w:val="23"/>
          <w:lang w:val="fr-CA"/>
        </w:rPr>
        <w:t xml:space="preserve"> Pour l’application de la partie E du chapitre Trois (Dispositions </w:t>
      </w:r>
      <w:r w:rsidR="001C0611" w:rsidRPr="00F52884">
        <w:rPr>
          <w:rFonts w:cstheme="minorHAnsi"/>
          <w:szCs w:val="23"/>
          <w:lang w:val="fr-CA"/>
        </w:rPr>
        <w:t>particulières</w:t>
      </w:r>
      <w:r w:rsidRPr="00F52884">
        <w:rPr>
          <w:rFonts w:cstheme="minorHAnsi"/>
          <w:szCs w:val="23"/>
          <w:lang w:val="fr-CA"/>
        </w:rPr>
        <w:t>), entité constituée, établie ou organisée à des fins lucratives conformément à la législation applicable d'une Partie, qu’elle soit détenue par le secteur privé ou par le secteur public, y compris toute société, société de fiducie, société de personnes, société coopérative, entreprise individuelle, coentreprise ou autre association;</w:t>
      </w:r>
    </w:p>
    <w:p w14:paraId="6D772E69" w14:textId="77777777" w:rsidR="00B308C6" w:rsidRPr="00F52884" w:rsidRDefault="00B308C6" w:rsidP="00B308C6">
      <w:pPr>
        <w:rPr>
          <w:rFonts w:cstheme="minorHAnsi"/>
          <w:szCs w:val="23"/>
          <w:lang w:val="fr-CA"/>
        </w:rPr>
      </w:pPr>
    </w:p>
    <w:p w14:paraId="103C5521" w14:textId="00779668" w:rsidR="00B308C6" w:rsidRPr="00F52884" w:rsidRDefault="00B308C6" w:rsidP="00B308C6">
      <w:pPr>
        <w:rPr>
          <w:rFonts w:cstheme="minorHAnsi"/>
          <w:szCs w:val="23"/>
          <w:lang w:val="fr-CA"/>
        </w:rPr>
      </w:pPr>
      <w:proofErr w:type="gramStart"/>
      <w:r w:rsidRPr="00F52884">
        <w:rPr>
          <w:rFonts w:cstheme="minorHAnsi"/>
          <w:b/>
          <w:bCs/>
          <w:szCs w:val="23"/>
          <w:lang w:val="fr-CA"/>
        </w:rPr>
        <w:t>entreprise</w:t>
      </w:r>
      <w:proofErr w:type="gramEnd"/>
      <w:r w:rsidRPr="00F52884">
        <w:rPr>
          <w:rFonts w:cstheme="minorHAnsi"/>
          <w:b/>
          <w:bCs/>
          <w:szCs w:val="23"/>
          <w:lang w:val="fr-CA"/>
        </w:rPr>
        <w:t xml:space="preserve"> d’une Partie</w:t>
      </w:r>
      <w:r w:rsidRPr="00F52884">
        <w:rPr>
          <w:rFonts w:cstheme="minorHAnsi"/>
          <w:szCs w:val="23"/>
          <w:lang w:val="fr-CA"/>
        </w:rPr>
        <w:t xml:space="preserve"> Entreprise constituée, établie ou organisée conformément à la législation d’une Partie;</w:t>
      </w:r>
    </w:p>
    <w:p w14:paraId="759A8483" w14:textId="77777777" w:rsidR="00B308C6" w:rsidRPr="00F52884" w:rsidRDefault="00B308C6" w:rsidP="00B308C6">
      <w:pPr>
        <w:rPr>
          <w:rFonts w:cstheme="minorHAnsi"/>
          <w:szCs w:val="23"/>
          <w:lang w:val="fr-CA"/>
        </w:rPr>
      </w:pPr>
    </w:p>
    <w:p w14:paraId="43DA9844" w14:textId="390C9E31" w:rsidR="00B308C6" w:rsidRPr="00F52884" w:rsidRDefault="00B308C6" w:rsidP="00B308C6">
      <w:pPr>
        <w:pStyle w:val="subparagraph"/>
        <w:tabs>
          <w:tab w:val="left" w:pos="1440"/>
        </w:tabs>
        <w:spacing w:after="0"/>
        <w:ind w:left="0" w:firstLine="0"/>
        <w:rPr>
          <w:rFonts w:asciiTheme="minorHAnsi" w:eastAsia="Times New Roman" w:hAnsiTheme="minorHAnsi" w:cstheme="minorHAnsi"/>
          <w:szCs w:val="23"/>
          <w:lang w:val="fr-CA"/>
        </w:rPr>
      </w:pPr>
      <w:proofErr w:type="gramStart"/>
      <w:r w:rsidRPr="00F52884">
        <w:rPr>
          <w:rFonts w:asciiTheme="minorHAnsi" w:eastAsia="Times New Roman" w:hAnsiTheme="minorHAnsi" w:cstheme="minorHAnsi"/>
          <w:b/>
          <w:bCs/>
          <w:szCs w:val="23"/>
          <w:lang w:val="fr-CA"/>
        </w:rPr>
        <w:t>entreprise</w:t>
      </w:r>
      <w:proofErr w:type="gramEnd"/>
      <w:r w:rsidRPr="00F52884">
        <w:rPr>
          <w:rFonts w:asciiTheme="minorHAnsi" w:eastAsia="Times New Roman" w:hAnsiTheme="minorHAnsi" w:cstheme="minorHAnsi"/>
          <w:b/>
          <w:bCs/>
          <w:szCs w:val="23"/>
          <w:lang w:val="fr-CA"/>
        </w:rPr>
        <w:t xml:space="preserve"> publique</w:t>
      </w:r>
      <w:r w:rsidRPr="00F52884">
        <w:rPr>
          <w:rFonts w:asciiTheme="minorHAnsi" w:eastAsia="Times New Roman" w:hAnsiTheme="minorHAnsi" w:cstheme="minorHAnsi"/>
          <w:szCs w:val="23"/>
          <w:lang w:val="fr-CA"/>
        </w:rPr>
        <w:t xml:space="preserve"> Entreprise détenue ou contrôlée par une Partie; </w:t>
      </w:r>
    </w:p>
    <w:p w14:paraId="34103A27" w14:textId="77777777" w:rsidR="00B308C6" w:rsidRPr="00F52884" w:rsidRDefault="00B308C6" w:rsidP="00B308C6">
      <w:pPr>
        <w:pStyle w:val="subparagraph"/>
        <w:tabs>
          <w:tab w:val="left" w:pos="1440"/>
        </w:tabs>
        <w:spacing w:after="0"/>
        <w:ind w:left="0" w:firstLine="0"/>
        <w:rPr>
          <w:rFonts w:asciiTheme="minorHAnsi" w:eastAsia="Times New Roman" w:hAnsiTheme="minorHAnsi" w:cstheme="minorHAnsi"/>
          <w:szCs w:val="23"/>
          <w:lang w:val="fr-CA"/>
        </w:rPr>
      </w:pPr>
    </w:p>
    <w:p w14:paraId="6D93AEA6" w14:textId="6FBADFDA" w:rsidR="00B308C6" w:rsidRPr="00F52884" w:rsidRDefault="00B308C6" w:rsidP="00B308C6">
      <w:pPr>
        <w:rPr>
          <w:rFonts w:cstheme="minorHAnsi"/>
          <w:szCs w:val="23"/>
          <w:lang w:val="fr-CA"/>
        </w:rPr>
      </w:pPr>
      <w:proofErr w:type="gramStart"/>
      <w:r w:rsidRPr="00F52884">
        <w:rPr>
          <w:rFonts w:cstheme="minorHAnsi"/>
          <w:b/>
          <w:bCs/>
          <w:szCs w:val="23"/>
          <w:lang w:val="fr-CA"/>
        </w:rPr>
        <w:t>environnement</w:t>
      </w:r>
      <w:proofErr w:type="gramEnd"/>
      <w:r w:rsidRPr="00F52884">
        <w:rPr>
          <w:rFonts w:cstheme="minorHAnsi"/>
          <w:szCs w:val="23"/>
          <w:lang w:val="fr-CA"/>
        </w:rPr>
        <w:t xml:space="preserve"> Ensemble des conditions et des éléments naturels de la Terre, notamment :</w:t>
      </w:r>
    </w:p>
    <w:p w14:paraId="55A01741" w14:textId="77777777" w:rsidR="00B308C6" w:rsidRPr="00F52884" w:rsidRDefault="00B308C6" w:rsidP="00B308C6">
      <w:pPr>
        <w:rPr>
          <w:rFonts w:cstheme="minorHAnsi"/>
          <w:szCs w:val="23"/>
          <w:lang w:val="fr-CA"/>
        </w:rPr>
      </w:pPr>
    </w:p>
    <w:p w14:paraId="79A909AD" w14:textId="77777777" w:rsidR="00B308C6" w:rsidRPr="00F52884" w:rsidRDefault="00B308C6" w:rsidP="00B308C6">
      <w:pPr>
        <w:pStyle w:val="ListParagraph"/>
        <w:numPr>
          <w:ilvl w:val="0"/>
          <w:numId w:val="414"/>
        </w:numPr>
        <w:ind w:left="1440" w:hanging="720"/>
        <w:rPr>
          <w:rFonts w:cstheme="minorHAnsi"/>
          <w:szCs w:val="23"/>
          <w:lang w:val="fr-CA"/>
        </w:rPr>
      </w:pPr>
      <w:proofErr w:type="gramStart"/>
      <w:r w:rsidRPr="00F52884">
        <w:rPr>
          <w:rFonts w:cstheme="minorHAnsi"/>
          <w:szCs w:val="23"/>
          <w:lang w:val="fr-CA"/>
        </w:rPr>
        <w:t>le</w:t>
      </w:r>
      <w:proofErr w:type="gramEnd"/>
      <w:r w:rsidRPr="00F52884">
        <w:rPr>
          <w:rFonts w:cstheme="minorHAnsi"/>
          <w:szCs w:val="23"/>
          <w:lang w:val="fr-CA"/>
        </w:rPr>
        <w:t xml:space="preserve"> sol, l’eau et l’air, y compris toutes les couches de l’atmosphère;</w:t>
      </w:r>
    </w:p>
    <w:p w14:paraId="64E535B8" w14:textId="77777777" w:rsidR="00B308C6" w:rsidRPr="00F52884" w:rsidRDefault="00B308C6" w:rsidP="00B308C6">
      <w:pPr>
        <w:pStyle w:val="ListParagraph"/>
        <w:ind w:left="1440" w:hanging="720"/>
        <w:rPr>
          <w:rFonts w:cstheme="minorHAnsi"/>
          <w:szCs w:val="23"/>
          <w:lang w:val="fr-CA"/>
        </w:rPr>
      </w:pPr>
    </w:p>
    <w:p w14:paraId="484AC80F" w14:textId="6F2A93DF" w:rsidR="00B308C6" w:rsidRPr="00F52884" w:rsidRDefault="00B308C6" w:rsidP="00B308C6">
      <w:pPr>
        <w:pStyle w:val="ListParagraph"/>
        <w:numPr>
          <w:ilvl w:val="0"/>
          <w:numId w:val="414"/>
        </w:numPr>
        <w:ind w:left="1440" w:hanging="720"/>
        <w:rPr>
          <w:rFonts w:cstheme="minorHAnsi"/>
          <w:szCs w:val="23"/>
          <w:lang w:val="fr-CA"/>
        </w:rPr>
      </w:pPr>
      <w:proofErr w:type="gramStart"/>
      <w:r w:rsidRPr="00F52884">
        <w:rPr>
          <w:rFonts w:cstheme="minorHAnsi"/>
          <w:szCs w:val="23"/>
          <w:lang w:val="fr-CA"/>
        </w:rPr>
        <w:t>toutes</w:t>
      </w:r>
      <w:proofErr w:type="gramEnd"/>
      <w:r w:rsidRPr="00F52884">
        <w:rPr>
          <w:rFonts w:cstheme="minorHAnsi"/>
          <w:szCs w:val="23"/>
          <w:lang w:val="fr-CA"/>
        </w:rPr>
        <w:t xml:space="preserve"> les matières organiques et inorganiques ainsi que les êtres vivants;</w:t>
      </w:r>
    </w:p>
    <w:p w14:paraId="77E9B6B8" w14:textId="77777777" w:rsidR="00B308C6" w:rsidRPr="00F52884" w:rsidRDefault="00B308C6" w:rsidP="00B308C6">
      <w:pPr>
        <w:ind w:left="1440" w:hanging="720"/>
        <w:rPr>
          <w:rFonts w:cstheme="minorHAnsi"/>
          <w:szCs w:val="23"/>
          <w:lang w:val="fr-CA"/>
        </w:rPr>
      </w:pPr>
    </w:p>
    <w:p w14:paraId="5C13B7CA" w14:textId="4F77BE95" w:rsidR="00B308C6" w:rsidRPr="00F52884" w:rsidRDefault="00B308C6" w:rsidP="00B308C6">
      <w:pPr>
        <w:ind w:left="1440" w:hanging="720"/>
        <w:rPr>
          <w:rFonts w:cstheme="minorHAnsi"/>
          <w:szCs w:val="23"/>
          <w:lang w:val="fr-CA"/>
        </w:rPr>
      </w:pPr>
      <w:r w:rsidRPr="00F52884">
        <w:rPr>
          <w:rFonts w:cstheme="minorHAnsi"/>
          <w:szCs w:val="23"/>
          <w:lang w:val="fr-CA"/>
        </w:rPr>
        <w:t>c)</w:t>
      </w:r>
      <w:r w:rsidRPr="00F52884">
        <w:rPr>
          <w:rFonts w:cstheme="minorHAnsi"/>
          <w:szCs w:val="23"/>
          <w:lang w:val="fr-CA"/>
        </w:rPr>
        <w:tab/>
        <w:t>les systèmes naturels en interaction qui comprennent les éléments visés aux alinéas a) et b);</w:t>
      </w:r>
    </w:p>
    <w:p w14:paraId="7B7E9F77" w14:textId="77777777" w:rsidR="00B308C6" w:rsidRPr="00F52884" w:rsidRDefault="00B308C6" w:rsidP="00B308C6">
      <w:pPr>
        <w:rPr>
          <w:rFonts w:cstheme="minorHAnsi"/>
          <w:szCs w:val="23"/>
          <w:lang w:val="fr-CA"/>
        </w:rPr>
      </w:pPr>
    </w:p>
    <w:p w14:paraId="43B88553" w14:textId="340453CE" w:rsidR="00B308C6" w:rsidRPr="00F52884" w:rsidRDefault="00B308C6" w:rsidP="00B308C6">
      <w:pPr>
        <w:rPr>
          <w:rFonts w:cstheme="minorHAnsi"/>
          <w:szCs w:val="23"/>
          <w:lang w:val="fr-CA"/>
        </w:rPr>
      </w:pPr>
      <w:proofErr w:type="gramStart"/>
      <w:r w:rsidRPr="00F52884">
        <w:rPr>
          <w:rFonts w:cstheme="minorHAnsi"/>
          <w:b/>
          <w:bCs/>
          <w:szCs w:val="23"/>
          <w:lang w:val="fr-CA"/>
        </w:rPr>
        <w:t>évaluation</w:t>
      </w:r>
      <w:proofErr w:type="gramEnd"/>
      <w:r w:rsidRPr="00F52884">
        <w:rPr>
          <w:rFonts w:cstheme="minorHAnsi"/>
          <w:b/>
          <w:bCs/>
          <w:szCs w:val="23"/>
          <w:lang w:val="fr-CA"/>
        </w:rPr>
        <w:t xml:space="preserve"> des risques</w:t>
      </w:r>
      <w:r w:rsidRPr="00F52884">
        <w:rPr>
          <w:rFonts w:cstheme="minorHAnsi"/>
          <w:szCs w:val="23"/>
          <w:lang w:val="fr-CA"/>
        </w:rPr>
        <w:t xml:space="preserve"> Évaluation portant, selon le cas :</w:t>
      </w:r>
    </w:p>
    <w:p w14:paraId="18DFACFA" w14:textId="77777777" w:rsidR="00B308C6" w:rsidRPr="00F52884" w:rsidRDefault="00B308C6" w:rsidP="00B308C6">
      <w:pPr>
        <w:rPr>
          <w:rFonts w:cstheme="minorHAnsi"/>
          <w:szCs w:val="23"/>
          <w:lang w:val="fr-CA"/>
        </w:rPr>
      </w:pPr>
    </w:p>
    <w:p w14:paraId="57FBB4E8" w14:textId="06699871" w:rsidR="00B308C6" w:rsidRPr="00F52884" w:rsidRDefault="00B308C6" w:rsidP="00B308C6">
      <w:pPr>
        <w:pStyle w:val="ListParagraph"/>
        <w:numPr>
          <w:ilvl w:val="0"/>
          <w:numId w:val="401"/>
        </w:numPr>
        <w:ind w:left="1440" w:hanging="720"/>
        <w:rPr>
          <w:rFonts w:cstheme="minorHAnsi"/>
          <w:szCs w:val="23"/>
          <w:lang w:val="fr-CA"/>
        </w:rPr>
      </w:pPr>
      <w:proofErr w:type="gramStart"/>
      <w:r w:rsidRPr="00F52884">
        <w:rPr>
          <w:rFonts w:cstheme="minorHAnsi"/>
          <w:szCs w:val="23"/>
          <w:lang w:val="fr-CA"/>
        </w:rPr>
        <w:t>sur</w:t>
      </w:r>
      <w:proofErr w:type="gramEnd"/>
      <w:r w:rsidRPr="00F52884">
        <w:rPr>
          <w:rFonts w:cstheme="minorHAnsi"/>
          <w:szCs w:val="23"/>
          <w:lang w:val="fr-CA"/>
        </w:rPr>
        <w:t xml:space="preserve"> la probabilité de l’entrée, de l’établissement ou de la dissémination d’un parasite ou d’une maladie sur le territoire d’une Partie en fonction des mesures sanitaires ou phytosanitaires qui pourraient  être appliquées, et des conséquences biologiques et économiques qui pourraient en résulter;</w:t>
      </w:r>
    </w:p>
    <w:p w14:paraId="6E580A0F" w14:textId="77777777" w:rsidR="00B308C6" w:rsidRPr="00F52884" w:rsidRDefault="00B308C6" w:rsidP="00B308C6">
      <w:pPr>
        <w:ind w:left="1440" w:hanging="720"/>
        <w:rPr>
          <w:rFonts w:cstheme="minorHAnsi"/>
          <w:szCs w:val="23"/>
          <w:lang w:val="fr-CA"/>
        </w:rPr>
      </w:pPr>
    </w:p>
    <w:p w14:paraId="4286E33A" w14:textId="1957F6D5" w:rsidR="00B308C6" w:rsidRPr="00F52884" w:rsidRDefault="00B308C6" w:rsidP="00B308C6">
      <w:pPr>
        <w:pStyle w:val="ListParagraph"/>
        <w:numPr>
          <w:ilvl w:val="0"/>
          <w:numId w:val="401"/>
        </w:numPr>
        <w:ind w:left="1440" w:hanging="720"/>
        <w:rPr>
          <w:rFonts w:cstheme="minorHAnsi"/>
          <w:szCs w:val="23"/>
          <w:lang w:val="fr-CA"/>
        </w:rPr>
      </w:pPr>
      <w:proofErr w:type="gramStart"/>
      <w:r w:rsidRPr="00F52884">
        <w:rPr>
          <w:rFonts w:cstheme="minorHAnsi"/>
          <w:szCs w:val="23"/>
          <w:lang w:val="fr-CA"/>
        </w:rPr>
        <w:t>sur</w:t>
      </w:r>
      <w:proofErr w:type="gramEnd"/>
      <w:r w:rsidRPr="00F52884">
        <w:rPr>
          <w:rFonts w:cstheme="minorHAnsi"/>
          <w:szCs w:val="23"/>
          <w:lang w:val="fr-CA"/>
        </w:rPr>
        <w:t xml:space="preserve"> les effets négatifs que pourrait avoir sur la santé des personnes ou des animaux la présence d’additifs, de contaminants, de toxines ou d’organismes pathogènes dans les  aliments, les boissons ou les aliments pour animaux;</w:t>
      </w:r>
    </w:p>
    <w:p w14:paraId="4BC7F2A0" w14:textId="77777777" w:rsidR="00B308C6" w:rsidRPr="00F52884" w:rsidRDefault="00B308C6" w:rsidP="00B308C6">
      <w:pPr>
        <w:rPr>
          <w:rFonts w:cstheme="minorHAnsi"/>
          <w:szCs w:val="23"/>
          <w:lang w:val="fr-CA"/>
        </w:rPr>
      </w:pPr>
    </w:p>
    <w:p w14:paraId="50B3B3B3" w14:textId="05BEC791" w:rsidR="00B308C6" w:rsidRPr="00F52884" w:rsidRDefault="00B308C6" w:rsidP="00B308C6">
      <w:pPr>
        <w:widowControl w:val="0"/>
        <w:tabs>
          <w:tab w:val="left" w:pos="720"/>
          <w:tab w:val="left" w:pos="1440"/>
          <w:tab w:val="left" w:pos="2160"/>
          <w:tab w:val="left" w:pos="2880"/>
        </w:tabs>
        <w:autoSpaceDE w:val="0"/>
        <w:autoSpaceDN w:val="0"/>
        <w:adjustRightInd w:val="0"/>
        <w:rPr>
          <w:rFonts w:cstheme="minorHAnsi"/>
          <w:szCs w:val="23"/>
          <w:lang w:val="fr-CA"/>
        </w:rPr>
      </w:pPr>
      <w:proofErr w:type="gramStart"/>
      <w:r w:rsidRPr="00F52884">
        <w:rPr>
          <w:rFonts w:cstheme="minorHAnsi"/>
          <w:b/>
          <w:bCs/>
          <w:szCs w:val="23"/>
          <w:lang w:val="fr-CA"/>
        </w:rPr>
        <w:t>fournisseur</w:t>
      </w:r>
      <w:proofErr w:type="gramEnd"/>
      <w:r w:rsidRPr="00F52884">
        <w:rPr>
          <w:rFonts w:cstheme="minorHAnsi"/>
          <w:szCs w:val="23"/>
          <w:lang w:val="fr-CA"/>
        </w:rPr>
        <w:t xml:space="preserve"> Personne d’une Partie qui fournit, ou qui cherche à fournir, des produits ou des services;</w:t>
      </w:r>
    </w:p>
    <w:p w14:paraId="1901B01F"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70CE63C9" w14:textId="049B3E9B" w:rsidR="00B308C6" w:rsidRPr="00F52884" w:rsidRDefault="00B308C6" w:rsidP="00B308C6">
      <w:pPr>
        <w:rPr>
          <w:rFonts w:cstheme="minorHAnsi"/>
          <w:szCs w:val="23"/>
          <w:lang w:val="fr-CA"/>
        </w:rPr>
      </w:pPr>
      <w:proofErr w:type="gramStart"/>
      <w:r w:rsidRPr="00F52884">
        <w:rPr>
          <w:rFonts w:cstheme="minorHAnsi"/>
          <w:b/>
          <w:bCs/>
          <w:szCs w:val="23"/>
          <w:lang w:val="fr-CA"/>
        </w:rPr>
        <w:lastRenderedPageBreak/>
        <w:t>fournisseur</w:t>
      </w:r>
      <w:proofErr w:type="gramEnd"/>
      <w:r w:rsidRPr="00F52884">
        <w:rPr>
          <w:rFonts w:cstheme="minorHAnsi"/>
          <w:b/>
          <w:bCs/>
          <w:szCs w:val="23"/>
          <w:lang w:val="fr-CA"/>
        </w:rPr>
        <w:t xml:space="preserve"> de services</w:t>
      </w:r>
      <w:r w:rsidRPr="00F52884">
        <w:rPr>
          <w:rFonts w:cstheme="minorHAnsi"/>
          <w:szCs w:val="23"/>
          <w:lang w:val="fr-CA"/>
        </w:rPr>
        <w:t xml:space="preserve"> Personne d’une Partie qui fournit, ou qui cherche à fournir, des services;</w:t>
      </w:r>
    </w:p>
    <w:p w14:paraId="38D6FDA5" w14:textId="77777777" w:rsidR="00B308C6" w:rsidRPr="00F52884" w:rsidRDefault="00B308C6" w:rsidP="00B308C6">
      <w:pPr>
        <w:rPr>
          <w:rFonts w:cstheme="minorHAnsi"/>
          <w:szCs w:val="23"/>
          <w:lang w:val="fr-CA"/>
        </w:rPr>
      </w:pPr>
    </w:p>
    <w:p w14:paraId="2ACD84E0" w14:textId="77777777" w:rsidR="00B308C6" w:rsidRPr="00F52884" w:rsidRDefault="00B308C6" w:rsidP="00B308C6">
      <w:pPr>
        <w:shd w:val="clear" w:color="auto" w:fill="FFFFFF"/>
        <w:rPr>
          <w:rFonts w:cstheme="minorHAnsi"/>
          <w:szCs w:val="23"/>
          <w:shd w:val="clear" w:color="auto" w:fill="FFFFFF"/>
          <w:lang w:val="fr-CA"/>
        </w:rPr>
      </w:pPr>
      <w:proofErr w:type="gramStart"/>
      <w:r w:rsidRPr="00F52884">
        <w:rPr>
          <w:rFonts w:cstheme="minorHAnsi"/>
          <w:b/>
          <w:szCs w:val="23"/>
          <w:shd w:val="clear" w:color="auto" w:fill="FFFFFF"/>
          <w:lang w:val="fr-CA"/>
        </w:rPr>
        <w:t>frais</w:t>
      </w:r>
      <w:proofErr w:type="gramEnd"/>
      <w:r w:rsidRPr="00F52884">
        <w:rPr>
          <w:rFonts w:cstheme="minorHAnsi"/>
          <w:b/>
          <w:szCs w:val="23"/>
          <w:shd w:val="clear" w:color="auto" w:fill="FFFFFF"/>
          <w:lang w:val="fr-CA"/>
        </w:rPr>
        <w:t xml:space="preserve"> de service basés sur les coûts</w:t>
      </w:r>
      <w:r w:rsidRPr="00F52884">
        <w:rPr>
          <w:rFonts w:cstheme="minorHAnsi"/>
          <w:szCs w:val="23"/>
          <w:shd w:val="clear" w:color="auto" w:fill="FFFFFF"/>
          <w:lang w:val="fr-CA"/>
        </w:rPr>
        <w:t xml:space="preserve"> Frais afférents à l’achat, à l’entreposage, à la livraison aux points de vente, à la manutention et à la vente des boissons alcooliques;</w:t>
      </w:r>
    </w:p>
    <w:p w14:paraId="296F485D" w14:textId="77777777" w:rsidR="00B308C6" w:rsidRPr="00F52884" w:rsidRDefault="00B308C6" w:rsidP="00B308C6">
      <w:pPr>
        <w:rPr>
          <w:rFonts w:cstheme="minorHAnsi"/>
          <w:szCs w:val="23"/>
          <w:lang w:val="fr-CA"/>
        </w:rPr>
      </w:pPr>
    </w:p>
    <w:p w14:paraId="2D37DA19" w14:textId="0665C1AF" w:rsidR="00B308C6" w:rsidRPr="00F52884" w:rsidRDefault="00B308C6" w:rsidP="00B308C6">
      <w:pPr>
        <w:rPr>
          <w:rFonts w:cstheme="minorHAnsi"/>
          <w:szCs w:val="23"/>
          <w:lang w:val="fr-CA"/>
        </w:rPr>
      </w:pPr>
      <w:proofErr w:type="gramStart"/>
      <w:r w:rsidRPr="00F52884">
        <w:rPr>
          <w:rFonts w:cstheme="minorHAnsi"/>
          <w:b/>
          <w:bCs/>
          <w:szCs w:val="23"/>
          <w:lang w:val="fr-CA"/>
        </w:rPr>
        <w:t>industries</w:t>
      </w:r>
      <w:proofErr w:type="gramEnd"/>
      <w:r w:rsidRPr="00F52884">
        <w:rPr>
          <w:rFonts w:cstheme="minorHAnsi"/>
          <w:b/>
          <w:bCs/>
          <w:szCs w:val="23"/>
          <w:lang w:val="fr-CA"/>
        </w:rPr>
        <w:t xml:space="preserve"> culturelles</w:t>
      </w:r>
      <w:r w:rsidRPr="00F52884">
        <w:rPr>
          <w:rFonts w:cstheme="minorHAnsi"/>
          <w:szCs w:val="23"/>
          <w:lang w:val="fr-CA"/>
        </w:rPr>
        <w:t xml:space="preserve"> Personnes qui exercent l’une ou l’autre des activités suivantes :</w:t>
      </w:r>
    </w:p>
    <w:p w14:paraId="52B6C168" w14:textId="77777777" w:rsidR="00B308C6" w:rsidRPr="00F52884" w:rsidRDefault="00B308C6" w:rsidP="00B308C6">
      <w:pPr>
        <w:rPr>
          <w:rFonts w:cstheme="minorHAnsi"/>
          <w:szCs w:val="23"/>
          <w:lang w:val="fr-CA"/>
        </w:rPr>
      </w:pPr>
    </w:p>
    <w:p w14:paraId="482681D5" w14:textId="615E21F0" w:rsidR="00B308C6" w:rsidRPr="00F52884" w:rsidRDefault="00B308C6" w:rsidP="00B308C6">
      <w:pPr>
        <w:pStyle w:val="ListParagraph"/>
        <w:numPr>
          <w:ilvl w:val="0"/>
          <w:numId w:val="402"/>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publication, la distribution ou la vente de livres, de revues, de périodiques ou de journaux, sous forme imprimée ou lisible par machine, à l’exclusion de la seule impression ou composition de ces publications;</w:t>
      </w:r>
    </w:p>
    <w:p w14:paraId="084F940F" w14:textId="77777777" w:rsidR="00B308C6" w:rsidRPr="00F52884" w:rsidRDefault="00B308C6" w:rsidP="00B308C6">
      <w:pPr>
        <w:pStyle w:val="ListParagraph"/>
        <w:ind w:left="1440" w:hanging="720"/>
        <w:rPr>
          <w:rFonts w:cstheme="minorHAnsi"/>
          <w:szCs w:val="23"/>
          <w:lang w:val="fr-CA"/>
        </w:rPr>
      </w:pPr>
    </w:p>
    <w:p w14:paraId="6FEFC875" w14:textId="77777777" w:rsidR="00B308C6" w:rsidRPr="00F52884" w:rsidRDefault="00B308C6" w:rsidP="00B308C6">
      <w:pPr>
        <w:pStyle w:val="ListParagraph"/>
        <w:numPr>
          <w:ilvl w:val="0"/>
          <w:numId w:val="402"/>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production, la distribution, la vente ou la présentation de films ou d’enregistrements vidéo;</w:t>
      </w:r>
    </w:p>
    <w:p w14:paraId="5CEA1581" w14:textId="77777777" w:rsidR="00B308C6" w:rsidRPr="00F52884" w:rsidRDefault="00B308C6" w:rsidP="00B308C6">
      <w:pPr>
        <w:ind w:left="1440" w:hanging="720"/>
        <w:rPr>
          <w:rFonts w:cstheme="minorHAnsi"/>
          <w:szCs w:val="23"/>
          <w:lang w:val="fr-CA"/>
        </w:rPr>
      </w:pPr>
    </w:p>
    <w:p w14:paraId="1B47F060" w14:textId="77777777" w:rsidR="00B308C6" w:rsidRPr="00F52884" w:rsidRDefault="00B308C6" w:rsidP="00B308C6">
      <w:pPr>
        <w:pStyle w:val="ListParagraph"/>
        <w:numPr>
          <w:ilvl w:val="0"/>
          <w:numId w:val="402"/>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production, la distribution, la vente ou la présentation d’enregistrements de musique audio ou vidéo;</w:t>
      </w:r>
    </w:p>
    <w:p w14:paraId="31DD45AD" w14:textId="77777777" w:rsidR="00B308C6" w:rsidRPr="00F52884" w:rsidRDefault="00B308C6" w:rsidP="00B308C6">
      <w:pPr>
        <w:ind w:left="1440" w:hanging="720"/>
        <w:rPr>
          <w:rFonts w:cstheme="minorHAnsi"/>
          <w:szCs w:val="23"/>
          <w:lang w:val="fr-CA"/>
        </w:rPr>
      </w:pPr>
    </w:p>
    <w:p w14:paraId="10C6DD89" w14:textId="24B88CCB" w:rsidR="00B308C6" w:rsidRPr="00F52884" w:rsidRDefault="00B308C6" w:rsidP="00B308C6">
      <w:pPr>
        <w:pStyle w:val="ListParagraph"/>
        <w:numPr>
          <w:ilvl w:val="0"/>
          <w:numId w:val="402"/>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publication, la distribution ou la vente d’œuvres musicales sous forme imprimée ou lisible par machine;</w:t>
      </w:r>
    </w:p>
    <w:p w14:paraId="382D8286" w14:textId="77777777" w:rsidR="00B308C6" w:rsidRPr="00F52884" w:rsidRDefault="00B308C6" w:rsidP="00B308C6">
      <w:pPr>
        <w:ind w:left="1440" w:hanging="720"/>
        <w:rPr>
          <w:rFonts w:cstheme="minorHAnsi"/>
          <w:szCs w:val="23"/>
          <w:lang w:val="fr-CA"/>
        </w:rPr>
      </w:pPr>
    </w:p>
    <w:p w14:paraId="44F51988" w14:textId="69E61C81" w:rsidR="00B308C6" w:rsidRPr="00F52884" w:rsidRDefault="00B308C6" w:rsidP="00B308C6">
      <w:pPr>
        <w:pStyle w:val="ListParagraph"/>
        <w:numPr>
          <w:ilvl w:val="0"/>
          <w:numId w:val="402"/>
        </w:numPr>
        <w:ind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radiocommunications dont les transmissions sont destinées à être captées directement par le grand public, et toutes les activités de radiodiffusion, de télédiffusion et de câblodistribution ainsi que tous les services des réseaux de programmation et de diffusion par satellite;</w:t>
      </w:r>
    </w:p>
    <w:p w14:paraId="09E161DB" w14:textId="77777777" w:rsidR="00B308C6" w:rsidRPr="00F52884" w:rsidRDefault="00B308C6" w:rsidP="00B308C6">
      <w:pPr>
        <w:rPr>
          <w:rFonts w:cstheme="minorHAnsi"/>
          <w:szCs w:val="23"/>
          <w:lang w:val="fr-CA"/>
        </w:rPr>
      </w:pPr>
    </w:p>
    <w:p w14:paraId="2673D42B" w14:textId="252F6BEC" w:rsidR="00B308C6" w:rsidRPr="00F52884" w:rsidRDefault="00B308C6" w:rsidP="00B308C6">
      <w:pPr>
        <w:rPr>
          <w:rFonts w:cstheme="minorHAnsi"/>
          <w:szCs w:val="23"/>
          <w:lang w:val="fr-CA"/>
        </w:rPr>
      </w:pPr>
      <w:proofErr w:type="gramStart"/>
      <w:r w:rsidRPr="00F52884">
        <w:rPr>
          <w:rFonts w:cstheme="minorHAnsi"/>
          <w:b/>
          <w:bCs/>
          <w:szCs w:val="23"/>
          <w:lang w:val="fr-CA"/>
        </w:rPr>
        <w:t>institution</w:t>
      </w:r>
      <w:proofErr w:type="gramEnd"/>
      <w:r w:rsidRPr="00F52884">
        <w:rPr>
          <w:rFonts w:cstheme="minorHAnsi"/>
          <w:b/>
          <w:bCs/>
          <w:szCs w:val="23"/>
          <w:lang w:val="fr-CA"/>
        </w:rPr>
        <w:t xml:space="preserve"> financière</w:t>
      </w:r>
      <w:r w:rsidRPr="00F52884">
        <w:rPr>
          <w:rFonts w:cstheme="minorHAnsi"/>
          <w:szCs w:val="23"/>
          <w:lang w:val="fr-CA"/>
        </w:rPr>
        <w:t xml:space="preserve"> Personne qui est visée ou régie par une mesure adoptée ou maintenue par une Partie, ou par un organisme public exerçant des pouvoirs de réglementation ou de supervision qui lui sont délégués, en ce qui concerne la production ou la fourniture d’un service financier et en raison de cette production ou fourniture;</w:t>
      </w:r>
    </w:p>
    <w:p w14:paraId="449F45A5" w14:textId="77777777" w:rsidR="00B308C6" w:rsidRPr="00F52884" w:rsidRDefault="00B308C6" w:rsidP="00B308C6">
      <w:pPr>
        <w:rPr>
          <w:rFonts w:cstheme="minorHAnsi"/>
          <w:szCs w:val="23"/>
          <w:lang w:val="fr-CA"/>
        </w:rPr>
      </w:pPr>
    </w:p>
    <w:p w14:paraId="2D3FA47B" w14:textId="7669877A" w:rsidR="00B308C6" w:rsidRPr="00F52884" w:rsidRDefault="00B308C6" w:rsidP="00B308C6">
      <w:pPr>
        <w:rPr>
          <w:rFonts w:cstheme="minorHAnsi"/>
          <w:szCs w:val="23"/>
          <w:lang w:val="fr-CA"/>
        </w:rPr>
      </w:pPr>
      <w:proofErr w:type="gramStart"/>
      <w:r w:rsidRPr="00F52884">
        <w:rPr>
          <w:rFonts w:cstheme="minorHAnsi"/>
          <w:b/>
          <w:bCs/>
          <w:szCs w:val="23"/>
          <w:lang w:val="fr-CA"/>
        </w:rPr>
        <w:t>intérêts</w:t>
      </w:r>
      <w:proofErr w:type="gramEnd"/>
      <w:r w:rsidRPr="00F52884">
        <w:rPr>
          <w:rFonts w:cstheme="minorHAnsi"/>
          <w:b/>
          <w:bCs/>
          <w:szCs w:val="23"/>
          <w:lang w:val="fr-CA"/>
        </w:rPr>
        <w:t xml:space="preserve"> économiques des consommateurs</w:t>
      </w:r>
      <w:r w:rsidRPr="00F52884">
        <w:rPr>
          <w:rFonts w:cstheme="minorHAnsi"/>
          <w:szCs w:val="23"/>
          <w:lang w:val="fr-CA"/>
        </w:rPr>
        <w:t xml:space="preserve"> S’entend notamment de :</w:t>
      </w:r>
    </w:p>
    <w:p w14:paraId="7D95DED8" w14:textId="77777777" w:rsidR="00B308C6" w:rsidRPr="00F52884" w:rsidRDefault="00B308C6" w:rsidP="00B308C6">
      <w:pPr>
        <w:rPr>
          <w:rFonts w:cstheme="minorHAnsi"/>
          <w:szCs w:val="23"/>
          <w:lang w:val="fr-CA"/>
        </w:rPr>
      </w:pPr>
    </w:p>
    <w:p w14:paraId="7992EE57" w14:textId="77777777" w:rsidR="00B308C6" w:rsidRPr="00F52884" w:rsidRDefault="00B308C6" w:rsidP="00B308C6">
      <w:pPr>
        <w:pStyle w:val="ListParagraph"/>
        <w:numPr>
          <w:ilvl w:val="0"/>
          <w:numId w:val="413"/>
        </w:numPr>
        <w:ind w:left="1440"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qualité des produits, des services et des fournisseurs;</w:t>
      </w:r>
    </w:p>
    <w:p w14:paraId="14CE72C6" w14:textId="77777777" w:rsidR="00B308C6" w:rsidRPr="00F52884" w:rsidRDefault="00B308C6" w:rsidP="00B308C6">
      <w:pPr>
        <w:pStyle w:val="ListParagraph"/>
        <w:ind w:left="1440" w:hanging="720"/>
        <w:rPr>
          <w:rFonts w:cstheme="minorHAnsi"/>
          <w:szCs w:val="23"/>
          <w:lang w:val="fr-CA"/>
        </w:rPr>
      </w:pPr>
    </w:p>
    <w:p w14:paraId="4F15D073" w14:textId="497F406A" w:rsidR="00B308C6" w:rsidRPr="00F52884" w:rsidRDefault="00B308C6" w:rsidP="00B308C6">
      <w:pPr>
        <w:pStyle w:val="ListParagraph"/>
        <w:numPr>
          <w:ilvl w:val="0"/>
          <w:numId w:val="413"/>
        </w:numPr>
        <w:ind w:left="1440" w:hanging="720"/>
        <w:rPr>
          <w:rFonts w:cstheme="minorHAnsi"/>
          <w:szCs w:val="23"/>
          <w:lang w:val="fr-CA"/>
        </w:rPr>
      </w:pPr>
      <w:proofErr w:type="gramStart"/>
      <w:r w:rsidRPr="00F52884">
        <w:rPr>
          <w:rFonts w:cstheme="minorHAnsi"/>
          <w:szCs w:val="23"/>
          <w:lang w:val="fr-CA"/>
        </w:rPr>
        <w:t>l’obtention</w:t>
      </w:r>
      <w:proofErr w:type="gramEnd"/>
      <w:r w:rsidRPr="00F52884">
        <w:rPr>
          <w:rFonts w:cstheme="minorHAnsi"/>
          <w:szCs w:val="23"/>
          <w:lang w:val="fr-CA"/>
        </w:rPr>
        <w:t>, en temps opportun, de renseignements exacts sur les produits, les services et les fournisseurs, y compris sur le coût du crédit;</w:t>
      </w:r>
    </w:p>
    <w:p w14:paraId="12EAA04D" w14:textId="77777777" w:rsidR="00B308C6" w:rsidRPr="00F52884" w:rsidRDefault="00B308C6" w:rsidP="00B308C6">
      <w:pPr>
        <w:ind w:left="1440" w:hanging="720"/>
        <w:rPr>
          <w:rFonts w:cstheme="minorHAnsi"/>
          <w:szCs w:val="23"/>
          <w:lang w:val="fr-CA"/>
        </w:rPr>
      </w:pPr>
    </w:p>
    <w:p w14:paraId="4E145940" w14:textId="77777777" w:rsidR="00B308C6" w:rsidRPr="00F52884" w:rsidRDefault="00B308C6" w:rsidP="00B308C6">
      <w:pPr>
        <w:pStyle w:val="ListParagraph"/>
        <w:numPr>
          <w:ilvl w:val="0"/>
          <w:numId w:val="413"/>
        </w:numPr>
        <w:ind w:left="1440" w:hanging="720"/>
        <w:rPr>
          <w:rFonts w:cstheme="minorHAnsi"/>
          <w:szCs w:val="23"/>
          <w:lang w:val="fr-CA"/>
        </w:rPr>
      </w:pPr>
      <w:proofErr w:type="gramStart"/>
      <w:r w:rsidRPr="00F52884">
        <w:rPr>
          <w:rFonts w:cstheme="minorHAnsi"/>
          <w:szCs w:val="23"/>
          <w:lang w:val="fr-CA"/>
        </w:rPr>
        <w:t>l’équité</w:t>
      </w:r>
      <w:proofErr w:type="gramEnd"/>
      <w:r w:rsidRPr="00F52884">
        <w:rPr>
          <w:rFonts w:cstheme="minorHAnsi"/>
          <w:szCs w:val="23"/>
          <w:lang w:val="fr-CA"/>
        </w:rPr>
        <w:t xml:space="preserve"> en matière contractuelle;</w:t>
      </w:r>
    </w:p>
    <w:p w14:paraId="7DB0DDB0" w14:textId="77777777" w:rsidR="00B308C6" w:rsidRPr="00F52884" w:rsidRDefault="00B308C6" w:rsidP="00B308C6">
      <w:pPr>
        <w:ind w:left="1440" w:hanging="720"/>
        <w:rPr>
          <w:rFonts w:cstheme="minorHAnsi"/>
          <w:szCs w:val="23"/>
          <w:lang w:val="fr-CA"/>
        </w:rPr>
      </w:pPr>
    </w:p>
    <w:p w14:paraId="0535A94B" w14:textId="77777777" w:rsidR="00B308C6" w:rsidRPr="00F52884" w:rsidRDefault="00B308C6" w:rsidP="00B308C6">
      <w:pPr>
        <w:pStyle w:val="ListParagraph"/>
        <w:numPr>
          <w:ilvl w:val="0"/>
          <w:numId w:val="413"/>
        </w:numPr>
        <w:ind w:left="1440" w:hanging="720"/>
        <w:rPr>
          <w:rFonts w:cstheme="minorHAnsi"/>
          <w:szCs w:val="23"/>
          <w:lang w:val="fr-CA"/>
        </w:rPr>
      </w:pPr>
      <w:proofErr w:type="gramStart"/>
      <w:r w:rsidRPr="00F52884">
        <w:rPr>
          <w:rFonts w:cstheme="minorHAnsi"/>
          <w:szCs w:val="23"/>
          <w:lang w:val="fr-CA"/>
        </w:rPr>
        <w:t>l’accès</w:t>
      </w:r>
      <w:proofErr w:type="gramEnd"/>
      <w:r w:rsidRPr="00F52884">
        <w:rPr>
          <w:rFonts w:cstheme="minorHAnsi"/>
          <w:szCs w:val="23"/>
          <w:lang w:val="fr-CA"/>
        </w:rPr>
        <w:t xml:space="preserve"> à des mécanismes de recours;</w:t>
      </w:r>
    </w:p>
    <w:p w14:paraId="76AC5B90" w14:textId="77777777" w:rsidR="00B308C6" w:rsidRPr="00F52884" w:rsidRDefault="00B308C6" w:rsidP="00B308C6">
      <w:pPr>
        <w:ind w:left="1440" w:hanging="720"/>
        <w:rPr>
          <w:rFonts w:cstheme="minorHAnsi"/>
          <w:szCs w:val="23"/>
          <w:lang w:val="fr-CA"/>
        </w:rPr>
      </w:pPr>
    </w:p>
    <w:p w14:paraId="4D41A1CA" w14:textId="77777777" w:rsidR="00B308C6" w:rsidRPr="00F52884" w:rsidRDefault="00B308C6" w:rsidP="00B308C6">
      <w:pPr>
        <w:pStyle w:val="ListParagraph"/>
        <w:numPr>
          <w:ilvl w:val="0"/>
          <w:numId w:val="413"/>
        </w:numPr>
        <w:ind w:left="1440"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sécurité des dépôts versés par les consommateurs;</w:t>
      </w:r>
    </w:p>
    <w:p w14:paraId="69E8B399" w14:textId="77777777" w:rsidR="00B308C6" w:rsidRPr="00F52884" w:rsidRDefault="00B308C6" w:rsidP="00B308C6">
      <w:pPr>
        <w:ind w:left="1440" w:hanging="720"/>
        <w:rPr>
          <w:rFonts w:cstheme="minorHAnsi"/>
          <w:szCs w:val="23"/>
          <w:lang w:val="fr-CA"/>
        </w:rPr>
      </w:pPr>
    </w:p>
    <w:p w14:paraId="1F3EE008" w14:textId="77777777" w:rsidR="00B308C6" w:rsidRPr="00F52884" w:rsidRDefault="00B308C6" w:rsidP="00B308C6">
      <w:pPr>
        <w:pStyle w:val="ListParagraph"/>
        <w:numPr>
          <w:ilvl w:val="0"/>
          <w:numId w:val="413"/>
        </w:numPr>
        <w:ind w:left="1440"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prévention des pratiques commerciales déloyales;</w:t>
      </w:r>
    </w:p>
    <w:p w14:paraId="4A255884" w14:textId="77777777" w:rsidR="00B308C6" w:rsidRPr="00F52884" w:rsidRDefault="00B308C6" w:rsidP="00B308C6">
      <w:pPr>
        <w:ind w:left="1440" w:hanging="720"/>
        <w:rPr>
          <w:rFonts w:cstheme="minorHAnsi"/>
          <w:szCs w:val="23"/>
          <w:lang w:val="fr-CA"/>
        </w:rPr>
      </w:pPr>
    </w:p>
    <w:p w14:paraId="15C18FFB" w14:textId="77777777" w:rsidR="00B308C6" w:rsidRPr="00F52884" w:rsidRDefault="00B308C6" w:rsidP="00B308C6">
      <w:pPr>
        <w:ind w:left="1440" w:hanging="720"/>
        <w:rPr>
          <w:rFonts w:cstheme="minorHAnsi"/>
          <w:szCs w:val="23"/>
          <w:lang w:val="fr-CA"/>
        </w:rPr>
      </w:pPr>
      <w:r w:rsidRPr="00F52884">
        <w:rPr>
          <w:rFonts w:cstheme="minorHAnsi"/>
          <w:szCs w:val="23"/>
          <w:lang w:val="fr-CA"/>
        </w:rPr>
        <w:t>g)</w:t>
      </w:r>
      <w:r w:rsidRPr="00F52884">
        <w:rPr>
          <w:rFonts w:cstheme="minorHAnsi"/>
          <w:szCs w:val="23"/>
          <w:lang w:val="fr-CA"/>
        </w:rPr>
        <w:tab/>
        <w:t>la protection des renseignements personnels;</w:t>
      </w:r>
    </w:p>
    <w:p w14:paraId="3DBD435C"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20CDFC96" w14:textId="224D94F8" w:rsidR="00B308C6" w:rsidRPr="00F52884" w:rsidRDefault="00B308C6" w:rsidP="00B308C6">
      <w:pPr>
        <w:rPr>
          <w:rFonts w:cstheme="minorHAnsi"/>
          <w:szCs w:val="23"/>
          <w:lang w:val="fr-CA"/>
        </w:rPr>
      </w:pPr>
      <w:proofErr w:type="gramStart"/>
      <w:r w:rsidRPr="00F52884">
        <w:rPr>
          <w:rFonts w:cstheme="minorHAnsi"/>
          <w:b/>
          <w:bCs/>
          <w:szCs w:val="23"/>
          <w:lang w:val="fr-CA"/>
        </w:rPr>
        <w:t>investissement</w:t>
      </w:r>
      <w:proofErr w:type="gramEnd"/>
      <w:r w:rsidRPr="00F52884">
        <w:rPr>
          <w:rFonts w:cstheme="minorHAnsi"/>
          <w:szCs w:val="23"/>
          <w:lang w:val="fr-CA"/>
        </w:rPr>
        <w:t xml:space="preserve"> Selon le cas :</w:t>
      </w:r>
    </w:p>
    <w:p w14:paraId="195FCA01" w14:textId="77777777" w:rsidR="00B308C6" w:rsidRPr="00F52884" w:rsidRDefault="00B308C6" w:rsidP="00B308C6">
      <w:pPr>
        <w:rPr>
          <w:rFonts w:cstheme="minorHAnsi"/>
          <w:szCs w:val="23"/>
          <w:lang w:val="fr-CA"/>
        </w:rPr>
      </w:pPr>
    </w:p>
    <w:p w14:paraId="0AD55518" w14:textId="16CA0AEB" w:rsidR="00B308C6" w:rsidRPr="00F52884" w:rsidRDefault="00B308C6" w:rsidP="00B308C6">
      <w:pPr>
        <w:pStyle w:val="ListParagraph"/>
        <w:numPr>
          <w:ilvl w:val="0"/>
          <w:numId w:val="403"/>
        </w:numPr>
        <w:shd w:val="clear" w:color="auto" w:fill="FFFFFF"/>
        <w:ind w:left="1440" w:right="150" w:hanging="720"/>
        <w:rPr>
          <w:rFonts w:cstheme="minorHAnsi"/>
          <w:szCs w:val="23"/>
          <w:lang w:val="fr-CA"/>
        </w:rPr>
      </w:pPr>
      <w:proofErr w:type="gramStart"/>
      <w:r w:rsidRPr="00F52884">
        <w:rPr>
          <w:rFonts w:cstheme="minorHAnsi"/>
          <w:szCs w:val="23"/>
          <w:lang w:val="fr-CA"/>
        </w:rPr>
        <w:t>établissement</w:t>
      </w:r>
      <w:proofErr w:type="gramEnd"/>
      <w:r w:rsidRPr="00F52884">
        <w:rPr>
          <w:rFonts w:cstheme="minorHAnsi"/>
          <w:szCs w:val="23"/>
          <w:lang w:val="fr-CA"/>
        </w:rPr>
        <w:t>, acquisition ou expansion d’une entreprise;</w:t>
      </w:r>
    </w:p>
    <w:p w14:paraId="352E2D32" w14:textId="77777777" w:rsidR="00B308C6" w:rsidRPr="00F52884" w:rsidRDefault="00B308C6" w:rsidP="00B308C6">
      <w:pPr>
        <w:pStyle w:val="ListParagraph"/>
        <w:shd w:val="clear" w:color="auto" w:fill="FFFFFF"/>
        <w:ind w:left="1440" w:right="150" w:hanging="720"/>
        <w:rPr>
          <w:rFonts w:cstheme="minorHAnsi"/>
          <w:szCs w:val="23"/>
          <w:lang w:val="fr-CA"/>
        </w:rPr>
      </w:pPr>
    </w:p>
    <w:p w14:paraId="4788A8D6" w14:textId="6011A8F1" w:rsidR="00B308C6" w:rsidRPr="00F52884" w:rsidRDefault="00B308C6" w:rsidP="00B308C6">
      <w:pPr>
        <w:pStyle w:val="ListParagraph"/>
        <w:numPr>
          <w:ilvl w:val="0"/>
          <w:numId w:val="403"/>
        </w:numPr>
        <w:ind w:left="1440" w:hanging="720"/>
        <w:rPr>
          <w:rFonts w:cstheme="minorHAnsi"/>
          <w:szCs w:val="23"/>
          <w:lang w:val="fr-CA"/>
        </w:rPr>
      </w:pPr>
      <w:proofErr w:type="gramStart"/>
      <w:r w:rsidRPr="00F52884">
        <w:rPr>
          <w:rFonts w:cstheme="minorHAnsi"/>
          <w:szCs w:val="23"/>
          <w:lang w:val="fr-CA"/>
        </w:rPr>
        <w:t>acquisition</w:t>
      </w:r>
      <w:proofErr w:type="gramEnd"/>
      <w:r w:rsidRPr="00F52884">
        <w:rPr>
          <w:rFonts w:cstheme="minorHAnsi"/>
          <w:szCs w:val="23"/>
          <w:lang w:val="fr-CA"/>
        </w:rPr>
        <w:t xml:space="preserve"> d’actifs;</w:t>
      </w:r>
    </w:p>
    <w:p w14:paraId="60C1F321" w14:textId="77777777" w:rsidR="00B308C6" w:rsidRPr="00F52884" w:rsidRDefault="00B308C6" w:rsidP="00B308C6">
      <w:pPr>
        <w:ind w:left="1440" w:hanging="720"/>
        <w:rPr>
          <w:rFonts w:cstheme="minorHAnsi"/>
          <w:szCs w:val="23"/>
          <w:lang w:val="fr-CA"/>
        </w:rPr>
      </w:pPr>
    </w:p>
    <w:p w14:paraId="0B992D95" w14:textId="18976C25" w:rsidR="00B308C6" w:rsidRPr="00F52884" w:rsidRDefault="00B308C6" w:rsidP="00B308C6">
      <w:pPr>
        <w:pStyle w:val="ListParagraph"/>
        <w:numPr>
          <w:ilvl w:val="0"/>
          <w:numId w:val="403"/>
        </w:numPr>
        <w:ind w:left="1440" w:hanging="720"/>
        <w:rPr>
          <w:rFonts w:cstheme="minorHAnsi"/>
          <w:szCs w:val="23"/>
          <w:lang w:val="fr-CA"/>
        </w:rPr>
      </w:pPr>
      <w:proofErr w:type="gramStart"/>
      <w:r w:rsidRPr="00F52884">
        <w:rPr>
          <w:rFonts w:cstheme="minorHAnsi"/>
          <w:szCs w:val="23"/>
          <w:lang w:val="fr-CA"/>
        </w:rPr>
        <w:t>tout</w:t>
      </w:r>
      <w:proofErr w:type="gramEnd"/>
      <w:r w:rsidRPr="00F52884">
        <w:rPr>
          <w:rFonts w:cstheme="minorHAnsi"/>
          <w:szCs w:val="23"/>
          <w:lang w:val="fr-CA"/>
        </w:rPr>
        <w:t xml:space="preserve"> type d’actif qu’un investisseur détient ou contrôle, directement ou indirectement, pouvant comprendre les actifs financiers tels que le numéraire, les actions, les obligations, les titres obligataires non garantis, les participations, les comptes débiteurs, les stocks, les immobilisations, les options et la survaleur; </w:t>
      </w:r>
    </w:p>
    <w:p w14:paraId="0E765285" w14:textId="77777777" w:rsidR="00B308C6" w:rsidRPr="00F52884" w:rsidRDefault="00B308C6" w:rsidP="00B308C6">
      <w:pPr>
        <w:rPr>
          <w:rFonts w:cstheme="minorHAnsi"/>
          <w:szCs w:val="23"/>
          <w:lang w:val="fr-CA"/>
        </w:rPr>
      </w:pPr>
    </w:p>
    <w:p w14:paraId="6C48844B" w14:textId="4CE46466" w:rsidR="00B308C6" w:rsidRPr="00F52884" w:rsidRDefault="00B308C6" w:rsidP="00B308C6">
      <w:pPr>
        <w:rPr>
          <w:rFonts w:cstheme="minorHAnsi"/>
          <w:szCs w:val="23"/>
          <w:lang w:val="fr-CA"/>
        </w:rPr>
      </w:pPr>
      <w:proofErr w:type="gramStart"/>
      <w:r w:rsidRPr="00F52884">
        <w:rPr>
          <w:rFonts w:cstheme="minorHAnsi"/>
          <w:b/>
          <w:bCs/>
          <w:szCs w:val="23"/>
          <w:lang w:val="fr-CA"/>
        </w:rPr>
        <w:t>investisseur</w:t>
      </w:r>
      <w:proofErr w:type="gramEnd"/>
      <w:r w:rsidRPr="00F52884">
        <w:rPr>
          <w:rFonts w:cstheme="minorHAnsi"/>
          <w:b/>
          <w:bCs/>
          <w:szCs w:val="23"/>
          <w:lang w:val="fr-CA"/>
        </w:rPr>
        <w:t xml:space="preserve"> d’une Partie</w:t>
      </w:r>
      <w:r w:rsidRPr="00F52884">
        <w:rPr>
          <w:rFonts w:cstheme="minorHAnsi"/>
          <w:szCs w:val="23"/>
          <w:lang w:val="fr-CA"/>
        </w:rPr>
        <w:t xml:space="preserve"> Selon le cas :</w:t>
      </w:r>
    </w:p>
    <w:p w14:paraId="35081221" w14:textId="77777777" w:rsidR="00B308C6" w:rsidRPr="00F52884" w:rsidRDefault="00B308C6" w:rsidP="00B308C6">
      <w:pPr>
        <w:rPr>
          <w:rFonts w:cstheme="minorHAnsi"/>
          <w:szCs w:val="23"/>
          <w:lang w:val="fr-CA"/>
        </w:rPr>
      </w:pPr>
    </w:p>
    <w:p w14:paraId="11AC5096" w14:textId="3D2C4340" w:rsidR="00B308C6" w:rsidRPr="00F52884" w:rsidRDefault="00B308C6" w:rsidP="00B308C6">
      <w:pPr>
        <w:pStyle w:val="ListParagraph"/>
        <w:numPr>
          <w:ilvl w:val="0"/>
          <w:numId w:val="404"/>
        </w:numPr>
        <w:ind w:hanging="720"/>
        <w:rPr>
          <w:rFonts w:cstheme="minorHAnsi"/>
          <w:szCs w:val="23"/>
          <w:lang w:val="fr-CA"/>
        </w:rPr>
      </w:pPr>
      <w:proofErr w:type="gramStart"/>
      <w:r w:rsidRPr="00F52884">
        <w:rPr>
          <w:rFonts w:cstheme="minorHAnsi"/>
          <w:szCs w:val="23"/>
          <w:lang w:val="fr-CA"/>
        </w:rPr>
        <w:t>une</w:t>
      </w:r>
      <w:proofErr w:type="gramEnd"/>
      <w:r w:rsidRPr="00F52884">
        <w:rPr>
          <w:rFonts w:cstheme="minorHAnsi"/>
          <w:szCs w:val="23"/>
          <w:lang w:val="fr-CA"/>
        </w:rPr>
        <w:t xml:space="preserve"> Partie;</w:t>
      </w:r>
    </w:p>
    <w:p w14:paraId="1A9C40BE" w14:textId="77777777" w:rsidR="00B308C6" w:rsidRPr="00F52884" w:rsidRDefault="00B308C6" w:rsidP="00B308C6">
      <w:pPr>
        <w:pStyle w:val="ListParagraph"/>
        <w:ind w:left="1440" w:hanging="720"/>
        <w:rPr>
          <w:rFonts w:cstheme="minorHAnsi"/>
          <w:szCs w:val="23"/>
          <w:lang w:val="fr-CA"/>
        </w:rPr>
      </w:pPr>
    </w:p>
    <w:p w14:paraId="776C7FFA" w14:textId="75B41460" w:rsidR="00B308C6" w:rsidRPr="00F52884" w:rsidRDefault="00B308C6" w:rsidP="00B308C6">
      <w:pPr>
        <w:pStyle w:val="ListParagraph"/>
        <w:numPr>
          <w:ilvl w:val="0"/>
          <w:numId w:val="404"/>
        </w:numPr>
        <w:ind w:hanging="720"/>
        <w:rPr>
          <w:rFonts w:cstheme="minorHAnsi"/>
          <w:szCs w:val="23"/>
          <w:lang w:val="fr-CA"/>
        </w:rPr>
      </w:pPr>
      <w:proofErr w:type="gramStart"/>
      <w:r w:rsidRPr="00F52884">
        <w:rPr>
          <w:rFonts w:cstheme="minorHAnsi"/>
          <w:szCs w:val="23"/>
          <w:lang w:val="fr-CA"/>
        </w:rPr>
        <w:t>un</w:t>
      </w:r>
      <w:proofErr w:type="gramEnd"/>
      <w:r w:rsidRPr="00F52884">
        <w:rPr>
          <w:rFonts w:cstheme="minorHAnsi"/>
          <w:szCs w:val="23"/>
          <w:lang w:val="fr-CA"/>
        </w:rPr>
        <w:t xml:space="preserve"> citoyen canadien ou un résident permanent du Canada;</w:t>
      </w:r>
    </w:p>
    <w:p w14:paraId="18769A8D" w14:textId="77777777" w:rsidR="00B308C6" w:rsidRPr="00F52884" w:rsidRDefault="00B308C6" w:rsidP="00B308C6">
      <w:pPr>
        <w:ind w:left="1440" w:hanging="720"/>
        <w:rPr>
          <w:rFonts w:cstheme="minorHAnsi"/>
          <w:szCs w:val="23"/>
          <w:lang w:val="fr-CA"/>
        </w:rPr>
      </w:pPr>
    </w:p>
    <w:p w14:paraId="1913C919" w14:textId="187E940C" w:rsidR="00B308C6" w:rsidRPr="00F52884" w:rsidRDefault="00B308C6" w:rsidP="00B308C6">
      <w:pPr>
        <w:pStyle w:val="ListParagraph"/>
        <w:numPr>
          <w:ilvl w:val="0"/>
          <w:numId w:val="404"/>
        </w:numPr>
        <w:ind w:hanging="720"/>
        <w:rPr>
          <w:rFonts w:cstheme="minorHAnsi"/>
          <w:szCs w:val="23"/>
          <w:lang w:val="fr-CA"/>
        </w:rPr>
      </w:pPr>
      <w:proofErr w:type="gramStart"/>
      <w:r w:rsidRPr="00F52884">
        <w:rPr>
          <w:rFonts w:cstheme="minorHAnsi"/>
          <w:szCs w:val="23"/>
          <w:lang w:val="fr-CA"/>
        </w:rPr>
        <w:t>une</w:t>
      </w:r>
      <w:proofErr w:type="gramEnd"/>
      <w:r w:rsidRPr="00F52884">
        <w:rPr>
          <w:rFonts w:cstheme="minorHAnsi"/>
          <w:szCs w:val="23"/>
          <w:lang w:val="fr-CA"/>
        </w:rPr>
        <w:t xml:space="preserve"> entreprise,</w:t>
      </w:r>
    </w:p>
    <w:p w14:paraId="27168E90" w14:textId="77777777" w:rsidR="00B308C6" w:rsidRPr="00F52884" w:rsidRDefault="00B308C6" w:rsidP="00B308C6">
      <w:pPr>
        <w:pStyle w:val="ListParagraph"/>
        <w:ind w:left="1440" w:hanging="720"/>
        <w:rPr>
          <w:rFonts w:cstheme="minorHAnsi"/>
          <w:szCs w:val="23"/>
          <w:lang w:val="fr-CA"/>
        </w:rPr>
      </w:pPr>
    </w:p>
    <w:p w14:paraId="2767F2EB" w14:textId="34B14F38" w:rsidR="00B308C6" w:rsidRPr="00F52884" w:rsidRDefault="00B308C6" w:rsidP="00B308C6">
      <w:pPr>
        <w:ind w:left="1440" w:hanging="720"/>
        <w:rPr>
          <w:rFonts w:cstheme="minorHAnsi"/>
          <w:szCs w:val="23"/>
          <w:lang w:val="fr-CA"/>
        </w:rPr>
      </w:pPr>
      <w:proofErr w:type="gramStart"/>
      <w:r w:rsidRPr="00F52884">
        <w:rPr>
          <w:rFonts w:cstheme="minorHAnsi"/>
          <w:szCs w:val="23"/>
          <w:lang w:val="fr-CA"/>
        </w:rPr>
        <w:t>qui</w:t>
      </w:r>
      <w:proofErr w:type="gramEnd"/>
      <w:r w:rsidRPr="00F52884">
        <w:rPr>
          <w:rFonts w:cstheme="minorHAnsi"/>
          <w:szCs w:val="23"/>
          <w:lang w:val="fr-CA"/>
        </w:rPr>
        <w:t xml:space="preserve"> cherche à établir, à acquérir ou à aliéner une entreprise.</w:t>
      </w:r>
    </w:p>
    <w:p w14:paraId="59DEFB95" w14:textId="77777777" w:rsidR="00B308C6" w:rsidRPr="00F52884" w:rsidRDefault="00B308C6" w:rsidP="00B308C6">
      <w:pPr>
        <w:rPr>
          <w:rFonts w:cstheme="minorHAnsi"/>
          <w:b/>
          <w:szCs w:val="23"/>
          <w:lang w:val="fr-CA"/>
        </w:rPr>
      </w:pPr>
    </w:p>
    <w:p w14:paraId="5A6677A4" w14:textId="11CFE43F" w:rsidR="00B308C6" w:rsidRPr="00F52884" w:rsidRDefault="00B308C6" w:rsidP="00B308C6">
      <w:pPr>
        <w:rPr>
          <w:rFonts w:cstheme="minorHAnsi"/>
          <w:szCs w:val="23"/>
          <w:lang w:val="fr-CA"/>
        </w:rPr>
      </w:pPr>
      <w:r w:rsidRPr="00F52884">
        <w:rPr>
          <w:rFonts w:cstheme="minorHAnsi"/>
          <w:szCs w:val="23"/>
          <w:lang w:val="fr-CA"/>
        </w:rPr>
        <w:t>Pour l’application de la présente définition, le terme « entreprise » désigne une entité constituée, établie ou organisée à des fins lucratives conformément à la législation applicable d'une Partie, qu’elle soit détenue par le secteur privé ou par le secteur public, y compris toute société, société de fiducie, société de personnes, société coopérative, entreprise individuelle, coentreprise ou autre association;</w:t>
      </w:r>
    </w:p>
    <w:p w14:paraId="2808B9BA" w14:textId="77777777" w:rsidR="00B308C6" w:rsidRPr="00F52884" w:rsidRDefault="00B308C6" w:rsidP="00B308C6">
      <w:pPr>
        <w:rPr>
          <w:rFonts w:cstheme="minorHAnsi"/>
          <w:szCs w:val="23"/>
          <w:lang w:val="fr-CA"/>
        </w:rPr>
      </w:pPr>
    </w:p>
    <w:p w14:paraId="71C9E4AA" w14:textId="4DD5676C" w:rsidR="00B308C6" w:rsidRPr="00F52884" w:rsidRDefault="00B308C6" w:rsidP="00B308C6">
      <w:pPr>
        <w:rPr>
          <w:rFonts w:cstheme="minorHAnsi"/>
          <w:szCs w:val="23"/>
          <w:lang w:val="fr-CA"/>
        </w:rPr>
      </w:pPr>
      <w:proofErr w:type="gramStart"/>
      <w:r w:rsidRPr="00F52884">
        <w:rPr>
          <w:rFonts w:cstheme="minorHAnsi"/>
          <w:b/>
          <w:bCs/>
          <w:szCs w:val="23"/>
          <w:lang w:val="fr-CA"/>
        </w:rPr>
        <w:t>jeux</w:t>
      </w:r>
      <w:proofErr w:type="gramEnd"/>
      <w:r w:rsidRPr="00F52884">
        <w:rPr>
          <w:rFonts w:cstheme="minorHAnsi"/>
          <w:b/>
          <w:bCs/>
          <w:szCs w:val="23"/>
          <w:lang w:val="fr-CA"/>
        </w:rPr>
        <w:t xml:space="preserve"> et paris</w:t>
      </w:r>
      <w:r w:rsidRPr="00F52884">
        <w:rPr>
          <w:rFonts w:cstheme="minorHAnsi"/>
          <w:szCs w:val="23"/>
          <w:lang w:val="fr-CA"/>
        </w:rPr>
        <w:t xml:space="preserve"> S’entend notamment :</w:t>
      </w:r>
    </w:p>
    <w:p w14:paraId="695654A0" w14:textId="77777777" w:rsidR="00B308C6" w:rsidRPr="00F52884" w:rsidRDefault="00B308C6" w:rsidP="00B308C6">
      <w:pPr>
        <w:rPr>
          <w:rFonts w:cstheme="minorHAnsi"/>
          <w:iCs/>
          <w:szCs w:val="23"/>
          <w:lang w:val="fr-CA"/>
        </w:rPr>
      </w:pPr>
    </w:p>
    <w:p w14:paraId="2FF97C88" w14:textId="49F4A742" w:rsidR="00B308C6" w:rsidRPr="00F52884" w:rsidRDefault="00B308C6" w:rsidP="00B308C6">
      <w:pPr>
        <w:pStyle w:val="ListParagraph"/>
        <w:numPr>
          <w:ilvl w:val="0"/>
          <w:numId w:val="405"/>
        </w:numPr>
        <w:ind w:left="1440" w:hanging="720"/>
        <w:rPr>
          <w:rFonts w:cstheme="minorHAnsi"/>
          <w:iCs/>
          <w:szCs w:val="23"/>
          <w:lang w:val="fr-CA"/>
        </w:rPr>
      </w:pPr>
      <w:proofErr w:type="gramStart"/>
      <w:r w:rsidRPr="00F52884">
        <w:rPr>
          <w:rFonts w:cstheme="minorHAnsi"/>
          <w:szCs w:val="23"/>
          <w:lang w:val="fr-CA"/>
        </w:rPr>
        <w:t>des</w:t>
      </w:r>
      <w:proofErr w:type="gramEnd"/>
      <w:r w:rsidRPr="00F52884">
        <w:rPr>
          <w:rFonts w:cstheme="minorHAnsi"/>
          <w:szCs w:val="23"/>
          <w:lang w:val="fr-CA"/>
        </w:rPr>
        <w:t xml:space="preserve"> loteries autorisées en vertu du </w:t>
      </w:r>
      <w:r w:rsidRPr="00F52884">
        <w:rPr>
          <w:rFonts w:cstheme="minorHAnsi"/>
          <w:i/>
          <w:iCs/>
          <w:szCs w:val="23"/>
          <w:lang w:val="fr-CA"/>
        </w:rPr>
        <w:t>Code criminel</w:t>
      </w:r>
      <w:r w:rsidRPr="00F52884">
        <w:rPr>
          <w:rFonts w:cstheme="minorHAnsi"/>
          <w:szCs w:val="23"/>
          <w:lang w:val="fr-CA"/>
        </w:rPr>
        <w:t xml:space="preserve"> (Canada), avec ses modifications;</w:t>
      </w:r>
    </w:p>
    <w:p w14:paraId="112B314B" w14:textId="77777777" w:rsidR="00B308C6" w:rsidRPr="00F52884" w:rsidRDefault="00B308C6" w:rsidP="00B308C6">
      <w:pPr>
        <w:pStyle w:val="ListParagraph"/>
        <w:ind w:left="1440" w:hanging="720"/>
        <w:rPr>
          <w:rFonts w:cstheme="minorHAnsi"/>
          <w:iCs/>
          <w:szCs w:val="23"/>
          <w:lang w:val="fr-CA"/>
        </w:rPr>
      </w:pPr>
    </w:p>
    <w:p w14:paraId="410ED374" w14:textId="41C7D227" w:rsidR="00B308C6" w:rsidRPr="00F52884" w:rsidRDefault="00B308C6" w:rsidP="00B308C6">
      <w:pPr>
        <w:pStyle w:val="ListParagraph"/>
        <w:numPr>
          <w:ilvl w:val="0"/>
          <w:numId w:val="405"/>
        </w:numPr>
        <w:ind w:left="1440" w:hanging="720"/>
        <w:rPr>
          <w:rFonts w:cstheme="minorHAnsi"/>
          <w:iCs/>
          <w:szCs w:val="23"/>
          <w:lang w:val="fr-CA"/>
        </w:rPr>
      </w:pPr>
      <w:proofErr w:type="gramStart"/>
      <w:r w:rsidRPr="00F52884">
        <w:rPr>
          <w:rFonts w:cstheme="minorHAnsi"/>
          <w:szCs w:val="23"/>
          <w:lang w:val="fr-CA"/>
        </w:rPr>
        <w:t>des</w:t>
      </w:r>
      <w:proofErr w:type="gramEnd"/>
      <w:r w:rsidRPr="00F52884">
        <w:rPr>
          <w:rFonts w:cstheme="minorHAnsi"/>
          <w:szCs w:val="23"/>
          <w:lang w:val="fr-CA"/>
        </w:rPr>
        <w:t xml:space="preserve"> produits et des services destinés aux loteries autorisées en vertu du </w:t>
      </w:r>
      <w:r w:rsidRPr="00F52884">
        <w:rPr>
          <w:rFonts w:cstheme="minorHAnsi"/>
          <w:i/>
          <w:iCs/>
          <w:szCs w:val="23"/>
          <w:lang w:val="fr-CA"/>
        </w:rPr>
        <w:t>Code criminel</w:t>
      </w:r>
      <w:r w:rsidRPr="00F52884">
        <w:rPr>
          <w:rFonts w:cstheme="minorHAnsi"/>
          <w:szCs w:val="23"/>
          <w:lang w:val="fr-CA"/>
        </w:rPr>
        <w:t xml:space="preserve"> (Canada), avec ses modifications;</w:t>
      </w:r>
    </w:p>
    <w:p w14:paraId="70D2CE5F" w14:textId="77777777" w:rsidR="00B308C6" w:rsidRPr="00F52884" w:rsidRDefault="00B308C6" w:rsidP="00B308C6">
      <w:pPr>
        <w:ind w:left="1440" w:hanging="720"/>
        <w:rPr>
          <w:rFonts w:cstheme="minorHAnsi"/>
          <w:iCs/>
          <w:szCs w:val="23"/>
          <w:lang w:val="fr-CA"/>
        </w:rPr>
      </w:pPr>
    </w:p>
    <w:p w14:paraId="62440C6B" w14:textId="77777777" w:rsidR="00B308C6" w:rsidRPr="00F52884" w:rsidRDefault="00B308C6" w:rsidP="00B308C6">
      <w:pPr>
        <w:pStyle w:val="ListParagraph"/>
        <w:numPr>
          <w:ilvl w:val="0"/>
          <w:numId w:val="405"/>
        </w:numPr>
        <w:ind w:left="1440" w:hanging="720"/>
        <w:rPr>
          <w:rFonts w:cstheme="minorHAnsi"/>
          <w:iCs/>
          <w:szCs w:val="23"/>
          <w:lang w:val="fr-CA"/>
        </w:rPr>
      </w:pPr>
      <w:proofErr w:type="gramStart"/>
      <w:r w:rsidRPr="00F52884">
        <w:rPr>
          <w:rFonts w:cstheme="minorHAnsi"/>
          <w:szCs w:val="23"/>
          <w:lang w:val="fr-CA"/>
        </w:rPr>
        <w:t>des</w:t>
      </w:r>
      <w:proofErr w:type="gramEnd"/>
      <w:r w:rsidRPr="00F52884">
        <w:rPr>
          <w:rFonts w:cstheme="minorHAnsi"/>
          <w:szCs w:val="23"/>
          <w:lang w:val="fr-CA"/>
        </w:rPr>
        <w:t xml:space="preserve"> concours publicitaires;</w:t>
      </w:r>
    </w:p>
    <w:p w14:paraId="679D5317" w14:textId="77777777" w:rsidR="00B308C6" w:rsidRPr="00F52884" w:rsidRDefault="00B308C6" w:rsidP="00B308C6">
      <w:pPr>
        <w:ind w:left="1440" w:hanging="720"/>
        <w:rPr>
          <w:rFonts w:cstheme="minorHAnsi"/>
          <w:iCs/>
          <w:szCs w:val="23"/>
          <w:lang w:val="fr-CA"/>
        </w:rPr>
      </w:pPr>
    </w:p>
    <w:p w14:paraId="19897A9D" w14:textId="77777777" w:rsidR="00B308C6" w:rsidRPr="00F52884" w:rsidRDefault="00B308C6" w:rsidP="00B308C6">
      <w:pPr>
        <w:pStyle w:val="ListParagraph"/>
        <w:numPr>
          <w:ilvl w:val="0"/>
          <w:numId w:val="405"/>
        </w:numPr>
        <w:ind w:left="1440" w:hanging="720"/>
        <w:rPr>
          <w:rFonts w:cstheme="minorHAnsi"/>
          <w:iCs/>
          <w:szCs w:val="23"/>
          <w:lang w:val="fr-CA"/>
        </w:rPr>
      </w:pPr>
      <w:proofErr w:type="gramStart"/>
      <w:r w:rsidRPr="00F52884">
        <w:rPr>
          <w:rFonts w:cstheme="minorHAnsi"/>
          <w:szCs w:val="23"/>
          <w:lang w:val="fr-CA"/>
        </w:rPr>
        <w:t>des</w:t>
      </w:r>
      <w:proofErr w:type="gramEnd"/>
      <w:r w:rsidRPr="00F52884">
        <w:rPr>
          <w:rFonts w:cstheme="minorHAnsi"/>
          <w:szCs w:val="23"/>
          <w:lang w:val="fr-CA"/>
        </w:rPr>
        <w:t xml:space="preserve"> appareils de divertissement;</w:t>
      </w:r>
    </w:p>
    <w:p w14:paraId="4A31AA08" w14:textId="77777777" w:rsidR="00B308C6" w:rsidRPr="00F52884" w:rsidRDefault="00B308C6" w:rsidP="00B308C6">
      <w:pPr>
        <w:ind w:left="1440" w:hanging="720"/>
        <w:rPr>
          <w:rFonts w:cstheme="minorHAnsi"/>
          <w:iCs/>
          <w:szCs w:val="23"/>
          <w:lang w:val="fr-CA"/>
        </w:rPr>
      </w:pPr>
    </w:p>
    <w:p w14:paraId="6E54DC4E" w14:textId="1159E897" w:rsidR="00B308C6" w:rsidRPr="00F52884" w:rsidRDefault="00B308C6" w:rsidP="00B308C6">
      <w:pPr>
        <w:pStyle w:val="ListParagraph"/>
        <w:numPr>
          <w:ilvl w:val="0"/>
          <w:numId w:val="405"/>
        </w:numPr>
        <w:ind w:left="1440" w:hanging="720"/>
        <w:rPr>
          <w:rFonts w:cstheme="minorHAnsi"/>
          <w:iCs/>
          <w:szCs w:val="23"/>
          <w:lang w:val="fr-CA"/>
        </w:rPr>
      </w:pPr>
      <w:proofErr w:type="gramStart"/>
      <w:r w:rsidRPr="00F52884">
        <w:rPr>
          <w:rFonts w:cstheme="minorHAnsi"/>
          <w:szCs w:val="23"/>
          <w:lang w:val="fr-CA"/>
        </w:rPr>
        <w:t>des</w:t>
      </w:r>
      <w:proofErr w:type="gramEnd"/>
      <w:r w:rsidRPr="00F52884">
        <w:rPr>
          <w:rFonts w:cstheme="minorHAnsi"/>
          <w:szCs w:val="23"/>
          <w:lang w:val="fr-CA"/>
        </w:rPr>
        <w:t xml:space="preserve"> paris mutuels sur une course ou un combat, ou sur une manifestation </w:t>
      </w:r>
      <w:proofErr w:type="spellStart"/>
      <w:r w:rsidRPr="00F52884">
        <w:rPr>
          <w:rFonts w:cstheme="minorHAnsi"/>
          <w:szCs w:val="23"/>
          <w:lang w:val="fr-CA"/>
        </w:rPr>
        <w:t>unisport</w:t>
      </w:r>
      <w:proofErr w:type="spellEnd"/>
      <w:r w:rsidRPr="00F52884">
        <w:rPr>
          <w:rFonts w:cstheme="minorHAnsi"/>
          <w:szCs w:val="23"/>
          <w:lang w:val="fr-CA"/>
        </w:rPr>
        <w:t xml:space="preserve"> ou un concours sportif;</w:t>
      </w:r>
    </w:p>
    <w:p w14:paraId="48948FA6" w14:textId="77777777" w:rsidR="00B308C6" w:rsidRPr="00F52884" w:rsidRDefault="00B308C6" w:rsidP="00B308C6">
      <w:pPr>
        <w:rPr>
          <w:rFonts w:cstheme="minorHAnsi"/>
          <w:szCs w:val="23"/>
          <w:lang w:val="fr-CA"/>
        </w:rPr>
      </w:pPr>
    </w:p>
    <w:p w14:paraId="0657C221" w14:textId="6E77A17E" w:rsidR="00B308C6" w:rsidRPr="00F52884" w:rsidRDefault="00B308C6" w:rsidP="00B308C6">
      <w:pPr>
        <w:rPr>
          <w:rFonts w:cstheme="minorHAnsi"/>
          <w:szCs w:val="23"/>
          <w:lang w:val="fr-CA"/>
        </w:rPr>
      </w:pPr>
      <w:proofErr w:type="gramStart"/>
      <w:r w:rsidRPr="00F52884">
        <w:rPr>
          <w:rFonts w:cstheme="minorHAnsi"/>
          <w:b/>
          <w:bCs/>
          <w:szCs w:val="23"/>
          <w:lang w:val="fr-CA"/>
        </w:rPr>
        <w:t>jours</w:t>
      </w:r>
      <w:proofErr w:type="gramEnd"/>
      <w:r w:rsidRPr="00F52884">
        <w:rPr>
          <w:rFonts w:cstheme="minorHAnsi"/>
          <w:szCs w:val="23"/>
          <w:lang w:val="fr-CA"/>
        </w:rPr>
        <w:t xml:space="preserve"> </w:t>
      </w:r>
      <w:proofErr w:type="spellStart"/>
      <w:r w:rsidRPr="00F52884">
        <w:rPr>
          <w:rFonts w:cstheme="minorHAnsi"/>
          <w:szCs w:val="23"/>
          <w:lang w:val="fr-CA"/>
        </w:rPr>
        <w:t>Jours</w:t>
      </w:r>
      <w:proofErr w:type="spellEnd"/>
      <w:r w:rsidRPr="00F52884">
        <w:rPr>
          <w:rFonts w:cstheme="minorHAnsi"/>
          <w:szCs w:val="23"/>
          <w:lang w:val="fr-CA"/>
        </w:rPr>
        <w:t xml:space="preserve"> civils, y compris les jours fériés;</w:t>
      </w:r>
    </w:p>
    <w:p w14:paraId="6FBF11E6" w14:textId="77777777" w:rsidR="00B308C6" w:rsidRPr="00F52884" w:rsidRDefault="00B308C6" w:rsidP="00B308C6">
      <w:pPr>
        <w:rPr>
          <w:rFonts w:cstheme="minorHAnsi"/>
          <w:szCs w:val="23"/>
          <w:lang w:val="fr-CA"/>
        </w:rPr>
      </w:pPr>
    </w:p>
    <w:p w14:paraId="101EA150" w14:textId="3F1DEC92" w:rsidR="00B308C6" w:rsidRPr="00F52884" w:rsidRDefault="00B308C6" w:rsidP="00B308C6">
      <w:pPr>
        <w:autoSpaceDE w:val="0"/>
        <w:autoSpaceDN w:val="0"/>
        <w:adjustRightInd w:val="0"/>
        <w:rPr>
          <w:rFonts w:eastAsia="Times New Roman" w:cstheme="minorHAnsi"/>
          <w:szCs w:val="23"/>
          <w:lang w:val="fr-CA"/>
        </w:rPr>
      </w:pPr>
      <w:proofErr w:type="gramStart"/>
      <w:r w:rsidRPr="00F52884">
        <w:rPr>
          <w:rFonts w:cstheme="minorHAnsi"/>
          <w:b/>
          <w:bCs/>
          <w:szCs w:val="23"/>
          <w:lang w:val="fr-CA"/>
        </w:rPr>
        <w:t>jour</w:t>
      </w:r>
      <w:proofErr w:type="gramEnd"/>
      <w:r w:rsidRPr="00F52884">
        <w:rPr>
          <w:rFonts w:cstheme="minorHAnsi"/>
          <w:b/>
          <w:bCs/>
          <w:szCs w:val="23"/>
          <w:lang w:val="fr-CA"/>
        </w:rPr>
        <w:t xml:space="preserve"> férié</w:t>
      </w:r>
      <w:r w:rsidRPr="00F52884">
        <w:rPr>
          <w:rFonts w:cstheme="minorHAnsi"/>
          <w:szCs w:val="23"/>
          <w:lang w:val="fr-CA"/>
        </w:rPr>
        <w:t xml:space="preserve"> Samedi, dimanche et tout autre jour déclaré jour férié par une Partie</w:t>
      </w:r>
      <w:r w:rsidRPr="00F52884">
        <w:rPr>
          <w:rFonts w:eastAsia="Times New Roman" w:cstheme="minorHAnsi"/>
          <w:szCs w:val="23"/>
          <w:lang w:val="fr-CA"/>
        </w:rPr>
        <w:t>;</w:t>
      </w:r>
    </w:p>
    <w:p w14:paraId="021F3E2D" w14:textId="77777777" w:rsidR="00B308C6" w:rsidRPr="00F52884" w:rsidRDefault="00B308C6" w:rsidP="00B308C6">
      <w:pPr>
        <w:rPr>
          <w:rFonts w:cstheme="minorHAnsi"/>
          <w:szCs w:val="23"/>
          <w:lang w:val="fr-CA"/>
        </w:rPr>
      </w:pPr>
    </w:p>
    <w:p w14:paraId="03A0FC19" w14:textId="787E6CC5" w:rsidR="00B308C6" w:rsidRPr="00F52884" w:rsidRDefault="00B308C6" w:rsidP="00B308C6">
      <w:pPr>
        <w:rPr>
          <w:rFonts w:cstheme="minorHAnsi"/>
          <w:szCs w:val="23"/>
          <w:lang w:val="fr-CA"/>
        </w:rPr>
      </w:pPr>
      <w:proofErr w:type="gramStart"/>
      <w:r w:rsidRPr="00F52884">
        <w:rPr>
          <w:rFonts w:cstheme="minorHAnsi"/>
          <w:b/>
          <w:bCs/>
          <w:szCs w:val="23"/>
          <w:lang w:val="fr-CA"/>
        </w:rPr>
        <w:t>mesure</w:t>
      </w:r>
      <w:proofErr w:type="gramEnd"/>
      <w:r w:rsidRPr="00F52884">
        <w:rPr>
          <w:rFonts w:cstheme="minorHAnsi"/>
          <w:szCs w:val="23"/>
          <w:lang w:val="fr-CA"/>
        </w:rPr>
        <w:t xml:space="preserve"> S’entend notamment d’une lois, d’un règlement, d’une directive, d’une prescription, d’une ligne directrice, d’un programme, d’une politique, d’une pratique administrative ou </w:t>
      </w:r>
      <w:r w:rsidRPr="00F52884">
        <w:rPr>
          <w:rFonts w:cstheme="minorHAnsi"/>
          <w:szCs w:val="23"/>
          <w:lang w:val="fr-CA"/>
        </w:rPr>
        <w:lastRenderedPageBreak/>
        <w:t>d’une autre procédure. Pour l’application du chapitre Cinq (Marchés publics), le terme « mesure » comprend toute action d’une entité contractante concernant un marché couvert;</w:t>
      </w:r>
    </w:p>
    <w:p w14:paraId="51F403F4" w14:textId="77777777" w:rsidR="00B308C6" w:rsidRPr="00F52884" w:rsidRDefault="00B308C6" w:rsidP="00B308C6">
      <w:pPr>
        <w:rPr>
          <w:rFonts w:cstheme="minorHAnsi"/>
          <w:szCs w:val="23"/>
          <w:lang w:val="fr-CA"/>
        </w:rPr>
      </w:pPr>
    </w:p>
    <w:p w14:paraId="1948934E" w14:textId="06F01ED9" w:rsidR="00B308C6" w:rsidRPr="00F52884" w:rsidRDefault="00B308C6" w:rsidP="00B308C6">
      <w:pPr>
        <w:rPr>
          <w:rFonts w:cstheme="minorHAnsi"/>
          <w:szCs w:val="23"/>
          <w:lang w:val="fr-CA"/>
        </w:rPr>
      </w:pPr>
      <w:proofErr w:type="gramStart"/>
      <w:r w:rsidRPr="00F52884">
        <w:rPr>
          <w:rFonts w:cstheme="minorHAnsi"/>
          <w:b/>
          <w:bCs/>
          <w:szCs w:val="23"/>
          <w:lang w:val="fr-CA"/>
        </w:rPr>
        <w:t>mesure</w:t>
      </w:r>
      <w:proofErr w:type="gramEnd"/>
      <w:r w:rsidRPr="00F52884">
        <w:rPr>
          <w:rFonts w:cstheme="minorHAnsi"/>
          <w:b/>
          <w:bCs/>
          <w:szCs w:val="23"/>
          <w:lang w:val="fr-CA"/>
        </w:rPr>
        <w:t xml:space="preserve"> environnementale</w:t>
      </w:r>
      <w:r w:rsidRPr="00F52884">
        <w:rPr>
          <w:rFonts w:cstheme="minorHAnsi"/>
          <w:szCs w:val="23"/>
          <w:lang w:val="fr-CA"/>
        </w:rPr>
        <w:t xml:space="preserve"> Mesure dont l’objet premier est la protection de l’environnement ou la prévention des risques pour la vie ou la santé des personnes ou des animaux ou pour la préservation des végétaux;</w:t>
      </w:r>
    </w:p>
    <w:p w14:paraId="1047E291" w14:textId="77777777" w:rsidR="00B308C6" w:rsidRPr="00F52884" w:rsidRDefault="00B308C6" w:rsidP="00B308C6">
      <w:pPr>
        <w:rPr>
          <w:rFonts w:cstheme="minorHAnsi"/>
          <w:szCs w:val="23"/>
          <w:lang w:val="fr-CA"/>
        </w:rPr>
      </w:pPr>
    </w:p>
    <w:p w14:paraId="30CB963D" w14:textId="56567798" w:rsidR="00B308C6" w:rsidRPr="00F52884" w:rsidRDefault="00B308C6" w:rsidP="00B308C6">
      <w:pPr>
        <w:rPr>
          <w:rFonts w:cstheme="minorHAnsi"/>
          <w:szCs w:val="23"/>
          <w:lang w:val="fr-CA"/>
        </w:rPr>
      </w:pPr>
      <w:proofErr w:type="gramStart"/>
      <w:r w:rsidRPr="00F52884">
        <w:rPr>
          <w:rFonts w:cstheme="minorHAnsi"/>
          <w:b/>
          <w:bCs/>
          <w:szCs w:val="23"/>
          <w:lang w:val="fr-CA"/>
        </w:rPr>
        <w:t>mesure</w:t>
      </w:r>
      <w:proofErr w:type="gramEnd"/>
      <w:r w:rsidRPr="00F52884">
        <w:rPr>
          <w:rFonts w:cstheme="minorHAnsi"/>
          <w:b/>
          <w:bCs/>
          <w:szCs w:val="23"/>
          <w:lang w:val="fr-CA"/>
        </w:rPr>
        <w:t xml:space="preserve"> existante</w:t>
      </w:r>
      <w:r w:rsidRPr="00F52884">
        <w:rPr>
          <w:rFonts w:cstheme="minorHAnsi"/>
          <w:szCs w:val="23"/>
          <w:lang w:val="fr-CA"/>
        </w:rPr>
        <w:t xml:space="preserve"> Mesure adoptée avant la date d’entrée en vigueur;</w:t>
      </w:r>
    </w:p>
    <w:p w14:paraId="0D4F7988" w14:textId="77777777" w:rsidR="00B308C6" w:rsidRPr="00F52884" w:rsidRDefault="00B308C6" w:rsidP="00B308C6">
      <w:pPr>
        <w:rPr>
          <w:rFonts w:cstheme="minorHAnsi"/>
          <w:szCs w:val="23"/>
          <w:lang w:val="fr-CA"/>
        </w:rPr>
      </w:pPr>
    </w:p>
    <w:p w14:paraId="3CF601F1" w14:textId="74F0C9A9" w:rsidR="00B308C6" w:rsidRPr="00F52884" w:rsidRDefault="00B308C6" w:rsidP="00B308C6">
      <w:pPr>
        <w:rPr>
          <w:rFonts w:cstheme="minorHAnsi"/>
          <w:szCs w:val="23"/>
          <w:lang w:val="fr-CA"/>
        </w:rPr>
      </w:pPr>
      <w:proofErr w:type="gramStart"/>
      <w:r w:rsidRPr="00F52884">
        <w:rPr>
          <w:rFonts w:cstheme="minorHAnsi"/>
          <w:b/>
          <w:bCs/>
          <w:szCs w:val="23"/>
          <w:lang w:val="fr-CA"/>
        </w:rPr>
        <w:t>mesure</w:t>
      </w:r>
      <w:proofErr w:type="gramEnd"/>
      <w:r w:rsidRPr="00F52884">
        <w:rPr>
          <w:rFonts w:cstheme="minorHAnsi"/>
          <w:b/>
          <w:bCs/>
          <w:szCs w:val="23"/>
          <w:lang w:val="fr-CA"/>
        </w:rPr>
        <w:t xml:space="preserve"> nouvelle</w:t>
      </w:r>
      <w:r w:rsidRPr="00F52884">
        <w:rPr>
          <w:rFonts w:cstheme="minorHAnsi"/>
          <w:szCs w:val="23"/>
          <w:lang w:val="fr-CA"/>
        </w:rPr>
        <w:t xml:space="preserve"> Mesure adoptée à la date d’entrée en vigueur ou après la date d’entrée en vigueur;</w:t>
      </w:r>
    </w:p>
    <w:p w14:paraId="44B5427B" w14:textId="77777777" w:rsidR="00B308C6" w:rsidRPr="00F52884" w:rsidRDefault="00B308C6" w:rsidP="00B308C6">
      <w:pPr>
        <w:rPr>
          <w:rFonts w:cstheme="minorHAnsi"/>
          <w:szCs w:val="23"/>
          <w:lang w:val="fr-CA"/>
        </w:rPr>
      </w:pPr>
    </w:p>
    <w:p w14:paraId="78C450E8" w14:textId="1108092F" w:rsidR="00B308C6" w:rsidRPr="00F52884" w:rsidRDefault="00B308C6" w:rsidP="00B308C6">
      <w:pPr>
        <w:rPr>
          <w:rFonts w:cstheme="minorHAnsi"/>
          <w:iCs/>
          <w:szCs w:val="23"/>
          <w:lang w:val="fr-CA"/>
        </w:rPr>
      </w:pPr>
      <w:proofErr w:type="gramStart"/>
      <w:r w:rsidRPr="00F52884">
        <w:rPr>
          <w:rFonts w:cstheme="minorHAnsi"/>
          <w:b/>
          <w:bCs/>
          <w:szCs w:val="23"/>
          <w:lang w:val="fr-CA"/>
        </w:rPr>
        <w:t>mesure</w:t>
      </w:r>
      <w:proofErr w:type="gramEnd"/>
      <w:r w:rsidRPr="00F52884">
        <w:rPr>
          <w:rFonts w:cstheme="minorHAnsi"/>
          <w:b/>
          <w:bCs/>
          <w:szCs w:val="23"/>
          <w:lang w:val="fr-CA"/>
        </w:rPr>
        <w:t xml:space="preserve"> réglementaire</w:t>
      </w:r>
      <w:r w:rsidRPr="00F52884">
        <w:rPr>
          <w:rFonts w:cstheme="minorHAnsi"/>
          <w:szCs w:val="23"/>
          <w:lang w:val="fr-CA"/>
        </w:rPr>
        <w:t xml:space="preserve"> S’entend notamment d’un décret, d’un règlement, d’une norme, d’une ordonnance, d’une prescription, d’une procédure, d’un processus, d’une évaluation, d’une loi ou d’un autre instrument, à l’exception des normes professionnelles; </w:t>
      </w:r>
    </w:p>
    <w:p w14:paraId="1E60C786" w14:textId="77777777" w:rsidR="00B308C6" w:rsidRPr="00F52884" w:rsidRDefault="00B308C6" w:rsidP="00B308C6">
      <w:pPr>
        <w:rPr>
          <w:rFonts w:cstheme="minorHAnsi"/>
          <w:iCs/>
          <w:szCs w:val="23"/>
          <w:lang w:val="fr-CA"/>
        </w:rPr>
      </w:pPr>
    </w:p>
    <w:p w14:paraId="01D3213F" w14:textId="39E9D7E1" w:rsidR="00B308C6" w:rsidRPr="00F52884" w:rsidRDefault="00B308C6" w:rsidP="00B308C6">
      <w:pPr>
        <w:rPr>
          <w:rFonts w:cstheme="minorHAnsi"/>
          <w:szCs w:val="23"/>
          <w:lang w:val="fr-CA"/>
        </w:rPr>
      </w:pPr>
      <w:proofErr w:type="gramStart"/>
      <w:r w:rsidRPr="00F52884">
        <w:rPr>
          <w:rFonts w:cstheme="minorHAnsi"/>
          <w:b/>
          <w:bCs/>
          <w:szCs w:val="23"/>
          <w:lang w:val="fr-CA"/>
        </w:rPr>
        <w:t>mesures</w:t>
      </w:r>
      <w:proofErr w:type="gramEnd"/>
      <w:r w:rsidRPr="00F52884">
        <w:rPr>
          <w:rFonts w:cstheme="minorHAnsi"/>
          <w:b/>
          <w:bCs/>
          <w:szCs w:val="23"/>
          <w:lang w:val="fr-CA"/>
        </w:rPr>
        <w:t xml:space="preserve"> et normes en matière de consommation</w:t>
      </w:r>
      <w:r w:rsidRPr="00F52884">
        <w:rPr>
          <w:rFonts w:cstheme="minorHAnsi"/>
          <w:szCs w:val="23"/>
          <w:lang w:val="fr-CA"/>
        </w:rPr>
        <w:t xml:space="preserve"> Mesures et normes visant à assurer la sécurité personnelle des consommateurs ou à protéger les intérêts économiques des consommateurs, et qui se rapportent à l’offre, à l’acquisition ou à l’utilisation d’un produit ou d’un service destiné principalement à des fins personnelles, familiales ou domestiques;</w:t>
      </w:r>
    </w:p>
    <w:p w14:paraId="1BAF1EE4" w14:textId="77777777" w:rsidR="00B308C6" w:rsidRPr="00F52884" w:rsidRDefault="00B308C6" w:rsidP="00B308C6">
      <w:pPr>
        <w:rPr>
          <w:rFonts w:cstheme="minorHAnsi"/>
          <w:szCs w:val="23"/>
          <w:lang w:val="fr-CA"/>
        </w:rPr>
      </w:pPr>
    </w:p>
    <w:p w14:paraId="2840E2BB" w14:textId="0B6CD6B9" w:rsidR="00B308C6" w:rsidRPr="00F52884" w:rsidRDefault="00B308C6" w:rsidP="00B308C6">
      <w:pPr>
        <w:rPr>
          <w:rFonts w:cstheme="minorHAnsi"/>
          <w:szCs w:val="23"/>
          <w:lang w:val="fr-CA"/>
        </w:rPr>
      </w:pPr>
      <w:proofErr w:type="gramStart"/>
      <w:r w:rsidRPr="00F52884">
        <w:rPr>
          <w:rFonts w:cstheme="minorHAnsi"/>
          <w:b/>
          <w:bCs/>
          <w:szCs w:val="23"/>
          <w:lang w:val="fr-CA"/>
        </w:rPr>
        <w:t>mesure</w:t>
      </w:r>
      <w:proofErr w:type="gramEnd"/>
      <w:r w:rsidRPr="00F52884">
        <w:rPr>
          <w:rFonts w:cstheme="minorHAnsi"/>
          <w:b/>
          <w:bCs/>
          <w:szCs w:val="23"/>
          <w:lang w:val="fr-CA"/>
        </w:rPr>
        <w:t xml:space="preserve"> sanitaire ou phytosanitaire</w:t>
      </w:r>
      <w:r w:rsidRPr="00F52884">
        <w:rPr>
          <w:rFonts w:cstheme="minorHAnsi"/>
          <w:szCs w:val="23"/>
          <w:lang w:val="fr-CA"/>
        </w:rPr>
        <w:t xml:space="preserve"> Toute mesure appliquée, selon le cas :</w:t>
      </w:r>
    </w:p>
    <w:p w14:paraId="5C46D881" w14:textId="77777777" w:rsidR="00B308C6" w:rsidRPr="00F52884" w:rsidRDefault="00B308C6" w:rsidP="00B308C6">
      <w:pPr>
        <w:rPr>
          <w:rFonts w:cstheme="minorHAnsi"/>
          <w:szCs w:val="23"/>
          <w:lang w:val="fr-CA"/>
        </w:rPr>
      </w:pPr>
    </w:p>
    <w:p w14:paraId="24ECAC06" w14:textId="219B32E9" w:rsidR="00B308C6" w:rsidRPr="00F52884" w:rsidRDefault="00B308C6" w:rsidP="00B308C6">
      <w:pPr>
        <w:pStyle w:val="ListParagraph"/>
        <w:numPr>
          <w:ilvl w:val="0"/>
          <w:numId w:val="406"/>
        </w:numPr>
        <w:ind w:left="1440" w:hanging="720"/>
        <w:rPr>
          <w:rFonts w:cstheme="minorHAnsi"/>
          <w:szCs w:val="23"/>
          <w:lang w:val="fr-CA"/>
        </w:rPr>
      </w:pPr>
      <w:proofErr w:type="gramStart"/>
      <w:r w:rsidRPr="00F52884">
        <w:rPr>
          <w:rFonts w:cstheme="minorHAnsi"/>
          <w:szCs w:val="23"/>
          <w:lang w:val="fr-CA"/>
        </w:rPr>
        <w:t>pour</w:t>
      </w:r>
      <w:proofErr w:type="gramEnd"/>
      <w:r w:rsidRPr="00F52884">
        <w:rPr>
          <w:rFonts w:cstheme="minorHAnsi"/>
          <w:szCs w:val="23"/>
          <w:lang w:val="fr-CA"/>
        </w:rPr>
        <w:t xml:space="preserve"> protéger, sur le territoire de la Partie, la santé et la vie des animaux ou préserver les végétaux des risques découlant de l’entrée, de l’établissement ou de la dissémination de parasites, maladies, organismes porteurs de maladies ou organismes pathogènes;</w:t>
      </w:r>
    </w:p>
    <w:p w14:paraId="26902FE2" w14:textId="77777777" w:rsidR="00B308C6" w:rsidRPr="00F52884" w:rsidRDefault="00B308C6" w:rsidP="00B308C6">
      <w:pPr>
        <w:pStyle w:val="ListParagraph"/>
        <w:ind w:left="1440" w:hanging="720"/>
        <w:rPr>
          <w:rFonts w:cstheme="minorHAnsi"/>
          <w:szCs w:val="23"/>
          <w:lang w:val="fr-CA"/>
        </w:rPr>
      </w:pPr>
    </w:p>
    <w:p w14:paraId="0489B271" w14:textId="5B620DFC" w:rsidR="00B308C6" w:rsidRPr="00F52884" w:rsidRDefault="00B308C6" w:rsidP="00B308C6">
      <w:pPr>
        <w:pStyle w:val="ListParagraph"/>
        <w:numPr>
          <w:ilvl w:val="0"/>
          <w:numId w:val="406"/>
        </w:numPr>
        <w:ind w:left="1440" w:hanging="720"/>
        <w:rPr>
          <w:rFonts w:cstheme="minorHAnsi"/>
          <w:szCs w:val="23"/>
          <w:lang w:val="fr-CA"/>
        </w:rPr>
      </w:pPr>
      <w:proofErr w:type="gramStart"/>
      <w:r w:rsidRPr="00F52884">
        <w:rPr>
          <w:rFonts w:cstheme="minorHAnsi"/>
          <w:szCs w:val="23"/>
          <w:lang w:val="fr-CA"/>
        </w:rPr>
        <w:t>pour</w:t>
      </w:r>
      <w:proofErr w:type="gramEnd"/>
      <w:r w:rsidRPr="00F52884">
        <w:rPr>
          <w:rFonts w:cstheme="minorHAnsi"/>
          <w:szCs w:val="23"/>
          <w:lang w:val="fr-CA"/>
        </w:rPr>
        <w:t xml:space="preserve"> protéger, sur le territoire de la Partie, la santé et la vie des personnes et des animaux  des risques découlant des additifs, contaminants, toxines ou organismes pathogènes présents dans les  aliments, les boissons ou les aliments pour animaux;</w:t>
      </w:r>
    </w:p>
    <w:p w14:paraId="318F5B83" w14:textId="77777777" w:rsidR="00B308C6" w:rsidRPr="00F52884" w:rsidRDefault="00B308C6" w:rsidP="00B308C6">
      <w:pPr>
        <w:ind w:left="1440" w:hanging="720"/>
        <w:rPr>
          <w:rFonts w:cstheme="minorHAnsi"/>
          <w:szCs w:val="23"/>
          <w:lang w:val="fr-CA"/>
        </w:rPr>
      </w:pPr>
    </w:p>
    <w:p w14:paraId="63B68ED9" w14:textId="6212E780" w:rsidR="00B308C6" w:rsidRPr="00F52884" w:rsidRDefault="00B308C6" w:rsidP="00B308C6">
      <w:pPr>
        <w:pStyle w:val="ListParagraph"/>
        <w:numPr>
          <w:ilvl w:val="0"/>
          <w:numId w:val="406"/>
        </w:numPr>
        <w:ind w:left="1440" w:hanging="720"/>
        <w:rPr>
          <w:rFonts w:cstheme="minorHAnsi"/>
          <w:szCs w:val="23"/>
          <w:lang w:val="fr-CA"/>
        </w:rPr>
      </w:pPr>
      <w:proofErr w:type="gramStart"/>
      <w:r w:rsidRPr="00F52884">
        <w:rPr>
          <w:rFonts w:cstheme="minorHAnsi"/>
          <w:szCs w:val="23"/>
          <w:lang w:val="fr-CA"/>
        </w:rPr>
        <w:t>pour</w:t>
      </w:r>
      <w:proofErr w:type="gramEnd"/>
      <w:r w:rsidRPr="00F52884">
        <w:rPr>
          <w:rFonts w:cstheme="minorHAnsi"/>
          <w:szCs w:val="23"/>
          <w:lang w:val="fr-CA"/>
        </w:rPr>
        <w:t xml:space="preserve"> protéger, sur le territoire de la Partie, la santé et la vie des personnes des risques découlant de maladies véhiculées par des animaux, des plantes ou leurs produits, ou de l’entrée, de l’établissement ou de la dissémination de parasites;</w:t>
      </w:r>
    </w:p>
    <w:p w14:paraId="6D930800" w14:textId="77777777" w:rsidR="00B308C6" w:rsidRPr="00F52884" w:rsidRDefault="00B308C6" w:rsidP="00B308C6">
      <w:pPr>
        <w:ind w:left="1440" w:hanging="720"/>
        <w:rPr>
          <w:rFonts w:cstheme="minorHAnsi"/>
          <w:szCs w:val="23"/>
          <w:lang w:val="fr-CA"/>
        </w:rPr>
      </w:pPr>
    </w:p>
    <w:p w14:paraId="3CA6DACA" w14:textId="7A603D7E" w:rsidR="00B308C6" w:rsidRPr="00F52884" w:rsidRDefault="00B308C6" w:rsidP="00B308C6">
      <w:pPr>
        <w:pStyle w:val="ListParagraph"/>
        <w:numPr>
          <w:ilvl w:val="0"/>
          <w:numId w:val="406"/>
        </w:numPr>
        <w:ind w:left="1440" w:hanging="720"/>
        <w:rPr>
          <w:rFonts w:cstheme="minorHAnsi"/>
          <w:szCs w:val="23"/>
          <w:lang w:val="fr-CA"/>
        </w:rPr>
      </w:pPr>
      <w:proofErr w:type="gramStart"/>
      <w:r w:rsidRPr="00F52884">
        <w:rPr>
          <w:rFonts w:cstheme="minorHAnsi"/>
          <w:szCs w:val="23"/>
          <w:lang w:val="fr-CA"/>
        </w:rPr>
        <w:t>pour</w:t>
      </w:r>
      <w:proofErr w:type="gramEnd"/>
      <w:r w:rsidRPr="00F52884">
        <w:rPr>
          <w:rFonts w:cstheme="minorHAnsi"/>
          <w:szCs w:val="23"/>
          <w:lang w:val="fr-CA"/>
        </w:rPr>
        <w:t xml:space="preserve"> empêcher ou limiter, sur le territoire de la Partie, d’autres dommages découlant de l’entrée, de l’établissement ou de la dissémination de parasites.</w:t>
      </w:r>
    </w:p>
    <w:p w14:paraId="68245BB6" w14:textId="77777777" w:rsidR="00B308C6" w:rsidRPr="00F52884" w:rsidRDefault="00B308C6" w:rsidP="00B308C6">
      <w:pPr>
        <w:rPr>
          <w:rFonts w:cstheme="minorHAnsi"/>
          <w:szCs w:val="23"/>
          <w:lang w:val="fr-CA"/>
        </w:rPr>
      </w:pPr>
    </w:p>
    <w:p w14:paraId="55DF3746" w14:textId="2ED98ACF" w:rsidR="00B308C6" w:rsidRPr="00F52884" w:rsidRDefault="00B308C6" w:rsidP="00B308C6">
      <w:pPr>
        <w:rPr>
          <w:rFonts w:cstheme="minorHAnsi"/>
          <w:szCs w:val="23"/>
          <w:lang w:val="fr-CA"/>
        </w:rPr>
      </w:pPr>
      <w:r w:rsidRPr="00F52884">
        <w:rPr>
          <w:rFonts w:cstheme="minorHAnsi"/>
          <w:szCs w:val="23"/>
          <w:lang w:val="fr-CA"/>
        </w:rPr>
        <w:t xml:space="preserve">Les mesures sanitaires ou phytosanitaires comprennent toutes lois, tous décrets, tous règlements, toutes prescriptions et toutes procédures pertinents, y compris, entre autres choses, les critères relatifs au produit final; les procédés et méthodes de production; les procédures d’essai, d’inspection, de certification et d’homologation; les régimes de quarantaine, y compris les prescriptions pertinentes liées au transport d’animaux ou de végétaux ou aux matières nécessaires à leur survie pendant le transport; les dispositions relatives aux méthodes statistiques, procédures d’échantillonnage et méthodes d’évaluation </w:t>
      </w:r>
      <w:r w:rsidRPr="00F52884">
        <w:rPr>
          <w:rFonts w:cstheme="minorHAnsi"/>
          <w:szCs w:val="23"/>
          <w:lang w:val="fr-CA"/>
        </w:rPr>
        <w:lastRenderedPageBreak/>
        <w:t>des risques pertinentes; et les prescriptions en matière d’emballage et d’étiquetage directement liées à l’innocuité des produits alimentaires;</w:t>
      </w:r>
    </w:p>
    <w:p w14:paraId="6F585051" w14:textId="77777777" w:rsidR="00B308C6" w:rsidRPr="00F52884" w:rsidRDefault="00B308C6" w:rsidP="00B308C6">
      <w:pPr>
        <w:rPr>
          <w:rFonts w:cstheme="minorHAnsi"/>
          <w:szCs w:val="23"/>
          <w:lang w:val="fr-CA"/>
        </w:rPr>
      </w:pPr>
    </w:p>
    <w:p w14:paraId="2A0E361A" w14:textId="5338774D" w:rsidR="00B308C6" w:rsidRPr="00F52884" w:rsidRDefault="00B308C6" w:rsidP="00B308C6">
      <w:pPr>
        <w:rPr>
          <w:rFonts w:cstheme="minorHAnsi"/>
          <w:szCs w:val="23"/>
          <w:lang w:val="fr-CA"/>
        </w:rPr>
      </w:pPr>
      <w:proofErr w:type="gramStart"/>
      <w:r w:rsidRPr="00F52884">
        <w:rPr>
          <w:rFonts w:cstheme="minorHAnsi"/>
          <w:b/>
          <w:bCs/>
          <w:szCs w:val="23"/>
          <w:lang w:val="fr-CA"/>
        </w:rPr>
        <w:t>métier</w:t>
      </w:r>
      <w:proofErr w:type="gramEnd"/>
      <w:r w:rsidRPr="00F52884">
        <w:rPr>
          <w:rFonts w:cstheme="minorHAnsi"/>
          <w:b/>
          <w:bCs/>
          <w:szCs w:val="23"/>
          <w:lang w:val="fr-CA"/>
        </w:rPr>
        <w:t xml:space="preserve"> ou profession</w:t>
      </w:r>
      <w:r w:rsidRPr="00F52884">
        <w:rPr>
          <w:rFonts w:cstheme="minorHAnsi"/>
          <w:szCs w:val="23"/>
          <w:lang w:val="fr-CA"/>
        </w:rPr>
        <w:t xml:space="preserve"> Ensemble d’emplois qui, sous réserve de certaines différences, sont semblables du point de vue des tâches ou fonctions principales, ou du point de vue du genre de travail exécuté;</w:t>
      </w:r>
    </w:p>
    <w:p w14:paraId="7E3E54E4" w14:textId="77777777" w:rsidR="00B308C6" w:rsidRPr="00F52884" w:rsidRDefault="00B308C6" w:rsidP="00B308C6">
      <w:pPr>
        <w:rPr>
          <w:rFonts w:cstheme="minorHAnsi"/>
          <w:szCs w:val="23"/>
          <w:lang w:val="fr-CA"/>
        </w:rPr>
      </w:pPr>
    </w:p>
    <w:p w14:paraId="384B99AD" w14:textId="695C7565" w:rsidR="00B308C6" w:rsidRPr="00F52884" w:rsidRDefault="00B308C6" w:rsidP="00B308C6">
      <w:pPr>
        <w:pStyle w:val="subparagraph"/>
        <w:tabs>
          <w:tab w:val="left" w:pos="1440"/>
        </w:tabs>
        <w:spacing w:after="0"/>
        <w:ind w:left="0" w:firstLine="0"/>
        <w:rPr>
          <w:rFonts w:asciiTheme="minorHAnsi" w:eastAsia="Times New Roman" w:hAnsiTheme="minorHAnsi" w:cstheme="minorHAnsi"/>
          <w:szCs w:val="23"/>
          <w:lang w:val="fr-CA"/>
        </w:rPr>
      </w:pPr>
      <w:proofErr w:type="gramStart"/>
      <w:r w:rsidRPr="00F52884">
        <w:rPr>
          <w:rFonts w:asciiTheme="minorHAnsi" w:hAnsiTheme="minorHAnsi" w:cstheme="minorHAnsi"/>
          <w:b/>
          <w:bCs/>
          <w:szCs w:val="23"/>
          <w:lang w:val="fr-CA"/>
        </w:rPr>
        <w:t>monopole</w:t>
      </w:r>
      <w:proofErr w:type="gramEnd"/>
      <w:r w:rsidRPr="00F52884">
        <w:rPr>
          <w:rFonts w:asciiTheme="minorHAnsi" w:hAnsiTheme="minorHAnsi" w:cstheme="minorHAnsi"/>
          <w:szCs w:val="23"/>
          <w:lang w:val="fr-CA"/>
        </w:rPr>
        <w:t xml:space="preserve"> Entité détenue par le secteur privé ou par une Partie qui est désignée comme le fournisseur ou l’acheteur exclusif d’un produit ou d’un service sur le marché concerné sur le territoire d’une Partie, à l’exception d’une entité à laquelle a été octroyé un droit de propriété intellectuelle exclusif du seul fait de cet octroi; </w:t>
      </w:r>
    </w:p>
    <w:p w14:paraId="47535C96" w14:textId="77777777" w:rsidR="00B308C6" w:rsidRPr="00F52884" w:rsidRDefault="00B308C6" w:rsidP="00B308C6">
      <w:pPr>
        <w:pStyle w:val="subparagraph"/>
        <w:tabs>
          <w:tab w:val="left" w:pos="1440"/>
        </w:tabs>
        <w:spacing w:after="0"/>
        <w:ind w:left="0" w:firstLine="0"/>
        <w:rPr>
          <w:rFonts w:asciiTheme="minorHAnsi" w:eastAsia="Times New Roman" w:hAnsiTheme="minorHAnsi" w:cstheme="minorHAnsi"/>
          <w:szCs w:val="23"/>
          <w:lang w:val="fr-CA"/>
        </w:rPr>
      </w:pPr>
    </w:p>
    <w:p w14:paraId="6413BF0E" w14:textId="1413132D" w:rsidR="00B308C6" w:rsidRPr="00F52884" w:rsidRDefault="00B308C6" w:rsidP="00B308C6">
      <w:pPr>
        <w:rPr>
          <w:rFonts w:cstheme="minorHAnsi"/>
          <w:szCs w:val="23"/>
          <w:lang w:val="fr-CA"/>
        </w:rPr>
      </w:pPr>
      <w:proofErr w:type="gramStart"/>
      <w:r w:rsidRPr="00F52884">
        <w:rPr>
          <w:rFonts w:cstheme="minorHAnsi"/>
          <w:b/>
          <w:bCs/>
          <w:szCs w:val="23"/>
          <w:lang w:val="fr-CA"/>
        </w:rPr>
        <w:t>niveau</w:t>
      </w:r>
      <w:proofErr w:type="gramEnd"/>
      <w:r w:rsidRPr="00F52884">
        <w:rPr>
          <w:rFonts w:cstheme="minorHAnsi"/>
          <w:b/>
          <w:bCs/>
          <w:szCs w:val="23"/>
          <w:lang w:val="fr-CA"/>
        </w:rPr>
        <w:t xml:space="preserve"> approprié de protection sanitaire ou phytosanitaire</w:t>
      </w:r>
      <w:r w:rsidRPr="00F52884">
        <w:rPr>
          <w:rFonts w:cstheme="minorHAnsi"/>
          <w:szCs w:val="23"/>
          <w:lang w:val="fr-CA"/>
        </w:rPr>
        <w:t xml:space="preserve"> Niveau de protection considéré approprié par la Partie établissant une mesure sanitaire ou phytosanitaire pour protéger la santé et la vie des personnes et des animaux ou préserver les végétaux sur son territoire;</w:t>
      </w:r>
    </w:p>
    <w:p w14:paraId="649570BF" w14:textId="77777777" w:rsidR="00B308C6" w:rsidRPr="00F52884" w:rsidRDefault="00B308C6" w:rsidP="00B308C6">
      <w:pPr>
        <w:rPr>
          <w:rFonts w:cstheme="minorHAnsi"/>
          <w:szCs w:val="23"/>
          <w:lang w:val="fr-CA"/>
        </w:rPr>
      </w:pPr>
    </w:p>
    <w:p w14:paraId="54134878" w14:textId="763C8B62" w:rsidR="00B308C6" w:rsidRPr="00F52884" w:rsidRDefault="00B308C6" w:rsidP="00B308C6">
      <w:pPr>
        <w:rPr>
          <w:rFonts w:cstheme="minorHAnsi"/>
          <w:szCs w:val="23"/>
          <w:lang w:val="fr-CA"/>
        </w:rPr>
      </w:pPr>
      <w:proofErr w:type="gramStart"/>
      <w:r w:rsidRPr="00F52884">
        <w:rPr>
          <w:rFonts w:cstheme="minorHAnsi"/>
          <w:b/>
          <w:bCs/>
          <w:szCs w:val="23"/>
          <w:lang w:val="fr-CA"/>
        </w:rPr>
        <w:t>norme</w:t>
      </w:r>
      <w:proofErr w:type="gramEnd"/>
      <w:r w:rsidRPr="00F52884">
        <w:rPr>
          <w:rFonts w:cstheme="minorHAnsi"/>
          <w:szCs w:val="23"/>
          <w:lang w:val="fr-CA"/>
        </w:rPr>
        <w:t xml:space="preserve"> Document approuvé par un organisme reconnu, qui fournit, pour des usages communs et répétés, des règles, des lignes directrices ou des caractéristiques pour des produits ou des services, ou des procédés et des méthodes de production connexes, dont le respect n’est pas obligatoire. Il peut aussi traiter en partie ou en totalité de terminologie, de symboles, de prescriptions en matière d’emballage, de marquage ou d’étiquetage, pour un produit, un service, un procédé ou une méthode de production donnés;</w:t>
      </w:r>
    </w:p>
    <w:p w14:paraId="02D011D1" w14:textId="77777777" w:rsidR="00B308C6" w:rsidRPr="00F52884" w:rsidRDefault="00B308C6" w:rsidP="00B308C6">
      <w:pPr>
        <w:rPr>
          <w:rFonts w:cstheme="minorHAnsi"/>
          <w:szCs w:val="23"/>
          <w:lang w:val="fr-CA"/>
        </w:rPr>
      </w:pPr>
    </w:p>
    <w:p w14:paraId="034839D3" w14:textId="4BFDB65C" w:rsidR="00B308C6" w:rsidRPr="00F52884" w:rsidRDefault="00B308C6" w:rsidP="00B308C6">
      <w:pPr>
        <w:rPr>
          <w:rFonts w:cstheme="minorHAnsi"/>
          <w:szCs w:val="23"/>
          <w:lang w:val="fr-CA"/>
        </w:rPr>
      </w:pPr>
      <w:proofErr w:type="gramStart"/>
      <w:r w:rsidRPr="00F52884">
        <w:rPr>
          <w:rFonts w:cstheme="minorHAnsi"/>
          <w:b/>
          <w:bCs/>
          <w:szCs w:val="23"/>
          <w:lang w:val="fr-CA"/>
        </w:rPr>
        <w:t>norme</w:t>
      </w:r>
      <w:proofErr w:type="gramEnd"/>
      <w:r w:rsidRPr="00F52884">
        <w:rPr>
          <w:rFonts w:cstheme="minorHAnsi"/>
          <w:b/>
          <w:bCs/>
          <w:szCs w:val="23"/>
          <w:lang w:val="fr-CA"/>
        </w:rPr>
        <w:t xml:space="preserve"> nationale</w:t>
      </w:r>
      <w:r w:rsidRPr="00F52884">
        <w:rPr>
          <w:rFonts w:cstheme="minorHAnsi"/>
          <w:szCs w:val="23"/>
          <w:lang w:val="fr-CA"/>
        </w:rPr>
        <w:t xml:space="preserve"> Norme approuvée comme norme nationale du Canada par le Conseil canadien des normes;</w:t>
      </w:r>
    </w:p>
    <w:p w14:paraId="04DEFE4B" w14:textId="77777777" w:rsidR="00B308C6" w:rsidRPr="00F52884" w:rsidRDefault="00B308C6" w:rsidP="00B308C6">
      <w:pPr>
        <w:rPr>
          <w:rFonts w:cstheme="minorHAnsi"/>
          <w:szCs w:val="23"/>
          <w:lang w:val="fr-CA"/>
        </w:rPr>
      </w:pPr>
    </w:p>
    <w:p w14:paraId="79CE34EA" w14:textId="57311410" w:rsidR="00B308C6" w:rsidRPr="00F52884" w:rsidRDefault="00B308C6" w:rsidP="00B308C6">
      <w:pPr>
        <w:rPr>
          <w:rFonts w:cstheme="minorHAnsi"/>
          <w:szCs w:val="23"/>
          <w:lang w:val="fr-CA"/>
        </w:rPr>
      </w:pPr>
      <w:proofErr w:type="gramStart"/>
      <w:r w:rsidRPr="00F52884">
        <w:rPr>
          <w:rFonts w:cstheme="minorHAnsi"/>
          <w:b/>
          <w:bCs/>
          <w:szCs w:val="23"/>
          <w:lang w:val="fr-CA"/>
        </w:rPr>
        <w:t>norme</w:t>
      </w:r>
      <w:proofErr w:type="gramEnd"/>
      <w:r w:rsidRPr="00F52884">
        <w:rPr>
          <w:rFonts w:cstheme="minorHAnsi"/>
          <w:b/>
          <w:bCs/>
          <w:szCs w:val="23"/>
          <w:lang w:val="fr-CA"/>
        </w:rPr>
        <w:t xml:space="preserve"> nationale </w:t>
      </w:r>
      <w:r w:rsidRPr="00F52884">
        <w:rPr>
          <w:rFonts w:cstheme="minorHAnsi"/>
          <w:b/>
          <w:bCs/>
          <w:i/>
          <w:szCs w:val="23"/>
          <w:lang w:val="fr-CA"/>
        </w:rPr>
        <w:t>de facto</w:t>
      </w:r>
      <w:r w:rsidRPr="00F52884">
        <w:rPr>
          <w:rFonts w:cstheme="minorHAnsi"/>
          <w:szCs w:val="23"/>
          <w:lang w:val="fr-CA"/>
        </w:rPr>
        <w:t xml:space="preserve"> Norme reconnue par toutes les Parties;</w:t>
      </w:r>
    </w:p>
    <w:p w14:paraId="76D0FDFD" w14:textId="77777777" w:rsidR="00B308C6" w:rsidRPr="00F52884" w:rsidRDefault="00B308C6" w:rsidP="00B308C6">
      <w:pPr>
        <w:rPr>
          <w:rFonts w:cstheme="minorHAnsi"/>
          <w:szCs w:val="23"/>
          <w:lang w:val="fr-CA"/>
        </w:rPr>
      </w:pPr>
    </w:p>
    <w:p w14:paraId="4AACC52D" w14:textId="2545387B" w:rsidR="00B308C6" w:rsidRPr="00F52884" w:rsidRDefault="00B308C6" w:rsidP="00B308C6">
      <w:pPr>
        <w:rPr>
          <w:rFonts w:cstheme="minorHAnsi"/>
          <w:szCs w:val="23"/>
          <w:lang w:val="fr-CA"/>
        </w:rPr>
      </w:pPr>
      <w:proofErr w:type="gramStart"/>
      <w:r w:rsidRPr="00F52884">
        <w:rPr>
          <w:rFonts w:cstheme="minorHAnsi"/>
          <w:b/>
          <w:bCs/>
          <w:szCs w:val="23"/>
          <w:lang w:val="fr-CA"/>
        </w:rPr>
        <w:t>norme</w:t>
      </w:r>
      <w:proofErr w:type="gramEnd"/>
      <w:r w:rsidRPr="00F52884">
        <w:rPr>
          <w:rFonts w:cstheme="minorHAnsi"/>
          <w:b/>
          <w:bCs/>
          <w:szCs w:val="23"/>
          <w:lang w:val="fr-CA"/>
        </w:rPr>
        <w:t xml:space="preserve"> professionnelle </w:t>
      </w:r>
      <w:r w:rsidRPr="00F52884">
        <w:rPr>
          <w:rFonts w:cstheme="minorHAnsi"/>
          <w:szCs w:val="23"/>
          <w:lang w:val="fr-CA"/>
        </w:rPr>
        <w:t>Aptitudes, connaissances et compétences requises pour exercer un métier ou une profession telles qu’elles sont établies par un organisme de réglementation d’une Partie, en fonction desquelles sont évaluées les qualifications d’une personne désirant exercer ce métier ou cette profession;</w:t>
      </w:r>
    </w:p>
    <w:p w14:paraId="61152956" w14:textId="77777777" w:rsidR="00B308C6" w:rsidRPr="00F52884" w:rsidRDefault="00B308C6" w:rsidP="00B308C6">
      <w:pPr>
        <w:rPr>
          <w:rFonts w:cstheme="minorHAnsi"/>
          <w:szCs w:val="23"/>
          <w:lang w:val="fr-CA"/>
        </w:rPr>
      </w:pPr>
    </w:p>
    <w:p w14:paraId="03DFA7DB" w14:textId="40FAC8DB" w:rsidR="00B308C6" w:rsidRPr="00F52884" w:rsidRDefault="00B308C6" w:rsidP="00B308C6">
      <w:pPr>
        <w:rPr>
          <w:rFonts w:cstheme="minorHAnsi"/>
          <w:szCs w:val="23"/>
          <w:lang w:val="fr-CA"/>
        </w:rPr>
      </w:pPr>
      <w:proofErr w:type="gramStart"/>
      <w:r w:rsidRPr="00F52884">
        <w:rPr>
          <w:rFonts w:cstheme="minorHAnsi"/>
          <w:b/>
          <w:bCs/>
          <w:szCs w:val="23"/>
          <w:lang w:val="fr-CA"/>
        </w:rPr>
        <w:t>objectif</w:t>
      </w:r>
      <w:proofErr w:type="gramEnd"/>
      <w:r w:rsidRPr="00F52884">
        <w:rPr>
          <w:rFonts w:cstheme="minorHAnsi"/>
          <w:b/>
          <w:bCs/>
          <w:szCs w:val="23"/>
          <w:lang w:val="fr-CA"/>
        </w:rPr>
        <w:t xml:space="preserve"> légitime</w:t>
      </w:r>
      <w:r w:rsidRPr="00F52884">
        <w:rPr>
          <w:rFonts w:cstheme="minorHAnsi"/>
          <w:szCs w:val="23"/>
          <w:lang w:val="fr-CA"/>
        </w:rPr>
        <w:t xml:space="preserve"> L’un quelconque des objectifs suivants poursuivis sur le territoire d’une Partie :</w:t>
      </w:r>
    </w:p>
    <w:p w14:paraId="36372758" w14:textId="77777777" w:rsidR="00B308C6" w:rsidRPr="00F52884" w:rsidRDefault="00B308C6" w:rsidP="00B308C6">
      <w:pPr>
        <w:rPr>
          <w:rFonts w:cstheme="minorHAnsi"/>
          <w:szCs w:val="23"/>
          <w:lang w:val="fr-CA"/>
        </w:rPr>
      </w:pPr>
    </w:p>
    <w:p w14:paraId="7CED29F1" w14:textId="77777777"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sécurité du public;</w:t>
      </w:r>
    </w:p>
    <w:p w14:paraId="316EEDA0" w14:textId="77777777" w:rsidR="00B308C6" w:rsidRPr="00F52884" w:rsidRDefault="00B308C6" w:rsidP="00B308C6">
      <w:pPr>
        <w:ind w:left="1440" w:hanging="720"/>
        <w:rPr>
          <w:rFonts w:cstheme="minorHAnsi"/>
          <w:szCs w:val="23"/>
          <w:lang w:val="fr-CA"/>
        </w:rPr>
      </w:pPr>
    </w:p>
    <w:p w14:paraId="079EDC55" w14:textId="77777777"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l’ordre</w:t>
      </w:r>
      <w:proofErr w:type="gramEnd"/>
      <w:r w:rsidRPr="00F52884">
        <w:rPr>
          <w:rFonts w:cstheme="minorHAnsi"/>
          <w:szCs w:val="23"/>
          <w:lang w:val="fr-CA"/>
        </w:rPr>
        <w:t xml:space="preserve"> public;</w:t>
      </w:r>
    </w:p>
    <w:p w14:paraId="74776E1C" w14:textId="77777777" w:rsidR="00B308C6" w:rsidRPr="00F52884" w:rsidRDefault="00B308C6" w:rsidP="00B308C6">
      <w:pPr>
        <w:ind w:left="1440" w:hanging="720"/>
        <w:rPr>
          <w:rFonts w:cstheme="minorHAnsi"/>
          <w:szCs w:val="23"/>
          <w:lang w:val="fr-CA"/>
        </w:rPr>
      </w:pPr>
    </w:p>
    <w:p w14:paraId="24C82215" w14:textId="25D7D3E4"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protection de la vie ou de la santé des personnes ou des animaux ou la préservation des végétaux;</w:t>
      </w:r>
    </w:p>
    <w:p w14:paraId="2CD0477D" w14:textId="77777777" w:rsidR="00B308C6" w:rsidRPr="00F52884" w:rsidRDefault="00B308C6" w:rsidP="00B308C6">
      <w:pPr>
        <w:ind w:left="1440" w:hanging="720"/>
        <w:rPr>
          <w:rFonts w:cstheme="minorHAnsi"/>
          <w:szCs w:val="23"/>
          <w:lang w:val="fr-CA"/>
        </w:rPr>
      </w:pPr>
    </w:p>
    <w:p w14:paraId="4D53414E" w14:textId="77777777"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protection de l’environnement;</w:t>
      </w:r>
    </w:p>
    <w:p w14:paraId="0DFD1E56" w14:textId="77777777" w:rsidR="00B308C6" w:rsidRPr="00F52884" w:rsidRDefault="00B308C6" w:rsidP="00B308C6">
      <w:pPr>
        <w:ind w:left="1440" w:hanging="720"/>
        <w:rPr>
          <w:rFonts w:cstheme="minorHAnsi"/>
          <w:szCs w:val="23"/>
          <w:lang w:val="fr-CA"/>
        </w:rPr>
      </w:pPr>
    </w:p>
    <w:p w14:paraId="42818A48" w14:textId="77777777"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protection des consommateurs;</w:t>
      </w:r>
    </w:p>
    <w:p w14:paraId="7EA2B91B" w14:textId="77777777" w:rsidR="00B308C6" w:rsidRPr="00F52884" w:rsidRDefault="00B308C6" w:rsidP="00B308C6">
      <w:pPr>
        <w:ind w:left="1440" w:hanging="720"/>
        <w:rPr>
          <w:rFonts w:cstheme="minorHAnsi"/>
          <w:szCs w:val="23"/>
          <w:lang w:val="fr-CA"/>
        </w:rPr>
      </w:pPr>
    </w:p>
    <w:p w14:paraId="43A42F8D" w14:textId="77777777"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protection de la santé, de la sécurité et du bien-être des travailleurs;</w:t>
      </w:r>
    </w:p>
    <w:p w14:paraId="0CC1200C" w14:textId="77777777" w:rsidR="00B308C6" w:rsidRPr="00F52884" w:rsidRDefault="00B308C6" w:rsidP="00B308C6">
      <w:pPr>
        <w:ind w:left="1440" w:hanging="720"/>
        <w:rPr>
          <w:rFonts w:cstheme="minorHAnsi"/>
          <w:szCs w:val="23"/>
          <w:lang w:val="fr-CA"/>
        </w:rPr>
      </w:pPr>
    </w:p>
    <w:p w14:paraId="67F72E72" w14:textId="63E89855" w:rsidR="00B308C6" w:rsidRPr="00F52884" w:rsidRDefault="00B308C6" w:rsidP="00B308C6">
      <w:pPr>
        <w:pStyle w:val="ListParagraph"/>
        <w:numPr>
          <w:ilvl w:val="0"/>
          <w:numId w:val="407"/>
        </w:numPr>
        <w:ind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programmes à l’intention des groupes défavorisés, </w:t>
      </w:r>
    </w:p>
    <w:p w14:paraId="10BDAD33" w14:textId="77777777" w:rsidR="00B308C6" w:rsidRPr="00F52884" w:rsidRDefault="00B308C6" w:rsidP="00B308C6">
      <w:pPr>
        <w:ind w:left="720"/>
        <w:rPr>
          <w:rFonts w:cstheme="minorHAnsi"/>
          <w:szCs w:val="23"/>
          <w:lang w:val="fr-CA"/>
        </w:rPr>
      </w:pPr>
    </w:p>
    <w:p w14:paraId="57AA3293" w14:textId="72577882" w:rsidR="00B308C6" w:rsidRPr="00F52884" w:rsidRDefault="00B308C6" w:rsidP="00B308C6">
      <w:pPr>
        <w:rPr>
          <w:rFonts w:cstheme="minorHAnsi"/>
          <w:szCs w:val="23"/>
          <w:lang w:val="fr-CA"/>
        </w:rPr>
      </w:pPr>
      <w:proofErr w:type="gramStart"/>
      <w:r w:rsidRPr="00F52884">
        <w:rPr>
          <w:rFonts w:cstheme="minorHAnsi"/>
          <w:szCs w:val="23"/>
          <w:lang w:val="fr-CA"/>
        </w:rPr>
        <w:t>compte</w:t>
      </w:r>
      <w:proofErr w:type="gramEnd"/>
      <w:r w:rsidRPr="00F52884">
        <w:rPr>
          <w:rFonts w:cstheme="minorHAnsi"/>
          <w:szCs w:val="23"/>
          <w:lang w:val="fr-CA"/>
        </w:rPr>
        <w:t xml:space="preserve"> tenu notamment, s’il y lieu, de facteurs climatiques fondamentaux ou autres facteurs géographiques, de facteurs technologiques ou infrastructurels, ou de justifications scientifiques.</w:t>
      </w:r>
    </w:p>
    <w:p w14:paraId="37632252" w14:textId="77777777" w:rsidR="00B308C6" w:rsidRPr="00F52884" w:rsidRDefault="00B308C6" w:rsidP="00B308C6">
      <w:pPr>
        <w:rPr>
          <w:rFonts w:cstheme="minorHAnsi"/>
          <w:szCs w:val="23"/>
          <w:lang w:val="fr-CA"/>
        </w:rPr>
      </w:pPr>
    </w:p>
    <w:p w14:paraId="7128735C" w14:textId="60C1C2CE" w:rsidR="00B308C6" w:rsidRPr="00F52884" w:rsidRDefault="00B308C6" w:rsidP="00B308C6">
      <w:pPr>
        <w:rPr>
          <w:rFonts w:cstheme="minorHAnsi"/>
          <w:szCs w:val="23"/>
          <w:lang w:val="fr-CA"/>
        </w:rPr>
      </w:pPr>
      <w:r w:rsidRPr="00F52884">
        <w:rPr>
          <w:rFonts w:cstheme="minorHAnsi"/>
          <w:szCs w:val="23"/>
          <w:lang w:val="fr-CA"/>
        </w:rPr>
        <w:t>Ne sont pas visés par la présente définition la protection de la production d’une Partie ou, en ce qui concerne le gouvernement du Canada, le fait de favoriser la production d’une Province;</w:t>
      </w:r>
    </w:p>
    <w:p w14:paraId="37DE8CE1" w14:textId="77777777" w:rsidR="00B308C6" w:rsidRPr="00F52884" w:rsidRDefault="00B308C6" w:rsidP="00B308C6">
      <w:pPr>
        <w:rPr>
          <w:rFonts w:cstheme="minorHAnsi"/>
          <w:szCs w:val="23"/>
          <w:lang w:val="fr-CA"/>
        </w:rPr>
      </w:pPr>
    </w:p>
    <w:p w14:paraId="6FCF6256" w14:textId="4129D3A8" w:rsidR="00B308C6" w:rsidRPr="00F52884" w:rsidRDefault="00B308C6" w:rsidP="00B308C6">
      <w:pPr>
        <w:widowControl w:val="0"/>
        <w:autoSpaceDE w:val="0"/>
        <w:autoSpaceDN w:val="0"/>
        <w:adjustRightInd w:val="0"/>
        <w:rPr>
          <w:rFonts w:eastAsia="Times New Roman" w:cstheme="minorHAnsi"/>
          <w:szCs w:val="23"/>
          <w:lang w:val="fr-CA"/>
        </w:rPr>
      </w:pPr>
      <w:proofErr w:type="gramStart"/>
      <w:r w:rsidRPr="00F52884">
        <w:rPr>
          <w:rFonts w:eastAsia="Times New Roman" w:cstheme="minorHAnsi"/>
          <w:b/>
          <w:bCs/>
          <w:szCs w:val="23"/>
          <w:lang w:val="fr-CA"/>
        </w:rPr>
        <w:t>objectif</w:t>
      </w:r>
      <w:proofErr w:type="gramEnd"/>
      <w:r w:rsidRPr="00F52884">
        <w:rPr>
          <w:rFonts w:eastAsia="Times New Roman" w:cstheme="minorHAnsi"/>
          <w:b/>
          <w:bCs/>
          <w:szCs w:val="23"/>
          <w:lang w:val="fr-CA"/>
        </w:rPr>
        <w:t xml:space="preserve"> légitime en matière de mobilité de la main-d’œuvre </w:t>
      </w:r>
      <w:r w:rsidRPr="00F52884">
        <w:rPr>
          <w:rFonts w:eastAsia="Times New Roman" w:cstheme="minorHAnsi"/>
          <w:szCs w:val="23"/>
          <w:lang w:val="fr-CA"/>
        </w:rPr>
        <w:t>Un ou plusieurs des objectifs suivants poursuivis sur le territoire d’une Partie :</w:t>
      </w:r>
    </w:p>
    <w:p w14:paraId="01FC6BD7" w14:textId="77777777" w:rsidR="00B308C6" w:rsidRPr="00F52884" w:rsidRDefault="00B308C6" w:rsidP="00B308C6">
      <w:pPr>
        <w:widowControl w:val="0"/>
        <w:autoSpaceDE w:val="0"/>
        <w:autoSpaceDN w:val="0"/>
        <w:adjustRightInd w:val="0"/>
        <w:rPr>
          <w:rFonts w:eastAsia="Times New Roman" w:cstheme="minorHAnsi"/>
          <w:szCs w:val="23"/>
          <w:lang w:val="fr-CA"/>
        </w:rPr>
      </w:pPr>
    </w:p>
    <w:p w14:paraId="4BC1CE7A" w14:textId="77777777"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sécurité du public;</w:t>
      </w:r>
    </w:p>
    <w:p w14:paraId="651B0114"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5805362E" w14:textId="77777777"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l’ordre</w:t>
      </w:r>
      <w:proofErr w:type="gramEnd"/>
      <w:r w:rsidRPr="00F52884">
        <w:rPr>
          <w:rFonts w:eastAsia="Times New Roman" w:cstheme="minorHAnsi"/>
          <w:szCs w:val="23"/>
          <w:lang w:val="fr-CA"/>
        </w:rPr>
        <w:t xml:space="preserve"> public;</w:t>
      </w:r>
    </w:p>
    <w:p w14:paraId="5AFC5B5A"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1E4960F7" w14:textId="125B0E63"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protection de la vie ou de la santé des personnes ou des animaux ou la préservation des végétaux;</w:t>
      </w:r>
    </w:p>
    <w:p w14:paraId="0019B256"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74DB2F1B" w14:textId="77777777"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protection de l’environnement;</w:t>
      </w:r>
    </w:p>
    <w:p w14:paraId="17AB22E9"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1B670EC0" w14:textId="77777777"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protection des consommateurs;</w:t>
      </w:r>
    </w:p>
    <w:p w14:paraId="5BADA7E0"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300E2B32" w14:textId="77777777"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protection de la santé, de la sécurité et du bien-être des travailleurs;</w:t>
      </w:r>
    </w:p>
    <w:p w14:paraId="2A9BE971"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3A576A72" w14:textId="2DB41587" w:rsidR="00B308C6" w:rsidRPr="00F52884" w:rsidRDefault="00B308C6" w:rsidP="00B308C6">
      <w:pPr>
        <w:pStyle w:val="ListParagraph"/>
        <w:widowControl w:val="0"/>
        <w:numPr>
          <w:ilvl w:val="0"/>
          <w:numId w:val="416"/>
        </w:numPr>
        <w:autoSpaceDE w:val="0"/>
        <w:autoSpaceDN w:val="0"/>
        <w:adjustRightInd w:val="0"/>
        <w:ind w:left="1440" w:hanging="720"/>
        <w:rPr>
          <w:rFonts w:eastAsia="Times New Roman" w:cstheme="minorHAnsi"/>
          <w:szCs w:val="23"/>
          <w:lang w:val="fr-CA"/>
        </w:rPr>
      </w:pPr>
      <w:proofErr w:type="gramStart"/>
      <w:r w:rsidRPr="00F52884">
        <w:rPr>
          <w:rFonts w:eastAsia="Times New Roman" w:cstheme="minorHAnsi"/>
          <w:szCs w:val="23"/>
          <w:lang w:val="fr-CA"/>
        </w:rPr>
        <w:t>la</w:t>
      </w:r>
      <w:proofErr w:type="gramEnd"/>
      <w:r w:rsidRPr="00F52884">
        <w:rPr>
          <w:rFonts w:eastAsia="Times New Roman" w:cstheme="minorHAnsi"/>
          <w:szCs w:val="23"/>
          <w:lang w:val="fr-CA"/>
        </w:rPr>
        <w:t xml:space="preserve"> prestation de services sociaux et de services de santé adéquats dans toutes ses régions géographiques;</w:t>
      </w:r>
    </w:p>
    <w:p w14:paraId="469B5B73"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p>
    <w:p w14:paraId="511021EB" w14:textId="77777777" w:rsidR="00B308C6" w:rsidRPr="00F52884" w:rsidRDefault="00B308C6" w:rsidP="00B308C6">
      <w:pPr>
        <w:widowControl w:val="0"/>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 xml:space="preserve">h) </w:t>
      </w:r>
      <w:r w:rsidRPr="00F52884">
        <w:rPr>
          <w:rFonts w:eastAsia="Times New Roman" w:cstheme="minorHAnsi"/>
          <w:szCs w:val="23"/>
          <w:lang w:val="fr-CA"/>
        </w:rPr>
        <w:tab/>
        <w:t>les programmes à l’intention des groupes défavorisés;</w:t>
      </w:r>
    </w:p>
    <w:p w14:paraId="72F217B9" w14:textId="77777777" w:rsidR="00B308C6" w:rsidRPr="00F52884" w:rsidRDefault="00B308C6" w:rsidP="00B308C6">
      <w:pPr>
        <w:rPr>
          <w:rFonts w:cstheme="minorHAnsi"/>
          <w:szCs w:val="23"/>
          <w:lang w:val="fr-CA"/>
        </w:rPr>
      </w:pPr>
    </w:p>
    <w:p w14:paraId="4C850EDD" w14:textId="40C19297" w:rsidR="00B308C6" w:rsidRPr="00F52884" w:rsidRDefault="00B308C6" w:rsidP="00B308C6">
      <w:pPr>
        <w:rPr>
          <w:rFonts w:eastAsia="Arial" w:cstheme="minorHAnsi"/>
          <w:szCs w:val="23"/>
          <w:lang w:val="fr-CA"/>
        </w:rPr>
      </w:pPr>
      <w:r w:rsidRPr="00F52884">
        <w:rPr>
          <w:rFonts w:eastAsia="Arial" w:cstheme="minorHAnsi"/>
          <w:b/>
          <w:szCs w:val="23"/>
          <w:lang w:val="fr-CA"/>
        </w:rPr>
        <w:t>OMC</w:t>
      </w:r>
      <w:r w:rsidRPr="00F52884">
        <w:rPr>
          <w:rFonts w:eastAsia="Arial" w:cstheme="minorHAnsi"/>
          <w:szCs w:val="23"/>
          <w:lang w:val="fr-CA"/>
        </w:rPr>
        <w:t xml:space="preserve"> Organisation mondiale du commerce;</w:t>
      </w:r>
    </w:p>
    <w:p w14:paraId="27981B77"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11625C48" w14:textId="52380785"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roofErr w:type="gramStart"/>
      <w:r w:rsidRPr="00F52884">
        <w:rPr>
          <w:rFonts w:eastAsia="Times New Roman" w:cstheme="minorHAnsi"/>
          <w:b/>
          <w:bCs/>
          <w:szCs w:val="23"/>
          <w:lang w:val="fr-CA"/>
        </w:rPr>
        <w:t>organe</w:t>
      </w:r>
      <w:proofErr w:type="gramEnd"/>
      <w:r w:rsidRPr="00F52884">
        <w:rPr>
          <w:rFonts w:eastAsia="Times New Roman" w:cstheme="minorHAnsi"/>
          <w:b/>
          <w:bCs/>
          <w:szCs w:val="23"/>
          <w:lang w:val="fr-CA"/>
        </w:rPr>
        <w:t xml:space="preserve"> décisionnel</w:t>
      </w:r>
      <w:r w:rsidRPr="00F52884">
        <w:rPr>
          <w:rFonts w:eastAsia="Times New Roman" w:cstheme="minorHAnsi"/>
          <w:szCs w:val="23"/>
          <w:lang w:val="fr-CA"/>
        </w:rPr>
        <w:t xml:space="preserve"> Désigne un « organe décisionnel » au sens de l’article 1041 (Définitions);</w:t>
      </w:r>
    </w:p>
    <w:p w14:paraId="057AE48A"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569E4651" w14:textId="770DA020" w:rsidR="00B308C6" w:rsidRPr="00F52884" w:rsidRDefault="00B308C6" w:rsidP="00B308C6">
      <w:pPr>
        <w:rPr>
          <w:rFonts w:cstheme="minorHAnsi"/>
          <w:szCs w:val="23"/>
          <w:lang w:val="fr-CA"/>
        </w:rPr>
      </w:pPr>
      <w:proofErr w:type="gramStart"/>
      <w:r w:rsidRPr="00F52884">
        <w:rPr>
          <w:rFonts w:cstheme="minorHAnsi"/>
          <w:b/>
          <w:bCs/>
          <w:szCs w:val="23"/>
          <w:lang w:val="fr-CA"/>
        </w:rPr>
        <w:t>organisme</w:t>
      </w:r>
      <w:proofErr w:type="gramEnd"/>
      <w:r w:rsidRPr="00F52884">
        <w:rPr>
          <w:rFonts w:cstheme="minorHAnsi"/>
          <w:b/>
          <w:bCs/>
          <w:szCs w:val="23"/>
          <w:lang w:val="fr-CA"/>
        </w:rPr>
        <w:t xml:space="preserve"> de réglementation d’une Partie </w:t>
      </w:r>
      <w:r w:rsidRPr="00F52884">
        <w:rPr>
          <w:rFonts w:cstheme="minorHAnsi"/>
          <w:szCs w:val="23"/>
          <w:lang w:val="fr-CA"/>
        </w:rPr>
        <w:t>Ministère ou organisme gouvernemental semblable d’une Partie, ou organisme non gouvernemental qui exerce des pouvoirs délégués par la loi;</w:t>
      </w:r>
    </w:p>
    <w:p w14:paraId="10FC7682" w14:textId="77777777" w:rsidR="00B308C6" w:rsidRPr="00F52884" w:rsidRDefault="00B308C6" w:rsidP="00B308C6">
      <w:pPr>
        <w:rPr>
          <w:rFonts w:cstheme="minorHAnsi"/>
          <w:szCs w:val="23"/>
          <w:lang w:val="fr-CA"/>
        </w:rPr>
      </w:pPr>
    </w:p>
    <w:p w14:paraId="405B0DFA" w14:textId="6D7B48A4" w:rsidR="00B308C6" w:rsidRPr="00F52884" w:rsidRDefault="00B308C6" w:rsidP="00B308C6">
      <w:pPr>
        <w:rPr>
          <w:rFonts w:cstheme="minorHAnsi"/>
          <w:szCs w:val="23"/>
          <w:lang w:val="fr-CA"/>
        </w:rPr>
      </w:pPr>
      <w:r w:rsidRPr="00F52884">
        <w:rPr>
          <w:rFonts w:cstheme="minorHAnsi"/>
          <w:b/>
          <w:bCs/>
          <w:szCs w:val="23"/>
          <w:lang w:val="fr-CA"/>
        </w:rPr>
        <w:t>organisme non gouvernemental</w:t>
      </w:r>
      <w:r w:rsidRPr="00F52884">
        <w:rPr>
          <w:rFonts w:cstheme="minorHAnsi"/>
          <w:szCs w:val="23"/>
          <w:lang w:val="fr-CA"/>
        </w:rPr>
        <w:t xml:space="preserve"> S’entend notamment, pour l’application du chapitre Sept (Mobilité de la main-d’œuvre), des associations et ordres professionnels, hôpitaux, dispensaires, établissements de soins de longue durée, cliniques et de tout autre organisme dispensant des services ou des soins de santé, des organismes de réglementation des professions, conseils scolaires, universités, collèges et de tout autre établissement d’enseignement ou de formation, des syndicats et des associations industrielles, qui exercent ou non des pouvoirs délégués par la loi;</w:t>
      </w:r>
    </w:p>
    <w:p w14:paraId="003404DE" w14:textId="77777777" w:rsidR="00B308C6" w:rsidRPr="00F52884" w:rsidRDefault="00B308C6" w:rsidP="00B308C6">
      <w:pPr>
        <w:rPr>
          <w:rFonts w:cstheme="minorHAnsi"/>
          <w:szCs w:val="23"/>
          <w:lang w:val="fr-CA"/>
        </w:rPr>
      </w:pPr>
    </w:p>
    <w:p w14:paraId="66AB7257" w14:textId="31322FC7" w:rsidR="00B308C6" w:rsidRPr="00F52884" w:rsidRDefault="00B308C6" w:rsidP="00B308C6">
      <w:pPr>
        <w:rPr>
          <w:rFonts w:cstheme="minorHAnsi"/>
          <w:szCs w:val="23"/>
          <w:lang w:val="fr-CA"/>
        </w:rPr>
      </w:pPr>
      <w:proofErr w:type="gramStart"/>
      <w:r w:rsidRPr="00F52884">
        <w:rPr>
          <w:rFonts w:cstheme="minorHAnsi"/>
          <w:b/>
          <w:bCs/>
          <w:szCs w:val="23"/>
          <w:lang w:val="fr-CA"/>
        </w:rPr>
        <w:lastRenderedPageBreak/>
        <w:t>organisme</w:t>
      </w:r>
      <w:proofErr w:type="gramEnd"/>
      <w:r w:rsidRPr="00F52884">
        <w:rPr>
          <w:rFonts w:cstheme="minorHAnsi"/>
          <w:b/>
          <w:bCs/>
          <w:szCs w:val="23"/>
          <w:lang w:val="fr-CA"/>
        </w:rPr>
        <w:t xml:space="preserve"> non gouvernemental qui exerce des pouvoirs délégués par la loi</w:t>
      </w:r>
      <w:r w:rsidRPr="00F52884">
        <w:rPr>
          <w:rFonts w:cstheme="minorHAnsi"/>
          <w:szCs w:val="23"/>
          <w:lang w:val="fr-CA"/>
        </w:rPr>
        <w:t xml:space="preserve"> Pour l’application du chapitre Sept (Mobilité de la main-d’œuvre), tout organisme non gouvernemental auquel une loi provinciale, territoriale ou fédérale a délégué le pouvoir d’établir ou d’appliquer des mesures concernant, selon le cas :</w:t>
      </w:r>
    </w:p>
    <w:p w14:paraId="5A4E6E90" w14:textId="77777777" w:rsidR="00B308C6" w:rsidRPr="00F52884" w:rsidRDefault="00B308C6" w:rsidP="00B308C6">
      <w:pPr>
        <w:rPr>
          <w:rFonts w:cstheme="minorHAnsi"/>
          <w:szCs w:val="23"/>
          <w:lang w:val="fr-CA"/>
        </w:rPr>
      </w:pPr>
    </w:p>
    <w:p w14:paraId="0DF47550" w14:textId="6D5FB5C3" w:rsidR="00B308C6" w:rsidRPr="00F52884" w:rsidRDefault="00B308C6" w:rsidP="00B308C6">
      <w:pPr>
        <w:pStyle w:val="ListParagraph"/>
        <w:numPr>
          <w:ilvl w:val="1"/>
          <w:numId w:val="408"/>
        </w:numPr>
        <w:ind w:hanging="720"/>
        <w:rPr>
          <w:rFonts w:cstheme="minorHAnsi"/>
          <w:szCs w:val="23"/>
          <w:lang w:val="fr-CA"/>
        </w:rPr>
      </w:pPr>
      <w:proofErr w:type="gramStart"/>
      <w:r w:rsidRPr="00F52884">
        <w:rPr>
          <w:rFonts w:cstheme="minorHAnsi"/>
          <w:szCs w:val="23"/>
          <w:lang w:val="fr-CA"/>
        </w:rPr>
        <w:t>l’établissement</w:t>
      </w:r>
      <w:proofErr w:type="gramEnd"/>
      <w:r w:rsidRPr="00F52884">
        <w:rPr>
          <w:rFonts w:cstheme="minorHAnsi"/>
          <w:szCs w:val="23"/>
          <w:lang w:val="fr-CA"/>
        </w:rPr>
        <w:t xml:space="preserve"> de normes professionnelles ou d’exigences relatives à la reconnaissance professionnelle;</w:t>
      </w:r>
    </w:p>
    <w:p w14:paraId="76454039" w14:textId="77777777" w:rsidR="00B308C6" w:rsidRPr="00F52884" w:rsidRDefault="00B308C6" w:rsidP="00B308C6">
      <w:pPr>
        <w:pStyle w:val="ListParagraph"/>
        <w:ind w:left="1440" w:hanging="720"/>
        <w:rPr>
          <w:rFonts w:cstheme="minorHAnsi"/>
          <w:szCs w:val="23"/>
          <w:lang w:val="fr-CA"/>
        </w:rPr>
      </w:pPr>
    </w:p>
    <w:p w14:paraId="59BDB375" w14:textId="521A044F" w:rsidR="00B308C6" w:rsidRPr="00F52884" w:rsidRDefault="00B308C6" w:rsidP="00B308C6">
      <w:pPr>
        <w:pStyle w:val="ListParagraph"/>
        <w:numPr>
          <w:ilvl w:val="1"/>
          <w:numId w:val="408"/>
        </w:numPr>
        <w:ind w:hanging="720"/>
        <w:rPr>
          <w:rFonts w:cstheme="minorHAnsi"/>
          <w:szCs w:val="23"/>
          <w:lang w:val="fr-CA"/>
        </w:rPr>
      </w:pPr>
      <w:proofErr w:type="gramStart"/>
      <w:r w:rsidRPr="00F52884">
        <w:rPr>
          <w:rFonts w:cstheme="minorHAnsi"/>
          <w:szCs w:val="23"/>
          <w:lang w:val="fr-CA"/>
        </w:rPr>
        <w:t>l’évaluation</w:t>
      </w:r>
      <w:proofErr w:type="gramEnd"/>
      <w:r w:rsidRPr="00F52884">
        <w:rPr>
          <w:rFonts w:cstheme="minorHAnsi"/>
          <w:szCs w:val="23"/>
          <w:lang w:val="fr-CA"/>
        </w:rPr>
        <w:t xml:space="preserve"> des qualifications des travailleurs en fonction des normes professionnelles ou des exigences relatives à la reconnaissance professionnelle établies;</w:t>
      </w:r>
    </w:p>
    <w:p w14:paraId="5D9A66F2" w14:textId="77777777" w:rsidR="00B308C6" w:rsidRPr="00F52884" w:rsidRDefault="00B308C6" w:rsidP="00B308C6">
      <w:pPr>
        <w:ind w:left="1440" w:hanging="720"/>
        <w:rPr>
          <w:rFonts w:cstheme="minorHAnsi"/>
          <w:szCs w:val="23"/>
          <w:lang w:val="fr-CA"/>
        </w:rPr>
      </w:pPr>
    </w:p>
    <w:p w14:paraId="076C2AC8" w14:textId="4B243DCA" w:rsidR="00B308C6" w:rsidRPr="00F52884" w:rsidRDefault="00B308C6" w:rsidP="00B308C6">
      <w:pPr>
        <w:pStyle w:val="ListParagraph"/>
        <w:numPr>
          <w:ilvl w:val="1"/>
          <w:numId w:val="408"/>
        </w:numPr>
        <w:ind w:hanging="720"/>
        <w:rPr>
          <w:rFonts w:cstheme="minorHAnsi"/>
          <w:szCs w:val="23"/>
          <w:lang w:val="fr-CA"/>
        </w:rPr>
      </w:pPr>
      <w:proofErr w:type="gramStart"/>
      <w:r w:rsidRPr="00F52884">
        <w:rPr>
          <w:rFonts w:cstheme="minorHAnsi"/>
          <w:szCs w:val="23"/>
          <w:lang w:val="fr-CA"/>
        </w:rPr>
        <w:t>la</w:t>
      </w:r>
      <w:proofErr w:type="gramEnd"/>
      <w:r w:rsidRPr="00F52884">
        <w:rPr>
          <w:rFonts w:cstheme="minorHAnsi"/>
          <w:szCs w:val="23"/>
          <w:lang w:val="fr-CA"/>
        </w:rPr>
        <w:t xml:space="preserve"> reconnaissance officielle du fait qu’une personne satisfait aux normes professionnelles ou aux exigences relatives à la reconnaissance professionnelle établies;</w:t>
      </w:r>
    </w:p>
    <w:p w14:paraId="5BB1FE77"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
    <w:p w14:paraId="567C03D4" w14:textId="23D68462" w:rsidR="00B308C6" w:rsidRPr="00F52884" w:rsidRDefault="00B308C6" w:rsidP="00B308C6">
      <w:pPr>
        <w:rPr>
          <w:rFonts w:cstheme="minorHAnsi"/>
          <w:szCs w:val="23"/>
          <w:lang w:val="fr-CA"/>
        </w:rPr>
      </w:pPr>
      <w:r w:rsidRPr="00F52884">
        <w:rPr>
          <w:rFonts w:cstheme="minorHAnsi"/>
          <w:b/>
          <w:bCs/>
          <w:szCs w:val="23"/>
          <w:lang w:val="fr-CA"/>
        </w:rPr>
        <w:t>Partie</w:t>
      </w:r>
      <w:r w:rsidRPr="00F52884">
        <w:rPr>
          <w:rFonts w:cstheme="minorHAnsi"/>
          <w:szCs w:val="23"/>
          <w:lang w:val="fr-CA"/>
        </w:rPr>
        <w:t xml:space="preserve"> Tout signataire du présent accord;</w:t>
      </w:r>
    </w:p>
    <w:p w14:paraId="6EABCBBB" w14:textId="77777777" w:rsidR="00B308C6" w:rsidRPr="00F52884" w:rsidRDefault="00B308C6" w:rsidP="00B308C6">
      <w:pPr>
        <w:rPr>
          <w:rFonts w:cstheme="minorHAnsi"/>
          <w:szCs w:val="23"/>
          <w:lang w:val="fr-CA"/>
        </w:rPr>
      </w:pPr>
    </w:p>
    <w:p w14:paraId="102D1BD4" w14:textId="2711343C" w:rsidR="00B308C6" w:rsidRPr="00F52884" w:rsidRDefault="00B308C6" w:rsidP="00B308C6">
      <w:pPr>
        <w:rPr>
          <w:rFonts w:cstheme="minorHAnsi"/>
          <w:szCs w:val="23"/>
          <w:lang w:val="fr-CA"/>
        </w:rPr>
      </w:pPr>
      <w:r w:rsidRPr="00F52884">
        <w:rPr>
          <w:rFonts w:cstheme="minorHAnsi"/>
          <w:b/>
          <w:bCs/>
          <w:szCs w:val="23"/>
          <w:lang w:val="fr-CA"/>
        </w:rPr>
        <w:t>Parties</w:t>
      </w:r>
      <w:r w:rsidRPr="00F52884">
        <w:rPr>
          <w:rFonts w:cstheme="minorHAnsi"/>
          <w:szCs w:val="23"/>
          <w:lang w:val="fr-CA"/>
        </w:rPr>
        <w:t xml:space="preserve"> Suivant le contexte, l’ensemble des Parties au présent accord, ou certaines d’entre elles;</w:t>
      </w:r>
    </w:p>
    <w:p w14:paraId="2D915F05" w14:textId="77777777" w:rsidR="00B308C6" w:rsidRPr="00F52884" w:rsidRDefault="00B308C6" w:rsidP="00B308C6">
      <w:pPr>
        <w:rPr>
          <w:rFonts w:cstheme="minorHAnsi"/>
          <w:szCs w:val="23"/>
          <w:lang w:val="fr-CA"/>
        </w:rPr>
      </w:pPr>
    </w:p>
    <w:p w14:paraId="3CF715D6" w14:textId="59D065D0" w:rsidR="00B308C6" w:rsidRPr="00F52884" w:rsidRDefault="00B308C6" w:rsidP="00B308C6">
      <w:pPr>
        <w:rPr>
          <w:rFonts w:cstheme="minorHAnsi"/>
          <w:szCs w:val="23"/>
          <w:lang w:val="fr-CA"/>
        </w:rPr>
      </w:pPr>
      <w:proofErr w:type="gramStart"/>
      <w:r w:rsidRPr="00F52884">
        <w:rPr>
          <w:rFonts w:cstheme="minorHAnsi"/>
          <w:b/>
          <w:bCs/>
          <w:szCs w:val="23"/>
          <w:lang w:val="fr-CA"/>
        </w:rPr>
        <w:t>personne</w:t>
      </w:r>
      <w:proofErr w:type="gramEnd"/>
      <w:r w:rsidRPr="00F52884">
        <w:rPr>
          <w:rFonts w:cstheme="minorHAnsi"/>
          <w:szCs w:val="23"/>
          <w:lang w:val="fr-CA"/>
        </w:rPr>
        <w:t xml:space="preserve"> Une personne physique ou une entreprise;</w:t>
      </w:r>
    </w:p>
    <w:p w14:paraId="6E0D9678" w14:textId="77777777" w:rsidR="00B308C6" w:rsidRPr="00F52884" w:rsidRDefault="00B308C6" w:rsidP="00B308C6">
      <w:pPr>
        <w:rPr>
          <w:rFonts w:cstheme="minorHAnsi"/>
          <w:szCs w:val="23"/>
          <w:lang w:val="fr-CA"/>
        </w:rPr>
      </w:pPr>
    </w:p>
    <w:p w14:paraId="1A5270BB" w14:textId="3C3C4846" w:rsidR="00B308C6" w:rsidRPr="00F52884" w:rsidRDefault="00B308C6" w:rsidP="00B308C6">
      <w:pPr>
        <w:rPr>
          <w:rFonts w:cstheme="minorHAnsi"/>
          <w:szCs w:val="23"/>
          <w:lang w:val="fr-CA"/>
        </w:rPr>
      </w:pPr>
      <w:proofErr w:type="gramStart"/>
      <w:r w:rsidRPr="00F52884">
        <w:rPr>
          <w:rFonts w:cstheme="minorHAnsi"/>
          <w:b/>
          <w:bCs/>
          <w:szCs w:val="23"/>
          <w:lang w:val="fr-CA"/>
        </w:rPr>
        <w:t>personne</w:t>
      </w:r>
      <w:proofErr w:type="gramEnd"/>
      <w:r w:rsidRPr="00F52884">
        <w:rPr>
          <w:rFonts w:cstheme="minorHAnsi"/>
          <w:b/>
          <w:bCs/>
          <w:szCs w:val="23"/>
          <w:lang w:val="fr-CA"/>
        </w:rPr>
        <w:t xml:space="preserve"> d’une Partie</w:t>
      </w:r>
      <w:r w:rsidRPr="00F52884">
        <w:rPr>
          <w:rFonts w:cstheme="minorHAnsi"/>
          <w:szCs w:val="23"/>
          <w:lang w:val="fr-CA"/>
        </w:rPr>
        <w:t xml:space="preserve"> Selon le cas :</w:t>
      </w:r>
    </w:p>
    <w:p w14:paraId="67BB8894" w14:textId="77777777" w:rsidR="00B308C6" w:rsidRPr="00F52884" w:rsidRDefault="00B308C6" w:rsidP="00B308C6">
      <w:pPr>
        <w:rPr>
          <w:rFonts w:cstheme="minorHAnsi"/>
          <w:szCs w:val="23"/>
          <w:lang w:val="fr-CA"/>
        </w:rPr>
      </w:pPr>
    </w:p>
    <w:p w14:paraId="20737D05" w14:textId="77777777" w:rsidR="00B308C6" w:rsidRPr="00F52884" w:rsidRDefault="00B308C6" w:rsidP="00B308C6">
      <w:pPr>
        <w:pStyle w:val="ListParagraph"/>
        <w:numPr>
          <w:ilvl w:val="0"/>
          <w:numId w:val="412"/>
        </w:numPr>
        <w:ind w:left="1440" w:hanging="720"/>
        <w:rPr>
          <w:rFonts w:cstheme="minorHAnsi"/>
          <w:szCs w:val="23"/>
          <w:lang w:val="fr-CA"/>
        </w:rPr>
      </w:pPr>
      <w:proofErr w:type="gramStart"/>
      <w:r w:rsidRPr="00F52884">
        <w:rPr>
          <w:rFonts w:cstheme="minorHAnsi"/>
          <w:szCs w:val="23"/>
          <w:lang w:val="fr-CA"/>
        </w:rPr>
        <w:t>une</w:t>
      </w:r>
      <w:proofErr w:type="gramEnd"/>
      <w:r w:rsidRPr="00F52884">
        <w:rPr>
          <w:rFonts w:cstheme="minorHAnsi"/>
          <w:szCs w:val="23"/>
          <w:lang w:val="fr-CA"/>
        </w:rPr>
        <w:t xml:space="preserve"> personne physique résidant sur le territoire d’une Partie;</w:t>
      </w:r>
    </w:p>
    <w:p w14:paraId="098FE7D6" w14:textId="77777777" w:rsidR="00B308C6" w:rsidRPr="00F52884" w:rsidRDefault="00B308C6" w:rsidP="00B308C6">
      <w:pPr>
        <w:pStyle w:val="ListParagraph"/>
        <w:ind w:left="1440" w:hanging="720"/>
        <w:rPr>
          <w:rFonts w:cstheme="minorHAnsi"/>
          <w:szCs w:val="23"/>
          <w:lang w:val="fr-CA"/>
        </w:rPr>
      </w:pPr>
    </w:p>
    <w:p w14:paraId="70BDA700" w14:textId="77777777" w:rsidR="00B308C6" w:rsidRPr="00F52884" w:rsidRDefault="00B308C6" w:rsidP="00B308C6">
      <w:pPr>
        <w:ind w:left="1440" w:hanging="720"/>
        <w:rPr>
          <w:rFonts w:cstheme="minorHAnsi"/>
          <w:szCs w:val="23"/>
          <w:lang w:val="fr-CA"/>
        </w:rPr>
      </w:pPr>
      <w:r w:rsidRPr="00F52884">
        <w:rPr>
          <w:rFonts w:cstheme="minorHAnsi"/>
          <w:szCs w:val="23"/>
          <w:lang w:val="fr-CA"/>
        </w:rPr>
        <w:t>b)</w:t>
      </w:r>
      <w:r w:rsidRPr="00F52884">
        <w:rPr>
          <w:rFonts w:cstheme="minorHAnsi"/>
          <w:szCs w:val="23"/>
          <w:lang w:val="fr-CA"/>
        </w:rPr>
        <w:tab/>
        <w:t>une entreprise d’une Partie;</w:t>
      </w:r>
    </w:p>
    <w:p w14:paraId="36BC95EC" w14:textId="77777777" w:rsidR="00B308C6" w:rsidRPr="00F52884" w:rsidRDefault="00B308C6" w:rsidP="00B308C6">
      <w:pPr>
        <w:rPr>
          <w:rFonts w:cstheme="minorHAnsi"/>
          <w:szCs w:val="23"/>
          <w:lang w:val="fr-CA"/>
        </w:rPr>
      </w:pPr>
    </w:p>
    <w:p w14:paraId="7BD0605D" w14:textId="6FAFA31C"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szCs w:val="23"/>
          <w:lang w:val="fr-CA"/>
        </w:rPr>
      </w:pPr>
      <w:proofErr w:type="gramStart"/>
      <w:r w:rsidRPr="00F52884">
        <w:rPr>
          <w:rFonts w:eastAsia="Times New Roman" w:cstheme="minorHAnsi"/>
          <w:b/>
          <w:bCs/>
          <w:szCs w:val="23"/>
          <w:lang w:val="fr-CA"/>
        </w:rPr>
        <w:t>prescriptions</w:t>
      </w:r>
      <w:proofErr w:type="gramEnd"/>
      <w:r w:rsidRPr="00F52884">
        <w:rPr>
          <w:rFonts w:eastAsia="Times New Roman" w:cstheme="minorHAnsi"/>
          <w:b/>
          <w:bCs/>
          <w:szCs w:val="23"/>
          <w:lang w:val="fr-CA"/>
        </w:rPr>
        <w:t xml:space="preserve"> relatives à l’octroi de licences</w:t>
      </w:r>
      <w:r w:rsidRPr="00F52884">
        <w:rPr>
          <w:rFonts w:eastAsia="Times New Roman" w:cstheme="minorHAnsi"/>
          <w:szCs w:val="23"/>
          <w:lang w:val="fr-CA"/>
        </w:rPr>
        <w:t xml:space="preserve"> Prescriptions de fond, autres que les prescriptions relatives aux qualifications, qui doivent être observées pour obtenir, modifier ou renouveler une licence ou une autorisation;</w:t>
      </w:r>
    </w:p>
    <w:p w14:paraId="040DC3A1" w14:textId="77777777" w:rsidR="00B308C6" w:rsidRPr="00F52884" w:rsidRDefault="00B308C6" w:rsidP="00B308C6">
      <w:pPr>
        <w:rPr>
          <w:rFonts w:cstheme="minorHAnsi"/>
          <w:szCs w:val="23"/>
          <w:lang w:val="fr-CA"/>
        </w:rPr>
      </w:pPr>
    </w:p>
    <w:p w14:paraId="1F16A413" w14:textId="40115093" w:rsidR="00B308C6" w:rsidRPr="00F52884" w:rsidRDefault="00B308C6" w:rsidP="00B308C6">
      <w:pPr>
        <w:rPr>
          <w:rFonts w:cstheme="minorHAnsi"/>
          <w:szCs w:val="23"/>
          <w:lang w:val="fr-CA"/>
        </w:rPr>
      </w:pPr>
      <w:proofErr w:type="gramStart"/>
      <w:r w:rsidRPr="00F52884">
        <w:rPr>
          <w:rFonts w:cstheme="minorHAnsi"/>
          <w:b/>
          <w:bCs/>
          <w:szCs w:val="23"/>
          <w:lang w:val="fr-CA"/>
        </w:rPr>
        <w:t>prescriptions</w:t>
      </w:r>
      <w:proofErr w:type="gramEnd"/>
      <w:r w:rsidRPr="00F52884">
        <w:rPr>
          <w:rFonts w:cstheme="minorHAnsi"/>
          <w:b/>
          <w:bCs/>
          <w:szCs w:val="23"/>
          <w:lang w:val="fr-CA"/>
        </w:rPr>
        <w:t xml:space="preserve"> relatives aux qualifications</w:t>
      </w:r>
      <w:r w:rsidRPr="00F52884">
        <w:rPr>
          <w:rFonts w:cstheme="minorHAnsi"/>
          <w:szCs w:val="23"/>
          <w:lang w:val="fr-CA"/>
        </w:rPr>
        <w:t xml:space="preserve"> Prescriptions de fond concernant les compétences qui doivent être observées pour obtenir, modifier ou renouveler une autorisation;</w:t>
      </w:r>
    </w:p>
    <w:p w14:paraId="42A1234D" w14:textId="77777777" w:rsidR="00B308C6" w:rsidRPr="00F52884" w:rsidRDefault="00B308C6" w:rsidP="00B308C6">
      <w:pPr>
        <w:rPr>
          <w:rFonts w:cstheme="minorHAnsi"/>
          <w:szCs w:val="23"/>
          <w:lang w:val="fr-CA"/>
        </w:rPr>
      </w:pPr>
    </w:p>
    <w:p w14:paraId="3AD415DE" w14:textId="3CF67088" w:rsidR="00B308C6" w:rsidRPr="00F52884" w:rsidRDefault="00B308C6" w:rsidP="00B308C6">
      <w:pPr>
        <w:rPr>
          <w:rFonts w:cstheme="minorHAnsi"/>
          <w:szCs w:val="23"/>
          <w:lang w:val="fr-CA"/>
        </w:rPr>
      </w:pPr>
      <w:proofErr w:type="gramStart"/>
      <w:r w:rsidRPr="00F52884">
        <w:rPr>
          <w:rFonts w:cstheme="minorHAnsi"/>
          <w:b/>
          <w:bCs/>
          <w:szCs w:val="23"/>
          <w:lang w:val="fr-CA"/>
        </w:rPr>
        <w:t>procédure</w:t>
      </w:r>
      <w:proofErr w:type="gramEnd"/>
      <w:r w:rsidRPr="00F52884">
        <w:rPr>
          <w:rFonts w:cstheme="minorHAnsi"/>
          <w:b/>
          <w:bCs/>
          <w:szCs w:val="23"/>
          <w:lang w:val="fr-CA"/>
        </w:rPr>
        <w:t xml:space="preserve"> d’évaluation de la conformité</w:t>
      </w:r>
      <w:r w:rsidRPr="00F52884">
        <w:rPr>
          <w:rFonts w:cstheme="minorHAnsi"/>
          <w:szCs w:val="23"/>
          <w:lang w:val="fr-CA"/>
        </w:rPr>
        <w:t xml:space="preserve"> Toute procédure utilisée, directement ou indirectement, pour déterminer que les prescriptions pertinentes des règlements techniques ou des normes sont respectées. Les procédures d’évaluation de la conformité comprennent, entre autres, les procédures d’échantillonnage, d’essai et d’inspection; les procédures d’évaluation, de vérification et d’assurance de la conformité; les procédures d’enregistrement, d’accréditation et d’homologation; et leurs combinaisons;</w:t>
      </w:r>
    </w:p>
    <w:p w14:paraId="7557B7C4" w14:textId="77777777" w:rsidR="00B308C6" w:rsidRPr="00F52884" w:rsidRDefault="00B308C6" w:rsidP="00B308C6">
      <w:pPr>
        <w:rPr>
          <w:rFonts w:cstheme="minorHAnsi"/>
          <w:szCs w:val="23"/>
          <w:lang w:val="fr-CA"/>
        </w:rPr>
      </w:pPr>
    </w:p>
    <w:p w14:paraId="4131DD67" w14:textId="50A9A9AD" w:rsidR="00B308C6" w:rsidRPr="00F52884" w:rsidRDefault="00B308C6" w:rsidP="00B308C6">
      <w:pPr>
        <w:rPr>
          <w:rFonts w:cstheme="minorHAnsi"/>
          <w:szCs w:val="23"/>
          <w:lang w:val="fr-CA"/>
        </w:rPr>
      </w:pPr>
      <w:proofErr w:type="gramStart"/>
      <w:r w:rsidRPr="00F52884">
        <w:rPr>
          <w:rFonts w:cstheme="minorHAnsi"/>
          <w:b/>
          <w:bCs/>
          <w:szCs w:val="23"/>
          <w:lang w:val="fr-CA"/>
        </w:rPr>
        <w:t>procédures</w:t>
      </w:r>
      <w:proofErr w:type="gramEnd"/>
      <w:r w:rsidRPr="00F52884">
        <w:rPr>
          <w:rFonts w:cstheme="minorHAnsi"/>
          <w:b/>
          <w:bCs/>
          <w:szCs w:val="23"/>
          <w:lang w:val="fr-CA"/>
        </w:rPr>
        <w:t xml:space="preserve"> en matière de qualifications</w:t>
      </w:r>
      <w:r w:rsidRPr="00F52884">
        <w:rPr>
          <w:rFonts w:cstheme="minorHAnsi"/>
          <w:szCs w:val="23"/>
          <w:lang w:val="fr-CA"/>
        </w:rPr>
        <w:t xml:space="preserve"> Règles administratives ou procédurales qui doivent être respectées pour démontrer que les prescriptions relatives aux qualifications ont été observées;</w:t>
      </w:r>
    </w:p>
    <w:p w14:paraId="3107945B" w14:textId="77777777" w:rsidR="00B308C6" w:rsidRPr="00F52884" w:rsidRDefault="00B308C6" w:rsidP="00B308C6">
      <w:pPr>
        <w:rPr>
          <w:rFonts w:cstheme="minorHAnsi"/>
          <w:szCs w:val="23"/>
          <w:lang w:val="fr-CA"/>
        </w:rPr>
      </w:pPr>
    </w:p>
    <w:p w14:paraId="0AD33C08" w14:textId="164EAF80" w:rsidR="00B308C6" w:rsidRPr="00F52884" w:rsidRDefault="00B308C6" w:rsidP="00B308C6">
      <w:pPr>
        <w:rPr>
          <w:rFonts w:cstheme="minorHAnsi"/>
          <w:szCs w:val="23"/>
          <w:lang w:val="fr-CA"/>
        </w:rPr>
      </w:pPr>
      <w:proofErr w:type="gramStart"/>
      <w:r w:rsidRPr="00F52884">
        <w:rPr>
          <w:rFonts w:cstheme="minorHAnsi"/>
          <w:b/>
          <w:bCs/>
          <w:szCs w:val="23"/>
          <w:lang w:val="fr-CA"/>
        </w:rPr>
        <w:lastRenderedPageBreak/>
        <w:t>procédures</w:t>
      </w:r>
      <w:proofErr w:type="gramEnd"/>
      <w:r w:rsidRPr="00F52884">
        <w:rPr>
          <w:rFonts w:cstheme="minorHAnsi"/>
          <w:b/>
          <w:bCs/>
          <w:szCs w:val="23"/>
          <w:lang w:val="fr-CA"/>
        </w:rPr>
        <w:t xml:space="preserve"> en matière d’octroi de licences</w:t>
      </w:r>
      <w:r w:rsidRPr="00F52884">
        <w:rPr>
          <w:rFonts w:cstheme="minorHAnsi"/>
          <w:szCs w:val="23"/>
          <w:lang w:val="fr-CA"/>
        </w:rPr>
        <w:t xml:space="preserve"> Règles administratives ou procédurales, incluant celles applicables à la modification ou au renouvellement d’une licence, qui doivent être respectées pour démontrer que les prescriptions relatives à l’octroi de licences ont été observées;</w:t>
      </w:r>
    </w:p>
    <w:p w14:paraId="64B2B1A1" w14:textId="77777777" w:rsidR="00B308C6" w:rsidRPr="00F52884" w:rsidRDefault="00B308C6" w:rsidP="00B308C6">
      <w:pPr>
        <w:rPr>
          <w:rFonts w:cstheme="minorHAnsi"/>
          <w:szCs w:val="23"/>
          <w:lang w:val="fr-CA"/>
        </w:rPr>
      </w:pPr>
    </w:p>
    <w:p w14:paraId="36556C91" w14:textId="60AB3B04" w:rsidR="00B308C6" w:rsidRPr="00F52884" w:rsidRDefault="00B308C6" w:rsidP="00B308C6">
      <w:pPr>
        <w:rPr>
          <w:rFonts w:cstheme="minorHAnsi"/>
          <w:szCs w:val="23"/>
          <w:lang w:val="fr-CA"/>
        </w:rPr>
      </w:pPr>
      <w:proofErr w:type="gramStart"/>
      <w:r w:rsidRPr="00F52884">
        <w:rPr>
          <w:rFonts w:cstheme="minorHAnsi"/>
          <w:b/>
          <w:bCs/>
          <w:szCs w:val="23"/>
          <w:lang w:val="fr-CA"/>
        </w:rPr>
        <w:t>produit</w:t>
      </w:r>
      <w:proofErr w:type="gramEnd"/>
      <w:r w:rsidRPr="00F52884">
        <w:rPr>
          <w:rFonts w:cstheme="minorHAnsi"/>
          <w:b/>
          <w:bCs/>
          <w:szCs w:val="23"/>
          <w:lang w:val="fr-CA"/>
        </w:rPr>
        <w:t xml:space="preserve"> agricole</w:t>
      </w:r>
      <w:r w:rsidRPr="00F52884">
        <w:rPr>
          <w:rFonts w:cstheme="minorHAnsi"/>
          <w:szCs w:val="23"/>
          <w:lang w:val="fr-CA"/>
        </w:rPr>
        <w:t xml:space="preserve"> Selon le cas : </w:t>
      </w:r>
    </w:p>
    <w:p w14:paraId="0632D2EB" w14:textId="77777777" w:rsidR="00B308C6" w:rsidRPr="00F52884" w:rsidRDefault="00B308C6" w:rsidP="00B308C6">
      <w:pPr>
        <w:rPr>
          <w:rFonts w:cstheme="minorHAnsi"/>
          <w:szCs w:val="23"/>
          <w:lang w:val="fr-CA"/>
        </w:rPr>
      </w:pPr>
    </w:p>
    <w:p w14:paraId="66D2257C" w14:textId="77777777" w:rsidR="00B308C6" w:rsidRPr="00F52884" w:rsidRDefault="00B308C6" w:rsidP="00B308C6">
      <w:pPr>
        <w:pStyle w:val="ListParagraph"/>
        <w:numPr>
          <w:ilvl w:val="0"/>
          <w:numId w:val="409"/>
        </w:numPr>
        <w:ind w:hanging="720"/>
        <w:rPr>
          <w:rFonts w:cstheme="minorHAnsi"/>
          <w:szCs w:val="23"/>
          <w:lang w:val="fr-CA"/>
        </w:rPr>
      </w:pPr>
      <w:proofErr w:type="gramStart"/>
      <w:r w:rsidRPr="00F52884">
        <w:rPr>
          <w:rFonts w:cstheme="minorHAnsi"/>
          <w:szCs w:val="23"/>
          <w:lang w:val="fr-CA"/>
        </w:rPr>
        <w:t>un</w:t>
      </w:r>
      <w:proofErr w:type="gramEnd"/>
      <w:r w:rsidRPr="00F52884">
        <w:rPr>
          <w:rFonts w:cstheme="minorHAnsi"/>
          <w:szCs w:val="23"/>
          <w:lang w:val="fr-CA"/>
        </w:rPr>
        <w:t xml:space="preserve"> animal, un végétal ou un produit d’origine animale ou végétale; </w:t>
      </w:r>
    </w:p>
    <w:p w14:paraId="26F4F504" w14:textId="77777777" w:rsidR="00B308C6" w:rsidRPr="00F52884" w:rsidRDefault="00B308C6" w:rsidP="00B308C6">
      <w:pPr>
        <w:pStyle w:val="ListParagraph"/>
        <w:ind w:left="1440" w:hanging="720"/>
        <w:rPr>
          <w:rFonts w:cstheme="minorHAnsi"/>
          <w:szCs w:val="23"/>
          <w:lang w:val="fr-CA"/>
        </w:rPr>
      </w:pPr>
    </w:p>
    <w:p w14:paraId="1E6874AB" w14:textId="44CAE062" w:rsidR="00B308C6" w:rsidRPr="00F52884" w:rsidRDefault="00B308C6" w:rsidP="00B308C6">
      <w:pPr>
        <w:pStyle w:val="ListParagraph"/>
        <w:numPr>
          <w:ilvl w:val="0"/>
          <w:numId w:val="409"/>
        </w:numPr>
        <w:ind w:hanging="720"/>
        <w:rPr>
          <w:rFonts w:cstheme="minorHAnsi"/>
          <w:szCs w:val="23"/>
          <w:lang w:val="fr-CA"/>
        </w:rPr>
      </w:pPr>
      <w:proofErr w:type="gramStart"/>
      <w:r w:rsidRPr="00F52884">
        <w:rPr>
          <w:rFonts w:cstheme="minorHAnsi"/>
          <w:szCs w:val="23"/>
          <w:lang w:val="fr-CA"/>
        </w:rPr>
        <w:t>un</w:t>
      </w:r>
      <w:proofErr w:type="gramEnd"/>
      <w:r w:rsidRPr="00F52884">
        <w:rPr>
          <w:rFonts w:cstheme="minorHAnsi"/>
          <w:szCs w:val="23"/>
          <w:lang w:val="fr-CA"/>
        </w:rPr>
        <w:t xml:space="preserve"> produit, y compris un aliment ou une boisson, qui provient en totalité ou en partie d’un animal ou d’un végétal,</w:t>
      </w:r>
    </w:p>
    <w:p w14:paraId="28509246" w14:textId="77777777" w:rsidR="00B308C6" w:rsidRPr="00F52884" w:rsidRDefault="00B308C6" w:rsidP="00B308C6">
      <w:pPr>
        <w:pStyle w:val="ListParagraph"/>
        <w:rPr>
          <w:rFonts w:cstheme="minorHAnsi"/>
          <w:szCs w:val="23"/>
          <w:lang w:val="fr-CA"/>
        </w:rPr>
      </w:pPr>
    </w:p>
    <w:p w14:paraId="36084C37" w14:textId="360EE58C" w:rsidR="00B308C6" w:rsidRPr="00F52884" w:rsidRDefault="00B308C6" w:rsidP="00B308C6">
      <w:pPr>
        <w:rPr>
          <w:rFonts w:cstheme="minorHAnsi"/>
          <w:szCs w:val="23"/>
          <w:lang w:val="fr-CA"/>
        </w:rPr>
      </w:pPr>
      <w:proofErr w:type="gramStart"/>
      <w:r w:rsidRPr="00F52884">
        <w:rPr>
          <w:rFonts w:cstheme="minorHAnsi"/>
          <w:szCs w:val="23"/>
          <w:lang w:val="fr-CA"/>
        </w:rPr>
        <w:t>mais</w:t>
      </w:r>
      <w:proofErr w:type="gramEnd"/>
      <w:r w:rsidRPr="00F52884">
        <w:rPr>
          <w:rFonts w:cstheme="minorHAnsi"/>
          <w:szCs w:val="23"/>
          <w:lang w:val="fr-CA"/>
        </w:rPr>
        <w:t xml:space="preserve"> ne sont pas visés par la présente définition le poisson, les produits du poisson et les boissons alcooliques;</w:t>
      </w:r>
    </w:p>
    <w:p w14:paraId="7760AA13" w14:textId="77777777" w:rsidR="00B308C6" w:rsidRPr="00F52884" w:rsidRDefault="00B308C6" w:rsidP="00B308C6">
      <w:pPr>
        <w:rPr>
          <w:rFonts w:cstheme="minorHAnsi"/>
          <w:szCs w:val="23"/>
          <w:lang w:val="fr-CA"/>
        </w:rPr>
      </w:pPr>
    </w:p>
    <w:p w14:paraId="5269A1C6" w14:textId="5D0EA993"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b/>
          <w:szCs w:val="23"/>
          <w:lang w:val="fr-CA"/>
        </w:rPr>
      </w:pPr>
      <w:proofErr w:type="gramStart"/>
      <w:r w:rsidRPr="00F52884">
        <w:rPr>
          <w:rFonts w:cstheme="minorHAnsi"/>
          <w:b/>
          <w:bCs/>
          <w:szCs w:val="23"/>
          <w:lang w:val="fr-CA"/>
        </w:rPr>
        <w:t>produit</w:t>
      </w:r>
      <w:proofErr w:type="gramEnd"/>
      <w:r w:rsidRPr="00F52884">
        <w:rPr>
          <w:rFonts w:cstheme="minorHAnsi"/>
          <w:b/>
          <w:bCs/>
          <w:szCs w:val="23"/>
          <w:lang w:val="fr-CA"/>
        </w:rPr>
        <w:t xml:space="preserve"> alimentaire</w:t>
      </w:r>
      <w:r w:rsidRPr="00F52884">
        <w:rPr>
          <w:rFonts w:cstheme="minorHAnsi"/>
          <w:szCs w:val="23"/>
          <w:lang w:val="fr-CA"/>
        </w:rPr>
        <w:t xml:space="preserve"> Article fabriqué, vendu ou présenté comme pouvant servir de nourriture ou de boisson à l’être humain, gomme à mâcher, ainsi que tout ingrédient pouvant être mélangé avec un aliment à quelque fin que ce soit, à l’exception du poisson, des produits du poisson </w:t>
      </w:r>
      <w:r w:rsidR="00FE3EAB" w:rsidRPr="009A780E">
        <w:rPr>
          <w:rFonts w:ascii="Arial" w:eastAsia="Times New Roman" w:hAnsi="Arial" w:cs="Arial"/>
          <w:szCs w:val="23"/>
          <w:lang w:val="fr-CA" w:eastAsia="en-CA"/>
        </w:rPr>
        <w:t>et les boissons alcooliques ou le cannabis. </w:t>
      </w:r>
      <w:r w:rsidRPr="00F52884">
        <w:rPr>
          <w:rFonts w:cstheme="minorHAnsi"/>
          <w:szCs w:val="23"/>
          <w:lang w:val="fr-CA"/>
        </w:rPr>
        <w:t>;</w:t>
      </w:r>
    </w:p>
    <w:p w14:paraId="397000F9"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b/>
          <w:szCs w:val="23"/>
          <w:lang w:val="fr-CA"/>
        </w:rPr>
      </w:pPr>
    </w:p>
    <w:p w14:paraId="18E21458" w14:textId="1A32C544" w:rsidR="00B308C6" w:rsidRPr="00F52884" w:rsidRDefault="00B308C6" w:rsidP="00B308C6">
      <w:pPr>
        <w:rPr>
          <w:rFonts w:cstheme="minorHAnsi"/>
          <w:szCs w:val="23"/>
          <w:lang w:val="fr-CA"/>
        </w:rPr>
      </w:pPr>
      <w:proofErr w:type="gramStart"/>
      <w:r w:rsidRPr="00F52884">
        <w:rPr>
          <w:rFonts w:cstheme="minorHAnsi"/>
          <w:b/>
          <w:bCs/>
          <w:szCs w:val="23"/>
          <w:lang w:val="fr-CA"/>
        </w:rPr>
        <w:t>produit</w:t>
      </w:r>
      <w:proofErr w:type="gramEnd"/>
      <w:r w:rsidRPr="00F52884">
        <w:rPr>
          <w:rFonts w:cstheme="minorHAnsi"/>
          <w:b/>
          <w:bCs/>
          <w:szCs w:val="23"/>
          <w:lang w:val="fr-CA"/>
        </w:rPr>
        <w:t xml:space="preserve"> d’une Partie</w:t>
      </w:r>
      <w:r w:rsidRPr="00F52884">
        <w:rPr>
          <w:rFonts w:cstheme="minorHAnsi"/>
          <w:szCs w:val="23"/>
          <w:lang w:val="fr-CA"/>
        </w:rPr>
        <w:t xml:space="preserve"> Produit qui est fabriqué, produit, cultivé, obtenu ou utilisé à des fins commerciales sur le territoire d’une Partie, ou distribué à partir de ce territoire, quel que soit son lieu d’origine;</w:t>
      </w:r>
    </w:p>
    <w:p w14:paraId="34333D2D" w14:textId="77777777" w:rsidR="00B308C6" w:rsidRPr="00F52884" w:rsidRDefault="00B308C6" w:rsidP="00B308C6">
      <w:pPr>
        <w:rPr>
          <w:rFonts w:cstheme="minorHAnsi"/>
          <w:szCs w:val="23"/>
          <w:lang w:val="fr-CA"/>
        </w:rPr>
      </w:pPr>
    </w:p>
    <w:p w14:paraId="2CBEAC95" w14:textId="7D06263F" w:rsidR="00B308C6" w:rsidRPr="00F52884" w:rsidRDefault="00B308C6" w:rsidP="00B308C6">
      <w:pPr>
        <w:rPr>
          <w:rFonts w:cstheme="minorHAnsi"/>
          <w:szCs w:val="23"/>
          <w:lang w:val="fr-CA"/>
        </w:rPr>
      </w:pPr>
      <w:proofErr w:type="gramStart"/>
      <w:r w:rsidRPr="00F52884">
        <w:rPr>
          <w:rFonts w:cstheme="minorHAnsi"/>
          <w:b/>
          <w:bCs/>
          <w:szCs w:val="23"/>
          <w:lang w:val="fr-CA"/>
        </w:rPr>
        <w:t>protection</w:t>
      </w:r>
      <w:proofErr w:type="gramEnd"/>
      <w:r w:rsidRPr="00F52884">
        <w:rPr>
          <w:rFonts w:cstheme="minorHAnsi"/>
          <w:b/>
          <w:bCs/>
          <w:szCs w:val="23"/>
          <w:lang w:val="fr-CA"/>
        </w:rPr>
        <w:t xml:space="preserve"> des consommateurs</w:t>
      </w:r>
      <w:r w:rsidRPr="00F52884">
        <w:rPr>
          <w:rFonts w:cstheme="minorHAnsi"/>
          <w:szCs w:val="23"/>
          <w:lang w:val="fr-CA"/>
        </w:rPr>
        <w:t xml:space="preserve"> Protection de la sécurité personnelle des consommateurs ou des intérêts économiques des consommateurs, y compris l’application des mesures et normes en matière de consommation;</w:t>
      </w:r>
    </w:p>
    <w:p w14:paraId="29EFA3AD" w14:textId="77777777" w:rsidR="00B308C6" w:rsidRPr="00F52884" w:rsidRDefault="00B308C6" w:rsidP="00B308C6">
      <w:pPr>
        <w:rPr>
          <w:rFonts w:cstheme="minorHAnsi"/>
          <w:szCs w:val="23"/>
          <w:lang w:val="fr-CA"/>
        </w:rPr>
      </w:pPr>
    </w:p>
    <w:p w14:paraId="6966EBA0" w14:textId="24E1A9DD" w:rsidR="00B308C6" w:rsidRPr="00F52884" w:rsidRDefault="00B308C6" w:rsidP="00B308C6">
      <w:pPr>
        <w:rPr>
          <w:rFonts w:cstheme="minorHAnsi"/>
          <w:szCs w:val="23"/>
          <w:lang w:val="fr-CA"/>
        </w:rPr>
      </w:pPr>
      <w:r w:rsidRPr="00F52884">
        <w:rPr>
          <w:rFonts w:cstheme="minorHAnsi"/>
          <w:b/>
          <w:bCs/>
          <w:szCs w:val="23"/>
          <w:lang w:val="fr-CA"/>
        </w:rPr>
        <w:t>Province</w:t>
      </w:r>
      <w:r w:rsidRPr="00F52884">
        <w:rPr>
          <w:rFonts w:cstheme="minorHAnsi"/>
          <w:szCs w:val="23"/>
          <w:lang w:val="fr-CA"/>
        </w:rPr>
        <w:t xml:space="preserve"> Une province du Canada, y compris le Yukon, les Territoires du Nord</w:t>
      </w:r>
      <w:r w:rsidRPr="00F52884">
        <w:rPr>
          <w:rFonts w:cstheme="minorHAnsi"/>
          <w:szCs w:val="23"/>
          <w:lang w:val="fr-CA"/>
        </w:rPr>
        <w:noBreakHyphen/>
        <w:t>Ouest et le Nunavut;</w:t>
      </w:r>
    </w:p>
    <w:p w14:paraId="2C6A59C7" w14:textId="77777777" w:rsidR="00B308C6" w:rsidRPr="00F52884" w:rsidRDefault="00B308C6" w:rsidP="00B308C6">
      <w:pPr>
        <w:rPr>
          <w:rFonts w:cstheme="minorHAnsi"/>
          <w:szCs w:val="23"/>
          <w:lang w:val="fr-CA"/>
        </w:rPr>
      </w:pPr>
    </w:p>
    <w:p w14:paraId="189A2F2C" w14:textId="6FFDEF08" w:rsidR="00B308C6" w:rsidRPr="00F52884" w:rsidRDefault="00B308C6" w:rsidP="00B308C6">
      <w:pPr>
        <w:rPr>
          <w:rFonts w:cstheme="minorHAnsi"/>
          <w:i/>
          <w:iCs/>
          <w:szCs w:val="23"/>
          <w:lang w:val="fr-CA"/>
        </w:rPr>
      </w:pPr>
      <w:proofErr w:type="gramStart"/>
      <w:r w:rsidRPr="00F52884">
        <w:rPr>
          <w:rFonts w:cstheme="minorHAnsi"/>
          <w:b/>
          <w:bCs/>
          <w:szCs w:val="23"/>
          <w:lang w:val="fr-CA"/>
        </w:rPr>
        <w:t>règlement</w:t>
      </w:r>
      <w:proofErr w:type="gramEnd"/>
      <w:r w:rsidRPr="00F52884">
        <w:rPr>
          <w:rFonts w:cstheme="minorHAnsi"/>
          <w:bCs/>
          <w:szCs w:val="23"/>
          <w:lang w:val="fr-CA"/>
        </w:rPr>
        <w:t> Désigne :</w:t>
      </w:r>
      <w:r w:rsidRPr="00F52884">
        <w:rPr>
          <w:rFonts w:cstheme="minorHAnsi"/>
          <w:i/>
          <w:iCs/>
          <w:szCs w:val="23"/>
          <w:lang w:val="fr-CA"/>
        </w:rPr>
        <w:t xml:space="preserve"> </w:t>
      </w:r>
    </w:p>
    <w:p w14:paraId="6E107B74" w14:textId="77777777" w:rsidR="00B308C6" w:rsidRPr="00F52884" w:rsidRDefault="00B308C6" w:rsidP="00B308C6">
      <w:pPr>
        <w:rPr>
          <w:rFonts w:eastAsia="Times New Roman" w:cstheme="minorHAnsi"/>
          <w:b/>
          <w:bCs/>
          <w:szCs w:val="23"/>
          <w:lang w:val="fr-CA"/>
        </w:rPr>
      </w:pPr>
    </w:p>
    <w:p w14:paraId="095D147E" w14:textId="3304FE26" w:rsidR="00B308C6" w:rsidRPr="00F52884" w:rsidRDefault="00B308C6" w:rsidP="00B308C6">
      <w:pPr>
        <w:pStyle w:val="ListParagraph"/>
        <w:numPr>
          <w:ilvl w:val="1"/>
          <w:numId w:val="410"/>
        </w:numPr>
        <w:ind w:left="1440" w:hanging="719"/>
        <w:rPr>
          <w:rFonts w:eastAsia="Times New Roman" w:cstheme="minorHAnsi"/>
          <w:b/>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du gouvernement du Canada,</w:t>
      </w:r>
      <w:r w:rsidRPr="00F52884">
        <w:rPr>
          <w:rFonts w:cstheme="minorHAnsi"/>
          <w:szCs w:val="23"/>
          <w:lang w:val="fr-CA"/>
        </w:rPr>
        <w:t xml:space="preserve"> </w:t>
      </w:r>
      <w:r w:rsidRPr="00F52884">
        <w:rPr>
          <w:rFonts w:eastAsia="Times New Roman" w:cstheme="minorHAnsi"/>
          <w:szCs w:val="23"/>
          <w:lang w:val="fr-CA"/>
        </w:rPr>
        <w:t xml:space="preserve">un « règlement » au sens de la </w:t>
      </w:r>
      <w:r w:rsidRPr="00F52884">
        <w:rPr>
          <w:rFonts w:eastAsia="Times New Roman" w:cstheme="minorHAnsi"/>
          <w:i/>
          <w:szCs w:val="23"/>
          <w:lang w:val="fr-CA"/>
        </w:rPr>
        <w:t>Loi sur les textes réglementaires</w:t>
      </w:r>
      <w:r w:rsidRPr="00F52884">
        <w:rPr>
          <w:rFonts w:eastAsia="Times New Roman" w:cstheme="minorHAnsi"/>
          <w:szCs w:val="23"/>
          <w:lang w:val="fr-CA"/>
        </w:rPr>
        <w:t xml:space="preserve">, LRC 1985, c S-22; </w:t>
      </w:r>
    </w:p>
    <w:p w14:paraId="52E7E948" w14:textId="77777777" w:rsidR="00B308C6" w:rsidRPr="00F52884" w:rsidRDefault="00B308C6" w:rsidP="00B308C6">
      <w:pPr>
        <w:pStyle w:val="ListParagraph"/>
        <w:ind w:left="1440"/>
        <w:rPr>
          <w:rFonts w:eastAsia="Times New Roman" w:cstheme="minorHAnsi"/>
          <w:b/>
          <w:bCs/>
          <w:szCs w:val="23"/>
          <w:lang w:val="fr-CA"/>
        </w:rPr>
      </w:pPr>
    </w:p>
    <w:p w14:paraId="25ED623F" w14:textId="7C3C2245"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 </w:t>
      </w:r>
      <w:r w:rsidRPr="00F52884">
        <w:rPr>
          <w:rFonts w:eastAsia="Times New Roman" w:cstheme="minorHAnsi"/>
          <w:bCs/>
          <w:szCs w:val="23"/>
          <w:lang w:val="fr-CA"/>
        </w:rPr>
        <w:t xml:space="preserve">l’Ontario, un « règlement » au sens de la partie III de la </w:t>
      </w:r>
      <w:r w:rsidRPr="00F52884">
        <w:rPr>
          <w:rFonts w:eastAsia="Times New Roman" w:cstheme="minorHAnsi"/>
          <w:bCs/>
          <w:i/>
          <w:szCs w:val="23"/>
          <w:lang w:val="fr-CA"/>
        </w:rPr>
        <w:t>Loi de 2006 sur la législation</w:t>
      </w:r>
      <w:r w:rsidRPr="00F52884">
        <w:rPr>
          <w:rFonts w:eastAsia="Times New Roman" w:cstheme="minorHAnsi"/>
          <w:bCs/>
          <w:szCs w:val="23"/>
          <w:lang w:val="fr-CA"/>
        </w:rPr>
        <w:t>, LO 2006, c. 21, annexe F;</w:t>
      </w:r>
    </w:p>
    <w:p w14:paraId="1EDEE4BA" w14:textId="77777777" w:rsidR="00B308C6" w:rsidRPr="00F52884" w:rsidRDefault="00B308C6" w:rsidP="00B308C6">
      <w:pPr>
        <w:ind w:left="1440"/>
        <w:rPr>
          <w:rFonts w:eastAsia="Times New Roman" w:cstheme="minorHAnsi"/>
          <w:bCs/>
          <w:szCs w:val="23"/>
          <w:lang w:val="fr-CA"/>
        </w:rPr>
      </w:pPr>
    </w:p>
    <w:p w14:paraId="67F9853D" w14:textId="5684DC5D"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du</w:t>
      </w:r>
      <w:r w:rsidRPr="00F52884">
        <w:rPr>
          <w:rFonts w:eastAsia="Times New Roman" w:cstheme="minorHAnsi"/>
          <w:bCs/>
          <w:szCs w:val="23"/>
          <w:lang w:val="fr-CA"/>
        </w:rPr>
        <w:t xml:space="preserve"> Québec, un « règlement » au sens de la </w:t>
      </w:r>
      <w:r w:rsidRPr="00F52884">
        <w:rPr>
          <w:rFonts w:eastAsia="Times New Roman" w:cstheme="minorHAnsi"/>
          <w:bCs/>
          <w:i/>
          <w:szCs w:val="23"/>
          <w:lang w:val="fr-CA"/>
        </w:rPr>
        <w:t>Loi sur les règlements</w:t>
      </w:r>
      <w:r w:rsidRPr="00F52884">
        <w:rPr>
          <w:rFonts w:eastAsia="Times New Roman" w:cstheme="minorHAnsi"/>
          <w:bCs/>
          <w:szCs w:val="23"/>
          <w:lang w:val="fr-CA"/>
        </w:rPr>
        <w:t>, RLRQ c  R-18.1;</w:t>
      </w:r>
    </w:p>
    <w:p w14:paraId="6A7974E9" w14:textId="77777777" w:rsidR="00B308C6" w:rsidRPr="00F52884" w:rsidRDefault="00B308C6" w:rsidP="00B308C6">
      <w:pPr>
        <w:ind w:left="1440"/>
        <w:rPr>
          <w:rFonts w:eastAsia="Times New Roman" w:cstheme="minorHAnsi"/>
          <w:bCs/>
          <w:szCs w:val="23"/>
          <w:lang w:val="fr-CA"/>
        </w:rPr>
      </w:pPr>
    </w:p>
    <w:p w14:paraId="5087033B" w14:textId="7CA9EF0F"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 </w:t>
      </w:r>
      <w:r w:rsidRPr="00F52884">
        <w:rPr>
          <w:rFonts w:eastAsia="Times New Roman" w:cstheme="minorHAnsi"/>
          <w:bCs/>
          <w:szCs w:val="23"/>
          <w:lang w:val="fr-CA"/>
        </w:rPr>
        <w:t xml:space="preserve">la Nouvelle-Écosse, un « règlement » au sens de la </w:t>
      </w:r>
      <w:proofErr w:type="spellStart"/>
      <w:r w:rsidRPr="00F52884">
        <w:rPr>
          <w:rFonts w:eastAsia="Times New Roman" w:cstheme="minorHAnsi"/>
          <w:bCs/>
          <w:i/>
          <w:szCs w:val="23"/>
          <w:lang w:val="fr-CA"/>
        </w:rPr>
        <w:t>Regulations</w:t>
      </w:r>
      <w:proofErr w:type="spellEnd"/>
      <w:r w:rsidRPr="00F52884">
        <w:rPr>
          <w:rFonts w:eastAsia="Times New Roman" w:cstheme="minorHAnsi"/>
          <w:bCs/>
          <w:i/>
          <w:szCs w:val="23"/>
          <w:lang w:val="fr-CA"/>
        </w:rPr>
        <w:t xml:space="preserve"> </w:t>
      </w:r>
      <w:proofErr w:type="spellStart"/>
      <w:r w:rsidRPr="00F52884">
        <w:rPr>
          <w:rFonts w:eastAsia="Times New Roman" w:cstheme="minorHAnsi"/>
          <w:bCs/>
          <w:i/>
          <w:szCs w:val="23"/>
          <w:lang w:val="fr-CA"/>
        </w:rPr>
        <w:t>Act</w:t>
      </w:r>
      <w:proofErr w:type="spellEnd"/>
      <w:r w:rsidRPr="00F52884">
        <w:rPr>
          <w:rFonts w:eastAsia="Times New Roman" w:cstheme="minorHAnsi"/>
          <w:bCs/>
          <w:szCs w:val="23"/>
          <w:lang w:val="fr-CA"/>
        </w:rPr>
        <w:t>, RSNS 1989, c 393;</w:t>
      </w:r>
    </w:p>
    <w:p w14:paraId="6693E08C" w14:textId="77777777" w:rsidR="00B308C6" w:rsidRPr="00F52884" w:rsidRDefault="00B308C6" w:rsidP="00B308C6">
      <w:pPr>
        <w:ind w:left="1440"/>
        <w:rPr>
          <w:rFonts w:eastAsia="Times New Roman" w:cstheme="minorHAnsi"/>
          <w:bCs/>
          <w:szCs w:val="23"/>
          <w:lang w:val="fr-CA"/>
        </w:rPr>
      </w:pPr>
    </w:p>
    <w:p w14:paraId="521A4D33" w14:textId="1F4CA5C2"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du</w:t>
      </w:r>
      <w:r w:rsidRPr="00F52884">
        <w:rPr>
          <w:rFonts w:eastAsia="Times New Roman" w:cstheme="minorHAnsi"/>
          <w:bCs/>
          <w:szCs w:val="23"/>
          <w:lang w:val="fr-CA"/>
        </w:rPr>
        <w:t xml:space="preserve"> Nouveau-Brunswick, un « règlement » au sens de la </w:t>
      </w:r>
      <w:r w:rsidRPr="00F52884">
        <w:rPr>
          <w:rFonts w:eastAsia="Times New Roman" w:cstheme="minorHAnsi"/>
          <w:bCs/>
          <w:i/>
          <w:szCs w:val="23"/>
          <w:lang w:val="fr-CA"/>
        </w:rPr>
        <w:t>Loi sur les règlements</w:t>
      </w:r>
      <w:r w:rsidRPr="00F52884">
        <w:rPr>
          <w:rFonts w:eastAsia="Times New Roman" w:cstheme="minorHAnsi"/>
          <w:bCs/>
          <w:szCs w:val="23"/>
          <w:lang w:val="fr-CA"/>
        </w:rPr>
        <w:t>, LRN-B 2011, c 218;</w:t>
      </w:r>
    </w:p>
    <w:p w14:paraId="56107E69" w14:textId="77777777" w:rsidR="00B308C6" w:rsidRPr="00F52884" w:rsidRDefault="00B308C6" w:rsidP="00B308C6">
      <w:pPr>
        <w:ind w:left="1440"/>
        <w:rPr>
          <w:rFonts w:eastAsia="Times New Roman" w:cstheme="minorHAnsi"/>
          <w:bCs/>
          <w:szCs w:val="23"/>
          <w:lang w:val="fr-CA"/>
        </w:rPr>
      </w:pPr>
    </w:p>
    <w:p w14:paraId="51CE56AA" w14:textId="1C8B35C8"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lastRenderedPageBreak/>
        <w:t>dans</w:t>
      </w:r>
      <w:proofErr w:type="gramEnd"/>
      <w:r w:rsidRPr="00F52884">
        <w:rPr>
          <w:rFonts w:eastAsia="Times New Roman" w:cstheme="minorHAnsi"/>
          <w:szCs w:val="23"/>
          <w:lang w:val="fr-CA"/>
        </w:rPr>
        <w:t xml:space="preserve"> le cas du Manitoba, un « règlement » au sens de la </w:t>
      </w:r>
      <w:r w:rsidRPr="00F52884">
        <w:rPr>
          <w:rFonts w:eastAsia="Times New Roman" w:cstheme="minorHAnsi"/>
          <w:i/>
          <w:iCs/>
          <w:szCs w:val="23"/>
          <w:lang w:val="fr-CA"/>
        </w:rPr>
        <w:t>Loi sur les textes législatifs et réglementaires</w:t>
      </w:r>
      <w:r w:rsidRPr="00F52884">
        <w:rPr>
          <w:rFonts w:eastAsia="Times New Roman" w:cstheme="minorHAnsi"/>
          <w:szCs w:val="23"/>
          <w:lang w:val="fr-CA"/>
        </w:rPr>
        <w:t>, CPLM, c S207;</w:t>
      </w:r>
    </w:p>
    <w:p w14:paraId="73DF8D66" w14:textId="77777777" w:rsidR="00B308C6" w:rsidRPr="00F52884" w:rsidRDefault="00B308C6" w:rsidP="00B308C6">
      <w:pPr>
        <w:ind w:left="1440"/>
        <w:rPr>
          <w:rFonts w:eastAsia="Times New Roman" w:cstheme="minorHAnsi"/>
          <w:bCs/>
          <w:szCs w:val="23"/>
          <w:lang w:val="fr-CA"/>
        </w:rPr>
      </w:pPr>
    </w:p>
    <w:p w14:paraId="6240737F" w14:textId="26615DE0"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 </w:t>
      </w:r>
      <w:r w:rsidRPr="00F52884">
        <w:rPr>
          <w:rFonts w:eastAsia="Times New Roman" w:cstheme="minorHAnsi"/>
          <w:bCs/>
          <w:szCs w:val="23"/>
          <w:lang w:val="fr-CA"/>
        </w:rPr>
        <w:t xml:space="preserve">la Colombie-Britannique, un « règlement » au sens de la </w:t>
      </w:r>
      <w:proofErr w:type="spellStart"/>
      <w:r w:rsidRPr="00F52884">
        <w:rPr>
          <w:rFonts w:eastAsia="Times New Roman" w:cstheme="minorHAnsi"/>
          <w:bCs/>
          <w:i/>
          <w:szCs w:val="23"/>
          <w:lang w:val="fr-CA"/>
        </w:rPr>
        <w:t>Regulations</w:t>
      </w:r>
      <w:proofErr w:type="spellEnd"/>
      <w:r w:rsidRPr="00F52884">
        <w:rPr>
          <w:rFonts w:eastAsia="Times New Roman" w:cstheme="minorHAnsi"/>
          <w:bCs/>
          <w:i/>
          <w:szCs w:val="23"/>
          <w:lang w:val="fr-CA"/>
        </w:rPr>
        <w:t xml:space="preserve"> </w:t>
      </w:r>
      <w:proofErr w:type="spellStart"/>
      <w:r w:rsidRPr="00F52884">
        <w:rPr>
          <w:rFonts w:eastAsia="Times New Roman" w:cstheme="minorHAnsi"/>
          <w:bCs/>
          <w:i/>
          <w:szCs w:val="23"/>
          <w:lang w:val="fr-CA"/>
        </w:rPr>
        <w:t>Act</w:t>
      </w:r>
      <w:proofErr w:type="spellEnd"/>
      <w:r w:rsidRPr="00F52884">
        <w:rPr>
          <w:rFonts w:eastAsia="Times New Roman" w:cstheme="minorHAnsi"/>
          <w:bCs/>
          <w:szCs w:val="23"/>
          <w:lang w:val="fr-CA"/>
        </w:rPr>
        <w:t>, RSBC 1996, c 402;</w:t>
      </w:r>
    </w:p>
    <w:p w14:paraId="5D9BA946" w14:textId="77777777" w:rsidR="00B308C6" w:rsidRPr="00F52884" w:rsidRDefault="00B308C6" w:rsidP="00B308C6">
      <w:pPr>
        <w:ind w:left="1440"/>
        <w:rPr>
          <w:rFonts w:eastAsia="Times New Roman" w:cstheme="minorHAnsi"/>
          <w:bCs/>
          <w:szCs w:val="23"/>
          <w:lang w:val="fr-CA"/>
        </w:rPr>
      </w:pPr>
    </w:p>
    <w:p w14:paraId="37B9CFFA" w14:textId="79023459"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bCs/>
          <w:szCs w:val="23"/>
          <w:lang w:val="fr-CA"/>
        </w:rPr>
        <w:t>dans</w:t>
      </w:r>
      <w:proofErr w:type="gramEnd"/>
      <w:r w:rsidRPr="00F52884">
        <w:rPr>
          <w:rFonts w:eastAsia="Times New Roman" w:cstheme="minorHAnsi"/>
          <w:bCs/>
          <w:szCs w:val="23"/>
          <w:lang w:val="fr-CA"/>
        </w:rPr>
        <w:t xml:space="preserve"> le cas de l’Île-du-Prince-Édouard, un « règlement » au sens de la </w:t>
      </w:r>
      <w:proofErr w:type="spellStart"/>
      <w:r w:rsidRPr="00F52884">
        <w:rPr>
          <w:rFonts w:eastAsia="Times New Roman" w:cstheme="minorHAnsi"/>
          <w:bCs/>
          <w:i/>
          <w:szCs w:val="23"/>
          <w:lang w:val="fr-CA"/>
        </w:rPr>
        <w:t>Interpretation</w:t>
      </w:r>
      <w:proofErr w:type="spellEnd"/>
      <w:r w:rsidRPr="00F52884">
        <w:rPr>
          <w:rFonts w:eastAsia="Times New Roman" w:cstheme="minorHAnsi"/>
          <w:bCs/>
          <w:i/>
          <w:szCs w:val="23"/>
          <w:lang w:val="fr-CA"/>
        </w:rPr>
        <w:t xml:space="preserve"> </w:t>
      </w:r>
      <w:proofErr w:type="spellStart"/>
      <w:r w:rsidRPr="00F52884">
        <w:rPr>
          <w:rFonts w:eastAsia="Times New Roman" w:cstheme="minorHAnsi"/>
          <w:bCs/>
          <w:i/>
          <w:szCs w:val="23"/>
          <w:lang w:val="fr-CA"/>
        </w:rPr>
        <w:t>Act</w:t>
      </w:r>
      <w:proofErr w:type="spellEnd"/>
      <w:r w:rsidRPr="00F52884">
        <w:rPr>
          <w:rFonts w:eastAsia="Times New Roman" w:cstheme="minorHAnsi"/>
          <w:bCs/>
          <w:szCs w:val="23"/>
          <w:lang w:val="fr-CA"/>
        </w:rPr>
        <w:t>, RSPEI 1988, c I-8;</w:t>
      </w:r>
    </w:p>
    <w:p w14:paraId="6E6C72B9" w14:textId="77777777" w:rsidR="00B308C6" w:rsidRPr="00F52884" w:rsidRDefault="00B308C6" w:rsidP="00B308C6">
      <w:pPr>
        <w:ind w:left="1440"/>
        <w:rPr>
          <w:rFonts w:eastAsia="Times New Roman" w:cstheme="minorHAnsi"/>
          <w:bCs/>
          <w:szCs w:val="23"/>
          <w:lang w:val="fr-CA"/>
        </w:rPr>
      </w:pPr>
    </w:p>
    <w:p w14:paraId="517A194B" w14:textId="0F51C57A"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 </w:t>
      </w:r>
      <w:r w:rsidRPr="00F52884">
        <w:rPr>
          <w:rFonts w:eastAsia="Times New Roman" w:cstheme="minorHAnsi"/>
          <w:bCs/>
          <w:szCs w:val="23"/>
          <w:lang w:val="fr-CA"/>
        </w:rPr>
        <w:t xml:space="preserve">la Saskatchewan, un « règlement » au sens de la </w:t>
      </w:r>
      <w:r w:rsidRPr="00F52884">
        <w:rPr>
          <w:rFonts w:eastAsia="Times New Roman" w:cstheme="minorHAnsi"/>
          <w:bCs/>
          <w:i/>
          <w:szCs w:val="23"/>
          <w:lang w:val="fr-CA"/>
        </w:rPr>
        <w:t>Loi de 1995 sur les règlements</w:t>
      </w:r>
      <w:r w:rsidRPr="00F52884">
        <w:rPr>
          <w:rFonts w:eastAsia="Times New Roman" w:cstheme="minorHAnsi"/>
          <w:bCs/>
          <w:szCs w:val="23"/>
          <w:lang w:val="fr-CA"/>
        </w:rPr>
        <w:t>, LS 1995, c R-16.2;</w:t>
      </w:r>
    </w:p>
    <w:p w14:paraId="54293646" w14:textId="77777777" w:rsidR="00B308C6" w:rsidRPr="00F52884" w:rsidRDefault="00B308C6" w:rsidP="00B308C6">
      <w:pPr>
        <w:ind w:left="1440"/>
        <w:rPr>
          <w:rFonts w:eastAsia="Times New Roman" w:cstheme="minorHAnsi"/>
          <w:bCs/>
          <w:szCs w:val="23"/>
          <w:lang w:val="fr-CA"/>
        </w:rPr>
      </w:pPr>
    </w:p>
    <w:p w14:paraId="4C140813" w14:textId="6F9C7F83"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 </w:t>
      </w:r>
      <w:r w:rsidRPr="00F52884">
        <w:rPr>
          <w:rFonts w:eastAsia="Times New Roman" w:cstheme="minorHAnsi"/>
          <w:bCs/>
          <w:szCs w:val="23"/>
          <w:lang w:val="fr-CA"/>
        </w:rPr>
        <w:t xml:space="preserve">l’Alberta, un « règlement » au sens de la </w:t>
      </w:r>
      <w:proofErr w:type="spellStart"/>
      <w:r w:rsidRPr="00F52884">
        <w:rPr>
          <w:rFonts w:eastAsia="Times New Roman" w:cstheme="minorHAnsi"/>
          <w:bCs/>
          <w:i/>
          <w:szCs w:val="23"/>
          <w:lang w:val="fr-CA"/>
        </w:rPr>
        <w:t>Regulations</w:t>
      </w:r>
      <w:proofErr w:type="spellEnd"/>
      <w:r w:rsidRPr="00F52884">
        <w:rPr>
          <w:rFonts w:eastAsia="Times New Roman" w:cstheme="minorHAnsi"/>
          <w:bCs/>
          <w:i/>
          <w:szCs w:val="23"/>
          <w:lang w:val="fr-CA"/>
        </w:rPr>
        <w:t xml:space="preserve"> </w:t>
      </w:r>
      <w:proofErr w:type="spellStart"/>
      <w:r w:rsidRPr="00F52884">
        <w:rPr>
          <w:rFonts w:eastAsia="Times New Roman" w:cstheme="minorHAnsi"/>
          <w:bCs/>
          <w:i/>
          <w:szCs w:val="23"/>
          <w:lang w:val="fr-CA"/>
        </w:rPr>
        <w:t>Act</w:t>
      </w:r>
      <w:proofErr w:type="spellEnd"/>
      <w:r w:rsidRPr="00F52884">
        <w:rPr>
          <w:rFonts w:eastAsia="Times New Roman" w:cstheme="minorHAnsi"/>
          <w:bCs/>
          <w:szCs w:val="23"/>
          <w:lang w:val="fr-CA"/>
        </w:rPr>
        <w:t>, RSA 2000, c  R14;</w:t>
      </w:r>
    </w:p>
    <w:p w14:paraId="3786A947" w14:textId="77777777" w:rsidR="00B308C6" w:rsidRPr="00F52884" w:rsidRDefault="00B308C6" w:rsidP="00B308C6">
      <w:pPr>
        <w:ind w:left="1440"/>
        <w:rPr>
          <w:rFonts w:eastAsia="Times New Roman" w:cstheme="minorHAnsi"/>
          <w:bCs/>
          <w:szCs w:val="23"/>
          <w:lang w:val="fr-CA"/>
        </w:rPr>
      </w:pPr>
    </w:p>
    <w:p w14:paraId="4418E39B" w14:textId="568A1051"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 Terre-Neuve-et-Labrador, un « règlement » au sens de la </w:t>
      </w:r>
      <w:proofErr w:type="spellStart"/>
      <w:r w:rsidRPr="00F52884">
        <w:rPr>
          <w:rFonts w:eastAsia="Times New Roman" w:cstheme="minorHAnsi"/>
          <w:i/>
          <w:iCs/>
          <w:szCs w:val="23"/>
          <w:lang w:val="fr-CA"/>
        </w:rPr>
        <w:t>Interpretation</w:t>
      </w:r>
      <w:proofErr w:type="spellEnd"/>
      <w:r w:rsidRPr="00F52884">
        <w:rPr>
          <w:rFonts w:eastAsia="Times New Roman" w:cstheme="minorHAnsi"/>
          <w:i/>
          <w:iCs/>
          <w:szCs w:val="23"/>
          <w:lang w:val="fr-CA"/>
        </w:rPr>
        <w:t xml:space="preserve"> </w:t>
      </w:r>
      <w:proofErr w:type="spellStart"/>
      <w:r w:rsidRPr="00F52884">
        <w:rPr>
          <w:rFonts w:eastAsia="Times New Roman" w:cstheme="minorHAnsi"/>
          <w:i/>
          <w:iCs/>
          <w:szCs w:val="23"/>
          <w:lang w:val="fr-CA"/>
        </w:rPr>
        <w:t>Act</w:t>
      </w:r>
      <w:proofErr w:type="spellEnd"/>
      <w:r w:rsidRPr="00F52884">
        <w:rPr>
          <w:rFonts w:eastAsia="Times New Roman" w:cstheme="minorHAnsi"/>
          <w:szCs w:val="23"/>
          <w:lang w:val="fr-CA"/>
        </w:rPr>
        <w:t>, RSNL 1990, c I-19;</w:t>
      </w:r>
    </w:p>
    <w:p w14:paraId="09E090D9" w14:textId="77777777" w:rsidR="00B308C6" w:rsidRPr="00F52884" w:rsidRDefault="00B308C6" w:rsidP="00B308C6">
      <w:pPr>
        <w:ind w:left="1440"/>
        <w:rPr>
          <w:rFonts w:eastAsia="Times New Roman" w:cstheme="minorHAnsi"/>
          <w:bCs/>
          <w:szCs w:val="23"/>
          <w:lang w:val="fr-CA"/>
        </w:rPr>
      </w:pPr>
    </w:p>
    <w:p w14:paraId="072178A7" w14:textId="5F5E1D53"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du</w:t>
      </w:r>
      <w:r w:rsidRPr="00F52884">
        <w:rPr>
          <w:rFonts w:eastAsia="Times New Roman" w:cstheme="minorHAnsi"/>
          <w:bCs/>
          <w:szCs w:val="23"/>
          <w:lang w:val="fr-CA"/>
        </w:rPr>
        <w:t xml:space="preserve"> Yukon, un « règlement » au sens de la </w:t>
      </w:r>
      <w:r w:rsidRPr="00F52884">
        <w:rPr>
          <w:rFonts w:eastAsia="Times New Roman" w:cstheme="minorHAnsi"/>
          <w:bCs/>
          <w:i/>
          <w:szCs w:val="23"/>
          <w:lang w:val="fr-CA"/>
        </w:rPr>
        <w:t>Loi d’interprétation</w:t>
      </w:r>
      <w:r w:rsidRPr="00F52884">
        <w:rPr>
          <w:rFonts w:eastAsia="Times New Roman" w:cstheme="minorHAnsi"/>
          <w:bCs/>
          <w:szCs w:val="23"/>
          <w:lang w:val="fr-CA"/>
        </w:rPr>
        <w:t>, LRY 2002, c 125;</w:t>
      </w:r>
    </w:p>
    <w:p w14:paraId="2A1E4B67" w14:textId="77777777" w:rsidR="00B308C6" w:rsidRPr="00F52884" w:rsidRDefault="00B308C6" w:rsidP="00B308C6">
      <w:pPr>
        <w:ind w:left="1440"/>
        <w:rPr>
          <w:rFonts w:eastAsia="Times New Roman" w:cstheme="minorHAnsi"/>
          <w:bCs/>
          <w:szCs w:val="23"/>
          <w:lang w:val="fr-CA"/>
        </w:rPr>
      </w:pPr>
    </w:p>
    <w:p w14:paraId="673F72C0" w14:textId="59C21891"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des Territoires du Nord-Ouest, un « règlement » au sens de la </w:t>
      </w:r>
      <w:r w:rsidRPr="00F52884">
        <w:rPr>
          <w:rFonts w:eastAsia="Times New Roman" w:cstheme="minorHAnsi"/>
          <w:i/>
          <w:iCs/>
          <w:szCs w:val="23"/>
          <w:lang w:val="fr-CA"/>
        </w:rPr>
        <w:t>Loi d’interprétation</w:t>
      </w:r>
      <w:r w:rsidRPr="00F52884">
        <w:rPr>
          <w:rFonts w:eastAsia="Times New Roman" w:cstheme="minorHAnsi"/>
          <w:szCs w:val="23"/>
          <w:lang w:val="fr-CA"/>
        </w:rPr>
        <w:t>, LRTN-O 1988, c I-8;</w:t>
      </w:r>
    </w:p>
    <w:p w14:paraId="082222C5" w14:textId="77777777" w:rsidR="00B308C6" w:rsidRPr="00F52884" w:rsidRDefault="00B308C6" w:rsidP="00B308C6">
      <w:pPr>
        <w:ind w:left="1440"/>
        <w:rPr>
          <w:rFonts w:eastAsia="Times New Roman" w:cstheme="minorHAnsi"/>
          <w:bCs/>
          <w:szCs w:val="23"/>
          <w:lang w:val="fr-CA"/>
        </w:rPr>
      </w:pPr>
    </w:p>
    <w:p w14:paraId="209C8C13" w14:textId="73B7855C" w:rsidR="00B308C6" w:rsidRPr="00F52884" w:rsidRDefault="00B308C6" w:rsidP="00B308C6">
      <w:pPr>
        <w:pStyle w:val="ListParagraph"/>
        <w:numPr>
          <w:ilvl w:val="1"/>
          <w:numId w:val="410"/>
        </w:numPr>
        <w:ind w:left="1440" w:hanging="774"/>
        <w:rPr>
          <w:rFonts w:eastAsia="Times New Roman" w:cstheme="minorHAnsi"/>
          <w:bCs/>
          <w:szCs w:val="23"/>
          <w:lang w:val="fr-CA"/>
        </w:rPr>
      </w:pPr>
      <w:proofErr w:type="gramStart"/>
      <w:r w:rsidRPr="00F52884">
        <w:rPr>
          <w:rFonts w:eastAsia="Times New Roman" w:cstheme="minorHAnsi"/>
          <w:szCs w:val="23"/>
          <w:lang w:val="fr-CA"/>
        </w:rPr>
        <w:t>dans</w:t>
      </w:r>
      <w:proofErr w:type="gramEnd"/>
      <w:r w:rsidRPr="00F52884">
        <w:rPr>
          <w:rFonts w:eastAsia="Times New Roman" w:cstheme="minorHAnsi"/>
          <w:szCs w:val="23"/>
          <w:lang w:val="fr-CA"/>
        </w:rPr>
        <w:t xml:space="preserve"> le cas du</w:t>
      </w:r>
      <w:r w:rsidRPr="00F52884">
        <w:rPr>
          <w:rFonts w:cstheme="minorHAnsi"/>
          <w:szCs w:val="23"/>
          <w:lang w:val="fr-CA"/>
        </w:rPr>
        <w:t xml:space="preserve"> Nunavut, un « règlement » au sens de la </w:t>
      </w:r>
      <w:r w:rsidRPr="00F52884">
        <w:rPr>
          <w:rFonts w:cstheme="minorHAnsi"/>
          <w:i/>
          <w:iCs/>
          <w:szCs w:val="23"/>
          <w:lang w:val="fr-CA"/>
        </w:rPr>
        <w:t>Loi sur les textes réglementaires</w:t>
      </w:r>
      <w:r w:rsidRPr="00F52884">
        <w:rPr>
          <w:rFonts w:cstheme="minorHAnsi"/>
          <w:szCs w:val="23"/>
          <w:lang w:val="fr-CA"/>
        </w:rPr>
        <w:t>, LRTN-O (Nu) 1988, c S-13,</w:t>
      </w:r>
    </w:p>
    <w:p w14:paraId="30B68AB2" w14:textId="77777777" w:rsidR="00B308C6" w:rsidRPr="00F52884" w:rsidRDefault="00B308C6" w:rsidP="00B308C6">
      <w:pPr>
        <w:ind w:firstLine="675"/>
        <w:rPr>
          <w:rFonts w:cstheme="minorHAnsi"/>
          <w:szCs w:val="23"/>
          <w:lang w:val="fr-CA"/>
        </w:rPr>
      </w:pPr>
    </w:p>
    <w:p w14:paraId="65F3A7AD" w14:textId="7D2CE9D7" w:rsidR="00B308C6" w:rsidRPr="00F52884" w:rsidRDefault="00B308C6" w:rsidP="00B308C6">
      <w:pPr>
        <w:rPr>
          <w:rFonts w:cstheme="minorHAnsi"/>
          <w:szCs w:val="23"/>
          <w:lang w:val="fr-CA"/>
        </w:rPr>
      </w:pPr>
      <w:proofErr w:type="gramStart"/>
      <w:r w:rsidRPr="00F52884">
        <w:rPr>
          <w:rFonts w:cstheme="minorHAnsi"/>
          <w:szCs w:val="23"/>
          <w:lang w:val="fr-CA"/>
        </w:rPr>
        <w:t>avec</w:t>
      </w:r>
      <w:proofErr w:type="gramEnd"/>
      <w:r w:rsidRPr="00F52884">
        <w:rPr>
          <w:rFonts w:cstheme="minorHAnsi"/>
          <w:szCs w:val="23"/>
          <w:lang w:val="fr-CA"/>
        </w:rPr>
        <w:t xml:space="preserve"> leur modifications;</w:t>
      </w:r>
    </w:p>
    <w:p w14:paraId="4F748FF5" w14:textId="77777777" w:rsidR="00B308C6" w:rsidRPr="00F52884" w:rsidRDefault="00B308C6" w:rsidP="00B308C6">
      <w:pPr>
        <w:rPr>
          <w:rFonts w:cstheme="minorHAnsi"/>
          <w:szCs w:val="23"/>
          <w:lang w:val="fr-CA"/>
        </w:rPr>
      </w:pPr>
    </w:p>
    <w:p w14:paraId="45C38A5D" w14:textId="1389B857" w:rsidR="00B308C6" w:rsidRPr="00F52884" w:rsidRDefault="00B308C6" w:rsidP="00B308C6">
      <w:pPr>
        <w:rPr>
          <w:rFonts w:cstheme="minorHAnsi"/>
          <w:szCs w:val="23"/>
          <w:lang w:val="fr-CA"/>
        </w:rPr>
      </w:pPr>
      <w:proofErr w:type="gramStart"/>
      <w:r w:rsidRPr="00F52884">
        <w:rPr>
          <w:rFonts w:cstheme="minorHAnsi"/>
          <w:b/>
          <w:bCs/>
          <w:szCs w:val="23"/>
          <w:lang w:val="fr-CA"/>
        </w:rPr>
        <w:t>règlement</w:t>
      </w:r>
      <w:proofErr w:type="gramEnd"/>
      <w:r w:rsidRPr="00F52884">
        <w:rPr>
          <w:rFonts w:cstheme="minorHAnsi"/>
          <w:b/>
          <w:bCs/>
          <w:szCs w:val="23"/>
          <w:lang w:val="fr-CA"/>
        </w:rPr>
        <w:t xml:space="preserve"> technique</w:t>
      </w:r>
      <w:r w:rsidRPr="00F52884">
        <w:rPr>
          <w:rFonts w:cstheme="minorHAnsi"/>
          <w:szCs w:val="23"/>
          <w:lang w:val="fr-CA"/>
        </w:rPr>
        <w:t xml:space="preserve"> Document qui énonce les caractéristiques d’un produit ou les procédés et méthodes de production s’y rapportant, y compris les dispositions administratives qui s’y appliquent, dont le respect est obligatoire. Il peut aussi traiter en partie ou en totalité de terminologie, de symboles, de prescriptions en matière d’emballage, de marquage ou d’étiquetage applicables, pour un produit, un procédé ou une méthode de production donnés;</w:t>
      </w:r>
    </w:p>
    <w:p w14:paraId="799FDBE3"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b/>
          <w:szCs w:val="23"/>
          <w:lang w:val="fr-CA"/>
        </w:rPr>
      </w:pPr>
    </w:p>
    <w:p w14:paraId="04C385F6" w14:textId="580026F6" w:rsidR="00B308C6" w:rsidRPr="00F52884" w:rsidRDefault="00B308C6" w:rsidP="00B308C6">
      <w:pPr>
        <w:rPr>
          <w:rFonts w:cstheme="minorHAnsi"/>
          <w:szCs w:val="23"/>
          <w:lang w:val="fr-CA"/>
        </w:rPr>
      </w:pPr>
      <w:r w:rsidRPr="00F52884">
        <w:rPr>
          <w:rFonts w:cstheme="minorHAnsi"/>
          <w:b/>
          <w:bCs/>
          <w:szCs w:val="23"/>
          <w:lang w:val="fr-CA"/>
        </w:rPr>
        <w:t>Secrétariat</w:t>
      </w:r>
      <w:r w:rsidRPr="00F52884">
        <w:rPr>
          <w:rFonts w:cstheme="minorHAnsi"/>
          <w:szCs w:val="23"/>
          <w:lang w:val="fr-CA"/>
        </w:rPr>
        <w:t xml:space="preserve"> </w:t>
      </w:r>
      <w:proofErr w:type="spellStart"/>
      <w:r w:rsidRPr="00F52884">
        <w:rPr>
          <w:rFonts w:cstheme="minorHAnsi"/>
          <w:szCs w:val="23"/>
          <w:lang w:val="fr-CA"/>
        </w:rPr>
        <w:t>Secrétariat</w:t>
      </w:r>
      <w:proofErr w:type="spellEnd"/>
      <w:r w:rsidRPr="00F52884">
        <w:rPr>
          <w:rFonts w:cstheme="minorHAnsi"/>
          <w:szCs w:val="23"/>
          <w:lang w:val="fr-CA"/>
        </w:rPr>
        <w:t xml:space="preserve"> du commerce intérieur reconduit en vertu de l’article 1102 (Secrétariat);</w:t>
      </w:r>
    </w:p>
    <w:p w14:paraId="5BF6D075" w14:textId="77777777" w:rsidR="00B308C6" w:rsidRPr="00F52884" w:rsidRDefault="00B308C6" w:rsidP="00B308C6">
      <w:pPr>
        <w:rPr>
          <w:rFonts w:cstheme="minorHAnsi"/>
          <w:szCs w:val="23"/>
          <w:lang w:val="fr-CA"/>
        </w:rPr>
      </w:pPr>
    </w:p>
    <w:p w14:paraId="26A80B25" w14:textId="062F996A" w:rsidR="00B308C6" w:rsidRPr="00F52884" w:rsidRDefault="00B308C6" w:rsidP="00B308C6">
      <w:pPr>
        <w:rPr>
          <w:rFonts w:cstheme="minorHAnsi"/>
          <w:szCs w:val="23"/>
          <w:lang w:val="fr-CA"/>
        </w:rPr>
      </w:pPr>
      <w:proofErr w:type="gramStart"/>
      <w:r w:rsidRPr="00F52884">
        <w:rPr>
          <w:rFonts w:cstheme="minorHAnsi"/>
          <w:b/>
          <w:bCs/>
          <w:szCs w:val="23"/>
          <w:lang w:val="fr-CA"/>
        </w:rPr>
        <w:t>sécurité</w:t>
      </w:r>
      <w:proofErr w:type="gramEnd"/>
      <w:r w:rsidRPr="00F52884">
        <w:rPr>
          <w:rFonts w:cstheme="minorHAnsi"/>
          <w:b/>
          <w:bCs/>
          <w:szCs w:val="23"/>
          <w:lang w:val="fr-CA"/>
        </w:rPr>
        <w:t xml:space="preserve"> personnelle des consommateurs</w:t>
      </w:r>
      <w:r w:rsidRPr="00F52884">
        <w:rPr>
          <w:rFonts w:cstheme="minorHAnsi"/>
          <w:szCs w:val="23"/>
          <w:lang w:val="fr-CA"/>
        </w:rPr>
        <w:t xml:space="preserve"> Protection des consommateurs contre les risques pour leur santé ou leur sécurité physique que peut présenter l’utilisation d’un produit ou d’un service;</w:t>
      </w:r>
    </w:p>
    <w:p w14:paraId="17C060D6" w14:textId="77777777" w:rsidR="00B308C6" w:rsidRPr="00F52884" w:rsidRDefault="00B308C6" w:rsidP="00B308C6">
      <w:pPr>
        <w:rPr>
          <w:rFonts w:cstheme="minorHAnsi"/>
          <w:szCs w:val="23"/>
          <w:lang w:val="fr-CA"/>
        </w:rPr>
      </w:pPr>
    </w:p>
    <w:p w14:paraId="4A4FB5C7" w14:textId="4C49870F" w:rsidR="00B308C6" w:rsidRPr="00F52884" w:rsidRDefault="00B308C6" w:rsidP="00B308C6">
      <w:pPr>
        <w:rPr>
          <w:rStyle w:val="Emphasis"/>
          <w:b w:val="0"/>
          <w:i w:val="0"/>
          <w:shd w:val="clear" w:color="auto" w:fill="FFFF00"/>
          <w:lang w:val="fr-CA"/>
        </w:rPr>
      </w:pPr>
      <w:proofErr w:type="gramStart"/>
      <w:r w:rsidRPr="00F52884">
        <w:rPr>
          <w:rFonts w:cstheme="minorHAnsi"/>
          <w:b/>
          <w:bCs/>
          <w:szCs w:val="23"/>
          <w:lang w:val="fr-CA"/>
        </w:rPr>
        <w:t>service</w:t>
      </w:r>
      <w:proofErr w:type="gramEnd"/>
      <w:r w:rsidRPr="00F52884">
        <w:rPr>
          <w:rFonts w:cstheme="minorHAnsi"/>
          <w:b/>
          <w:bCs/>
          <w:szCs w:val="23"/>
          <w:lang w:val="fr-CA"/>
        </w:rPr>
        <w:t xml:space="preserve"> financier</w:t>
      </w:r>
      <w:r w:rsidRPr="00F52884">
        <w:rPr>
          <w:rFonts w:cstheme="minorHAnsi"/>
          <w:szCs w:val="23"/>
          <w:lang w:val="fr-CA"/>
        </w:rPr>
        <w:t xml:space="preserve"> Tout service ou produit de caractère financier, et tout service accessoire ou auxiliaire d’un service de caractère financier, y compris :</w:t>
      </w:r>
    </w:p>
    <w:p w14:paraId="6EFD6A6F" w14:textId="77777777" w:rsidR="00B308C6" w:rsidRPr="00F52884" w:rsidRDefault="00B308C6" w:rsidP="00B308C6">
      <w:pPr>
        <w:rPr>
          <w:lang w:val="fr-CA"/>
        </w:rPr>
      </w:pPr>
    </w:p>
    <w:p w14:paraId="0AE907AF" w14:textId="77777777" w:rsidR="00B308C6" w:rsidRPr="00F52884" w:rsidRDefault="00B308C6" w:rsidP="00B308C6">
      <w:pPr>
        <w:pStyle w:val="ListParagraph"/>
        <w:numPr>
          <w:ilvl w:val="0"/>
          <w:numId w:val="415"/>
        </w:numPr>
        <w:ind w:left="1440" w:hanging="720"/>
        <w:rPr>
          <w:rFonts w:cstheme="minorHAnsi"/>
          <w:szCs w:val="23"/>
          <w:lang w:val="fr-CA"/>
        </w:rPr>
      </w:pPr>
      <w:proofErr w:type="gramStart"/>
      <w:r w:rsidRPr="00F52884">
        <w:rPr>
          <w:rFonts w:cstheme="minorHAnsi"/>
          <w:szCs w:val="23"/>
          <w:lang w:val="fr-CA"/>
        </w:rPr>
        <w:t>l’acceptation</w:t>
      </w:r>
      <w:proofErr w:type="gramEnd"/>
      <w:r w:rsidRPr="00F52884">
        <w:rPr>
          <w:rFonts w:cstheme="minorHAnsi"/>
          <w:szCs w:val="23"/>
          <w:lang w:val="fr-CA"/>
        </w:rPr>
        <w:t xml:space="preserve"> de dépôts;</w:t>
      </w:r>
    </w:p>
    <w:p w14:paraId="28D872A8" w14:textId="77777777" w:rsidR="00B308C6" w:rsidRPr="00F52884" w:rsidRDefault="00B308C6" w:rsidP="00B308C6">
      <w:pPr>
        <w:pStyle w:val="ListParagraph"/>
        <w:ind w:left="1440" w:hanging="720"/>
        <w:rPr>
          <w:rFonts w:cstheme="minorHAnsi"/>
          <w:szCs w:val="23"/>
          <w:lang w:val="fr-CA"/>
        </w:rPr>
      </w:pPr>
    </w:p>
    <w:p w14:paraId="12B365B6" w14:textId="3BCF2BC8" w:rsidR="00B308C6" w:rsidRPr="00F52884" w:rsidRDefault="00B308C6" w:rsidP="00B308C6">
      <w:pPr>
        <w:pStyle w:val="ListParagraph"/>
        <w:numPr>
          <w:ilvl w:val="0"/>
          <w:numId w:val="415"/>
        </w:numPr>
        <w:ind w:left="1440"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services de prêts et de placements;</w:t>
      </w:r>
    </w:p>
    <w:p w14:paraId="07519FF5" w14:textId="77777777" w:rsidR="00B308C6" w:rsidRPr="00F52884" w:rsidRDefault="00B308C6" w:rsidP="00B308C6">
      <w:pPr>
        <w:ind w:left="1440" w:hanging="720"/>
        <w:rPr>
          <w:rFonts w:cstheme="minorHAnsi"/>
          <w:szCs w:val="23"/>
          <w:lang w:val="fr-CA"/>
        </w:rPr>
      </w:pPr>
    </w:p>
    <w:p w14:paraId="61722D41" w14:textId="77777777" w:rsidR="00B308C6" w:rsidRPr="00F52884" w:rsidRDefault="00B308C6" w:rsidP="00B308C6">
      <w:pPr>
        <w:pStyle w:val="ListParagraph"/>
        <w:numPr>
          <w:ilvl w:val="0"/>
          <w:numId w:val="415"/>
        </w:numPr>
        <w:ind w:left="1440" w:hanging="720"/>
        <w:rPr>
          <w:rFonts w:cstheme="minorHAnsi"/>
          <w:szCs w:val="23"/>
          <w:lang w:val="fr-CA"/>
        </w:rPr>
      </w:pPr>
      <w:proofErr w:type="gramStart"/>
      <w:r w:rsidRPr="00F52884">
        <w:rPr>
          <w:rFonts w:cstheme="minorHAnsi"/>
          <w:szCs w:val="23"/>
          <w:lang w:val="fr-CA"/>
        </w:rPr>
        <w:t>l’assurance</w:t>
      </w:r>
      <w:proofErr w:type="gramEnd"/>
      <w:r w:rsidRPr="00F52884">
        <w:rPr>
          <w:rFonts w:cstheme="minorHAnsi"/>
          <w:szCs w:val="23"/>
          <w:lang w:val="fr-CA"/>
        </w:rPr>
        <w:t>;</w:t>
      </w:r>
    </w:p>
    <w:p w14:paraId="743EF9BE" w14:textId="77777777" w:rsidR="00B308C6" w:rsidRPr="00F52884" w:rsidRDefault="00B308C6" w:rsidP="00B308C6">
      <w:pPr>
        <w:ind w:left="1440" w:hanging="720"/>
        <w:rPr>
          <w:rFonts w:cstheme="minorHAnsi"/>
          <w:szCs w:val="23"/>
          <w:lang w:val="fr-CA"/>
        </w:rPr>
      </w:pPr>
    </w:p>
    <w:p w14:paraId="2EFFD3C7" w14:textId="77777777" w:rsidR="00B308C6" w:rsidRPr="00F52884" w:rsidRDefault="00B308C6" w:rsidP="00B308C6">
      <w:pPr>
        <w:pStyle w:val="ListParagraph"/>
        <w:numPr>
          <w:ilvl w:val="0"/>
          <w:numId w:val="415"/>
        </w:numPr>
        <w:ind w:left="1440" w:hanging="720"/>
        <w:rPr>
          <w:rFonts w:cstheme="minorHAnsi"/>
          <w:szCs w:val="23"/>
          <w:lang w:val="fr-CA"/>
        </w:rPr>
      </w:pPr>
      <w:proofErr w:type="gramStart"/>
      <w:r w:rsidRPr="00F52884">
        <w:rPr>
          <w:rFonts w:cstheme="minorHAnsi"/>
          <w:szCs w:val="23"/>
          <w:lang w:val="fr-CA"/>
        </w:rPr>
        <w:t>l’administration</w:t>
      </w:r>
      <w:proofErr w:type="gramEnd"/>
      <w:r w:rsidRPr="00F52884">
        <w:rPr>
          <w:rFonts w:cstheme="minorHAnsi"/>
          <w:szCs w:val="23"/>
          <w:lang w:val="fr-CA"/>
        </w:rPr>
        <w:t xml:space="preserve"> de successions, de fiducies et de mandats;</w:t>
      </w:r>
    </w:p>
    <w:p w14:paraId="276C468C" w14:textId="77777777" w:rsidR="00B308C6" w:rsidRPr="00F52884" w:rsidRDefault="00B308C6" w:rsidP="00B308C6">
      <w:pPr>
        <w:ind w:left="1440" w:hanging="720"/>
        <w:rPr>
          <w:rFonts w:cstheme="minorHAnsi"/>
          <w:szCs w:val="23"/>
          <w:lang w:val="fr-CA"/>
        </w:rPr>
      </w:pPr>
    </w:p>
    <w:p w14:paraId="7FDB26BF" w14:textId="77777777" w:rsidR="00B308C6" w:rsidRPr="00F52884" w:rsidRDefault="00B308C6" w:rsidP="00B308C6">
      <w:pPr>
        <w:pStyle w:val="ListParagraph"/>
        <w:numPr>
          <w:ilvl w:val="0"/>
          <w:numId w:val="415"/>
        </w:numPr>
        <w:ind w:left="1440" w:hanging="720"/>
        <w:rPr>
          <w:rFonts w:cstheme="minorHAnsi"/>
          <w:szCs w:val="23"/>
          <w:lang w:val="fr-CA"/>
        </w:rPr>
      </w:pPr>
      <w:proofErr w:type="gramStart"/>
      <w:r w:rsidRPr="00F52884">
        <w:rPr>
          <w:rFonts w:cstheme="minorHAnsi"/>
          <w:szCs w:val="23"/>
          <w:lang w:val="fr-CA"/>
        </w:rPr>
        <w:t>les</w:t>
      </w:r>
      <w:proofErr w:type="gramEnd"/>
      <w:r w:rsidRPr="00F52884">
        <w:rPr>
          <w:rFonts w:cstheme="minorHAnsi"/>
          <w:szCs w:val="23"/>
          <w:lang w:val="fr-CA"/>
        </w:rPr>
        <w:t xml:space="preserve"> valeurs mobilières;</w:t>
      </w:r>
    </w:p>
    <w:p w14:paraId="156A6EF1" w14:textId="77777777" w:rsidR="00B308C6" w:rsidRPr="00F52884" w:rsidRDefault="00B308C6" w:rsidP="00B308C6">
      <w:pPr>
        <w:ind w:left="1440" w:hanging="720"/>
        <w:rPr>
          <w:rFonts w:cstheme="minorHAnsi"/>
          <w:szCs w:val="23"/>
          <w:lang w:val="fr-CA"/>
        </w:rPr>
      </w:pPr>
    </w:p>
    <w:p w14:paraId="2F2EC947" w14:textId="77777777" w:rsidR="00B308C6" w:rsidRPr="00F52884" w:rsidRDefault="00B308C6" w:rsidP="00B308C6">
      <w:pPr>
        <w:ind w:left="1440" w:hanging="720"/>
        <w:rPr>
          <w:rFonts w:cstheme="minorHAnsi"/>
          <w:szCs w:val="23"/>
          <w:lang w:val="fr-CA"/>
        </w:rPr>
      </w:pPr>
      <w:r w:rsidRPr="00F52884">
        <w:rPr>
          <w:rFonts w:cstheme="minorHAnsi"/>
          <w:szCs w:val="23"/>
          <w:lang w:val="fr-CA"/>
        </w:rPr>
        <w:t>f)</w:t>
      </w:r>
      <w:r w:rsidRPr="00F52884">
        <w:rPr>
          <w:rFonts w:cstheme="minorHAnsi"/>
          <w:szCs w:val="23"/>
          <w:lang w:val="fr-CA"/>
        </w:rPr>
        <w:tab/>
        <w:t>toutes formes d’intermédiation financière ou de marché, y compris la distribution de produits financiers;</w:t>
      </w:r>
    </w:p>
    <w:p w14:paraId="30EC6556" w14:textId="77777777" w:rsidR="00B308C6" w:rsidRPr="00F52884" w:rsidRDefault="00B308C6" w:rsidP="00B308C6">
      <w:pPr>
        <w:ind w:left="720"/>
        <w:rPr>
          <w:rFonts w:cstheme="minorHAnsi"/>
          <w:szCs w:val="23"/>
          <w:lang w:val="fr-CA"/>
        </w:rPr>
      </w:pPr>
    </w:p>
    <w:p w14:paraId="77F86516" w14:textId="00601554" w:rsidR="00B308C6" w:rsidRPr="00F52884" w:rsidRDefault="00B308C6" w:rsidP="00B308C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roofErr w:type="gramStart"/>
      <w:r w:rsidRPr="00F52884">
        <w:rPr>
          <w:rFonts w:eastAsia="Times New Roman" w:cstheme="minorHAnsi"/>
          <w:b/>
          <w:bCs/>
          <w:szCs w:val="23"/>
          <w:lang w:val="fr-CA"/>
        </w:rPr>
        <w:t>stimulant</w:t>
      </w:r>
      <w:proofErr w:type="gramEnd"/>
      <w:r w:rsidRPr="00F52884">
        <w:rPr>
          <w:rFonts w:eastAsia="Times New Roman" w:cstheme="minorHAnsi"/>
          <w:szCs w:val="23"/>
          <w:lang w:val="fr-CA"/>
        </w:rPr>
        <w:t xml:space="preserve"> Selon le cas :</w:t>
      </w:r>
    </w:p>
    <w:p w14:paraId="0F4AFCD3" w14:textId="77777777" w:rsidR="00B308C6" w:rsidRPr="00F52884" w:rsidRDefault="00B308C6" w:rsidP="00B308C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rPr>
          <w:rFonts w:eastAsia="Times New Roman" w:cstheme="minorHAnsi"/>
          <w:szCs w:val="23"/>
          <w:lang w:val="fr-CA"/>
        </w:rPr>
      </w:pPr>
    </w:p>
    <w:p w14:paraId="4AD1D9A2" w14:textId="75D0B55E" w:rsidR="00B308C6" w:rsidRPr="00F52884" w:rsidRDefault="00B308C6" w:rsidP="00B308C6">
      <w:pPr>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a)</w:t>
      </w:r>
      <w:r w:rsidRPr="00F52884">
        <w:rPr>
          <w:rFonts w:eastAsia="Times New Roman" w:cstheme="minorHAnsi"/>
          <w:szCs w:val="23"/>
          <w:lang w:val="fr-CA"/>
        </w:rPr>
        <w:tab/>
        <w:t>contribution ayant une valeur financière, y compris une subvention, un prêt, une garantie d’emprunt ou un apport de capital, qui est consentie à des conditions préférentielles et qui confère un avantage à son bénéficiaire;</w:t>
      </w:r>
    </w:p>
    <w:p w14:paraId="6F96F16B" w14:textId="77777777" w:rsidR="00B308C6" w:rsidRPr="00F52884" w:rsidRDefault="00B308C6" w:rsidP="00B308C6">
      <w:pPr>
        <w:autoSpaceDE w:val="0"/>
        <w:autoSpaceDN w:val="0"/>
        <w:adjustRightInd w:val="0"/>
        <w:ind w:left="1440" w:hanging="720"/>
        <w:rPr>
          <w:rFonts w:eastAsia="Times New Roman" w:cstheme="minorHAnsi"/>
          <w:szCs w:val="23"/>
          <w:lang w:val="fr-CA"/>
        </w:rPr>
      </w:pPr>
    </w:p>
    <w:p w14:paraId="0CB88059" w14:textId="20612A75" w:rsidR="00B308C6" w:rsidRPr="00F52884" w:rsidRDefault="00B308C6" w:rsidP="00B308C6">
      <w:pPr>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b)</w:t>
      </w:r>
      <w:r w:rsidRPr="00F52884">
        <w:rPr>
          <w:rFonts w:eastAsia="Times New Roman" w:cstheme="minorHAnsi"/>
          <w:szCs w:val="23"/>
          <w:lang w:val="fr-CA"/>
        </w:rPr>
        <w:tab/>
        <w:t>réduction de taxes ou d’autres impositions perçues par l’État accordée à une entreprise particulière, qu’elle soit constituée en une entreprise distincte ou fasse partie d’un groupe d’entreprises, à l’exception des réductions prévues par une disposition d’application générale d’une loi fiscale d’une Partie;</w:t>
      </w:r>
    </w:p>
    <w:p w14:paraId="1D208E28" w14:textId="77777777" w:rsidR="00B308C6" w:rsidRPr="00F52884" w:rsidRDefault="00B308C6" w:rsidP="00B308C6">
      <w:pPr>
        <w:autoSpaceDE w:val="0"/>
        <w:autoSpaceDN w:val="0"/>
        <w:adjustRightInd w:val="0"/>
        <w:ind w:left="1440" w:hanging="720"/>
        <w:rPr>
          <w:rFonts w:eastAsia="Times New Roman" w:cstheme="minorHAnsi"/>
          <w:szCs w:val="23"/>
          <w:lang w:val="fr-CA"/>
        </w:rPr>
      </w:pPr>
    </w:p>
    <w:p w14:paraId="04FA5460" w14:textId="71B746C8" w:rsidR="00B308C6" w:rsidRPr="00F52884" w:rsidRDefault="00B308C6" w:rsidP="00B308C6">
      <w:pPr>
        <w:autoSpaceDE w:val="0"/>
        <w:autoSpaceDN w:val="0"/>
        <w:adjustRightInd w:val="0"/>
        <w:ind w:left="1440" w:hanging="720"/>
        <w:rPr>
          <w:rFonts w:eastAsia="Times New Roman" w:cstheme="minorHAnsi"/>
          <w:szCs w:val="23"/>
          <w:lang w:val="fr-CA"/>
        </w:rPr>
      </w:pPr>
      <w:r w:rsidRPr="00F52884">
        <w:rPr>
          <w:rFonts w:eastAsia="Times New Roman" w:cstheme="minorHAnsi"/>
          <w:szCs w:val="23"/>
          <w:lang w:val="fr-CA"/>
        </w:rPr>
        <w:t>c)</w:t>
      </w:r>
      <w:r w:rsidRPr="00F52884">
        <w:rPr>
          <w:rFonts w:eastAsia="Times New Roman" w:cstheme="minorHAnsi"/>
          <w:szCs w:val="23"/>
          <w:lang w:val="fr-CA"/>
        </w:rPr>
        <w:tab/>
        <w:t>toute forme de soutien des revenus ou des prix qui entraîne, directement ou indirectement, un prélèvement sur les fonds publics;</w:t>
      </w:r>
    </w:p>
    <w:p w14:paraId="12839110" w14:textId="77777777" w:rsidR="00B308C6" w:rsidRPr="00F52884" w:rsidRDefault="00B308C6" w:rsidP="00B308C6">
      <w:pPr>
        <w:autoSpaceDE w:val="0"/>
        <w:autoSpaceDN w:val="0"/>
        <w:adjustRightInd w:val="0"/>
        <w:ind w:left="1304" w:hanging="629"/>
        <w:rPr>
          <w:rFonts w:eastAsia="Times New Roman" w:cstheme="minorHAnsi"/>
          <w:szCs w:val="23"/>
          <w:lang w:val="fr-CA"/>
        </w:rPr>
      </w:pPr>
    </w:p>
    <w:p w14:paraId="5C60D067" w14:textId="45AEF937" w:rsidR="00B308C6" w:rsidRPr="00F52884" w:rsidRDefault="00B308C6" w:rsidP="00B308C6">
      <w:pPr>
        <w:rPr>
          <w:rFonts w:cstheme="minorHAnsi"/>
          <w:szCs w:val="23"/>
          <w:lang w:val="fr-CA"/>
        </w:rPr>
      </w:pPr>
      <w:r w:rsidRPr="00F52884">
        <w:rPr>
          <w:rFonts w:cstheme="minorHAnsi"/>
          <w:b/>
          <w:bCs/>
          <w:szCs w:val="23"/>
          <w:lang w:val="fr-CA"/>
        </w:rPr>
        <w:t>Territoires</w:t>
      </w:r>
      <w:r w:rsidRPr="00F52884">
        <w:rPr>
          <w:rFonts w:cstheme="minorHAnsi"/>
          <w:szCs w:val="23"/>
          <w:lang w:val="fr-CA"/>
        </w:rPr>
        <w:t xml:space="preserve"> Le Yukon, les Territoires du Nord-Ouest et le Nunavut;</w:t>
      </w:r>
    </w:p>
    <w:p w14:paraId="0927E519" w14:textId="77777777" w:rsidR="00B308C6" w:rsidRPr="00F52884" w:rsidRDefault="00B308C6" w:rsidP="00B308C6">
      <w:pPr>
        <w:rPr>
          <w:rFonts w:cstheme="minorHAnsi"/>
          <w:szCs w:val="23"/>
          <w:lang w:val="fr-CA"/>
        </w:rPr>
      </w:pPr>
    </w:p>
    <w:p w14:paraId="5A8CB637" w14:textId="3126FD10" w:rsidR="00B308C6" w:rsidRPr="00F52884" w:rsidRDefault="00B308C6" w:rsidP="00B308C6">
      <w:pPr>
        <w:rPr>
          <w:rFonts w:cstheme="minorHAnsi"/>
          <w:szCs w:val="23"/>
          <w:lang w:val="fr-CA"/>
        </w:rPr>
      </w:pPr>
      <w:r w:rsidRPr="00F52884">
        <w:rPr>
          <w:rFonts w:cstheme="minorHAnsi"/>
          <w:b/>
          <w:szCs w:val="23"/>
          <w:lang w:val="fr-CA"/>
        </w:rPr>
        <w:t>TCCR</w:t>
      </w:r>
      <w:r w:rsidRPr="00F52884">
        <w:rPr>
          <w:rFonts w:cstheme="minorHAnsi"/>
          <w:szCs w:val="23"/>
          <w:lang w:val="fr-CA"/>
        </w:rPr>
        <w:t xml:space="preserve"> Désigne la « TCCR » au sens de l’article 404 (Table de conciliation et de coopération en matière de réglementation);</w:t>
      </w:r>
    </w:p>
    <w:p w14:paraId="6337366B" w14:textId="77777777" w:rsidR="00B308C6" w:rsidRPr="00F52884" w:rsidRDefault="00B308C6" w:rsidP="00B308C6">
      <w:pPr>
        <w:rPr>
          <w:rFonts w:cstheme="minorHAnsi"/>
          <w:szCs w:val="23"/>
          <w:lang w:val="fr-CA"/>
        </w:rPr>
      </w:pPr>
    </w:p>
    <w:p w14:paraId="582F89ED" w14:textId="13EDC8DA" w:rsidR="00B308C6" w:rsidRPr="00F52884" w:rsidRDefault="00B308C6" w:rsidP="00B308C6">
      <w:pPr>
        <w:rPr>
          <w:rFonts w:cstheme="minorHAnsi"/>
          <w:szCs w:val="23"/>
          <w:lang w:val="fr-CA"/>
        </w:rPr>
      </w:pPr>
      <w:proofErr w:type="gramStart"/>
      <w:r w:rsidRPr="00F52884">
        <w:rPr>
          <w:rFonts w:cstheme="minorHAnsi"/>
          <w:b/>
          <w:bCs/>
          <w:szCs w:val="23"/>
          <w:lang w:val="fr-CA"/>
        </w:rPr>
        <w:t>tierce</w:t>
      </w:r>
      <w:proofErr w:type="gramEnd"/>
      <w:r w:rsidRPr="00F52884">
        <w:rPr>
          <w:rFonts w:cstheme="minorHAnsi"/>
          <w:b/>
          <w:bCs/>
          <w:szCs w:val="23"/>
          <w:lang w:val="fr-CA"/>
        </w:rPr>
        <w:t xml:space="preserve"> partie</w:t>
      </w:r>
      <w:r w:rsidRPr="00F52884">
        <w:rPr>
          <w:rFonts w:cstheme="minorHAnsi"/>
          <w:szCs w:val="23"/>
          <w:lang w:val="fr-CA"/>
        </w:rPr>
        <w:t xml:space="preserve"> S’entend notamment des États étrangers souverains;</w:t>
      </w:r>
    </w:p>
    <w:p w14:paraId="32CB27E2" w14:textId="77777777" w:rsidR="00B308C6" w:rsidRPr="00F52884" w:rsidRDefault="00B308C6" w:rsidP="00B308C6">
      <w:pPr>
        <w:widowControl w:val="0"/>
        <w:tabs>
          <w:tab w:val="left" w:pos="720"/>
          <w:tab w:val="left" w:pos="1440"/>
          <w:tab w:val="left" w:pos="2160"/>
          <w:tab w:val="left" w:pos="2880"/>
        </w:tabs>
        <w:autoSpaceDE w:val="0"/>
        <w:autoSpaceDN w:val="0"/>
        <w:adjustRightInd w:val="0"/>
        <w:rPr>
          <w:rFonts w:eastAsia="Times New Roman" w:cstheme="minorHAnsi"/>
          <w:b/>
          <w:szCs w:val="23"/>
          <w:lang w:val="fr-CA"/>
        </w:rPr>
      </w:pPr>
    </w:p>
    <w:p w14:paraId="36C5DA53" w14:textId="3C3E4406" w:rsidR="00B308C6" w:rsidRPr="00F52884" w:rsidRDefault="00B308C6" w:rsidP="00B308C6">
      <w:pPr>
        <w:rPr>
          <w:rFonts w:cstheme="minorHAnsi"/>
          <w:szCs w:val="23"/>
          <w:lang w:val="fr-CA"/>
        </w:rPr>
      </w:pPr>
      <w:proofErr w:type="gramStart"/>
      <w:r w:rsidRPr="00F52884">
        <w:rPr>
          <w:rFonts w:cstheme="minorHAnsi"/>
          <w:b/>
          <w:bCs/>
          <w:szCs w:val="23"/>
          <w:shd w:val="clear" w:color="auto" w:fill="FFFFFF"/>
          <w:lang w:val="fr-CA"/>
        </w:rPr>
        <w:t>transport</w:t>
      </w:r>
      <w:proofErr w:type="gramEnd"/>
      <w:r w:rsidRPr="00F52884">
        <w:rPr>
          <w:rFonts w:cstheme="minorHAnsi"/>
          <w:b/>
          <w:bCs/>
          <w:szCs w:val="23"/>
          <w:shd w:val="clear" w:color="auto" w:fill="FFFFFF"/>
          <w:lang w:val="fr-CA"/>
        </w:rPr>
        <w:t xml:space="preserve"> de passagers</w:t>
      </w:r>
      <w:r w:rsidRPr="00F52884">
        <w:rPr>
          <w:rFonts w:cstheme="minorHAnsi"/>
          <w:szCs w:val="23"/>
          <w:shd w:val="clear" w:color="auto" w:fill="FFFFFF"/>
          <w:lang w:val="fr-CA"/>
        </w:rPr>
        <w:t xml:space="preserve"> S’entend notamment des activités liées à la circulation des personnes physiques par voie terrestre ou maritime, y compris par taxi, par autobus, par traversier ou par rail; </w:t>
      </w:r>
    </w:p>
    <w:p w14:paraId="5F557818" w14:textId="77777777" w:rsidR="00B308C6" w:rsidRPr="00F52884" w:rsidRDefault="00B308C6" w:rsidP="00B308C6">
      <w:pPr>
        <w:rPr>
          <w:rFonts w:cstheme="minorHAnsi"/>
          <w:szCs w:val="23"/>
          <w:lang w:val="fr-CA"/>
        </w:rPr>
      </w:pPr>
    </w:p>
    <w:p w14:paraId="6CED17AB" w14:textId="799DAC7B" w:rsidR="00B308C6" w:rsidRPr="00F52884" w:rsidRDefault="00B308C6" w:rsidP="00B308C6">
      <w:pPr>
        <w:rPr>
          <w:rFonts w:cstheme="minorHAnsi"/>
          <w:szCs w:val="23"/>
          <w:lang w:val="fr-CA"/>
        </w:rPr>
      </w:pPr>
      <w:proofErr w:type="gramStart"/>
      <w:r w:rsidRPr="00F52884">
        <w:rPr>
          <w:rFonts w:cstheme="minorHAnsi"/>
          <w:b/>
          <w:bCs/>
          <w:szCs w:val="23"/>
          <w:lang w:val="fr-CA"/>
        </w:rPr>
        <w:t>travailleur</w:t>
      </w:r>
      <w:proofErr w:type="gramEnd"/>
      <w:r w:rsidRPr="00F52884">
        <w:rPr>
          <w:rFonts w:cstheme="minorHAnsi"/>
          <w:szCs w:val="23"/>
          <w:lang w:val="fr-CA"/>
        </w:rPr>
        <w:t xml:space="preserve"> Personne physique, qu’il s’agisse d’un salarié, d’un travailleur indépendant ou d’un chômeur, qui effectue ou cherche à effectuer un travail en échange d’un salaire ou de profits;</w:t>
      </w:r>
    </w:p>
    <w:p w14:paraId="5EB1EAFD" w14:textId="77777777" w:rsidR="00B308C6" w:rsidRPr="00F52884" w:rsidRDefault="00B308C6" w:rsidP="00B308C6">
      <w:pPr>
        <w:rPr>
          <w:rFonts w:cstheme="minorHAnsi"/>
          <w:szCs w:val="23"/>
          <w:lang w:val="fr-CA"/>
        </w:rPr>
      </w:pPr>
    </w:p>
    <w:p w14:paraId="6A90CD17" w14:textId="57236A51" w:rsidR="00B308C6" w:rsidRPr="00F52884" w:rsidRDefault="00B308C6" w:rsidP="00B308C6">
      <w:pPr>
        <w:rPr>
          <w:rFonts w:cstheme="minorHAnsi"/>
          <w:szCs w:val="23"/>
          <w:lang w:val="fr-CA"/>
        </w:rPr>
      </w:pPr>
      <w:proofErr w:type="gramStart"/>
      <w:r w:rsidRPr="00F52884">
        <w:rPr>
          <w:rFonts w:cstheme="minorHAnsi"/>
          <w:b/>
          <w:bCs/>
          <w:szCs w:val="23"/>
          <w:lang w:val="fr-CA"/>
        </w:rPr>
        <w:t>travailleur</w:t>
      </w:r>
      <w:proofErr w:type="gramEnd"/>
      <w:r w:rsidRPr="00F52884">
        <w:rPr>
          <w:rFonts w:cstheme="minorHAnsi"/>
          <w:b/>
          <w:bCs/>
          <w:szCs w:val="23"/>
          <w:lang w:val="fr-CA"/>
        </w:rPr>
        <w:t xml:space="preserve"> d’une Partie</w:t>
      </w:r>
      <w:r w:rsidRPr="00F52884">
        <w:rPr>
          <w:rFonts w:cstheme="minorHAnsi"/>
          <w:szCs w:val="23"/>
          <w:lang w:val="fr-CA"/>
        </w:rPr>
        <w:t xml:space="preserve"> Travailleur qui réside sur le territoire d’une Partie.</w:t>
      </w:r>
    </w:p>
    <w:p w14:paraId="5018DBBF" w14:textId="77777777" w:rsidR="00B308C6" w:rsidRPr="00F52884" w:rsidRDefault="00B308C6" w:rsidP="00B308C6">
      <w:pPr>
        <w:rPr>
          <w:lang w:val="fr-CA"/>
        </w:rPr>
      </w:pPr>
    </w:p>
    <w:p w14:paraId="60BCECF5" w14:textId="3CD8BF7D" w:rsidR="00AA05B4" w:rsidRPr="00F52884" w:rsidRDefault="00AA05B4">
      <w:pPr>
        <w:rPr>
          <w:rFonts w:eastAsiaTheme="majorEastAsia" w:cstheme="minorHAnsi"/>
          <w:b/>
          <w:bCs/>
          <w:szCs w:val="23"/>
          <w:lang w:val="fr-CA"/>
        </w:rPr>
      </w:pPr>
      <w:r w:rsidRPr="00F52884">
        <w:rPr>
          <w:rFonts w:cstheme="minorHAnsi"/>
          <w:szCs w:val="23"/>
          <w:lang w:val="fr-CA"/>
        </w:rPr>
        <w:br w:type="page"/>
      </w:r>
    </w:p>
    <w:p w14:paraId="3B3EF27F" w14:textId="77777777" w:rsidR="00AA05B4" w:rsidRPr="00F52884" w:rsidRDefault="00AA05B4" w:rsidP="000C25A3">
      <w:pPr>
        <w:pStyle w:val="Heading1"/>
        <w:jc w:val="center"/>
        <w:rPr>
          <w:rFonts w:asciiTheme="minorHAnsi" w:hAnsiTheme="minorHAnsi" w:cstheme="minorHAnsi"/>
          <w:sz w:val="24"/>
          <w:szCs w:val="24"/>
          <w:lang w:val="fr-FR"/>
        </w:rPr>
      </w:pPr>
      <w:bookmarkStart w:id="271" w:name="_Toc476566332"/>
      <w:bookmarkStart w:id="272" w:name="_Toc156311785"/>
      <w:r w:rsidRPr="00F52884">
        <w:rPr>
          <w:rFonts w:asciiTheme="minorHAnsi" w:hAnsiTheme="minorHAnsi" w:cstheme="minorHAnsi"/>
          <w:sz w:val="24"/>
          <w:szCs w:val="24"/>
          <w:lang w:val="fr-CA"/>
        </w:rPr>
        <w:lastRenderedPageBreak/>
        <w:t>PARTIE VII – LISTES DES PARTIES</w:t>
      </w:r>
      <w:bookmarkEnd w:id="271"/>
      <w:bookmarkEnd w:id="272"/>
    </w:p>
    <w:p w14:paraId="78E9D125" w14:textId="77777777" w:rsidR="00AA05B4" w:rsidRPr="00F52884" w:rsidRDefault="00AA05B4" w:rsidP="00F856A2">
      <w:pPr>
        <w:jc w:val="center"/>
        <w:rPr>
          <w:rFonts w:cstheme="minorHAnsi"/>
          <w:b/>
          <w:szCs w:val="23"/>
          <w:lang w:val="fr-FR"/>
        </w:rPr>
      </w:pPr>
    </w:p>
    <w:p w14:paraId="3D095E92" w14:textId="5307ADF2" w:rsidR="00AA05B4" w:rsidRPr="00F52884" w:rsidRDefault="00AA05B4" w:rsidP="000C25A3">
      <w:pPr>
        <w:pStyle w:val="Heading2"/>
        <w:jc w:val="center"/>
        <w:rPr>
          <w:rFonts w:asciiTheme="minorHAnsi" w:eastAsia="Times New Roman" w:hAnsiTheme="minorHAnsi" w:cstheme="minorHAnsi"/>
          <w:sz w:val="24"/>
          <w:szCs w:val="24"/>
          <w:lang w:val="fr-FR"/>
        </w:rPr>
      </w:pPr>
      <w:bookmarkStart w:id="273" w:name="_Toc476566333"/>
      <w:bookmarkStart w:id="274" w:name="_Toc156311786"/>
      <w:r w:rsidRPr="00F52884">
        <w:rPr>
          <w:rFonts w:asciiTheme="minorHAnsi" w:eastAsia="Times New Roman" w:hAnsiTheme="minorHAnsi" w:cstheme="minorHAnsi"/>
          <w:sz w:val="24"/>
          <w:szCs w:val="24"/>
          <w:lang w:val="fr-CA"/>
        </w:rPr>
        <w:t xml:space="preserve">ANNEXE I : Exceptions </w:t>
      </w:r>
      <w:r w:rsidR="00803EBE" w:rsidRPr="00F52884">
        <w:rPr>
          <w:rFonts w:asciiTheme="minorHAnsi" w:eastAsia="Times New Roman" w:hAnsiTheme="minorHAnsi" w:cstheme="minorHAnsi"/>
          <w:sz w:val="24"/>
          <w:szCs w:val="24"/>
          <w:lang w:val="fr-CA"/>
        </w:rPr>
        <w:t>au regard</w:t>
      </w:r>
      <w:r w:rsidRPr="00F52884">
        <w:rPr>
          <w:rFonts w:asciiTheme="minorHAnsi" w:eastAsia="Times New Roman" w:hAnsiTheme="minorHAnsi" w:cstheme="minorHAnsi"/>
          <w:sz w:val="24"/>
          <w:szCs w:val="24"/>
          <w:lang w:val="fr-CA"/>
        </w:rPr>
        <w:t xml:space="preserve"> des mesures existantes</w:t>
      </w:r>
      <w:bookmarkEnd w:id="273"/>
      <w:bookmarkEnd w:id="274"/>
    </w:p>
    <w:p w14:paraId="2B7DD0B2" w14:textId="77777777" w:rsidR="00AA05B4" w:rsidRPr="00F52884" w:rsidRDefault="00AA05B4" w:rsidP="000C25A3">
      <w:pPr>
        <w:contextualSpacing/>
        <w:rPr>
          <w:rFonts w:eastAsia="Times New Roman" w:cstheme="minorHAnsi"/>
          <w:szCs w:val="23"/>
          <w:lang w:val="fr-FR"/>
        </w:rPr>
      </w:pPr>
    </w:p>
    <w:p w14:paraId="1A297CDB" w14:textId="6D7D31B1" w:rsidR="00467A42" w:rsidRPr="00B04E29" w:rsidRDefault="00467A42" w:rsidP="00B073E6">
      <w:pPr>
        <w:pStyle w:val="Heading3"/>
        <w:jc w:val="center"/>
        <w:rPr>
          <w:rFonts w:asciiTheme="minorHAnsi" w:hAnsiTheme="minorHAnsi" w:cstheme="minorHAnsi"/>
          <w:sz w:val="24"/>
          <w:szCs w:val="24"/>
          <w:lang w:val="fr-CA"/>
        </w:rPr>
      </w:pPr>
      <w:bookmarkStart w:id="275" w:name="_Toc156311787"/>
      <w:r w:rsidRPr="00F52884">
        <w:rPr>
          <w:rFonts w:asciiTheme="minorHAnsi" w:hAnsiTheme="minorHAnsi" w:cstheme="minorHAnsi"/>
          <w:sz w:val="24"/>
          <w:szCs w:val="24"/>
          <w:lang w:val="fr-CA"/>
        </w:rPr>
        <w:t>Liste du Canada</w:t>
      </w:r>
      <w:bookmarkEnd w:id="275"/>
    </w:p>
    <w:p w14:paraId="3FA9104E" w14:textId="35616CF2" w:rsidR="00467A42" w:rsidRPr="00F52884" w:rsidRDefault="00467A42" w:rsidP="00467A42">
      <w:pPr>
        <w:ind w:left="-357"/>
        <w:rPr>
          <w:rFonts w:eastAsia="Arial" w:cstheme="minorHAnsi"/>
          <w:b/>
          <w:szCs w:val="23"/>
          <w:lang w:val="fr-CA"/>
        </w:rPr>
      </w:pPr>
    </w:p>
    <w:p w14:paraId="759D3EC7" w14:textId="7BAAE292" w:rsidR="00610CDD" w:rsidRPr="00F52884" w:rsidRDefault="00610CDD" w:rsidP="00610CDD">
      <w:pPr>
        <w:ind w:left="-357"/>
        <w:jc w:val="center"/>
        <w:rPr>
          <w:rFonts w:eastAsia="Arial" w:cstheme="minorHAnsi"/>
          <w:b/>
          <w:sz w:val="24"/>
          <w:szCs w:val="24"/>
          <w:lang w:val="fr-CA"/>
        </w:rPr>
      </w:pPr>
      <w:r w:rsidRPr="00F52884">
        <w:rPr>
          <w:rFonts w:eastAsia="Arial" w:cstheme="minorHAnsi"/>
          <w:b/>
          <w:sz w:val="24"/>
          <w:szCs w:val="24"/>
          <w:lang w:val="fr-CA"/>
        </w:rPr>
        <w:t>Annexe I</w:t>
      </w:r>
    </w:p>
    <w:p w14:paraId="0D4BC7A5" w14:textId="77777777" w:rsidR="00467A42" w:rsidRPr="00F52884" w:rsidRDefault="00467A42" w:rsidP="00467A42">
      <w:pPr>
        <w:ind w:left="-357"/>
        <w:rPr>
          <w:rFonts w:eastAsia="Arial" w:cstheme="minorHAnsi"/>
          <w:b/>
          <w:szCs w:val="23"/>
          <w:lang w:val="fr-CA"/>
        </w:rPr>
      </w:pPr>
    </w:p>
    <w:p w14:paraId="5223717E" w14:textId="77777777" w:rsidR="002028B5" w:rsidRPr="00F52884" w:rsidRDefault="002028B5" w:rsidP="00E94578">
      <w:pPr>
        <w:rPr>
          <w:rFonts w:ascii="Arial" w:eastAsia="Arial" w:hAnsi="Arial" w:cs="Arial"/>
          <w:szCs w:val="23"/>
          <w:lang w:val="fr-CA"/>
        </w:rPr>
      </w:pPr>
      <w:bookmarkStart w:id="276" w:name="_Toc476566335"/>
    </w:p>
    <w:p w14:paraId="34C5D354" w14:textId="3D596ECD" w:rsidR="002028B5" w:rsidRPr="00F52884" w:rsidRDefault="002028B5" w:rsidP="00C82933">
      <w:pPr>
        <w:spacing w:before="60" w:after="60"/>
        <w:ind w:left="-357"/>
        <w:rPr>
          <w:rFonts w:ascii="Arial" w:eastAsia="Arial" w:hAnsi="Arial" w:cs="Arial"/>
          <w:b/>
          <w:szCs w:val="23"/>
          <w:lang w:val="fr-CA"/>
        </w:rPr>
      </w:pPr>
      <w:r w:rsidRPr="00F52884">
        <w:rPr>
          <w:rFonts w:ascii="Arial" w:eastAsia="Arial" w:hAnsi="Arial" w:cs="Arial"/>
          <w:b/>
          <w:szCs w:val="23"/>
          <w:lang w:val="fr-CA"/>
        </w:rPr>
        <w:t>1.</w:t>
      </w:r>
      <w:r w:rsidR="00C82933" w:rsidRPr="00F52884">
        <w:rPr>
          <w:rFonts w:ascii="Arial" w:eastAsia="Arial" w:hAnsi="Arial" w:cs="Arial"/>
          <w:b/>
          <w:szCs w:val="23"/>
          <w:lang w:val="fr-CA"/>
        </w:rPr>
        <w:t xml:space="preserve">  </w:t>
      </w:r>
      <w:r w:rsidRPr="00F52884">
        <w:rPr>
          <w:rFonts w:ascii="Arial Bold" w:eastAsia="Arial" w:hAnsi="Arial Bold" w:cs="Arial"/>
          <w:b/>
          <w:caps/>
          <w:szCs w:val="23"/>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7713"/>
        <w:gridCol w:w="379"/>
      </w:tblGrid>
      <w:tr w:rsidR="002028B5" w:rsidRPr="00F52884" w14:paraId="6FCC9BA9" w14:textId="77777777" w:rsidTr="005B2946">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4490E37" w14:textId="55243B9C" w:rsidR="002028B5" w:rsidRPr="00F52884" w:rsidRDefault="002028B5" w:rsidP="00C82933">
            <w:pPr>
              <w:spacing w:before="60" w:after="60"/>
              <w:rPr>
                <w:rFonts w:ascii="Arial" w:eastAsia="Arial" w:hAnsi="Arial" w:cs="Arial"/>
                <w:szCs w:val="23"/>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21B31F83" w14:textId="433A7C3E" w:rsidR="002028B5" w:rsidRPr="00F52884" w:rsidRDefault="005B2946" w:rsidP="00C82933">
            <w:pPr>
              <w:spacing w:before="60" w:after="60"/>
              <w:rPr>
                <w:rFonts w:ascii="Arial" w:eastAsia="Arial" w:hAnsi="Arial" w:cs="Arial"/>
                <w:szCs w:val="23"/>
              </w:rPr>
            </w:pPr>
            <w:r w:rsidRPr="00F52884">
              <w:rPr>
                <w:rFonts w:ascii="Arial" w:eastAsia="Arial" w:hAnsi="Arial" w:cs="Arial"/>
                <w:szCs w:val="23"/>
                <w:lang w:val="fr-CA"/>
              </w:rPr>
              <w:t>Tous les secteurs</w:t>
            </w:r>
          </w:p>
        </w:tc>
      </w:tr>
      <w:tr w:rsidR="002028B5" w:rsidRPr="00F52884" w14:paraId="1C514569" w14:textId="77777777" w:rsidTr="005B2946">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177C8FA5" w14:textId="77777777" w:rsidR="002028B5" w:rsidRPr="00F52884" w:rsidRDefault="002028B5" w:rsidP="00C82933">
            <w:pPr>
              <w:spacing w:before="60" w:after="60"/>
              <w:rPr>
                <w:rFonts w:ascii="Arial" w:eastAsia="Arial" w:hAnsi="Arial" w:cs="Arial"/>
                <w:b/>
                <w:szCs w:val="23"/>
              </w:rPr>
            </w:pPr>
            <w:r w:rsidRPr="00F52884">
              <w:rPr>
                <w:rFonts w:ascii="Arial" w:eastAsia="Arial" w:hAnsi="Arial" w:cs="Arial"/>
                <w:b/>
                <w:bCs/>
                <w:szCs w:val="23"/>
                <w:lang w:val="fr-CA"/>
              </w:rPr>
              <w:t>Sous-secteur :</w:t>
            </w:r>
          </w:p>
        </w:tc>
        <w:tc>
          <w:tcPr>
            <w:tcW w:w="8092" w:type="dxa"/>
            <w:gridSpan w:val="2"/>
            <w:tcBorders>
              <w:top w:val="single" w:sz="4" w:space="0" w:color="C0C0C0"/>
              <w:left w:val="single" w:sz="4" w:space="0" w:color="FFFFFF"/>
              <w:bottom w:val="single" w:sz="4" w:space="0" w:color="C0C0C0"/>
              <w:right w:val="nil"/>
            </w:tcBorders>
            <w:vAlign w:val="center"/>
          </w:tcPr>
          <w:p w14:paraId="209F5A20" w14:textId="77777777" w:rsidR="002028B5" w:rsidRPr="00F52884" w:rsidRDefault="002028B5" w:rsidP="00C82933">
            <w:pPr>
              <w:spacing w:before="60" w:after="60"/>
              <w:rPr>
                <w:rFonts w:ascii="Arial" w:eastAsia="Arial" w:hAnsi="Arial" w:cs="Arial"/>
                <w:szCs w:val="23"/>
              </w:rPr>
            </w:pPr>
          </w:p>
        </w:tc>
      </w:tr>
      <w:tr w:rsidR="002028B5" w:rsidRPr="00F52884" w14:paraId="00566810" w14:textId="77777777" w:rsidTr="005B2946">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74E08111" w14:textId="77777777"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7713" w:type="dxa"/>
            <w:tcBorders>
              <w:top w:val="single" w:sz="4" w:space="0" w:color="C0C0C0"/>
              <w:left w:val="single" w:sz="4" w:space="0" w:color="FFFFFF"/>
              <w:bottom w:val="single" w:sz="4" w:space="0" w:color="C0C0C0"/>
              <w:right w:val="nil"/>
            </w:tcBorders>
            <w:vAlign w:val="center"/>
          </w:tcPr>
          <w:p w14:paraId="63C464A8" w14:textId="60D8C487" w:rsidR="002028B5" w:rsidRPr="00F52884" w:rsidRDefault="005B2946" w:rsidP="00C82933">
            <w:pPr>
              <w:spacing w:before="60" w:after="60"/>
              <w:ind w:left="4"/>
              <w:rPr>
                <w:rFonts w:ascii="Arial" w:eastAsia="Arial" w:hAnsi="Arial" w:cs="Arial"/>
                <w:szCs w:val="23"/>
              </w:rPr>
            </w:pPr>
            <w:r w:rsidRPr="00F52884">
              <w:rPr>
                <w:rFonts w:ascii="Arial" w:eastAsia="Arial" w:hAnsi="Arial" w:cs="Arial"/>
                <w:szCs w:val="23"/>
              </w:rPr>
              <w:t>`</w:t>
            </w:r>
          </w:p>
        </w:tc>
      </w:tr>
      <w:tr w:rsidR="005B2946" w:rsidRPr="00D315AF" w14:paraId="528255B9"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59F28B3D" w14:textId="730F0408" w:rsidR="005B2946" w:rsidRPr="00F52884" w:rsidRDefault="005B2946"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0DE2D7ED" w14:textId="7A4362B1" w:rsidR="005B2946" w:rsidRPr="00F52884" w:rsidRDefault="005B2946"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312 (Accès aux marchés – Investissement)</w:t>
            </w:r>
          </w:p>
        </w:tc>
      </w:tr>
      <w:tr w:rsidR="002028B5" w:rsidRPr="00F52884" w14:paraId="697F77EB"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D1F6C02" w14:textId="77777777" w:rsidR="002028B5" w:rsidRPr="00F52884" w:rsidRDefault="002028B5" w:rsidP="005B2946">
            <w:pPr>
              <w:spacing w:before="60" w:after="60"/>
              <w:rPr>
                <w:b/>
              </w:rPr>
            </w:pPr>
            <w:r w:rsidRPr="00F52884">
              <w:rPr>
                <w:b/>
                <w:lang w:val="fr-CA"/>
              </w:rPr>
              <w:t>Mesures :</w:t>
            </w:r>
          </w:p>
        </w:tc>
      </w:tr>
      <w:tr w:rsidR="002028B5" w:rsidRPr="00D315AF" w14:paraId="5A30E08F"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A28617D" w14:textId="17C08ECB" w:rsidR="002028B5" w:rsidRPr="00F52884" w:rsidRDefault="002028B5" w:rsidP="00C82933">
            <w:pPr>
              <w:spacing w:before="120" w:after="120"/>
              <w:rPr>
                <w:rFonts w:ascii="Arial" w:eastAsia="Arial" w:hAnsi="Arial" w:cs="Arial"/>
                <w:szCs w:val="23"/>
                <w:lang w:val="fr-FR"/>
              </w:rPr>
            </w:pPr>
            <w:r w:rsidRPr="00F52884">
              <w:rPr>
                <w:rFonts w:ascii="Arial" w:eastAsia="Arial" w:hAnsi="Arial" w:cs="Arial"/>
                <w:i/>
                <w:iCs/>
                <w:szCs w:val="23"/>
                <w:lang w:val="fr-CA"/>
              </w:rPr>
              <w:t>Loi canadienne sur les sociétés par action</w:t>
            </w:r>
            <w:r w:rsidRPr="00F52884">
              <w:rPr>
                <w:rFonts w:ascii="Arial" w:eastAsia="Arial" w:hAnsi="Arial" w:cs="Arial"/>
                <w:szCs w:val="23"/>
                <w:lang w:val="fr-CA"/>
              </w:rPr>
              <w:t xml:space="preserve">s, LRC 1985, c C-44 </w:t>
            </w:r>
            <w:r w:rsidRPr="00F52884">
              <w:rPr>
                <w:rFonts w:ascii="Arial" w:eastAsia="Arial" w:hAnsi="Arial" w:cs="Arial"/>
                <w:szCs w:val="23"/>
                <w:lang w:val="fr-CA"/>
              </w:rPr>
              <w:br/>
            </w:r>
            <w:r w:rsidRPr="00F52884">
              <w:rPr>
                <w:rFonts w:ascii="Arial" w:eastAsia="Arial" w:hAnsi="Arial" w:cs="Arial"/>
                <w:i/>
                <w:iCs/>
                <w:szCs w:val="23"/>
                <w:lang w:val="fr-CA"/>
              </w:rPr>
              <w:t>Règlement sur les sociétés par actions de régime fédéral, 2001</w:t>
            </w:r>
            <w:r w:rsidRPr="00F52884">
              <w:rPr>
                <w:rFonts w:ascii="Arial" w:eastAsia="Arial" w:hAnsi="Arial" w:cs="Arial"/>
                <w:szCs w:val="23"/>
                <w:lang w:val="fr-CA"/>
              </w:rPr>
              <w:t xml:space="preserve">, DORS/2001-512 </w:t>
            </w:r>
            <w:r w:rsidRPr="00F52884">
              <w:rPr>
                <w:rFonts w:ascii="Arial" w:eastAsia="Arial" w:hAnsi="Arial" w:cs="Arial"/>
                <w:szCs w:val="23"/>
                <w:lang w:val="fr-CA"/>
              </w:rPr>
              <w:br/>
            </w:r>
            <w:r w:rsidRPr="00F52884">
              <w:rPr>
                <w:rFonts w:ascii="Arial" w:eastAsia="Arial" w:hAnsi="Arial" w:cs="Arial"/>
                <w:i/>
                <w:iCs/>
                <w:szCs w:val="23"/>
                <w:lang w:val="fr-CA"/>
              </w:rPr>
              <w:t>Loi canadienne sur les coopératives</w:t>
            </w:r>
            <w:r w:rsidRPr="00F52884">
              <w:rPr>
                <w:rFonts w:ascii="Arial" w:eastAsia="Arial" w:hAnsi="Arial" w:cs="Arial"/>
                <w:szCs w:val="23"/>
                <w:lang w:val="fr-CA"/>
              </w:rPr>
              <w:t xml:space="preserve">, LC 1998, c 1 </w:t>
            </w:r>
            <w:r w:rsidRPr="00F52884">
              <w:rPr>
                <w:rFonts w:ascii="Arial" w:eastAsia="Arial" w:hAnsi="Arial" w:cs="Arial"/>
                <w:szCs w:val="23"/>
                <w:lang w:val="fr-CA"/>
              </w:rPr>
              <w:br/>
            </w:r>
            <w:r w:rsidRPr="00F52884">
              <w:rPr>
                <w:rFonts w:ascii="Arial" w:eastAsia="Arial" w:hAnsi="Arial" w:cs="Arial"/>
                <w:i/>
                <w:iCs/>
                <w:szCs w:val="23"/>
                <w:lang w:val="fr-CA"/>
              </w:rPr>
              <w:t>Règlement sur les coopératives de régime fédéral</w:t>
            </w:r>
            <w:r w:rsidRPr="00F52884">
              <w:rPr>
                <w:rFonts w:ascii="Arial" w:eastAsia="Arial" w:hAnsi="Arial" w:cs="Arial"/>
                <w:szCs w:val="23"/>
                <w:lang w:val="fr-CA"/>
              </w:rPr>
              <w:t>, DORS/99-256</w:t>
            </w:r>
          </w:p>
        </w:tc>
      </w:tr>
      <w:tr w:rsidR="002028B5" w:rsidRPr="00F52884" w14:paraId="15ABE23E"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023BA39" w14:textId="77777777" w:rsidR="002028B5" w:rsidRPr="00F52884" w:rsidRDefault="002028B5" w:rsidP="005B2946">
            <w:pPr>
              <w:spacing w:before="60" w:after="60"/>
              <w:rPr>
                <w:b/>
              </w:rPr>
            </w:pPr>
            <w:r w:rsidRPr="00F52884">
              <w:rPr>
                <w:b/>
                <w:lang w:val="fr-CA"/>
              </w:rPr>
              <w:t>Description :</w:t>
            </w:r>
          </w:p>
        </w:tc>
      </w:tr>
      <w:tr w:rsidR="002028B5" w:rsidRPr="00D315AF" w14:paraId="352CADBD"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7E132D93" w14:textId="23EE7FE5" w:rsidR="002028B5" w:rsidRPr="00F52884" w:rsidRDefault="002028B5" w:rsidP="005B2946">
            <w:pPr>
              <w:spacing w:before="120" w:after="120"/>
              <w:ind w:left="366" w:hanging="360"/>
              <w:rPr>
                <w:rFonts w:ascii="Arial" w:eastAsia="Arial" w:hAnsi="Arial" w:cs="Arial"/>
                <w:szCs w:val="23"/>
                <w:lang w:val="fr-CA" w:eastAsia="en-CA"/>
              </w:rPr>
            </w:pPr>
            <w:r w:rsidRPr="00F52884">
              <w:rPr>
                <w:rFonts w:ascii="Arial" w:eastAsia="Arial" w:hAnsi="Arial" w:cs="Arial"/>
                <w:szCs w:val="23"/>
                <w:lang w:val="fr-CA" w:eastAsia="en-CA"/>
              </w:rPr>
              <w:t xml:space="preserve">1. </w:t>
            </w:r>
            <w:r w:rsidR="005B2946" w:rsidRPr="00F52884">
              <w:rPr>
                <w:rFonts w:ascii="Arial" w:eastAsia="Arial" w:hAnsi="Arial" w:cs="Arial"/>
                <w:szCs w:val="23"/>
                <w:lang w:val="fr-CA" w:eastAsia="en-CA"/>
              </w:rPr>
              <w:tab/>
            </w:r>
            <w:r w:rsidRPr="00F52884">
              <w:rPr>
                <w:rFonts w:ascii="Arial" w:eastAsia="Arial" w:hAnsi="Arial" w:cs="Arial"/>
                <w:szCs w:val="23"/>
                <w:lang w:val="fr-CA" w:eastAsia="en-CA"/>
              </w:rPr>
              <w:t xml:space="preserve">Une société par actions peut imposer des restrictions à l’émission, au transfert et à la propriété d’actions d’une société par actions constituée en vertu de lois fédérales. L’objectif de ces restrictions est de permettre à une société par actions de satisfaire aux exigences canadiennes en matière de propriété ou de contrôle, au titre de certaines lois et règlements énumérés dans le </w:t>
            </w:r>
            <w:r w:rsidRPr="00F52884">
              <w:rPr>
                <w:rFonts w:ascii="Arial" w:eastAsia="Arial" w:hAnsi="Arial" w:cs="Arial"/>
                <w:i/>
                <w:iCs/>
                <w:szCs w:val="23"/>
                <w:lang w:val="fr-CA" w:eastAsia="en-CA"/>
              </w:rPr>
              <w:t>Règlement sur les sociétés par actions de régime fédéral, 2001</w:t>
            </w:r>
            <w:r w:rsidRPr="00F52884">
              <w:rPr>
                <w:rFonts w:ascii="Arial" w:eastAsia="Arial" w:hAnsi="Arial" w:cs="Arial"/>
                <w:szCs w:val="23"/>
                <w:lang w:val="fr-CA" w:eastAsia="en-CA"/>
              </w:rPr>
              <w:t xml:space="preserve"> dans des secteurs où la propriété ou le contrôle par le Canada est une condition d’obtention de licences, de permis, de subventions, de paiements ou d’autres avantages. Afin de conserver certains niveaux de propriété canadienne, une société par actions peut vendre les actions des actionnaires sans le consentement de ces derniers et acheter ses propres actions sur le marché libre.</w:t>
            </w:r>
          </w:p>
          <w:p w14:paraId="40C8646D" w14:textId="3A82BDB0" w:rsidR="002028B5" w:rsidRPr="00F52884" w:rsidRDefault="002028B5" w:rsidP="005B2946">
            <w:pPr>
              <w:spacing w:before="120" w:after="120"/>
              <w:ind w:left="366" w:hanging="360"/>
              <w:rPr>
                <w:rFonts w:ascii="Arial" w:eastAsia="Arial" w:hAnsi="Arial" w:cs="Arial"/>
                <w:szCs w:val="23"/>
                <w:lang w:val="fr-CA" w:eastAsia="en-CA"/>
              </w:rPr>
            </w:pPr>
            <w:r w:rsidRPr="00F52884">
              <w:rPr>
                <w:rFonts w:ascii="Arial" w:eastAsia="Arial" w:hAnsi="Arial" w:cs="Arial"/>
                <w:szCs w:val="23"/>
                <w:lang w:val="fr-CA" w:eastAsia="en-CA"/>
              </w:rPr>
              <w:t xml:space="preserve">2. </w:t>
            </w:r>
            <w:r w:rsidR="005B2946" w:rsidRPr="00F52884">
              <w:rPr>
                <w:rFonts w:ascii="Arial" w:eastAsia="Arial" w:hAnsi="Arial" w:cs="Arial"/>
                <w:szCs w:val="23"/>
                <w:lang w:val="fr-CA" w:eastAsia="en-CA"/>
              </w:rPr>
              <w:tab/>
            </w:r>
            <w:r w:rsidRPr="00F52884">
              <w:rPr>
                <w:rFonts w:ascii="Arial" w:eastAsia="Arial" w:hAnsi="Arial" w:cs="Arial"/>
                <w:szCs w:val="23"/>
                <w:lang w:val="fr-CA" w:eastAsia="en-CA"/>
              </w:rPr>
              <w:t xml:space="preserve">La </w:t>
            </w:r>
            <w:r w:rsidRPr="00F52884">
              <w:rPr>
                <w:rFonts w:ascii="Arial" w:eastAsia="Arial" w:hAnsi="Arial" w:cs="Arial"/>
                <w:i/>
                <w:iCs/>
                <w:szCs w:val="23"/>
                <w:lang w:val="fr-CA" w:eastAsia="en-CA"/>
              </w:rPr>
              <w:t>Loi canadienne sur les coopératives</w:t>
            </w:r>
            <w:r w:rsidRPr="00F52884">
              <w:rPr>
                <w:rFonts w:ascii="Arial" w:eastAsia="Arial" w:hAnsi="Arial" w:cs="Arial"/>
                <w:szCs w:val="23"/>
                <w:lang w:val="fr-CA" w:eastAsia="en-CA"/>
              </w:rPr>
              <w:t xml:space="preserve"> prévoit que des restrictions peuvent être imposées quant à l’émission ou au transfert des parts de placement d’une coopérative au profit de personnes qui ne résident pas au Canada afin de permettre aux coopératives de remplir les conditions de participation canadienne prévues pour obtenir un permis en vue d’exercer des activités commerciales, pour publier un journal ou un périodique canadien, pour acquérir les parts de placement ou les actions d’un intermédiaire financier et dans des secteurs où la propriété ou le contrôle sont des conditions auxquelles est subordonné le droit de recevoir des licences, des permis, des subventions, des paiements et d’autres avantages. Si la propriété ou le contrôle de parts de placement compromet la possibilité pour une coopérative de maintenir un certain niveau de propriété ou de contrôle canadiens, la </w:t>
            </w:r>
            <w:r w:rsidRPr="00F52884">
              <w:rPr>
                <w:rFonts w:ascii="Arial" w:eastAsia="Arial" w:hAnsi="Arial" w:cs="Arial"/>
                <w:i/>
                <w:iCs/>
                <w:szCs w:val="23"/>
                <w:lang w:val="fr-CA" w:eastAsia="en-CA"/>
              </w:rPr>
              <w:t>Loi canadienne sur les coopératives</w:t>
            </w:r>
            <w:r w:rsidRPr="00F52884">
              <w:rPr>
                <w:rFonts w:ascii="Arial" w:eastAsia="Arial" w:hAnsi="Arial" w:cs="Arial"/>
                <w:szCs w:val="23"/>
                <w:lang w:val="fr-CA" w:eastAsia="en-CA"/>
              </w:rPr>
              <w:t xml:space="preserve"> </w:t>
            </w:r>
            <w:r w:rsidRPr="00F52884">
              <w:rPr>
                <w:rFonts w:ascii="Arial" w:eastAsia="Arial" w:hAnsi="Arial" w:cs="Arial"/>
                <w:szCs w:val="23"/>
                <w:lang w:val="fr-CA" w:eastAsia="en-CA"/>
              </w:rPr>
              <w:lastRenderedPageBreak/>
              <w:t>prévoit que la coopérative peut limiter le nombre de parts de placement qui peuvent appartenir à une personne ou interdire à celle-ci d’être propriétaire de parts de placement.</w:t>
            </w:r>
          </w:p>
          <w:p w14:paraId="62C18588" w14:textId="5484015D" w:rsidR="002028B5" w:rsidRPr="00F52884" w:rsidRDefault="002028B5" w:rsidP="005B2946">
            <w:pPr>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3. </w:t>
            </w:r>
            <w:r w:rsidR="005B2946" w:rsidRPr="00F52884">
              <w:rPr>
                <w:rFonts w:ascii="Arial" w:eastAsia="Arial" w:hAnsi="Arial" w:cs="Arial"/>
                <w:szCs w:val="23"/>
                <w:lang w:val="fr-CA"/>
              </w:rPr>
              <w:tab/>
            </w:r>
            <w:r w:rsidRPr="00F52884">
              <w:rPr>
                <w:rFonts w:ascii="Arial" w:eastAsia="Arial" w:hAnsi="Arial" w:cs="Arial"/>
                <w:szCs w:val="23"/>
                <w:lang w:val="fr-CA"/>
              </w:rPr>
              <w:t xml:space="preserve">Pour l’application de la présente exception, « Canadien » a le sens donné au terme « Canadien » dans le </w:t>
            </w:r>
            <w:r w:rsidRPr="00F52884">
              <w:rPr>
                <w:rFonts w:ascii="Arial" w:eastAsia="Arial" w:hAnsi="Arial" w:cs="Arial"/>
                <w:i/>
                <w:iCs/>
                <w:szCs w:val="23"/>
                <w:lang w:val="fr-CA"/>
              </w:rPr>
              <w:t>Règlement sur les sociétés par actions de régime fédéral,</w:t>
            </w:r>
            <w:r w:rsidRPr="00F52884">
              <w:rPr>
                <w:rFonts w:ascii="Arial" w:eastAsia="Arial" w:hAnsi="Arial" w:cs="Arial"/>
                <w:szCs w:val="23"/>
                <w:lang w:val="fr-CA"/>
              </w:rPr>
              <w:t xml:space="preserve"> </w:t>
            </w:r>
            <w:r w:rsidRPr="00F52884">
              <w:rPr>
                <w:rFonts w:ascii="Arial" w:eastAsia="Arial" w:hAnsi="Arial" w:cs="Arial"/>
                <w:i/>
                <w:szCs w:val="23"/>
                <w:lang w:val="fr-CA"/>
              </w:rPr>
              <w:t>2001</w:t>
            </w:r>
            <w:r w:rsidRPr="00F52884">
              <w:rPr>
                <w:rFonts w:ascii="Arial" w:eastAsia="Arial" w:hAnsi="Arial" w:cs="Arial"/>
                <w:szCs w:val="23"/>
                <w:lang w:val="fr-CA"/>
              </w:rPr>
              <w:t xml:space="preserve"> ou le </w:t>
            </w:r>
            <w:r w:rsidRPr="00F52884">
              <w:rPr>
                <w:rFonts w:ascii="Arial" w:eastAsia="Arial" w:hAnsi="Arial" w:cs="Arial"/>
                <w:i/>
                <w:iCs/>
                <w:szCs w:val="23"/>
                <w:lang w:val="fr-CA"/>
              </w:rPr>
              <w:t>Règlement sur les coopératives de régime fédéral</w:t>
            </w:r>
            <w:r w:rsidRPr="00F52884">
              <w:rPr>
                <w:rFonts w:ascii="Arial" w:eastAsia="Arial" w:hAnsi="Arial" w:cs="Arial"/>
                <w:szCs w:val="23"/>
                <w:lang w:val="fr-CA"/>
              </w:rPr>
              <w:t>.</w:t>
            </w:r>
          </w:p>
        </w:tc>
      </w:tr>
    </w:tbl>
    <w:p w14:paraId="0E1204C1" w14:textId="30626863" w:rsidR="002028B5" w:rsidRPr="00F52884" w:rsidRDefault="002028B5" w:rsidP="00E94578">
      <w:pPr>
        <w:rPr>
          <w:rFonts w:ascii="Arial" w:eastAsia="Arial" w:hAnsi="Arial" w:cs="Arial"/>
          <w:b/>
          <w:szCs w:val="23"/>
          <w:lang w:val="fr-CA"/>
        </w:rPr>
      </w:pPr>
    </w:p>
    <w:p w14:paraId="4A4B6825" w14:textId="77777777" w:rsidR="00C82933" w:rsidRPr="00F52884" w:rsidRDefault="00C82933" w:rsidP="00E94578">
      <w:pPr>
        <w:rPr>
          <w:rFonts w:ascii="Arial" w:eastAsia="Arial" w:hAnsi="Arial" w:cs="Arial"/>
          <w:b/>
          <w:szCs w:val="23"/>
          <w:lang w:val="fr-CA"/>
        </w:rPr>
      </w:pPr>
    </w:p>
    <w:p w14:paraId="644D1277" w14:textId="790B1E2F" w:rsidR="002028B5" w:rsidRPr="00F52884" w:rsidRDefault="00C82933" w:rsidP="00C82933">
      <w:pPr>
        <w:spacing w:before="60" w:after="60"/>
        <w:ind w:left="-357"/>
        <w:rPr>
          <w:rFonts w:ascii="Arial" w:eastAsia="Arial" w:hAnsi="Arial" w:cs="Arial"/>
          <w:b/>
          <w:szCs w:val="23"/>
        </w:rPr>
      </w:pPr>
      <w:r w:rsidRPr="00F52884">
        <w:rPr>
          <w:rFonts w:ascii="Arial" w:eastAsia="Arial" w:hAnsi="Arial" w:cs="Arial"/>
          <w:b/>
          <w:szCs w:val="23"/>
          <w:lang w:val="fr-CA"/>
        </w:rPr>
        <w:t xml:space="preserve">2.  </w:t>
      </w:r>
      <w:r w:rsidR="002028B5" w:rsidRPr="00F52884">
        <w:rPr>
          <w:rFonts w:ascii="Arial Bold" w:eastAsia="Arial" w:hAnsi="Arial Bold" w:cs="Arial"/>
          <w:b/>
          <w:caps/>
          <w:szCs w:val="23"/>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7713"/>
        <w:gridCol w:w="379"/>
      </w:tblGrid>
      <w:tr w:rsidR="005B2946" w:rsidRPr="00F52884" w14:paraId="0AF8E2A9" w14:textId="77777777" w:rsidTr="005B2946">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BCA3B77" w14:textId="3634FC8E" w:rsidR="005B2946" w:rsidRPr="00F52884" w:rsidRDefault="005B2946" w:rsidP="00C82933">
            <w:pPr>
              <w:spacing w:before="60" w:after="60"/>
              <w:rPr>
                <w:rFonts w:ascii="Arial" w:eastAsia="Arial" w:hAnsi="Arial" w:cs="Arial"/>
                <w:szCs w:val="23"/>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18583513" w14:textId="6B662C15" w:rsidR="005B2946" w:rsidRPr="00F52884" w:rsidRDefault="005B2946" w:rsidP="00C82933">
            <w:pPr>
              <w:spacing w:before="60" w:after="60"/>
              <w:rPr>
                <w:rFonts w:ascii="Arial" w:eastAsia="Arial" w:hAnsi="Arial" w:cs="Arial"/>
                <w:szCs w:val="23"/>
              </w:rPr>
            </w:pPr>
            <w:r w:rsidRPr="00F52884">
              <w:rPr>
                <w:rFonts w:ascii="Arial" w:eastAsia="Arial" w:hAnsi="Arial" w:cs="Arial"/>
                <w:szCs w:val="23"/>
                <w:lang w:val="fr-CA"/>
              </w:rPr>
              <w:t>Tous les secteurs</w:t>
            </w:r>
          </w:p>
        </w:tc>
      </w:tr>
      <w:tr w:rsidR="002028B5" w:rsidRPr="00F52884" w14:paraId="69190014" w14:textId="77777777" w:rsidTr="005B2946">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091C2F2F" w14:textId="77777777" w:rsidR="002028B5" w:rsidRPr="00F52884" w:rsidRDefault="002028B5" w:rsidP="00C82933">
            <w:pPr>
              <w:spacing w:before="60" w:after="60"/>
              <w:rPr>
                <w:rFonts w:ascii="Arial" w:eastAsia="Arial" w:hAnsi="Arial" w:cs="Arial"/>
                <w:b/>
                <w:szCs w:val="23"/>
              </w:rPr>
            </w:pPr>
            <w:r w:rsidRPr="00F52884">
              <w:rPr>
                <w:rFonts w:ascii="Arial" w:eastAsia="Arial" w:hAnsi="Arial" w:cs="Arial"/>
                <w:b/>
                <w:bCs/>
                <w:szCs w:val="23"/>
                <w:lang w:val="fr-CA"/>
              </w:rPr>
              <w:t>Sous-secteur :</w:t>
            </w:r>
          </w:p>
        </w:tc>
        <w:tc>
          <w:tcPr>
            <w:tcW w:w="8092" w:type="dxa"/>
            <w:gridSpan w:val="2"/>
            <w:tcBorders>
              <w:top w:val="single" w:sz="4" w:space="0" w:color="C0C0C0"/>
              <w:left w:val="single" w:sz="4" w:space="0" w:color="FFFFFF"/>
              <w:bottom w:val="single" w:sz="4" w:space="0" w:color="C0C0C0"/>
              <w:right w:val="nil"/>
            </w:tcBorders>
            <w:vAlign w:val="center"/>
          </w:tcPr>
          <w:p w14:paraId="194AE3FC" w14:textId="77777777" w:rsidR="002028B5" w:rsidRPr="00F52884" w:rsidRDefault="002028B5" w:rsidP="00C82933">
            <w:pPr>
              <w:spacing w:before="60" w:after="60"/>
              <w:rPr>
                <w:rFonts w:ascii="Arial" w:eastAsia="Arial" w:hAnsi="Arial" w:cs="Arial"/>
                <w:szCs w:val="23"/>
              </w:rPr>
            </w:pPr>
          </w:p>
        </w:tc>
      </w:tr>
      <w:tr w:rsidR="002028B5" w:rsidRPr="00F52884" w14:paraId="6F6812BB" w14:textId="77777777" w:rsidTr="005B2946">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7F24EEAE" w14:textId="77777777"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7713" w:type="dxa"/>
            <w:tcBorders>
              <w:top w:val="single" w:sz="4" w:space="0" w:color="C0C0C0"/>
              <w:left w:val="single" w:sz="4" w:space="0" w:color="FFFFFF"/>
              <w:bottom w:val="single" w:sz="4" w:space="0" w:color="C0C0C0"/>
              <w:right w:val="nil"/>
            </w:tcBorders>
            <w:vAlign w:val="center"/>
          </w:tcPr>
          <w:p w14:paraId="46E58D3C" w14:textId="77777777" w:rsidR="002028B5" w:rsidRPr="00F52884" w:rsidRDefault="002028B5" w:rsidP="00C82933">
            <w:pPr>
              <w:spacing w:before="60" w:after="60"/>
              <w:ind w:left="4"/>
              <w:rPr>
                <w:rFonts w:ascii="Arial" w:eastAsia="Arial" w:hAnsi="Arial" w:cs="Arial"/>
                <w:szCs w:val="23"/>
              </w:rPr>
            </w:pPr>
          </w:p>
        </w:tc>
      </w:tr>
      <w:tr w:rsidR="005B2946" w:rsidRPr="00D315AF" w14:paraId="4B2288F1"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682FDB81" w14:textId="67352D71" w:rsidR="005B2946" w:rsidRPr="00F52884" w:rsidRDefault="005B2946"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06A38B45" w14:textId="4C0EC8CB" w:rsidR="005B2946" w:rsidRPr="00F52884" w:rsidRDefault="005B2946"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312 (Accès aux marchés – Investissement), article 313 (Prescriptions de résultats)</w:t>
            </w:r>
          </w:p>
        </w:tc>
      </w:tr>
      <w:tr w:rsidR="002028B5" w:rsidRPr="00F52884" w14:paraId="36FFDAE3"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6EC6C35" w14:textId="77777777" w:rsidR="002028B5" w:rsidRPr="00F52884" w:rsidRDefault="002028B5" w:rsidP="005B2946">
            <w:pPr>
              <w:spacing w:before="60" w:after="60"/>
              <w:rPr>
                <w:b/>
              </w:rPr>
            </w:pPr>
            <w:r w:rsidRPr="00F52884">
              <w:rPr>
                <w:b/>
                <w:lang w:val="fr-CA"/>
              </w:rPr>
              <w:t>Mesures :</w:t>
            </w:r>
          </w:p>
        </w:tc>
      </w:tr>
      <w:tr w:rsidR="002028B5" w:rsidRPr="00D315AF" w14:paraId="26B6CB3A"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107D01B2" w14:textId="0F07FF9E" w:rsidR="002028B5" w:rsidRPr="00F52884" w:rsidRDefault="002028B5" w:rsidP="00C82933">
            <w:pPr>
              <w:spacing w:before="60" w:after="60"/>
              <w:rPr>
                <w:rFonts w:ascii="Arial" w:eastAsia="Arial" w:hAnsi="Arial" w:cs="Arial"/>
                <w:szCs w:val="23"/>
                <w:lang w:val="fr-FR"/>
              </w:rPr>
            </w:pPr>
            <w:r w:rsidRPr="00F52884">
              <w:rPr>
                <w:rFonts w:ascii="Arial" w:eastAsia="Arial" w:hAnsi="Arial" w:cs="Arial"/>
                <w:i/>
                <w:iCs/>
                <w:szCs w:val="23"/>
                <w:lang w:val="fr-CA"/>
              </w:rPr>
              <w:t>Loi sur Investissement Canada</w:t>
            </w:r>
            <w:r w:rsidRPr="00F52884">
              <w:rPr>
                <w:rFonts w:ascii="Arial" w:eastAsia="Arial" w:hAnsi="Arial" w:cs="Arial"/>
                <w:szCs w:val="23"/>
                <w:lang w:val="fr-CA"/>
              </w:rPr>
              <w:t>, LRC 1985, c 28 (1</w:t>
            </w:r>
            <w:r w:rsidRPr="00F52884">
              <w:rPr>
                <w:rFonts w:ascii="Arial" w:eastAsia="Arial" w:hAnsi="Arial" w:cs="Arial"/>
                <w:szCs w:val="23"/>
                <w:vertAlign w:val="superscript"/>
                <w:lang w:val="fr-CA"/>
              </w:rPr>
              <w:t>re</w:t>
            </w:r>
            <w:r w:rsidRPr="00F52884">
              <w:rPr>
                <w:rFonts w:ascii="Arial" w:eastAsia="Arial" w:hAnsi="Arial" w:cs="Arial"/>
                <w:szCs w:val="23"/>
                <w:lang w:val="fr-CA"/>
              </w:rPr>
              <w:t xml:space="preserve"> supp) </w:t>
            </w:r>
            <w:r w:rsidRPr="00F52884">
              <w:rPr>
                <w:rFonts w:ascii="Arial" w:eastAsia="Arial" w:hAnsi="Arial" w:cs="Arial"/>
                <w:szCs w:val="23"/>
                <w:lang w:val="fr-CA"/>
              </w:rPr>
              <w:br/>
            </w:r>
            <w:r w:rsidRPr="00F52884">
              <w:rPr>
                <w:rFonts w:ascii="Arial" w:eastAsia="Arial" w:hAnsi="Arial" w:cs="Arial"/>
                <w:i/>
                <w:iCs/>
                <w:szCs w:val="23"/>
                <w:lang w:val="fr-CA"/>
              </w:rPr>
              <w:t>Règlement sur Investissement Canada</w:t>
            </w:r>
            <w:r w:rsidRPr="00F52884">
              <w:rPr>
                <w:rFonts w:ascii="Arial" w:eastAsia="Arial" w:hAnsi="Arial" w:cs="Arial"/>
                <w:szCs w:val="23"/>
                <w:lang w:val="fr-CA"/>
              </w:rPr>
              <w:t>, DORS/85-611</w:t>
            </w:r>
          </w:p>
        </w:tc>
      </w:tr>
      <w:tr w:rsidR="002028B5" w:rsidRPr="00F52884" w14:paraId="72846595"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D9F4770" w14:textId="77777777" w:rsidR="002028B5" w:rsidRPr="00F52884" w:rsidRDefault="002028B5" w:rsidP="005B2946">
            <w:pPr>
              <w:spacing w:before="60" w:after="60"/>
              <w:rPr>
                <w:b/>
              </w:rPr>
            </w:pPr>
            <w:r w:rsidRPr="00F52884">
              <w:rPr>
                <w:b/>
                <w:lang w:val="fr-CA"/>
              </w:rPr>
              <w:t>Description :</w:t>
            </w:r>
          </w:p>
        </w:tc>
      </w:tr>
      <w:tr w:rsidR="002028B5" w:rsidRPr="00D315AF" w14:paraId="05792EB9"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C39F36C" w14:textId="77777777" w:rsidR="002028B5" w:rsidRPr="00F52884" w:rsidRDefault="002028B5" w:rsidP="005B2946">
            <w:pPr>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1. </w:t>
            </w:r>
            <w:r w:rsidRPr="00F52884">
              <w:rPr>
                <w:rFonts w:ascii="Arial" w:eastAsia="Arial" w:hAnsi="Arial" w:cs="Arial"/>
                <w:szCs w:val="23"/>
                <w:lang w:val="fr-CA"/>
              </w:rPr>
              <w:tab/>
              <w:t xml:space="preserve">En vertu de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 les acquisitions de contrôle suivantes d’entreprises canadiennes par des « non-Canadiens » sont soumises à un examen du directeur des investissements :</w:t>
            </w:r>
          </w:p>
          <w:p w14:paraId="363C5E76" w14:textId="40E61BED" w:rsidR="002028B5" w:rsidRPr="00F52884" w:rsidRDefault="002028B5" w:rsidP="00F52884">
            <w:pPr>
              <w:spacing w:before="120" w:after="120"/>
              <w:ind w:left="906" w:hanging="540"/>
              <w:rPr>
                <w:rFonts w:ascii="Arial" w:eastAsia="Arial" w:hAnsi="Arial" w:cs="Arial"/>
                <w:szCs w:val="23"/>
                <w:lang w:val="fr-FR"/>
              </w:rPr>
            </w:pPr>
            <w:r w:rsidRPr="00F52884">
              <w:rPr>
                <w:rFonts w:ascii="Arial" w:eastAsia="Arial" w:hAnsi="Arial" w:cs="Arial"/>
                <w:szCs w:val="23"/>
                <w:lang w:val="fr-CA"/>
              </w:rPr>
              <w:t>a)</w:t>
            </w:r>
            <w:r w:rsidRPr="00F52884">
              <w:rPr>
                <w:rFonts w:ascii="Arial" w:eastAsia="Arial" w:hAnsi="Arial" w:cs="Arial"/>
                <w:szCs w:val="23"/>
                <w:lang w:val="fr-CA"/>
              </w:rPr>
              <w:tab/>
              <w:t>l</w:t>
            </w:r>
            <w:r w:rsidRPr="00F52884">
              <w:rPr>
                <w:rFonts w:ascii="Arial" w:eastAsia="Times New Roman" w:hAnsi="Arial" w:cs="Arial"/>
                <w:sz w:val="24"/>
                <w:szCs w:val="24"/>
                <w:lang w:val="fr-CA"/>
              </w:rPr>
              <w:t>’</w:t>
            </w:r>
            <w:r w:rsidRPr="00F52884">
              <w:rPr>
                <w:rFonts w:ascii="Arial" w:eastAsia="Arial" w:hAnsi="Arial" w:cs="Arial"/>
                <w:szCs w:val="23"/>
                <w:lang w:val="fr-CA"/>
              </w:rPr>
              <w:t>acquisition directe d’une entreprise canadienne dont la valeur des actifs est égale ou supérieure à cinq millions de dollars;</w:t>
            </w:r>
          </w:p>
          <w:p w14:paraId="4500A1BE" w14:textId="25B4BEA7" w:rsidR="002028B5" w:rsidRPr="00F52884" w:rsidRDefault="002028B5" w:rsidP="00F52884">
            <w:pPr>
              <w:spacing w:before="120" w:after="120"/>
              <w:ind w:left="906" w:hanging="540"/>
              <w:rPr>
                <w:rFonts w:ascii="Arial" w:eastAsia="Arial" w:hAnsi="Arial" w:cs="Arial"/>
                <w:szCs w:val="23"/>
                <w:lang w:val="fr-FR"/>
              </w:rPr>
            </w:pPr>
            <w:r w:rsidRPr="00F52884">
              <w:rPr>
                <w:rFonts w:ascii="Arial" w:eastAsia="Arial" w:hAnsi="Arial" w:cs="Arial"/>
                <w:szCs w:val="23"/>
                <w:lang w:val="fr-CA"/>
              </w:rPr>
              <w:t>b)</w:t>
            </w:r>
            <w:r w:rsidRPr="00F52884">
              <w:rPr>
                <w:rFonts w:ascii="Arial" w:eastAsia="Arial" w:hAnsi="Arial" w:cs="Arial"/>
                <w:szCs w:val="23"/>
                <w:lang w:val="fr-CA"/>
              </w:rPr>
              <w:tab/>
              <w:t>l’acquisition indirecte d’une entreprise canadienne dont la valeur des actifs est égale ou supérieure à cinquante millions de dollars;</w:t>
            </w:r>
          </w:p>
          <w:p w14:paraId="4449DDCD" w14:textId="635AA605" w:rsidR="002028B5" w:rsidRPr="00F52884" w:rsidRDefault="002028B5" w:rsidP="00F52884">
            <w:pPr>
              <w:spacing w:before="120" w:after="120"/>
              <w:ind w:left="906" w:hanging="540"/>
              <w:rPr>
                <w:rFonts w:ascii="Arial" w:eastAsia="Arial" w:hAnsi="Arial" w:cs="Arial"/>
                <w:szCs w:val="23"/>
                <w:lang w:val="fr-FR"/>
              </w:rPr>
            </w:pPr>
            <w:r w:rsidRPr="00F52884">
              <w:rPr>
                <w:rFonts w:ascii="Arial" w:eastAsia="Arial" w:hAnsi="Arial" w:cs="Arial"/>
                <w:szCs w:val="23"/>
                <w:lang w:val="fr-CA"/>
              </w:rPr>
              <w:t>c)</w:t>
            </w:r>
            <w:r w:rsidRPr="00F52884">
              <w:rPr>
                <w:rFonts w:ascii="Arial" w:eastAsia="Arial" w:hAnsi="Arial" w:cs="Arial"/>
                <w:szCs w:val="23"/>
                <w:lang w:val="fr-CA"/>
              </w:rPr>
              <w:tab/>
              <w:t>l’acquisition indirecte d’une entreprise canadienne dont la valeur des actifs se situant entre cinq et cinquante millions de dollars représente plus de 50 pour cent de la valeur des actifs de toutes les unités dont le contrôle est acquis directement ou indirectement dans l’opération en question.</w:t>
            </w:r>
          </w:p>
          <w:p w14:paraId="60CECAE7" w14:textId="31A56145" w:rsidR="002028B5" w:rsidRPr="00F52884" w:rsidRDefault="002028B5" w:rsidP="005B2946">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2. </w:t>
            </w:r>
            <w:r w:rsidR="005B2946" w:rsidRPr="00F52884">
              <w:rPr>
                <w:rFonts w:ascii="Arial" w:eastAsia="Arial" w:hAnsi="Arial" w:cs="Arial"/>
                <w:szCs w:val="23"/>
                <w:lang w:val="fr-CA"/>
              </w:rPr>
              <w:tab/>
            </w:r>
            <w:r w:rsidRPr="00F52884">
              <w:rPr>
                <w:rFonts w:ascii="Arial" w:eastAsia="Arial" w:hAnsi="Arial" w:cs="Arial"/>
                <w:szCs w:val="23"/>
                <w:lang w:val="fr-CA"/>
              </w:rPr>
              <w:t xml:space="preserve">Sauf de la manière prévue aux paragraphes 3 et 7, le directeur des investissements examinera toute « acquisition de contrôle » directe, telle qu’elle est définie dans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 xml:space="preserve">, d’une entreprise canadienne par un investisseur non canadien titulaire de droits au titre d’un accord commercial international si la valeur de l’entreprise canadienne est d’au moins 600 millions de dollars, ajustée conformément à la méthode applicable en janvier de chaque année subséquente comme cela est prévu dans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w:t>
            </w:r>
          </w:p>
          <w:p w14:paraId="784ADA0E" w14:textId="1AF8671A" w:rsidR="002028B5" w:rsidRPr="00F52884" w:rsidRDefault="002028B5" w:rsidP="005B2946">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3. </w:t>
            </w:r>
            <w:r w:rsidR="005B2946" w:rsidRPr="00F52884">
              <w:rPr>
                <w:rFonts w:ascii="Arial" w:eastAsia="Arial" w:hAnsi="Arial" w:cs="Arial"/>
                <w:szCs w:val="23"/>
                <w:lang w:val="fr-CA"/>
              </w:rPr>
              <w:tab/>
            </w:r>
            <w:r w:rsidRPr="00F52884">
              <w:rPr>
                <w:rFonts w:ascii="Arial" w:eastAsia="Arial" w:hAnsi="Arial" w:cs="Arial"/>
                <w:szCs w:val="23"/>
                <w:lang w:val="fr-CA"/>
              </w:rPr>
              <w:t xml:space="preserve">Le seuil d’examen plus élevé prévu au paragraphe 2 ne s’applique pas à une « acquisition de contrôle » directe d’une entreprise canadienne par une entreprise d’État qui est un investisseur non canadien titulaire de droits au titre d’un accord commercial international sont à son avantage. Ces acquisitions sont soumises à un examen du directeur des investissements si la valeur de l’entreprise canadienne est d’au moins 375 millions de dollars en 2016, ajustée </w:t>
            </w:r>
            <w:r w:rsidRPr="00F52884">
              <w:rPr>
                <w:rFonts w:ascii="Arial" w:eastAsia="Arial" w:hAnsi="Arial" w:cs="Arial"/>
                <w:szCs w:val="23"/>
                <w:lang w:val="fr-CA"/>
              </w:rPr>
              <w:lastRenderedPageBreak/>
              <w:t xml:space="preserve">conformément à la méthode applicable en janvier de chaque année subséquente comme cela est prévu dans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w:t>
            </w:r>
          </w:p>
          <w:p w14:paraId="6A9C38A1" w14:textId="469811DC" w:rsidR="002028B5" w:rsidRPr="00F52884" w:rsidRDefault="002028B5" w:rsidP="005B2946">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4. </w:t>
            </w:r>
            <w:r w:rsidR="005B2946" w:rsidRPr="00F52884">
              <w:rPr>
                <w:rFonts w:ascii="Arial" w:eastAsia="Arial" w:hAnsi="Arial" w:cs="Arial"/>
                <w:szCs w:val="23"/>
                <w:lang w:val="fr-CA"/>
              </w:rPr>
              <w:tab/>
            </w:r>
            <w:r w:rsidRPr="00F52884">
              <w:rPr>
                <w:rFonts w:ascii="Arial" w:eastAsia="Arial" w:hAnsi="Arial" w:cs="Arial"/>
                <w:szCs w:val="23"/>
                <w:lang w:val="fr-CA"/>
              </w:rPr>
              <w:t xml:space="preserve">L’investissement qui fait l’objet d’un examen aux termes de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 xml:space="preserve"> ne peut être réalisé à moins que le ministre responsable de l’application de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 xml:space="preserve"> avise le demandeur que l’investissement sera vraisemblablement à l’avantage net du Canada. Cette détermination est faite conformément aux six facteurs décrits dans la </w:t>
            </w:r>
            <w:r w:rsidRPr="00F52884">
              <w:rPr>
                <w:rFonts w:ascii="Arial" w:eastAsia="Arial" w:hAnsi="Arial" w:cs="Arial"/>
                <w:iCs/>
                <w:szCs w:val="23"/>
                <w:lang w:val="fr-CA"/>
              </w:rPr>
              <w:t>Loi</w:t>
            </w:r>
            <w:r w:rsidRPr="00F52884">
              <w:rPr>
                <w:rFonts w:ascii="Arial" w:eastAsia="Arial" w:hAnsi="Arial" w:cs="Arial"/>
                <w:szCs w:val="23"/>
                <w:lang w:val="fr-CA"/>
              </w:rPr>
              <w:t>, lesquels se résument comme suit :</w:t>
            </w:r>
          </w:p>
          <w:p w14:paraId="063567E9" w14:textId="52F1EE5A" w:rsidR="002028B5" w:rsidRPr="00F52884" w:rsidRDefault="002028B5" w:rsidP="00F52884">
            <w:pPr>
              <w:spacing w:before="120" w:after="120"/>
              <w:ind w:left="906" w:hanging="540"/>
              <w:rPr>
                <w:rFonts w:ascii="Arial" w:eastAsia="Arial" w:hAnsi="Arial" w:cs="Arial"/>
                <w:szCs w:val="23"/>
                <w:lang w:val="fr-CA"/>
              </w:rPr>
            </w:pPr>
            <w:r w:rsidRPr="00F52884">
              <w:rPr>
                <w:rFonts w:ascii="Arial" w:eastAsia="Arial" w:hAnsi="Arial" w:cs="Arial"/>
                <w:szCs w:val="23"/>
                <w:lang w:val="fr-CA"/>
              </w:rPr>
              <w:t>a)</w:t>
            </w:r>
            <w:r w:rsidRPr="00F52884">
              <w:rPr>
                <w:rFonts w:ascii="Arial" w:eastAsia="Arial" w:hAnsi="Arial" w:cs="Arial"/>
                <w:szCs w:val="23"/>
                <w:lang w:val="fr-CA"/>
              </w:rPr>
              <w:tab/>
              <w:t>l’effet de l’investissement sur le niveau et la nature de l’activité économique au Canada, y compris sur l’emploi, sur l’utilisation de pièces et d’éléments produits et de services rendus au Canada et sur les exportations canadiennes;</w:t>
            </w:r>
          </w:p>
          <w:p w14:paraId="49E00CF1" w14:textId="2651CCD6" w:rsidR="002028B5" w:rsidRPr="00F52884" w:rsidRDefault="002028B5" w:rsidP="00F52884">
            <w:pPr>
              <w:spacing w:before="120" w:after="120"/>
              <w:ind w:left="906" w:hanging="540"/>
              <w:rPr>
                <w:rFonts w:ascii="Arial" w:eastAsia="Arial" w:hAnsi="Arial" w:cs="Arial"/>
                <w:szCs w:val="23"/>
                <w:lang w:val="fr-CA"/>
              </w:rPr>
            </w:pPr>
            <w:r w:rsidRPr="00F52884">
              <w:rPr>
                <w:rFonts w:ascii="Arial" w:eastAsia="Arial" w:hAnsi="Arial" w:cs="Arial"/>
                <w:szCs w:val="23"/>
                <w:lang w:val="fr-CA"/>
              </w:rPr>
              <w:t>b)</w:t>
            </w:r>
            <w:r w:rsidRPr="00F52884">
              <w:rPr>
                <w:rFonts w:ascii="Arial" w:eastAsia="Arial" w:hAnsi="Arial" w:cs="Arial"/>
                <w:szCs w:val="23"/>
                <w:lang w:val="fr-CA"/>
              </w:rPr>
              <w:tab/>
              <w:t>l’étendue et l’importance de la participation de Canadiens dans l’investissement;</w:t>
            </w:r>
          </w:p>
          <w:p w14:paraId="335D5557" w14:textId="2B2BF4ED" w:rsidR="002028B5" w:rsidRPr="00F52884" w:rsidRDefault="002028B5" w:rsidP="00F52884">
            <w:pPr>
              <w:spacing w:before="120" w:after="120"/>
              <w:ind w:left="906" w:hanging="540"/>
              <w:rPr>
                <w:rFonts w:ascii="Arial" w:eastAsia="Arial" w:hAnsi="Arial" w:cs="Arial"/>
                <w:szCs w:val="23"/>
                <w:lang w:val="fr-CA"/>
              </w:rPr>
            </w:pPr>
            <w:r w:rsidRPr="00F52884">
              <w:rPr>
                <w:rFonts w:ascii="Arial" w:eastAsia="Arial" w:hAnsi="Arial" w:cs="Arial"/>
                <w:szCs w:val="23"/>
                <w:lang w:val="fr-CA"/>
              </w:rPr>
              <w:t>c)</w:t>
            </w:r>
            <w:r w:rsidRPr="00F52884">
              <w:rPr>
                <w:rFonts w:ascii="Arial" w:eastAsia="Arial" w:hAnsi="Arial" w:cs="Arial"/>
                <w:szCs w:val="23"/>
                <w:lang w:val="fr-CA"/>
              </w:rPr>
              <w:tab/>
              <w:t>l’effet de l’investissement sur la productivité, le rendement industriel, le progrès technologique et la création de produits nouveaux au Canada;</w:t>
            </w:r>
          </w:p>
          <w:p w14:paraId="1E9FB1A4" w14:textId="505FF101" w:rsidR="002028B5" w:rsidRPr="00F52884" w:rsidRDefault="002028B5" w:rsidP="00F52884">
            <w:pPr>
              <w:spacing w:before="120" w:after="120"/>
              <w:ind w:left="906" w:hanging="540"/>
              <w:rPr>
                <w:rFonts w:ascii="Arial" w:eastAsia="Arial" w:hAnsi="Arial" w:cs="Arial"/>
                <w:szCs w:val="23"/>
                <w:lang w:val="fr-CA"/>
              </w:rPr>
            </w:pPr>
            <w:r w:rsidRPr="00F52884">
              <w:rPr>
                <w:rFonts w:ascii="Arial" w:eastAsia="Arial" w:hAnsi="Arial" w:cs="Arial"/>
                <w:szCs w:val="23"/>
                <w:lang w:val="fr-CA"/>
              </w:rPr>
              <w:t>d)</w:t>
            </w:r>
            <w:r w:rsidRPr="00F52884">
              <w:rPr>
                <w:rFonts w:ascii="Arial" w:eastAsia="Arial" w:hAnsi="Arial" w:cs="Arial"/>
                <w:szCs w:val="23"/>
                <w:lang w:val="fr-CA"/>
              </w:rPr>
              <w:tab/>
              <w:t>l’effet de l’investissement sur la concurrence dans un secteur industriel au Canada;</w:t>
            </w:r>
          </w:p>
          <w:p w14:paraId="6F6E9B8B" w14:textId="1A8AC706" w:rsidR="002028B5" w:rsidRPr="00F52884" w:rsidRDefault="002028B5" w:rsidP="00F52884">
            <w:pPr>
              <w:spacing w:before="120" w:after="120"/>
              <w:ind w:left="906" w:hanging="540"/>
              <w:rPr>
                <w:rFonts w:ascii="Arial" w:eastAsia="Arial" w:hAnsi="Arial" w:cs="Arial"/>
                <w:szCs w:val="23"/>
                <w:lang w:val="fr-CA"/>
              </w:rPr>
            </w:pPr>
            <w:r w:rsidRPr="00F52884">
              <w:rPr>
                <w:rFonts w:ascii="Arial" w:eastAsia="Arial" w:hAnsi="Arial" w:cs="Arial"/>
                <w:szCs w:val="23"/>
                <w:lang w:val="fr-CA"/>
              </w:rPr>
              <w:t>e)</w:t>
            </w:r>
            <w:r w:rsidRPr="00F52884">
              <w:rPr>
                <w:rFonts w:ascii="Arial" w:eastAsia="Arial" w:hAnsi="Arial" w:cs="Arial"/>
                <w:szCs w:val="23"/>
                <w:lang w:val="fr-CA"/>
              </w:rPr>
              <w:tab/>
              <w:t xml:space="preserve">la compatibilité de l’investissement avec les politiques nationales en matière industrielle, économique et culturelle, compte tenu des objectifs de politique industrielle, économique et culturelle énoncés par le gouvernement ou la législature d’une Province sur laquelle l’investissement </w:t>
            </w:r>
            <w:proofErr w:type="gramStart"/>
            <w:r w:rsidRPr="00F52884">
              <w:rPr>
                <w:rFonts w:ascii="Arial" w:eastAsia="Arial" w:hAnsi="Arial" w:cs="Arial"/>
                <w:szCs w:val="23"/>
                <w:lang w:val="fr-CA"/>
              </w:rPr>
              <w:t>aura</w:t>
            </w:r>
            <w:proofErr w:type="gramEnd"/>
            <w:r w:rsidRPr="00F52884">
              <w:rPr>
                <w:rFonts w:ascii="Arial" w:eastAsia="Arial" w:hAnsi="Arial" w:cs="Arial"/>
                <w:szCs w:val="23"/>
                <w:lang w:val="fr-CA"/>
              </w:rPr>
              <w:t xml:space="preserve"> vraisemblablement des répercussions appréciables;</w:t>
            </w:r>
          </w:p>
          <w:p w14:paraId="015221D4" w14:textId="5901F776" w:rsidR="002028B5" w:rsidRPr="00F52884" w:rsidRDefault="002028B5" w:rsidP="00F52884">
            <w:pPr>
              <w:spacing w:before="120" w:after="120"/>
              <w:ind w:left="906" w:hanging="540"/>
              <w:rPr>
                <w:rFonts w:ascii="Arial" w:eastAsia="Arial" w:hAnsi="Arial" w:cs="Arial"/>
                <w:szCs w:val="23"/>
                <w:lang w:val="fr-CA"/>
              </w:rPr>
            </w:pPr>
            <w:r w:rsidRPr="00F52884">
              <w:rPr>
                <w:rFonts w:ascii="Arial" w:eastAsia="Arial" w:hAnsi="Arial" w:cs="Arial"/>
                <w:szCs w:val="23"/>
                <w:lang w:val="fr-CA"/>
              </w:rPr>
              <w:t>f)</w:t>
            </w:r>
            <w:r w:rsidRPr="00F52884">
              <w:rPr>
                <w:rFonts w:ascii="Arial" w:eastAsia="Arial" w:hAnsi="Arial" w:cs="Arial"/>
                <w:szCs w:val="23"/>
                <w:lang w:val="fr-CA"/>
              </w:rPr>
              <w:tab/>
              <w:t>la contribution de l’investissement à la compétitivité canadienne sur les marchés mondiaux.</w:t>
            </w:r>
          </w:p>
          <w:p w14:paraId="46E87F15" w14:textId="3B7F523E"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5.</w:t>
            </w:r>
            <w:r w:rsidRPr="00F52884">
              <w:rPr>
                <w:rFonts w:ascii="Arial" w:eastAsia="Arial" w:hAnsi="Arial" w:cs="Arial"/>
                <w:szCs w:val="23"/>
                <w:lang w:val="fr-CA"/>
              </w:rPr>
              <w:tab/>
              <w:t xml:space="preserve">Pour déterminer si l’investissement donne lieu à un avantage net, le ministre peut, par l’intermédiaire du directeur des investissements, examiner les plans du demandeur qui démontrent l’avantage net pour le Canada de l’acquisition proposée. Un demandeur peut aussi soumettre au ministre des </w:t>
            </w:r>
            <w:proofErr w:type="gramStart"/>
            <w:r w:rsidRPr="00F52884">
              <w:rPr>
                <w:rFonts w:ascii="Arial" w:eastAsia="Arial" w:hAnsi="Arial" w:cs="Arial"/>
                <w:szCs w:val="23"/>
                <w:lang w:val="fr-CA"/>
              </w:rPr>
              <w:t>engagements</w:t>
            </w:r>
            <w:proofErr w:type="gramEnd"/>
            <w:r w:rsidRPr="00F52884">
              <w:rPr>
                <w:rFonts w:ascii="Arial" w:eastAsia="Arial" w:hAnsi="Arial" w:cs="Arial"/>
                <w:szCs w:val="23"/>
                <w:lang w:val="fr-CA"/>
              </w:rPr>
              <w:t xml:space="preserve"> dans le cadre d’une acquisition proposée faisant l’objet d’un examen. En cas de non-conformité avec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 xml:space="preserve">, le ministre peut demander à un tribunal de rendre une ordonnance d’exécution, ou exercer tout autre recours autorisé en vertu de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w:t>
            </w:r>
          </w:p>
          <w:p w14:paraId="606023E4" w14:textId="1E82EF57"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6.</w:t>
            </w:r>
            <w:r w:rsidRPr="00F52884">
              <w:rPr>
                <w:rFonts w:ascii="Arial" w:eastAsia="Arial" w:hAnsi="Arial" w:cs="Arial"/>
                <w:szCs w:val="23"/>
                <w:lang w:val="fr-CA"/>
              </w:rPr>
              <w:tab/>
              <w:t>Un non-Canadien qui constitue ou acquiert une entreprise canadienne qui n’est pas une entreprise devant faire l’objet de l’examen décrit ci-dessus doit en aviser le directeur des investissements.</w:t>
            </w:r>
          </w:p>
          <w:p w14:paraId="634DD045" w14:textId="202495C7"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7.</w:t>
            </w:r>
            <w:r w:rsidRPr="00F52884">
              <w:rPr>
                <w:rFonts w:ascii="Arial" w:eastAsia="Arial" w:hAnsi="Arial" w:cs="Arial"/>
                <w:szCs w:val="23"/>
                <w:lang w:val="fr-CA"/>
              </w:rPr>
              <w:tab/>
              <w:t>Les seuils d’examen énoncés aux paragraphes 2 et 3 ne s’appliquent pas à l’acquisition d’une entreprise culturelle.</w:t>
            </w:r>
          </w:p>
          <w:p w14:paraId="3B3BDD3B" w14:textId="367B9E0E"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8.</w:t>
            </w:r>
            <w:r w:rsidRPr="00F52884">
              <w:rPr>
                <w:rFonts w:ascii="Arial" w:eastAsia="Arial" w:hAnsi="Arial" w:cs="Arial"/>
                <w:szCs w:val="23"/>
                <w:lang w:val="fr-CA"/>
              </w:rPr>
              <w:tab/>
              <w:t>En outre, l’acquisition particulière ou la constitution particulière d’une nouvelle entreprise dans des secteurs d’activité commerciale désignés liés au patrimoine culturel ou à l’identité nationale du Canada, qui font habituellement l’objet d’un avis, peut être examinée si le gouverneur en conseil autorise un examen dans l’intérêt public.</w:t>
            </w:r>
          </w:p>
          <w:p w14:paraId="02A2E512" w14:textId="3F6B436C"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9.</w:t>
            </w:r>
            <w:r w:rsidRPr="00F52884">
              <w:rPr>
                <w:rFonts w:ascii="Arial" w:eastAsia="Arial" w:hAnsi="Arial" w:cs="Arial"/>
                <w:szCs w:val="23"/>
                <w:lang w:val="fr-CA"/>
              </w:rPr>
              <w:tab/>
              <w:t>Une « acquisition de contrôle » indirecte d’une entreprise canadienne autre qu’une entreprise culturelle par un investisseur non canadien dont les accords de commerce international sont à l’avantage de cet investisseur n’est pas soumise à examen.</w:t>
            </w:r>
          </w:p>
          <w:p w14:paraId="3E3AA5B4" w14:textId="286CDB23"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10.</w:t>
            </w:r>
            <w:r w:rsidRPr="00F52884">
              <w:rPr>
                <w:rFonts w:ascii="Arial" w:eastAsia="Arial" w:hAnsi="Arial" w:cs="Arial"/>
                <w:szCs w:val="23"/>
                <w:lang w:val="fr-CA"/>
              </w:rPr>
              <w:tab/>
              <w:t xml:space="preserve">Nonobstant l’article 313 (Prescriptions de résultats), le Canada peut imposer ou appliquer une mesure ou subordonner l’octroi ou le maintien d’un avantage exigeant un investisseur d’une Partie à transférer une technologie, un procédé de fabrication ou un autre savoir-faire exclusif à </w:t>
            </w:r>
            <w:r w:rsidRPr="00F52884">
              <w:rPr>
                <w:rFonts w:ascii="Arial" w:eastAsia="Arial" w:hAnsi="Arial" w:cs="Arial"/>
                <w:szCs w:val="23"/>
                <w:lang w:val="fr-CA"/>
              </w:rPr>
              <w:lastRenderedPageBreak/>
              <w:t xml:space="preserve">une personne ou à une Partie, au Canada en lien avec l’examen d’un investissement en vertu de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w:t>
            </w:r>
          </w:p>
          <w:p w14:paraId="6AF3ACC7" w14:textId="7B268C3B"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11.</w:t>
            </w:r>
            <w:r w:rsidRPr="00F52884">
              <w:rPr>
                <w:rFonts w:ascii="Arial" w:eastAsia="Arial" w:hAnsi="Arial" w:cs="Arial"/>
                <w:szCs w:val="23"/>
                <w:lang w:val="fr-CA"/>
              </w:rPr>
              <w:tab/>
              <w:t xml:space="preserve">À l’exception des mesures ou des conditions liées au transfert de technologie énoncées au paragraphe 10 de la présente exception, l’article 313 (Prescriptions de résultats) s’applique aux mesures ou aux conditions imposées ou appliquées conformément à la </w:t>
            </w:r>
            <w:r w:rsidRPr="00F52884">
              <w:rPr>
                <w:rFonts w:ascii="Arial" w:eastAsia="Arial" w:hAnsi="Arial" w:cs="Arial"/>
                <w:i/>
                <w:iCs/>
                <w:szCs w:val="23"/>
                <w:lang w:val="fr-CA"/>
              </w:rPr>
              <w:t>Loi sur Investissement Canada.</w:t>
            </w:r>
          </w:p>
          <w:p w14:paraId="21383C97" w14:textId="491A3758"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12.</w:t>
            </w:r>
            <w:r w:rsidRPr="00F52884">
              <w:rPr>
                <w:rFonts w:ascii="Arial" w:eastAsia="Arial" w:hAnsi="Arial" w:cs="Arial"/>
                <w:szCs w:val="23"/>
                <w:lang w:val="fr-CA"/>
              </w:rPr>
              <w:tab/>
              <w:t xml:space="preserve">Aux fins de la présente exception, un « non-Canadien » désigne un individu, un gouvernement ou un organisme de celui-ci, ou une entité qui n’est pas canadien, et « Canadien » désigne un citoyen canadien ou un résident permanent, un gouvernement au Canada ou un de ses organismes, ou une entité sous contrôle canadien au sens de la </w:t>
            </w:r>
            <w:r w:rsidRPr="00F52884">
              <w:rPr>
                <w:rFonts w:ascii="Arial" w:eastAsia="Arial" w:hAnsi="Arial" w:cs="Arial"/>
                <w:i/>
                <w:iCs/>
                <w:szCs w:val="23"/>
                <w:lang w:val="fr-CA"/>
              </w:rPr>
              <w:t>Loi sur Investissement Canada</w:t>
            </w:r>
            <w:r w:rsidRPr="00F52884">
              <w:rPr>
                <w:rFonts w:ascii="Arial" w:eastAsia="Arial" w:hAnsi="Arial" w:cs="Arial"/>
                <w:szCs w:val="23"/>
                <w:lang w:val="fr-CA"/>
              </w:rPr>
              <w:t>.</w:t>
            </w:r>
          </w:p>
        </w:tc>
      </w:tr>
    </w:tbl>
    <w:p w14:paraId="2E186C31" w14:textId="787D57D1" w:rsidR="002028B5" w:rsidRPr="00F52884" w:rsidRDefault="002028B5" w:rsidP="00E94578">
      <w:pPr>
        <w:rPr>
          <w:rFonts w:ascii="Arial" w:eastAsia="Arial" w:hAnsi="Arial" w:cs="Arial"/>
          <w:b/>
          <w:szCs w:val="23"/>
          <w:lang w:val="fr-CA"/>
        </w:rPr>
      </w:pPr>
    </w:p>
    <w:p w14:paraId="7B9EEA21" w14:textId="77777777" w:rsidR="00C82933" w:rsidRPr="00F52884" w:rsidRDefault="00C82933" w:rsidP="00E94578">
      <w:pPr>
        <w:rPr>
          <w:rFonts w:ascii="Arial" w:eastAsia="Arial" w:hAnsi="Arial" w:cs="Arial"/>
          <w:b/>
          <w:szCs w:val="23"/>
          <w:lang w:val="fr-CA"/>
        </w:rPr>
      </w:pPr>
    </w:p>
    <w:p w14:paraId="79FB6DF0" w14:textId="58C1D319" w:rsidR="002028B5" w:rsidRPr="00F52884" w:rsidRDefault="00C82933" w:rsidP="00C82933">
      <w:pPr>
        <w:spacing w:before="60" w:after="60"/>
        <w:ind w:left="-357"/>
        <w:rPr>
          <w:rFonts w:ascii="Arial" w:eastAsia="Arial" w:hAnsi="Arial" w:cs="Arial"/>
          <w:b/>
          <w:szCs w:val="23"/>
        </w:rPr>
      </w:pPr>
      <w:r w:rsidRPr="00F52884">
        <w:rPr>
          <w:rFonts w:ascii="Arial" w:eastAsia="Arial" w:hAnsi="Arial" w:cs="Arial"/>
          <w:b/>
          <w:szCs w:val="23"/>
          <w:lang w:val="fr-CA"/>
        </w:rPr>
        <w:t xml:space="preserve">3.  </w:t>
      </w:r>
      <w:r w:rsidR="002028B5" w:rsidRPr="00F52884">
        <w:rPr>
          <w:rFonts w:ascii="Arial Bold" w:eastAsia="Arial" w:hAnsi="Arial Bold" w:cs="Arial"/>
          <w:b/>
          <w:caps/>
          <w:szCs w:val="23"/>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7713"/>
        <w:gridCol w:w="379"/>
      </w:tblGrid>
      <w:tr w:rsidR="002028B5" w:rsidRPr="00F52884" w14:paraId="4121805B" w14:textId="77777777" w:rsidTr="008E4BC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DB57DBC" w14:textId="292DF9D1" w:rsidR="002028B5" w:rsidRPr="00F52884" w:rsidRDefault="002028B5" w:rsidP="00C82933">
            <w:pPr>
              <w:spacing w:before="60" w:after="60"/>
              <w:rPr>
                <w:rFonts w:ascii="Arial" w:eastAsia="Arial" w:hAnsi="Arial" w:cs="Arial"/>
                <w:szCs w:val="23"/>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76A55E59" w14:textId="225AD2BF" w:rsidR="002028B5" w:rsidRPr="00F52884" w:rsidRDefault="008E4BC2" w:rsidP="00C82933">
            <w:pPr>
              <w:spacing w:before="60" w:after="60"/>
              <w:rPr>
                <w:rFonts w:ascii="Arial" w:eastAsia="Arial" w:hAnsi="Arial" w:cs="Arial"/>
                <w:szCs w:val="23"/>
              </w:rPr>
            </w:pPr>
            <w:r w:rsidRPr="00F52884">
              <w:rPr>
                <w:rFonts w:ascii="Arial" w:eastAsia="Arial" w:hAnsi="Arial" w:cs="Arial"/>
                <w:szCs w:val="23"/>
                <w:lang w:val="fr-CA"/>
              </w:rPr>
              <w:t>Tous les secteurs</w:t>
            </w:r>
          </w:p>
        </w:tc>
      </w:tr>
      <w:tr w:rsidR="002028B5" w:rsidRPr="00F52884" w14:paraId="5ACB8066" w14:textId="77777777" w:rsidTr="008E4BC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3D45FEFF" w14:textId="77777777" w:rsidR="002028B5" w:rsidRPr="00F52884" w:rsidRDefault="002028B5" w:rsidP="00C82933">
            <w:pPr>
              <w:spacing w:before="60" w:after="60"/>
              <w:rPr>
                <w:rFonts w:ascii="Arial" w:eastAsia="Arial" w:hAnsi="Arial" w:cs="Arial"/>
                <w:b/>
                <w:szCs w:val="23"/>
              </w:rPr>
            </w:pPr>
            <w:r w:rsidRPr="00F52884">
              <w:rPr>
                <w:rFonts w:ascii="Arial" w:eastAsia="Arial" w:hAnsi="Arial" w:cs="Arial"/>
                <w:b/>
                <w:bCs/>
                <w:szCs w:val="23"/>
                <w:lang w:val="fr-CA"/>
              </w:rPr>
              <w:t>Sous-secteur :</w:t>
            </w:r>
          </w:p>
        </w:tc>
        <w:tc>
          <w:tcPr>
            <w:tcW w:w="8092" w:type="dxa"/>
            <w:gridSpan w:val="2"/>
            <w:tcBorders>
              <w:top w:val="single" w:sz="4" w:space="0" w:color="C0C0C0"/>
              <w:left w:val="single" w:sz="4" w:space="0" w:color="FFFFFF"/>
              <w:bottom w:val="single" w:sz="4" w:space="0" w:color="C0C0C0"/>
              <w:right w:val="nil"/>
            </w:tcBorders>
            <w:vAlign w:val="center"/>
          </w:tcPr>
          <w:p w14:paraId="4154519B" w14:textId="77777777" w:rsidR="002028B5" w:rsidRPr="00F52884" w:rsidRDefault="002028B5" w:rsidP="00C82933">
            <w:pPr>
              <w:spacing w:before="60" w:after="60"/>
              <w:rPr>
                <w:rFonts w:ascii="Arial" w:eastAsia="Arial" w:hAnsi="Arial" w:cs="Arial"/>
                <w:szCs w:val="23"/>
              </w:rPr>
            </w:pPr>
          </w:p>
        </w:tc>
      </w:tr>
      <w:tr w:rsidR="002028B5" w:rsidRPr="00F52884" w14:paraId="32634F51" w14:textId="77777777" w:rsidTr="008E4BC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4C09A1C5" w14:textId="77777777"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7713" w:type="dxa"/>
            <w:tcBorders>
              <w:top w:val="single" w:sz="4" w:space="0" w:color="C0C0C0"/>
              <w:left w:val="single" w:sz="4" w:space="0" w:color="FFFFFF"/>
              <w:bottom w:val="single" w:sz="4" w:space="0" w:color="C0C0C0"/>
              <w:right w:val="nil"/>
            </w:tcBorders>
            <w:vAlign w:val="center"/>
          </w:tcPr>
          <w:p w14:paraId="288FDECE" w14:textId="77777777" w:rsidR="002028B5" w:rsidRPr="00F52884" w:rsidRDefault="002028B5" w:rsidP="00C82933">
            <w:pPr>
              <w:spacing w:before="60" w:after="60"/>
              <w:ind w:left="4"/>
              <w:rPr>
                <w:rFonts w:ascii="Arial" w:eastAsia="Arial" w:hAnsi="Arial" w:cs="Arial"/>
                <w:szCs w:val="23"/>
              </w:rPr>
            </w:pPr>
          </w:p>
        </w:tc>
      </w:tr>
      <w:tr w:rsidR="008E4BC2" w:rsidRPr="00D315AF" w14:paraId="786FD01E"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26F2702E" w14:textId="0DCA179E"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26E69F08" w14:textId="600839D9"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312 (Accès aux marchés – Investissement)</w:t>
            </w:r>
          </w:p>
        </w:tc>
      </w:tr>
      <w:tr w:rsidR="002028B5" w:rsidRPr="00F52884" w14:paraId="53DFBE5E"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4900369" w14:textId="77777777" w:rsidR="002028B5" w:rsidRPr="00F52884" w:rsidRDefault="002028B5" w:rsidP="005B2946">
            <w:pPr>
              <w:spacing w:before="60" w:after="60"/>
              <w:rPr>
                <w:b/>
              </w:rPr>
            </w:pPr>
            <w:r w:rsidRPr="00F52884">
              <w:rPr>
                <w:b/>
                <w:lang w:val="fr-CA"/>
              </w:rPr>
              <w:t>Mesures :</w:t>
            </w:r>
          </w:p>
        </w:tc>
      </w:tr>
      <w:tr w:rsidR="002028B5" w:rsidRPr="00D315AF" w14:paraId="3F00413D"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996F34A" w14:textId="2F0E8616" w:rsidR="002028B5" w:rsidRPr="00F52884" w:rsidRDefault="002028B5" w:rsidP="00C82933">
            <w:pPr>
              <w:spacing w:before="60" w:after="60"/>
              <w:rPr>
                <w:rFonts w:ascii="Arial" w:eastAsia="Arial" w:hAnsi="Arial" w:cs="Arial"/>
                <w:szCs w:val="23"/>
                <w:lang w:val="fr-FR"/>
              </w:rPr>
            </w:pPr>
            <w:r w:rsidRPr="00F52884">
              <w:rPr>
                <w:rFonts w:ascii="Arial" w:eastAsia="Arial" w:hAnsi="Arial" w:cs="Arial"/>
                <w:i/>
                <w:iCs/>
                <w:szCs w:val="23"/>
                <w:lang w:val="fr-CA"/>
              </w:rPr>
              <w:t>Loi sur la réorganisation et l’aliénation de Eldorado Nucléaire Limitée</w:t>
            </w:r>
            <w:r w:rsidRPr="00F52884">
              <w:rPr>
                <w:rFonts w:ascii="Arial" w:eastAsia="Arial" w:hAnsi="Arial" w:cs="Arial"/>
                <w:szCs w:val="23"/>
                <w:lang w:val="fr-CA"/>
              </w:rPr>
              <w:t xml:space="preserve">, LC 1988, c 41 </w:t>
            </w:r>
            <w:r w:rsidRPr="00F52884">
              <w:rPr>
                <w:rFonts w:ascii="Arial" w:eastAsia="Arial" w:hAnsi="Arial" w:cs="Arial"/>
                <w:szCs w:val="23"/>
                <w:lang w:val="fr-CA"/>
              </w:rPr>
              <w:br/>
            </w:r>
            <w:r w:rsidRPr="00F52884">
              <w:rPr>
                <w:rFonts w:ascii="Arial" w:eastAsia="Arial" w:hAnsi="Arial" w:cs="Arial"/>
                <w:i/>
                <w:iCs/>
                <w:szCs w:val="23"/>
                <w:lang w:val="fr-CA"/>
              </w:rPr>
              <w:t xml:space="preserve">Loi autorisant l’aliénation de </w:t>
            </w:r>
            <w:proofErr w:type="spellStart"/>
            <w:r w:rsidRPr="00F52884">
              <w:rPr>
                <w:rFonts w:ascii="Arial" w:eastAsia="Arial" w:hAnsi="Arial" w:cs="Arial"/>
                <w:i/>
                <w:iCs/>
                <w:szCs w:val="23"/>
                <w:lang w:val="fr-CA"/>
              </w:rPr>
              <w:t>Nordion</w:t>
            </w:r>
            <w:proofErr w:type="spellEnd"/>
            <w:r w:rsidRPr="00F52884">
              <w:rPr>
                <w:rFonts w:ascii="Arial" w:eastAsia="Arial" w:hAnsi="Arial" w:cs="Arial"/>
                <w:i/>
                <w:iCs/>
                <w:szCs w:val="23"/>
                <w:lang w:val="fr-CA"/>
              </w:rPr>
              <w:t xml:space="preserve"> et de </w:t>
            </w:r>
            <w:proofErr w:type="spellStart"/>
            <w:r w:rsidRPr="00F52884">
              <w:rPr>
                <w:rFonts w:ascii="Arial" w:eastAsia="Arial" w:hAnsi="Arial" w:cs="Arial"/>
                <w:i/>
                <w:iCs/>
                <w:szCs w:val="23"/>
                <w:lang w:val="fr-CA"/>
              </w:rPr>
              <w:t>Theratronics</w:t>
            </w:r>
            <w:proofErr w:type="spellEnd"/>
            <w:r w:rsidRPr="00F52884">
              <w:rPr>
                <w:rFonts w:ascii="Arial" w:eastAsia="Arial" w:hAnsi="Arial" w:cs="Arial"/>
                <w:szCs w:val="23"/>
                <w:lang w:val="fr-CA"/>
              </w:rPr>
              <w:t>, LC 1990, c 4</w:t>
            </w:r>
          </w:p>
        </w:tc>
      </w:tr>
      <w:tr w:rsidR="002028B5" w:rsidRPr="00F52884" w14:paraId="5B196A3E"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7D39575" w14:textId="77777777" w:rsidR="002028B5" w:rsidRPr="00F52884" w:rsidRDefault="002028B5" w:rsidP="005B2946">
            <w:pPr>
              <w:spacing w:before="60" w:after="60"/>
              <w:rPr>
                <w:b/>
              </w:rPr>
            </w:pPr>
            <w:r w:rsidRPr="00F52884">
              <w:rPr>
                <w:b/>
                <w:lang w:val="fr-CA"/>
              </w:rPr>
              <w:t>Description :</w:t>
            </w:r>
          </w:p>
        </w:tc>
      </w:tr>
      <w:tr w:rsidR="002028B5" w:rsidRPr="00D315AF" w14:paraId="04A21AA9"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790DA3F6" w14:textId="77777777" w:rsidR="002028B5" w:rsidRPr="00F52884" w:rsidRDefault="002028B5" w:rsidP="008E4BC2">
            <w:pPr>
              <w:numPr>
                <w:ilvl w:val="0"/>
                <w:numId w:val="232"/>
              </w:numPr>
              <w:spacing w:before="120" w:after="120"/>
              <w:rPr>
                <w:rFonts w:ascii="Arial" w:eastAsia="Arial" w:hAnsi="Arial" w:cs="Arial"/>
                <w:szCs w:val="23"/>
                <w:lang w:val="fr-CA"/>
              </w:rPr>
            </w:pPr>
            <w:r w:rsidRPr="00F52884">
              <w:rPr>
                <w:rFonts w:ascii="Arial" w:eastAsia="Arial" w:hAnsi="Arial" w:cs="Arial"/>
                <w:szCs w:val="23"/>
                <w:lang w:val="fr-CA"/>
              </w:rPr>
              <w:t>Un « non-résident » ou des « non-résidents » ne peuvent détenir plus d’un pourcentage donné des actions avec droit de vote de la société visée par chacune des lois. Pour certaines sociétés, les restrictions s’appliquent aux actionnaires considérés individuellement, alors que pour d’autres sociétés, elles s’appliquent à l’ensemble des actionnaires. Une limite imposée à l’égard du pourcentage d’actions qu’un investisseur canadien peut détenir à titre individuel s’applique également aux non-résidents. Les restrictions sont les suivantes :</w:t>
            </w:r>
          </w:p>
          <w:p w14:paraId="1B581399" w14:textId="0A55C507" w:rsidR="002028B5" w:rsidRPr="00F52884" w:rsidRDefault="002028B5" w:rsidP="00F52884">
            <w:pPr>
              <w:numPr>
                <w:ilvl w:val="0"/>
                <w:numId w:val="293"/>
              </w:numPr>
              <w:tabs>
                <w:tab w:val="clear" w:pos="720"/>
              </w:tabs>
              <w:spacing w:before="120" w:after="120"/>
              <w:ind w:left="906" w:hanging="540"/>
              <w:rPr>
                <w:rFonts w:ascii="Arial" w:eastAsia="Arial" w:hAnsi="Arial" w:cs="Arial"/>
                <w:szCs w:val="23"/>
                <w:lang w:val="fr-FR"/>
              </w:rPr>
            </w:pPr>
            <w:proofErr w:type="spellStart"/>
            <w:r w:rsidRPr="00F52884">
              <w:rPr>
                <w:rFonts w:ascii="Arial" w:eastAsia="Arial" w:hAnsi="Arial" w:cs="Arial"/>
                <w:szCs w:val="23"/>
                <w:lang w:val="fr-CA"/>
              </w:rPr>
              <w:t>Cameco</w:t>
            </w:r>
            <w:proofErr w:type="spellEnd"/>
            <w:r w:rsidRPr="00F52884">
              <w:rPr>
                <w:rFonts w:ascii="Arial" w:eastAsia="Arial" w:hAnsi="Arial" w:cs="Arial"/>
                <w:szCs w:val="23"/>
                <w:lang w:val="fr-CA"/>
              </w:rPr>
              <w:t xml:space="preserve"> Limitée (anciennement Eldorado Nucléaire Limitée) : 15 pour cent par non-résident, 25 pour cent collectivement; 25 pour cent par résident, pas de limite collectivement;</w:t>
            </w:r>
          </w:p>
          <w:p w14:paraId="1CF4988B" w14:textId="177440D6" w:rsidR="002028B5" w:rsidRPr="00F52884" w:rsidRDefault="002028B5" w:rsidP="00F52884">
            <w:pPr>
              <w:numPr>
                <w:ilvl w:val="0"/>
                <w:numId w:val="293"/>
              </w:numPr>
              <w:tabs>
                <w:tab w:val="clear" w:pos="720"/>
              </w:tabs>
              <w:spacing w:before="120" w:after="120"/>
              <w:ind w:left="906" w:hanging="540"/>
              <w:rPr>
                <w:rFonts w:ascii="Arial" w:eastAsia="Arial" w:hAnsi="Arial" w:cs="Arial"/>
                <w:szCs w:val="23"/>
                <w:lang w:val="fr-CA"/>
              </w:rPr>
            </w:pPr>
            <w:proofErr w:type="spellStart"/>
            <w:r w:rsidRPr="00F52884">
              <w:rPr>
                <w:rFonts w:ascii="Arial" w:eastAsia="Arial" w:hAnsi="Arial" w:cs="Arial"/>
                <w:szCs w:val="23"/>
                <w:lang w:val="fr-CA"/>
              </w:rPr>
              <w:t>Nordion</w:t>
            </w:r>
            <w:proofErr w:type="spellEnd"/>
            <w:r w:rsidRPr="00F52884">
              <w:rPr>
                <w:rFonts w:ascii="Arial" w:eastAsia="Arial" w:hAnsi="Arial" w:cs="Arial"/>
                <w:szCs w:val="23"/>
                <w:lang w:val="fr-CA"/>
              </w:rPr>
              <w:t xml:space="preserve"> International Inc. : 25 pour cent collectivement;</w:t>
            </w:r>
          </w:p>
          <w:p w14:paraId="6E8CDCAB" w14:textId="5B3ABCE7" w:rsidR="002028B5" w:rsidRPr="00F52884" w:rsidRDefault="002028B5" w:rsidP="00F52884">
            <w:pPr>
              <w:numPr>
                <w:ilvl w:val="0"/>
                <w:numId w:val="293"/>
              </w:numPr>
              <w:tabs>
                <w:tab w:val="clear" w:pos="720"/>
              </w:tabs>
              <w:spacing w:before="120" w:after="120"/>
              <w:ind w:left="906" w:hanging="540"/>
              <w:rPr>
                <w:rFonts w:ascii="Arial" w:eastAsia="Arial" w:hAnsi="Arial" w:cs="Arial"/>
                <w:szCs w:val="23"/>
                <w:lang w:val="fr-CA"/>
              </w:rPr>
            </w:pPr>
            <w:proofErr w:type="spellStart"/>
            <w:r w:rsidRPr="00F52884">
              <w:rPr>
                <w:rFonts w:ascii="Arial" w:eastAsia="Arial" w:hAnsi="Arial" w:cs="Arial"/>
                <w:szCs w:val="23"/>
                <w:lang w:val="fr-CA"/>
              </w:rPr>
              <w:t>Theratronics</w:t>
            </w:r>
            <w:proofErr w:type="spellEnd"/>
            <w:r w:rsidRPr="00F52884">
              <w:rPr>
                <w:rFonts w:ascii="Arial" w:eastAsia="Arial" w:hAnsi="Arial" w:cs="Arial"/>
                <w:szCs w:val="23"/>
                <w:lang w:val="fr-CA"/>
              </w:rPr>
              <w:t xml:space="preserve"> International Limited : 49 pour cent collectivement</w:t>
            </w:r>
            <w:r w:rsidR="00304468">
              <w:rPr>
                <w:rFonts w:ascii="Arial" w:eastAsia="Arial" w:hAnsi="Arial" w:cs="Arial"/>
                <w:szCs w:val="23"/>
                <w:lang w:val="fr-CA"/>
              </w:rPr>
              <w:t>.</w:t>
            </w:r>
          </w:p>
          <w:p w14:paraId="1F318894" w14:textId="3FA82ED8" w:rsidR="002028B5" w:rsidRPr="00F52884" w:rsidRDefault="002028B5" w:rsidP="00F52884">
            <w:pPr>
              <w:numPr>
                <w:ilvl w:val="0"/>
                <w:numId w:val="232"/>
              </w:numPr>
              <w:spacing w:before="120" w:after="120"/>
              <w:rPr>
                <w:rFonts w:ascii="Arial" w:eastAsia="Arial" w:hAnsi="Arial" w:cs="Arial"/>
                <w:szCs w:val="23"/>
                <w:lang w:val="fr-FR"/>
              </w:rPr>
            </w:pPr>
            <w:r w:rsidRPr="00F52884">
              <w:rPr>
                <w:rFonts w:ascii="Arial" w:eastAsia="Arial" w:hAnsi="Arial" w:cs="Arial"/>
                <w:szCs w:val="23"/>
                <w:lang w:val="fr-CA"/>
              </w:rPr>
              <w:t>Pour l’application de la présente exception, le terme non-résident comprend :</w:t>
            </w:r>
          </w:p>
          <w:p w14:paraId="4A5160FE" w14:textId="77777777" w:rsidR="002028B5" w:rsidRPr="00F52884" w:rsidRDefault="002028B5" w:rsidP="00F52884">
            <w:pPr>
              <w:numPr>
                <w:ilvl w:val="0"/>
                <w:numId w:val="294"/>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personne physique qui n’est pas un citoyen canadien et qui ne réside pas habituellement au Canada;</w:t>
            </w:r>
          </w:p>
          <w:p w14:paraId="2F02D833" w14:textId="77777777" w:rsidR="002028B5" w:rsidRPr="00F52884" w:rsidRDefault="002028B5" w:rsidP="00F52884">
            <w:pPr>
              <w:numPr>
                <w:ilvl w:val="0"/>
                <w:numId w:val="294"/>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société constituée, formée ou autrement organisée ailleurs qu’au Canada;</w:t>
            </w:r>
          </w:p>
          <w:p w14:paraId="1B2CF3E5" w14:textId="77777777" w:rsidR="002028B5" w:rsidRPr="00F52884" w:rsidRDefault="002028B5" w:rsidP="00F52884">
            <w:pPr>
              <w:numPr>
                <w:ilvl w:val="0"/>
                <w:numId w:val="294"/>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lastRenderedPageBreak/>
              <w:t>le</w:t>
            </w:r>
            <w:proofErr w:type="gramEnd"/>
            <w:r w:rsidRPr="00F52884">
              <w:rPr>
                <w:rFonts w:ascii="Arial" w:eastAsia="Arial" w:hAnsi="Arial" w:cs="Arial"/>
                <w:szCs w:val="23"/>
                <w:lang w:val="fr-CA"/>
              </w:rPr>
              <w:t xml:space="preserve"> gouvernement d’un État étranger ou une subdivision politique du gouvernement d’un État étranger, ou une personne habilitée à exercer une fonction au nom d’un tel gouvernement;</w:t>
            </w:r>
          </w:p>
          <w:p w14:paraId="26956A17" w14:textId="77777777" w:rsidR="002028B5" w:rsidRPr="00F52884" w:rsidRDefault="002028B5" w:rsidP="00F52884">
            <w:pPr>
              <w:numPr>
                <w:ilvl w:val="0"/>
                <w:numId w:val="294"/>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société contrôlée directement ou indirectement ou une entité visée aux alinéas a) à c);</w:t>
            </w:r>
          </w:p>
          <w:p w14:paraId="4D13BC49" w14:textId="77777777" w:rsidR="002028B5" w:rsidRPr="00F52884" w:rsidRDefault="002028B5" w:rsidP="00F52884">
            <w:pPr>
              <w:numPr>
                <w:ilvl w:val="0"/>
                <w:numId w:val="294"/>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fiducie, selon le cas :</w:t>
            </w:r>
          </w:p>
          <w:p w14:paraId="092B24C0" w14:textId="3219E05F" w:rsidR="002028B5" w:rsidRPr="00F52884" w:rsidRDefault="002028B5" w:rsidP="00F52884">
            <w:pPr>
              <w:spacing w:before="120" w:after="120"/>
              <w:ind w:left="1446" w:hanging="540"/>
              <w:rPr>
                <w:rFonts w:ascii="Arial" w:eastAsia="Arial" w:hAnsi="Arial" w:cs="Arial"/>
                <w:szCs w:val="23"/>
                <w:lang w:val="fr-FR"/>
              </w:rPr>
            </w:pPr>
            <w:r w:rsidRPr="00F52884">
              <w:rPr>
                <w:rFonts w:ascii="Arial" w:eastAsia="Arial" w:hAnsi="Arial" w:cs="Arial"/>
                <w:szCs w:val="23"/>
                <w:lang w:val="fr-CA"/>
              </w:rPr>
              <w:t xml:space="preserve">(i) </w:t>
            </w:r>
            <w:r w:rsidR="008E4BC2" w:rsidRPr="00F52884">
              <w:rPr>
                <w:rFonts w:ascii="Arial" w:eastAsia="Arial" w:hAnsi="Arial" w:cs="Arial"/>
                <w:szCs w:val="23"/>
                <w:lang w:val="fr-CA"/>
              </w:rPr>
              <w:tab/>
            </w:r>
            <w:r w:rsidRPr="00F52884">
              <w:rPr>
                <w:rFonts w:ascii="Arial" w:eastAsia="Arial" w:hAnsi="Arial" w:cs="Arial"/>
                <w:szCs w:val="23"/>
                <w:lang w:val="fr-CA"/>
              </w:rPr>
              <w:t>établie par une entité visée aux alinéas b) à d), autre qu’une fiducie chargée de l’administration d’un fonds de pension au profit de personnes physiques qui sont en majorité des résidents du Canada;</w:t>
            </w:r>
          </w:p>
          <w:p w14:paraId="079E721F" w14:textId="09E90C3E" w:rsidR="002028B5" w:rsidRPr="00F52884" w:rsidRDefault="002028B5" w:rsidP="00F52884">
            <w:pPr>
              <w:spacing w:before="120" w:after="120"/>
              <w:ind w:left="1446" w:hanging="540"/>
              <w:rPr>
                <w:rFonts w:ascii="Arial" w:eastAsia="Arial" w:hAnsi="Arial" w:cs="Arial"/>
                <w:szCs w:val="23"/>
                <w:lang w:val="fr-CA"/>
              </w:rPr>
            </w:pPr>
            <w:r w:rsidRPr="00F52884">
              <w:rPr>
                <w:rFonts w:ascii="Arial" w:eastAsia="Arial" w:hAnsi="Arial" w:cs="Arial"/>
                <w:szCs w:val="23"/>
                <w:lang w:val="fr-CA"/>
              </w:rPr>
              <w:t xml:space="preserve">(ii) </w:t>
            </w:r>
            <w:r w:rsidR="008E4BC2" w:rsidRPr="00F52884">
              <w:rPr>
                <w:rFonts w:ascii="Arial" w:eastAsia="Arial" w:hAnsi="Arial" w:cs="Arial"/>
                <w:szCs w:val="23"/>
                <w:lang w:val="fr-CA"/>
              </w:rPr>
              <w:tab/>
            </w:r>
            <w:r w:rsidRPr="00F52884">
              <w:rPr>
                <w:rFonts w:ascii="Arial" w:eastAsia="Arial" w:hAnsi="Arial" w:cs="Arial"/>
                <w:szCs w:val="23"/>
                <w:lang w:val="fr-CA"/>
              </w:rPr>
              <w:t>dont plus de 50 pour cent de l’intérêt bénéficiaire est détenu par une entité visée aux alinéas a) à d);</w:t>
            </w:r>
          </w:p>
          <w:p w14:paraId="648CB254" w14:textId="77777777" w:rsidR="002028B5" w:rsidRPr="00F52884" w:rsidRDefault="002028B5" w:rsidP="00F52884">
            <w:pPr>
              <w:numPr>
                <w:ilvl w:val="0"/>
                <w:numId w:val="294"/>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une</w:t>
            </w:r>
            <w:proofErr w:type="gramEnd"/>
            <w:r w:rsidRPr="00F52884">
              <w:rPr>
                <w:rFonts w:ascii="Arial" w:eastAsia="Arial" w:hAnsi="Arial" w:cs="Arial"/>
                <w:szCs w:val="23"/>
                <w:lang w:val="fr-CA"/>
              </w:rPr>
              <w:t xml:space="preserve"> société contrôlée directement ou indirectement par une fiducie visée à l’alinéa e).</w:t>
            </w:r>
          </w:p>
        </w:tc>
      </w:tr>
    </w:tbl>
    <w:p w14:paraId="755A8ABA" w14:textId="1622B3AA" w:rsidR="002028B5" w:rsidRPr="00F52884" w:rsidRDefault="002028B5" w:rsidP="00C82933">
      <w:pPr>
        <w:rPr>
          <w:lang w:val="fr-FR"/>
        </w:rPr>
      </w:pPr>
    </w:p>
    <w:p w14:paraId="4C5344B8" w14:textId="77777777" w:rsidR="00C82933" w:rsidRPr="00F52884" w:rsidRDefault="00C82933" w:rsidP="00C82933">
      <w:pPr>
        <w:rPr>
          <w:lang w:val="fr-FR"/>
        </w:rPr>
      </w:pPr>
    </w:p>
    <w:p w14:paraId="2D890A2B" w14:textId="7CF2C889" w:rsidR="002028B5" w:rsidRPr="00F52884" w:rsidRDefault="00A62726" w:rsidP="00C82933">
      <w:pPr>
        <w:spacing w:before="60" w:after="60"/>
        <w:ind w:left="-360"/>
        <w:rPr>
          <w:b/>
        </w:rPr>
      </w:pPr>
      <w:r>
        <w:rPr>
          <w:b/>
          <w:lang w:val="fr-CA"/>
        </w:rPr>
        <w:t>4</w:t>
      </w:r>
      <w:r w:rsidR="00C82933" w:rsidRPr="00F52884">
        <w:rPr>
          <w:b/>
          <w:lang w:val="fr-CA"/>
        </w:rPr>
        <w:t xml:space="preserve">.  </w:t>
      </w:r>
      <w:r w:rsidR="002028B5" w:rsidRPr="00F52884">
        <w:rPr>
          <w:b/>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8021"/>
        <w:gridCol w:w="71"/>
      </w:tblGrid>
      <w:tr w:rsidR="002028B5" w:rsidRPr="00F52884" w14:paraId="61187537" w14:textId="77777777" w:rsidTr="008E4BC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D57CC30" w14:textId="10717349" w:rsidR="002028B5" w:rsidRPr="00F52884" w:rsidRDefault="002028B5" w:rsidP="00C82933">
            <w:pPr>
              <w:spacing w:before="60" w:after="60"/>
              <w:rPr>
                <w:rFonts w:ascii="Arial" w:eastAsia="Arial" w:hAnsi="Arial" w:cs="Arial"/>
                <w:szCs w:val="23"/>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2C4152F6" w14:textId="36DF0589" w:rsidR="002028B5" w:rsidRPr="00F52884" w:rsidRDefault="008E4BC2" w:rsidP="00C82933">
            <w:pPr>
              <w:spacing w:before="60" w:after="60"/>
              <w:rPr>
                <w:rFonts w:ascii="Arial" w:eastAsia="Arial" w:hAnsi="Arial" w:cs="Arial"/>
                <w:szCs w:val="23"/>
              </w:rPr>
            </w:pPr>
            <w:r w:rsidRPr="00F52884">
              <w:rPr>
                <w:rFonts w:ascii="Arial" w:eastAsia="Arial" w:hAnsi="Arial" w:cs="Arial"/>
                <w:szCs w:val="23"/>
                <w:lang w:val="fr-CA"/>
              </w:rPr>
              <w:t xml:space="preserve">Communications  </w:t>
            </w:r>
          </w:p>
        </w:tc>
      </w:tr>
      <w:tr w:rsidR="002028B5" w:rsidRPr="00D315AF" w14:paraId="4B960932" w14:textId="77777777" w:rsidTr="008E4BC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0255B49F" w14:textId="5AD13647" w:rsidR="002028B5" w:rsidRPr="00F52884" w:rsidRDefault="002028B5" w:rsidP="00C82933">
            <w:pPr>
              <w:spacing w:before="60" w:after="60"/>
              <w:rPr>
                <w:rFonts w:ascii="Arial" w:eastAsia="Arial" w:hAnsi="Arial" w:cs="Arial"/>
                <w:b/>
                <w:szCs w:val="23"/>
                <w:lang w:val="fr-FR"/>
              </w:rPr>
            </w:pPr>
            <w:r w:rsidRPr="00F52884">
              <w:rPr>
                <w:rFonts w:ascii="Arial" w:eastAsia="Arial" w:hAnsi="Arial" w:cs="Arial"/>
                <w:b/>
                <w:bCs/>
                <w:szCs w:val="23"/>
                <w:lang w:val="fr-CA"/>
              </w:rPr>
              <w:t xml:space="preserve">Sous-secteur : </w:t>
            </w:r>
          </w:p>
        </w:tc>
        <w:tc>
          <w:tcPr>
            <w:tcW w:w="8092" w:type="dxa"/>
            <w:gridSpan w:val="2"/>
            <w:tcBorders>
              <w:top w:val="single" w:sz="4" w:space="0" w:color="C0C0C0"/>
              <w:left w:val="single" w:sz="4" w:space="0" w:color="FFFFFF"/>
              <w:bottom w:val="single" w:sz="4" w:space="0" w:color="C0C0C0"/>
              <w:right w:val="nil"/>
            </w:tcBorders>
            <w:vAlign w:val="center"/>
          </w:tcPr>
          <w:p w14:paraId="2CFEF1FC" w14:textId="086455DE"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Réseaux de transport des télécommunications et services de radiocommunications</w:t>
            </w:r>
          </w:p>
        </w:tc>
      </w:tr>
      <w:tr w:rsidR="002028B5" w:rsidRPr="00F52884" w14:paraId="3E349A24" w14:textId="77777777" w:rsidTr="008E4BC2">
        <w:trPr>
          <w:gridAfter w:val="1"/>
          <w:wAfter w:w="71"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55EB99EE" w14:textId="519B56BA"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8021" w:type="dxa"/>
            <w:tcBorders>
              <w:top w:val="single" w:sz="4" w:space="0" w:color="C0C0C0"/>
              <w:left w:val="single" w:sz="4" w:space="0" w:color="FFFFFF"/>
              <w:bottom w:val="single" w:sz="4" w:space="0" w:color="C0C0C0"/>
              <w:right w:val="nil"/>
            </w:tcBorders>
            <w:vAlign w:val="center"/>
          </w:tcPr>
          <w:p w14:paraId="4A7D2656" w14:textId="23972A08" w:rsidR="002028B5" w:rsidRPr="00F52884" w:rsidRDefault="008E4BC2" w:rsidP="00C82933">
            <w:pPr>
              <w:spacing w:before="60" w:after="60"/>
              <w:ind w:left="4"/>
              <w:rPr>
                <w:rFonts w:ascii="Arial" w:eastAsia="Arial" w:hAnsi="Arial" w:cs="Arial"/>
                <w:szCs w:val="23"/>
              </w:rPr>
            </w:pPr>
            <w:r w:rsidRPr="00F52884">
              <w:rPr>
                <w:rFonts w:ascii="Arial" w:eastAsia="Arial" w:hAnsi="Arial" w:cs="Arial"/>
                <w:szCs w:val="23"/>
                <w:lang w:val="fr-CA"/>
              </w:rPr>
              <w:t>CPC 752</w:t>
            </w:r>
          </w:p>
        </w:tc>
      </w:tr>
      <w:tr w:rsidR="008E4BC2" w:rsidRPr="00D315AF" w14:paraId="3AB86563"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14789AC3" w14:textId="0C3EC892"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030A3C4F" w14:textId="7D115741"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312 (Accès aux marchés – Investissement)</w:t>
            </w:r>
          </w:p>
        </w:tc>
      </w:tr>
      <w:tr w:rsidR="002028B5" w:rsidRPr="00F52884" w14:paraId="26987E04"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F1653C5" w14:textId="77777777" w:rsidR="002028B5" w:rsidRPr="00F52884" w:rsidRDefault="002028B5" w:rsidP="005B2946">
            <w:pPr>
              <w:spacing w:before="60" w:after="60"/>
              <w:rPr>
                <w:b/>
              </w:rPr>
            </w:pPr>
            <w:r w:rsidRPr="00F52884">
              <w:rPr>
                <w:b/>
                <w:lang w:val="fr-CA"/>
              </w:rPr>
              <w:t>Mesures :</w:t>
            </w:r>
          </w:p>
        </w:tc>
      </w:tr>
      <w:tr w:rsidR="002028B5" w:rsidRPr="00D315AF" w14:paraId="4F9A88C6"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32723F0" w14:textId="23909507" w:rsidR="002028B5" w:rsidRPr="00F52884" w:rsidRDefault="002028B5" w:rsidP="00C82933">
            <w:pPr>
              <w:spacing w:before="60" w:after="60"/>
              <w:rPr>
                <w:rFonts w:ascii="Arial" w:eastAsia="Arial" w:hAnsi="Arial" w:cs="Arial"/>
                <w:szCs w:val="23"/>
                <w:lang w:val="fr-CA"/>
              </w:rPr>
            </w:pPr>
            <w:r w:rsidRPr="00F52884">
              <w:rPr>
                <w:rFonts w:ascii="Arial" w:eastAsia="Arial" w:hAnsi="Arial" w:cs="Arial"/>
                <w:i/>
                <w:iCs/>
                <w:szCs w:val="23"/>
                <w:lang w:val="fr-CA"/>
              </w:rPr>
              <w:t>Loi sur les télécommunications</w:t>
            </w:r>
            <w:r w:rsidRPr="00F52884">
              <w:rPr>
                <w:rFonts w:ascii="Arial" w:eastAsia="Arial" w:hAnsi="Arial" w:cs="Arial"/>
                <w:szCs w:val="23"/>
                <w:lang w:val="fr-CA"/>
              </w:rPr>
              <w:t xml:space="preserve">, LC 1993, c 38 </w:t>
            </w:r>
            <w:r w:rsidRPr="00F52884">
              <w:rPr>
                <w:rFonts w:ascii="Arial" w:eastAsia="Arial" w:hAnsi="Arial" w:cs="Arial"/>
                <w:szCs w:val="23"/>
                <w:lang w:val="fr-CA"/>
              </w:rPr>
              <w:br/>
              <w:t>Règlement sur la propriété et le contrôle des entreprises de télécommunication canadiennes, DORS/94-667</w:t>
            </w:r>
            <w:r w:rsidRPr="00F52884">
              <w:rPr>
                <w:rFonts w:ascii="Arial" w:eastAsia="Arial" w:hAnsi="Arial" w:cs="Arial"/>
                <w:szCs w:val="23"/>
                <w:lang w:val="fr-CA"/>
              </w:rPr>
              <w:br/>
            </w:r>
            <w:r w:rsidRPr="00F52884">
              <w:rPr>
                <w:rFonts w:ascii="Arial" w:eastAsia="Arial" w:hAnsi="Arial" w:cs="Arial"/>
                <w:i/>
                <w:iCs/>
                <w:szCs w:val="23"/>
                <w:lang w:val="fr-CA"/>
              </w:rPr>
              <w:t>Loi sur la radiocommunication</w:t>
            </w:r>
            <w:r w:rsidRPr="00F52884">
              <w:rPr>
                <w:rFonts w:ascii="Arial" w:eastAsia="Arial" w:hAnsi="Arial" w:cs="Arial"/>
                <w:szCs w:val="23"/>
                <w:lang w:val="fr-CA"/>
              </w:rPr>
              <w:t>, LRC 1985, c R-2</w:t>
            </w:r>
            <w:r w:rsidRPr="00F52884">
              <w:rPr>
                <w:rFonts w:ascii="Arial" w:eastAsia="Arial" w:hAnsi="Arial" w:cs="Arial"/>
                <w:szCs w:val="23"/>
                <w:lang w:val="fr-CA"/>
              </w:rPr>
              <w:br/>
            </w:r>
            <w:r w:rsidRPr="00F52884">
              <w:rPr>
                <w:rFonts w:ascii="Arial" w:eastAsia="Arial" w:hAnsi="Arial" w:cs="Arial"/>
                <w:i/>
                <w:iCs/>
                <w:szCs w:val="23"/>
                <w:lang w:val="fr-CA"/>
              </w:rPr>
              <w:t>Règlement sur la radiocommunication</w:t>
            </w:r>
            <w:r w:rsidRPr="00F52884">
              <w:rPr>
                <w:rFonts w:ascii="Arial" w:eastAsia="Arial" w:hAnsi="Arial" w:cs="Arial"/>
                <w:szCs w:val="23"/>
                <w:lang w:val="fr-CA"/>
              </w:rPr>
              <w:t>, DORS/96-484</w:t>
            </w:r>
          </w:p>
        </w:tc>
      </w:tr>
      <w:tr w:rsidR="002028B5" w:rsidRPr="00F52884" w14:paraId="5B8FA846"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67E04EB" w14:textId="77777777" w:rsidR="002028B5" w:rsidRPr="00F52884" w:rsidRDefault="002028B5" w:rsidP="005B2946">
            <w:pPr>
              <w:spacing w:before="60" w:after="60"/>
              <w:rPr>
                <w:b/>
              </w:rPr>
            </w:pPr>
            <w:r w:rsidRPr="00F52884">
              <w:rPr>
                <w:b/>
                <w:lang w:val="fr-CA"/>
              </w:rPr>
              <w:t>Description :</w:t>
            </w:r>
          </w:p>
        </w:tc>
      </w:tr>
      <w:tr w:rsidR="002028B5" w:rsidRPr="00D315AF" w14:paraId="25BDB356"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1377DD7" w14:textId="6C764CA4" w:rsidR="002028B5" w:rsidRPr="00F52884" w:rsidRDefault="002028B5" w:rsidP="008E4BC2">
            <w:pPr>
              <w:tabs>
                <w:tab w:val="left" w:pos="-720"/>
              </w:tabs>
              <w:suppressAutoHyphens/>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1. </w:t>
            </w:r>
            <w:r w:rsidR="008E4BC2" w:rsidRPr="00F52884">
              <w:rPr>
                <w:rFonts w:ascii="Arial" w:eastAsia="Arial" w:hAnsi="Arial" w:cs="Arial"/>
                <w:szCs w:val="23"/>
                <w:lang w:val="fr-CA"/>
              </w:rPr>
              <w:tab/>
            </w:r>
            <w:r w:rsidRPr="00F52884">
              <w:rPr>
                <w:rFonts w:ascii="Arial" w:eastAsia="Arial" w:hAnsi="Arial" w:cs="Arial"/>
                <w:szCs w:val="23"/>
                <w:lang w:val="fr-CA"/>
              </w:rPr>
              <w:t>Les investissements étrangers dans les fournisseurs de services de télécommunications dotés d’installations sont limités à un total cumulatif de 46,7 pour cent des actions avec droit de vote, dans une proportion de 20 pour cent pour l’investissement direct et de 33,3 pour cent pour l’investissement indirect.</w:t>
            </w:r>
          </w:p>
          <w:p w14:paraId="38E376F9" w14:textId="625C629B" w:rsidR="002028B5" w:rsidRPr="00F52884" w:rsidRDefault="002028B5" w:rsidP="008E4BC2">
            <w:pPr>
              <w:tabs>
                <w:tab w:val="left" w:pos="-720"/>
              </w:tabs>
              <w:suppressAutoHyphens/>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2. </w:t>
            </w:r>
            <w:r w:rsidR="008E4BC2" w:rsidRPr="00F52884">
              <w:rPr>
                <w:rFonts w:ascii="Arial" w:eastAsia="Arial" w:hAnsi="Arial" w:cs="Arial"/>
                <w:szCs w:val="23"/>
                <w:lang w:val="fr-CA"/>
              </w:rPr>
              <w:tab/>
            </w:r>
            <w:r w:rsidRPr="00F52884">
              <w:rPr>
                <w:rFonts w:ascii="Arial" w:eastAsia="Arial" w:hAnsi="Arial" w:cs="Arial"/>
                <w:szCs w:val="23"/>
                <w:lang w:val="fr-CA"/>
              </w:rPr>
              <w:t>Les fournisseurs de services de télécommunications dotés d’installations doivent être sous le contrôle effectif de Canadiens.</w:t>
            </w:r>
          </w:p>
          <w:p w14:paraId="09580E72" w14:textId="116731CF" w:rsidR="002028B5" w:rsidRPr="00F52884" w:rsidRDefault="002028B5" w:rsidP="008E4BC2">
            <w:pPr>
              <w:tabs>
                <w:tab w:val="left" w:pos="-720"/>
              </w:tabs>
              <w:suppressAutoHyphens/>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3. </w:t>
            </w:r>
            <w:r w:rsidR="008E4BC2" w:rsidRPr="00F52884">
              <w:rPr>
                <w:rFonts w:ascii="Arial" w:eastAsia="Arial" w:hAnsi="Arial" w:cs="Arial"/>
                <w:szCs w:val="23"/>
                <w:lang w:val="fr-CA"/>
              </w:rPr>
              <w:tab/>
            </w:r>
            <w:r w:rsidRPr="00F52884">
              <w:rPr>
                <w:rFonts w:ascii="Arial" w:eastAsia="Arial" w:hAnsi="Arial" w:cs="Arial"/>
                <w:szCs w:val="23"/>
                <w:lang w:val="fr-CA"/>
              </w:rPr>
              <w:t>Au moins 80 pour cent des membres du conseil d’administration des fournisseurs de services de télécommunications dotés d’installations doivent être des Canadiens.</w:t>
            </w:r>
          </w:p>
          <w:p w14:paraId="122ED2AE" w14:textId="59B9A349" w:rsidR="002028B5" w:rsidRPr="00F52884" w:rsidRDefault="002028B5" w:rsidP="008E4BC2">
            <w:pPr>
              <w:tabs>
                <w:tab w:val="left" w:pos="-720"/>
              </w:tabs>
              <w:suppressAutoHyphens/>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4. </w:t>
            </w:r>
            <w:r w:rsidR="008E4BC2" w:rsidRPr="00F52884">
              <w:rPr>
                <w:rFonts w:ascii="Arial" w:eastAsia="Arial" w:hAnsi="Arial" w:cs="Arial"/>
                <w:szCs w:val="23"/>
                <w:lang w:val="fr-CA"/>
              </w:rPr>
              <w:tab/>
            </w:r>
            <w:r w:rsidRPr="00F52884">
              <w:rPr>
                <w:rFonts w:ascii="Arial" w:eastAsia="Arial" w:hAnsi="Arial" w:cs="Arial"/>
                <w:szCs w:val="23"/>
                <w:lang w:val="fr-CA"/>
              </w:rPr>
              <w:t>Sous réserve des restrictions ci-dessus :</w:t>
            </w:r>
          </w:p>
          <w:p w14:paraId="29551795" w14:textId="3EEE79FD" w:rsidR="002028B5" w:rsidRPr="00F52884" w:rsidRDefault="002028B5" w:rsidP="00F52884">
            <w:pPr>
              <w:tabs>
                <w:tab w:val="left" w:pos="-720"/>
              </w:tabs>
              <w:suppressAutoHyphens/>
              <w:spacing w:before="120" w:after="120"/>
              <w:ind w:left="906" w:hanging="540"/>
              <w:rPr>
                <w:rFonts w:ascii="Arial" w:eastAsia="Arial" w:hAnsi="Arial" w:cs="Arial"/>
                <w:szCs w:val="23"/>
                <w:lang w:val="fr-FR"/>
              </w:rPr>
            </w:pPr>
            <w:r w:rsidRPr="00F52884">
              <w:rPr>
                <w:rFonts w:ascii="Arial" w:eastAsia="Arial" w:hAnsi="Arial" w:cs="Arial"/>
                <w:szCs w:val="23"/>
                <w:lang w:val="fr-CA"/>
              </w:rPr>
              <w:lastRenderedPageBreak/>
              <w:t xml:space="preserve">a) </w:t>
            </w:r>
            <w:r w:rsidR="008E4BC2" w:rsidRPr="00F52884">
              <w:rPr>
                <w:rFonts w:ascii="Arial" w:eastAsia="Arial" w:hAnsi="Arial" w:cs="Arial"/>
                <w:szCs w:val="23"/>
                <w:lang w:val="fr-CA"/>
              </w:rPr>
              <w:tab/>
            </w:r>
            <w:r w:rsidRPr="00F52884">
              <w:rPr>
                <w:rFonts w:ascii="Arial" w:eastAsia="Arial" w:hAnsi="Arial" w:cs="Arial"/>
                <w:szCs w:val="23"/>
                <w:lang w:val="fr-CA"/>
              </w:rPr>
              <w:t>l’investissement étranger est autorisé jusqu’à concurrence de 100 pour cent dans le cas des fournisseurs effectuant des opérations au titre d’une licence de câble sous-marin international;</w:t>
            </w:r>
          </w:p>
          <w:p w14:paraId="407675B6" w14:textId="4CF74E3A" w:rsidR="002028B5" w:rsidRPr="00F52884" w:rsidRDefault="002028B5" w:rsidP="00F52884">
            <w:pPr>
              <w:tabs>
                <w:tab w:val="left" w:pos="-720"/>
              </w:tabs>
              <w:suppressAutoHyphens/>
              <w:spacing w:before="120" w:after="120"/>
              <w:ind w:left="906" w:hanging="540"/>
              <w:rPr>
                <w:rFonts w:ascii="Arial" w:eastAsia="Arial" w:hAnsi="Arial" w:cs="Arial"/>
                <w:szCs w:val="23"/>
                <w:lang w:val="fr-FR"/>
              </w:rPr>
            </w:pPr>
            <w:r w:rsidRPr="00F52884">
              <w:rPr>
                <w:rFonts w:ascii="Arial" w:eastAsia="Arial" w:hAnsi="Arial" w:cs="Arial"/>
                <w:szCs w:val="23"/>
                <w:lang w:val="fr-CA"/>
              </w:rPr>
              <w:t>b)</w:t>
            </w:r>
            <w:r w:rsidR="008E4BC2" w:rsidRPr="00F52884">
              <w:rPr>
                <w:rFonts w:ascii="Arial" w:eastAsia="Arial" w:hAnsi="Arial" w:cs="Arial"/>
                <w:szCs w:val="23"/>
                <w:lang w:val="fr-CA"/>
              </w:rPr>
              <w:tab/>
            </w:r>
            <w:r w:rsidRPr="00F52884">
              <w:rPr>
                <w:rFonts w:ascii="Arial" w:eastAsia="Arial" w:hAnsi="Arial" w:cs="Arial"/>
                <w:szCs w:val="23"/>
                <w:lang w:val="fr-CA"/>
              </w:rPr>
              <w:t>les systèmes mobiles par satellite d’un fournisseur de services étrangers peuvent être utilisés par un fournisseur de services canadiens pour la fourniture de services au Canada;</w:t>
            </w:r>
          </w:p>
          <w:p w14:paraId="1B8EA501" w14:textId="4D30D1B9" w:rsidR="002028B5" w:rsidRPr="00F52884" w:rsidRDefault="002028B5" w:rsidP="00F52884">
            <w:pPr>
              <w:tabs>
                <w:tab w:val="left" w:pos="-720"/>
              </w:tabs>
              <w:suppressAutoHyphens/>
              <w:spacing w:before="120" w:after="120"/>
              <w:ind w:left="906" w:hanging="540"/>
              <w:rPr>
                <w:rFonts w:ascii="Arial" w:eastAsia="Arial" w:hAnsi="Arial" w:cs="Arial"/>
                <w:szCs w:val="23"/>
                <w:lang w:val="fr-FR"/>
              </w:rPr>
            </w:pPr>
            <w:r w:rsidRPr="00F52884">
              <w:rPr>
                <w:rFonts w:ascii="Arial" w:eastAsia="Arial" w:hAnsi="Arial" w:cs="Arial"/>
                <w:szCs w:val="23"/>
                <w:lang w:val="fr-CA"/>
              </w:rPr>
              <w:t xml:space="preserve">c) </w:t>
            </w:r>
            <w:r w:rsidR="008E4BC2" w:rsidRPr="00F52884">
              <w:rPr>
                <w:rFonts w:ascii="Arial" w:eastAsia="Arial" w:hAnsi="Arial" w:cs="Arial"/>
                <w:szCs w:val="23"/>
                <w:lang w:val="fr-CA"/>
              </w:rPr>
              <w:tab/>
            </w:r>
            <w:r w:rsidRPr="00F52884">
              <w:rPr>
                <w:rFonts w:ascii="Arial" w:eastAsia="Arial" w:hAnsi="Arial" w:cs="Arial"/>
                <w:szCs w:val="23"/>
                <w:lang w:val="fr-CA"/>
              </w:rPr>
              <w:t>les systèmes fixes par satellite d’un fournisseur de services étrangers peuvent être utilisés pour fournir des services entre des points situés au Canada et tous les points situés à l’extérieur du Canada;</w:t>
            </w:r>
          </w:p>
          <w:p w14:paraId="4A5CE1B1" w14:textId="5DCAA3B1" w:rsidR="002028B5" w:rsidRPr="00F52884" w:rsidRDefault="002028B5" w:rsidP="00F52884">
            <w:pPr>
              <w:tabs>
                <w:tab w:val="left" w:pos="-720"/>
              </w:tabs>
              <w:suppressAutoHyphens/>
              <w:spacing w:before="120" w:after="120"/>
              <w:ind w:left="906" w:hanging="540"/>
              <w:rPr>
                <w:rFonts w:ascii="Arial" w:eastAsia="Arial" w:hAnsi="Arial" w:cs="Arial"/>
                <w:szCs w:val="23"/>
                <w:lang w:val="fr-FR"/>
              </w:rPr>
            </w:pPr>
            <w:r w:rsidRPr="00F52884">
              <w:rPr>
                <w:rFonts w:ascii="Arial" w:eastAsia="Arial" w:hAnsi="Arial" w:cs="Arial"/>
                <w:szCs w:val="23"/>
                <w:lang w:val="fr-CA"/>
              </w:rPr>
              <w:t xml:space="preserve">d) </w:t>
            </w:r>
            <w:r w:rsidR="008E4BC2" w:rsidRPr="00F52884">
              <w:rPr>
                <w:rFonts w:ascii="Arial" w:eastAsia="Arial" w:hAnsi="Arial" w:cs="Arial"/>
                <w:szCs w:val="23"/>
                <w:lang w:val="fr-CA"/>
              </w:rPr>
              <w:tab/>
            </w:r>
            <w:r w:rsidRPr="00F52884">
              <w:rPr>
                <w:rFonts w:ascii="Arial" w:eastAsia="Arial" w:hAnsi="Arial" w:cs="Arial"/>
                <w:szCs w:val="23"/>
                <w:lang w:val="fr-CA"/>
              </w:rPr>
              <w:t>l’investissement étranger est autorisé jusqu’à concurrence de 100 pour cent pour les fournisseurs effectuant des opérations au titre d’une autorisation de satellite;</w:t>
            </w:r>
          </w:p>
          <w:p w14:paraId="684B2455" w14:textId="305B2059" w:rsidR="002028B5" w:rsidRPr="00F52884" w:rsidRDefault="002028B5" w:rsidP="00F52884">
            <w:pPr>
              <w:tabs>
                <w:tab w:val="left" w:pos="-720"/>
              </w:tabs>
              <w:suppressAutoHyphens/>
              <w:spacing w:before="120" w:after="120"/>
              <w:ind w:left="906" w:hanging="540"/>
              <w:rPr>
                <w:rFonts w:ascii="Arial" w:eastAsia="Arial" w:hAnsi="Arial" w:cs="Arial"/>
                <w:szCs w:val="23"/>
                <w:lang w:val="fr-FR"/>
              </w:rPr>
            </w:pPr>
            <w:r w:rsidRPr="00F52884">
              <w:rPr>
                <w:rFonts w:ascii="Arial" w:eastAsia="Arial" w:hAnsi="Arial" w:cs="Arial"/>
                <w:szCs w:val="23"/>
                <w:lang w:val="fr-CA"/>
              </w:rPr>
              <w:t xml:space="preserve">e) </w:t>
            </w:r>
            <w:r w:rsidR="008E4BC2" w:rsidRPr="00F52884">
              <w:rPr>
                <w:rFonts w:ascii="Arial" w:eastAsia="Arial" w:hAnsi="Arial" w:cs="Arial"/>
                <w:szCs w:val="23"/>
                <w:lang w:val="fr-CA"/>
              </w:rPr>
              <w:tab/>
            </w:r>
            <w:r w:rsidRPr="00F52884">
              <w:rPr>
                <w:rFonts w:ascii="Arial" w:eastAsia="Arial" w:hAnsi="Arial" w:cs="Arial"/>
                <w:szCs w:val="23"/>
                <w:lang w:val="fr-CA"/>
              </w:rPr>
              <w:t>l’investissement étranger est autorisé jusqu’à concurrence de 100 pour cent pour les fournisseurs de services de télécommunications dotés d’installations dont les revenus, y compris ceux de leurs filiales, provenant de la fourniture de services de télécommunications au Canada sont inférieurs à 10 pour cent du total des revenus de services de télécommunications au Canada.</w:t>
            </w:r>
          </w:p>
        </w:tc>
      </w:tr>
    </w:tbl>
    <w:p w14:paraId="7995B7A4" w14:textId="1A24FE52" w:rsidR="002028B5" w:rsidRPr="00F52884" w:rsidRDefault="002028B5" w:rsidP="00E94578">
      <w:pPr>
        <w:rPr>
          <w:rFonts w:ascii="Arial" w:eastAsia="Arial" w:hAnsi="Arial" w:cs="Arial"/>
          <w:szCs w:val="23"/>
          <w:lang w:val="fr-CA"/>
        </w:rPr>
      </w:pPr>
    </w:p>
    <w:p w14:paraId="183D5A92" w14:textId="77777777" w:rsidR="00C82933" w:rsidRPr="00F52884" w:rsidRDefault="00C82933" w:rsidP="00E94578">
      <w:pPr>
        <w:rPr>
          <w:rFonts w:ascii="Arial" w:eastAsia="Arial" w:hAnsi="Arial" w:cs="Arial"/>
          <w:szCs w:val="23"/>
          <w:lang w:val="fr-CA"/>
        </w:rPr>
      </w:pPr>
    </w:p>
    <w:p w14:paraId="11315884" w14:textId="09042C74" w:rsidR="002028B5" w:rsidRPr="00F52884" w:rsidRDefault="00A62726" w:rsidP="00C82933">
      <w:pPr>
        <w:spacing w:before="60" w:after="60"/>
        <w:ind w:left="-357"/>
        <w:rPr>
          <w:rFonts w:ascii="Arial" w:eastAsia="Arial" w:hAnsi="Arial" w:cs="Arial"/>
          <w:b/>
          <w:szCs w:val="23"/>
        </w:rPr>
      </w:pPr>
      <w:r>
        <w:rPr>
          <w:rFonts w:ascii="Arial" w:eastAsia="Arial" w:hAnsi="Arial" w:cs="Arial"/>
          <w:b/>
          <w:szCs w:val="23"/>
          <w:lang w:val="fr-CA"/>
        </w:rPr>
        <w:t>5</w:t>
      </w:r>
      <w:r w:rsidR="00C82933" w:rsidRPr="00F52884">
        <w:rPr>
          <w:rFonts w:ascii="Arial" w:eastAsia="Arial" w:hAnsi="Arial" w:cs="Arial"/>
          <w:b/>
          <w:szCs w:val="23"/>
          <w:lang w:val="fr-CA"/>
        </w:rPr>
        <w:t xml:space="preserve">.  </w:t>
      </w:r>
      <w:r w:rsidR="002028B5" w:rsidRPr="00F52884">
        <w:rPr>
          <w:rFonts w:ascii="Arial Bold" w:eastAsia="Arial" w:hAnsi="Arial Bold" w:cs="Arial"/>
          <w:b/>
          <w:caps/>
          <w:szCs w:val="23"/>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8021"/>
        <w:gridCol w:w="71"/>
      </w:tblGrid>
      <w:tr w:rsidR="002028B5" w:rsidRPr="00F52884" w14:paraId="003EEFDF" w14:textId="77777777" w:rsidTr="008E4BC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D1D766D" w14:textId="01942807" w:rsidR="002028B5" w:rsidRPr="00F52884" w:rsidRDefault="002028B5" w:rsidP="00C82933">
            <w:pPr>
              <w:spacing w:before="60" w:after="60"/>
              <w:rPr>
                <w:rFonts w:ascii="Arial" w:eastAsia="Arial" w:hAnsi="Arial" w:cs="Arial"/>
                <w:szCs w:val="23"/>
                <w:lang w:val="fr-FR"/>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5E550F75" w14:textId="61F5834A"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Énergie (pétrole et gaz)</w:t>
            </w:r>
          </w:p>
        </w:tc>
      </w:tr>
      <w:tr w:rsidR="002028B5" w:rsidRPr="00D315AF" w14:paraId="75231C79" w14:textId="77777777" w:rsidTr="008E4BC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0984F4DD" w14:textId="1354532A" w:rsidR="002028B5" w:rsidRPr="00F52884" w:rsidRDefault="002028B5" w:rsidP="00C82933">
            <w:pPr>
              <w:spacing w:before="60" w:after="60"/>
              <w:rPr>
                <w:rFonts w:ascii="Arial" w:eastAsia="Arial" w:hAnsi="Arial" w:cs="Arial"/>
                <w:b/>
                <w:szCs w:val="23"/>
                <w:lang w:val="fr-FR"/>
              </w:rPr>
            </w:pPr>
            <w:r w:rsidRPr="00F52884">
              <w:rPr>
                <w:rFonts w:ascii="Arial" w:eastAsia="Arial" w:hAnsi="Arial" w:cs="Arial"/>
                <w:b/>
                <w:bCs/>
                <w:szCs w:val="23"/>
                <w:lang w:val="fr-CA"/>
              </w:rPr>
              <w:t xml:space="preserve">Sous-secteur : </w:t>
            </w:r>
          </w:p>
        </w:tc>
        <w:tc>
          <w:tcPr>
            <w:tcW w:w="8092" w:type="dxa"/>
            <w:gridSpan w:val="2"/>
            <w:tcBorders>
              <w:top w:val="single" w:sz="4" w:space="0" w:color="C0C0C0"/>
              <w:left w:val="single" w:sz="4" w:space="0" w:color="FFFFFF"/>
              <w:bottom w:val="single" w:sz="4" w:space="0" w:color="C0C0C0"/>
              <w:right w:val="nil"/>
            </w:tcBorders>
            <w:vAlign w:val="center"/>
          </w:tcPr>
          <w:p w14:paraId="4CB27443" w14:textId="32F4CE60"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Industries du pétrole brut et du gaz naturel; services annexes aux industries extractives</w:t>
            </w:r>
          </w:p>
        </w:tc>
      </w:tr>
      <w:tr w:rsidR="002028B5" w:rsidRPr="00F52884" w14:paraId="68322995" w14:textId="77777777" w:rsidTr="008E4BC2">
        <w:trPr>
          <w:gridAfter w:val="1"/>
          <w:wAfter w:w="71"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5F083F52" w14:textId="0C7F83A7"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8021" w:type="dxa"/>
            <w:tcBorders>
              <w:top w:val="single" w:sz="4" w:space="0" w:color="C0C0C0"/>
              <w:left w:val="single" w:sz="4" w:space="0" w:color="FFFFFF"/>
              <w:bottom w:val="single" w:sz="4" w:space="0" w:color="C0C0C0"/>
              <w:right w:val="nil"/>
            </w:tcBorders>
            <w:vAlign w:val="center"/>
          </w:tcPr>
          <w:p w14:paraId="5A72263F" w14:textId="2460F894" w:rsidR="002028B5" w:rsidRPr="00F52884" w:rsidRDefault="008E4BC2" w:rsidP="00C82933">
            <w:pPr>
              <w:spacing w:before="60" w:after="60"/>
              <w:ind w:left="4"/>
              <w:rPr>
                <w:rFonts w:ascii="Arial" w:eastAsia="Arial" w:hAnsi="Arial" w:cs="Arial"/>
                <w:szCs w:val="23"/>
              </w:rPr>
            </w:pPr>
            <w:r w:rsidRPr="00F52884">
              <w:rPr>
                <w:rFonts w:ascii="Arial" w:eastAsia="Arial" w:hAnsi="Arial" w:cs="Arial"/>
                <w:szCs w:val="23"/>
                <w:lang w:val="fr-CA"/>
              </w:rPr>
              <w:t>CPC 120, 883</w:t>
            </w:r>
          </w:p>
        </w:tc>
      </w:tr>
      <w:tr w:rsidR="008E4BC2" w:rsidRPr="00D315AF" w14:paraId="22145A50"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10E0F469" w14:textId="749DFCC2"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67722C24" w14:textId="5662A5B5"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201 (Traitement non discriminatoire), article 313 (Prescriptions de résultats)</w:t>
            </w:r>
          </w:p>
        </w:tc>
      </w:tr>
      <w:tr w:rsidR="002028B5" w:rsidRPr="00F52884" w14:paraId="10CA9E94"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1D984DC" w14:textId="77777777" w:rsidR="002028B5" w:rsidRPr="00F52884" w:rsidRDefault="002028B5" w:rsidP="005B2946">
            <w:pPr>
              <w:spacing w:before="60" w:after="60"/>
              <w:rPr>
                <w:b/>
              </w:rPr>
            </w:pPr>
            <w:r w:rsidRPr="00F52884">
              <w:rPr>
                <w:b/>
                <w:lang w:val="fr-CA"/>
              </w:rPr>
              <w:t>Mesures :</w:t>
            </w:r>
          </w:p>
        </w:tc>
      </w:tr>
      <w:tr w:rsidR="002028B5" w:rsidRPr="00D315AF" w14:paraId="4AAD8C2A"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8323F27" w14:textId="65836BB2" w:rsidR="002028B5" w:rsidRPr="00F52884" w:rsidRDefault="002028B5" w:rsidP="00C82933">
            <w:pPr>
              <w:spacing w:before="120" w:after="120"/>
              <w:rPr>
                <w:rFonts w:ascii="Arial" w:eastAsia="Arial" w:hAnsi="Arial" w:cs="Arial"/>
                <w:szCs w:val="23"/>
                <w:lang w:val="fr-CA"/>
              </w:rPr>
            </w:pPr>
            <w:r w:rsidRPr="00F52884">
              <w:rPr>
                <w:rFonts w:ascii="Arial" w:eastAsia="Arial" w:hAnsi="Arial" w:cs="Arial"/>
                <w:i/>
                <w:iCs/>
                <w:szCs w:val="23"/>
                <w:lang w:val="fr-CA"/>
              </w:rPr>
              <w:t>Loi sur les opérations pétrolières au Canada</w:t>
            </w:r>
            <w:r w:rsidRPr="00F52884">
              <w:rPr>
                <w:rFonts w:ascii="Arial" w:eastAsia="Arial" w:hAnsi="Arial" w:cs="Arial"/>
                <w:szCs w:val="23"/>
                <w:lang w:val="fr-CA"/>
              </w:rPr>
              <w:t>, LRC 1985, c O-7</w:t>
            </w:r>
            <w:r w:rsidRPr="00F52884">
              <w:rPr>
                <w:rFonts w:ascii="Arial" w:eastAsia="Arial" w:hAnsi="Arial" w:cs="Arial"/>
                <w:szCs w:val="23"/>
                <w:lang w:val="fr-CA"/>
              </w:rPr>
              <w:br/>
            </w:r>
            <w:r w:rsidRPr="00F52884">
              <w:rPr>
                <w:rFonts w:ascii="Arial" w:eastAsia="Arial" w:hAnsi="Arial" w:cs="Arial"/>
                <w:i/>
                <w:iCs/>
                <w:szCs w:val="23"/>
                <w:lang w:val="fr-CA"/>
              </w:rPr>
              <w:t>Loi de mise en œuvre de l’Accord Canada – Nouvelle-Écosse sur les hydrocarbures extracôtiers</w:t>
            </w:r>
            <w:r w:rsidRPr="00F52884">
              <w:rPr>
                <w:rFonts w:ascii="Arial" w:eastAsia="Arial" w:hAnsi="Arial" w:cs="Arial"/>
                <w:szCs w:val="23"/>
                <w:lang w:val="fr-CA"/>
              </w:rPr>
              <w:t>, LC 1988, c 28</w:t>
            </w:r>
            <w:r w:rsidRPr="00F52884">
              <w:rPr>
                <w:rFonts w:ascii="Arial" w:eastAsia="Arial" w:hAnsi="Arial" w:cs="Arial"/>
                <w:szCs w:val="23"/>
                <w:lang w:val="fr-CA"/>
              </w:rPr>
              <w:br/>
            </w:r>
            <w:r w:rsidRPr="00F52884">
              <w:rPr>
                <w:rFonts w:ascii="Arial" w:eastAsia="Arial" w:hAnsi="Arial" w:cs="Arial"/>
                <w:i/>
                <w:iCs/>
                <w:szCs w:val="23"/>
                <w:lang w:val="fr-CA"/>
              </w:rPr>
              <w:t>Loi de mise en œuvre de l’Accord atlantique Canada-Terre-Neuve-et-Labrador</w:t>
            </w:r>
            <w:r w:rsidRPr="00F52884">
              <w:rPr>
                <w:rFonts w:ascii="Arial" w:eastAsia="Arial" w:hAnsi="Arial" w:cs="Arial"/>
                <w:szCs w:val="23"/>
                <w:lang w:val="fr-CA"/>
              </w:rPr>
              <w:t xml:space="preserve">, LC 1987, c 3 Mesures de mise en œuvre de l’Accord Canada </w:t>
            </w:r>
            <w:r w:rsidRPr="00F52884">
              <w:rPr>
                <w:rFonts w:ascii="Arial" w:eastAsia="Arial" w:hAnsi="Arial" w:cs="Arial"/>
                <w:i/>
                <w:iCs/>
                <w:szCs w:val="23"/>
                <w:lang w:val="fr-CA"/>
              </w:rPr>
              <w:t>–</w:t>
            </w:r>
            <w:r w:rsidRPr="00F52884">
              <w:rPr>
                <w:rFonts w:ascii="Arial" w:eastAsia="Arial" w:hAnsi="Arial" w:cs="Arial"/>
                <w:szCs w:val="23"/>
                <w:lang w:val="fr-CA"/>
              </w:rPr>
              <w:t xml:space="preserve"> Yukon sur le pétrole et le gaz, y compris la </w:t>
            </w:r>
            <w:r w:rsidRPr="00F52884">
              <w:rPr>
                <w:rFonts w:ascii="Arial" w:eastAsia="Arial" w:hAnsi="Arial" w:cs="Arial"/>
                <w:i/>
                <w:iCs/>
                <w:szCs w:val="23"/>
                <w:lang w:val="fr-CA"/>
              </w:rPr>
              <w:t>Loi de mise en œuvre de l’Accord Canada-Yukon sur le pétrole et le gaz</w:t>
            </w:r>
            <w:r w:rsidRPr="00F52884">
              <w:rPr>
                <w:rFonts w:ascii="Arial" w:eastAsia="Arial" w:hAnsi="Arial" w:cs="Arial"/>
                <w:szCs w:val="23"/>
                <w:lang w:val="fr-CA"/>
              </w:rPr>
              <w:t xml:space="preserve">, 1998, c 5, art. 20, et la </w:t>
            </w:r>
            <w:r w:rsidRPr="00F52884">
              <w:rPr>
                <w:rFonts w:ascii="Arial" w:eastAsia="Arial" w:hAnsi="Arial" w:cs="Arial"/>
                <w:i/>
                <w:iCs/>
                <w:szCs w:val="23"/>
                <w:lang w:val="fr-CA"/>
              </w:rPr>
              <w:t>Loi sur le pétrole et le gaz</w:t>
            </w:r>
            <w:r w:rsidRPr="00F52884">
              <w:rPr>
                <w:rFonts w:ascii="Arial" w:eastAsia="Arial" w:hAnsi="Arial" w:cs="Arial"/>
                <w:szCs w:val="23"/>
                <w:lang w:val="fr-CA"/>
              </w:rPr>
              <w:t xml:space="preserve">, LRY 2002, c 162 </w:t>
            </w:r>
            <w:r w:rsidRPr="00F52884">
              <w:rPr>
                <w:rFonts w:ascii="Arial" w:eastAsia="Arial" w:hAnsi="Arial" w:cs="Arial"/>
                <w:szCs w:val="23"/>
                <w:lang w:val="fr-CA"/>
              </w:rPr>
              <w:br/>
              <w:t>Mesures de mise en œuvre de l’Accord des Territoires du Nord-Ouest sur le pétrole et le gaz, y compris les mesures de mise en œuvre qui s’appliquent au Nunavut ou qui sont adoptées par le Nunavut en tant que territoire successeur des anciens Territoires du Nord-Ouest</w:t>
            </w:r>
            <w:r w:rsidRPr="00F52884">
              <w:rPr>
                <w:rFonts w:ascii="Arial" w:eastAsia="Arial" w:hAnsi="Arial" w:cs="Arial"/>
                <w:szCs w:val="23"/>
                <w:lang w:val="fr-CA"/>
              </w:rPr>
              <w:br/>
              <w:t>Mesures de mise en œuvre de l’Accord entre le gouvernement du Canada et le gouvernement du Québec sur la gestion conjointe des hydrocarbures dans le golfe du Saint-Laurent et tout autre accord fédéral-provincial semblable lié à la gestion conjointe des ressources pétrolières</w:t>
            </w:r>
          </w:p>
        </w:tc>
      </w:tr>
      <w:tr w:rsidR="002028B5" w:rsidRPr="00F52884" w14:paraId="012A365A"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EE70EA8" w14:textId="77777777" w:rsidR="002028B5" w:rsidRPr="00F52884" w:rsidRDefault="002028B5" w:rsidP="005B2946">
            <w:pPr>
              <w:spacing w:before="60" w:after="60"/>
              <w:rPr>
                <w:b/>
              </w:rPr>
            </w:pPr>
            <w:r w:rsidRPr="00F52884">
              <w:rPr>
                <w:b/>
                <w:lang w:val="fr-CA"/>
              </w:rPr>
              <w:t>Description :</w:t>
            </w:r>
          </w:p>
        </w:tc>
      </w:tr>
      <w:tr w:rsidR="002028B5" w:rsidRPr="00D315AF" w14:paraId="298BECEF"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B73BCCA" w14:textId="57849E20" w:rsidR="002028B5" w:rsidRPr="00F52884" w:rsidRDefault="002028B5" w:rsidP="008E4BC2">
            <w:pPr>
              <w:spacing w:before="120" w:after="120"/>
              <w:ind w:left="366" w:hanging="366"/>
              <w:rPr>
                <w:rFonts w:ascii="Arial" w:eastAsia="Arial" w:hAnsi="Arial" w:cs="Arial"/>
                <w:szCs w:val="23"/>
                <w:lang w:val="fr-FR"/>
              </w:rPr>
            </w:pPr>
            <w:r w:rsidRPr="00F52884">
              <w:rPr>
                <w:rFonts w:ascii="Arial" w:eastAsia="Arial" w:hAnsi="Arial" w:cs="Arial"/>
                <w:szCs w:val="23"/>
                <w:lang w:val="fr-CA"/>
              </w:rPr>
              <w:lastRenderedPageBreak/>
              <w:t xml:space="preserve">1. </w:t>
            </w:r>
            <w:r w:rsidR="008E4BC2" w:rsidRPr="00F52884">
              <w:rPr>
                <w:rFonts w:ascii="Arial" w:eastAsia="Arial" w:hAnsi="Arial" w:cs="Arial"/>
                <w:szCs w:val="23"/>
                <w:lang w:val="fr-CA"/>
              </w:rPr>
              <w:tab/>
            </w:r>
            <w:r w:rsidRPr="00F52884">
              <w:rPr>
                <w:rFonts w:ascii="Arial" w:eastAsia="Arial" w:hAnsi="Arial" w:cs="Arial"/>
                <w:szCs w:val="23"/>
                <w:lang w:val="fr-CA"/>
              </w:rPr>
              <w:t xml:space="preserve">Avant que des travaux, des activités ou un plan de mise en valeur ne soient approuvés en vertu de la </w:t>
            </w:r>
            <w:r w:rsidRPr="00F52884">
              <w:rPr>
                <w:rFonts w:ascii="Arial" w:eastAsia="Arial" w:hAnsi="Arial" w:cs="Arial"/>
                <w:i/>
                <w:iCs/>
                <w:szCs w:val="23"/>
                <w:lang w:val="fr-CA"/>
              </w:rPr>
              <w:t>Loi sur les opérations pétrolières au Canada</w:t>
            </w:r>
            <w:r w:rsidRPr="00F52884">
              <w:rPr>
                <w:rFonts w:ascii="Arial" w:eastAsia="Arial" w:hAnsi="Arial" w:cs="Arial"/>
                <w:szCs w:val="23"/>
                <w:lang w:val="fr-CA"/>
              </w:rPr>
              <w:t xml:space="preserve">, un « plan de retombées économiques » doit être approuvé par le ministre responsable de cette loi. </w:t>
            </w:r>
          </w:p>
          <w:p w14:paraId="321E5DAA" w14:textId="1DDECB76" w:rsidR="002028B5" w:rsidRPr="00F52884" w:rsidRDefault="002028B5" w:rsidP="008E4BC2">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2. </w:t>
            </w:r>
            <w:r w:rsidR="008E4BC2" w:rsidRPr="00F52884">
              <w:rPr>
                <w:rFonts w:ascii="Arial" w:eastAsia="Arial" w:hAnsi="Arial" w:cs="Arial"/>
                <w:szCs w:val="23"/>
                <w:lang w:val="fr-CA"/>
              </w:rPr>
              <w:tab/>
            </w:r>
            <w:r w:rsidRPr="00F52884">
              <w:rPr>
                <w:rFonts w:ascii="Arial" w:eastAsia="Arial" w:hAnsi="Arial" w:cs="Arial"/>
                <w:szCs w:val="23"/>
                <w:lang w:val="fr-CA"/>
              </w:rPr>
              <w:t>Un « plan de retombées économiques » est un plan prévoyant l’embauche de Canadiens et offrant aux fabricants, aux conseillers, aux entrepreneurs et aux sociétés de services canadiens la juste possibilité de participer sur une base concurrentielle à la fourniture de produits et de services utilisés dans les travaux ou activités envisagés dont il est fait mention dans le plan de retombées économiques.</w:t>
            </w:r>
          </w:p>
          <w:p w14:paraId="51FBFE40" w14:textId="01E50D94" w:rsidR="002028B5" w:rsidRPr="00F52884" w:rsidRDefault="002028B5" w:rsidP="008E4BC2">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3. </w:t>
            </w:r>
            <w:r w:rsidR="008E4BC2" w:rsidRPr="00F52884">
              <w:rPr>
                <w:rFonts w:ascii="Arial" w:eastAsia="Arial" w:hAnsi="Arial" w:cs="Arial"/>
                <w:szCs w:val="23"/>
                <w:lang w:val="fr-CA"/>
              </w:rPr>
              <w:tab/>
            </w:r>
            <w:r w:rsidRPr="00F52884">
              <w:rPr>
                <w:rFonts w:ascii="Arial" w:eastAsia="Arial" w:hAnsi="Arial" w:cs="Arial"/>
                <w:szCs w:val="23"/>
                <w:lang w:val="fr-CA"/>
              </w:rPr>
              <w:t xml:space="preserve">Le ministre responsable de cette </w:t>
            </w:r>
            <w:r w:rsidRPr="00F52884">
              <w:rPr>
                <w:rFonts w:ascii="Arial" w:eastAsia="Arial" w:hAnsi="Arial" w:cs="Arial"/>
                <w:iCs/>
                <w:szCs w:val="23"/>
                <w:lang w:val="fr-CA"/>
              </w:rPr>
              <w:t>Loi</w:t>
            </w:r>
            <w:r w:rsidRPr="00F52884">
              <w:rPr>
                <w:rFonts w:ascii="Arial" w:eastAsia="Arial" w:hAnsi="Arial" w:cs="Arial"/>
                <w:szCs w:val="23"/>
                <w:lang w:val="fr-CA"/>
              </w:rPr>
              <w:t xml:space="preserve"> peut exiger l’inclusion au plan de retombées économiques d’un « programme de promotion sociale » pour faire en sorte que les individus ou groupes défavorisés bénéficient d’un accès à la formation et aux emplois offerts ou qu’ils puissent participer à la fourniture des produits et des services utilisés dans les travaux visés par ce plan.</w:t>
            </w:r>
          </w:p>
          <w:p w14:paraId="4B55BFA1" w14:textId="4B468FD3" w:rsidR="002028B5" w:rsidRPr="00F52884" w:rsidRDefault="002028B5" w:rsidP="008E4BC2">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4. </w:t>
            </w:r>
            <w:r w:rsidR="008E4BC2" w:rsidRPr="00F52884">
              <w:rPr>
                <w:rFonts w:ascii="Arial" w:eastAsia="Arial" w:hAnsi="Arial" w:cs="Arial"/>
                <w:szCs w:val="23"/>
                <w:lang w:val="fr-CA"/>
              </w:rPr>
              <w:tab/>
            </w:r>
            <w:r w:rsidRPr="00F52884">
              <w:rPr>
                <w:rFonts w:ascii="Arial" w:eastAsia="Arial" w:hAnsi="Arial" w:cs="Arial"/>
                <w:szCs w:val="23"/>
                <w:lang w:val="fr-CA"/>
              </w:rPr>
              <w:t xml:space="preserve">Des dispositions prolongeant celles énoncées dans la </w:t>
            </w:r>
            <w:r w:rsidRPr="00F52884">
              <w:rPr>
                <w:rFonts w:ascii="Arial" w:eastAsia="Arial" w:hAnsi="Arial" w:cs="Arial"/>
                <w:i/>
                <w:iCs/>
                <w:szCs w:val="23"/>
                <w:lang w:val="fr-CA"/>
              </w:rPr>
              <w:t>Loi sur les opérations pétrolières au Canada</w:t>
            </w:r>
            <w:r w:rsidRPr="00F52884">
              <w:rPr>
                <w:rFonts w:ascii="Arial" w:eastAsia="Arial" w:hAnsi="Arial" w:cs="Arial"/>
                <w:szCs w:val="23"/>
                <w:lang w:val="fr-CA"/>
              </w:rPr>
              <w:t xml:space="preserve"> figurent dans la législation de mise en œuvre de l’Accord Canada-Yukon sur le pétrole et le gaz et de l’Accord des Territoires du Nord-Ouest sur le pétrole et le gaz.</w:t>
            </w:r>
          </w:p>
          <w:p w14:paraId="33A57049" w14:textId="58E61967" w:rsidR="002028B5" w:rsidRPr="00F52884" w:rsidRDefault="002028B5" w:rsidP="008E4BC2">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5. </w:t>
            </w:r>
            <w:r w:rsidR="008E4BC2" w:rsidRPr="00F52884">
              <w:rPr>
                <w:rFonts w:ascii="Arial" w:eastAsia="Arial" w:hAnsi="Arial" w:cs="Arial"/>
                <w:szCs w:val="23"/>
                <w:lang w:val="fr-CA"/>
              </w:rPr>
              <w:tab/>
            </w:r>
            <w:r w:rsidRPr="00F52884">
              <w:rPr>
                <w:rFonts w:ascii="Arial" w:eastAsia="Arial" w:hAnsi="Arial" w:cs="Arial"/>
                <w:szCs w:val="23"/>
                <w:lang w:val="fr-CA"/>
              </w:rPr>
              <w:t xml:space="preserve">Des dispositions prolongeant celles énoncées dans la </w:t>
            </w:r>
            <w:r w:rsidRPr="00F52884">
              <w:rPr>
                <w:rFonts w:ascii="Arial" w:eastAsia="Arial" w:hAnsi="Arial" w:cs="Arial"/>
                <w:i/>
                <w:iCs/>
                <w:szCs w:val="23"/>
                <w:lang w:val="fr-CA"/>
              </w:rPr>
              <w:t>Loi sur les opérations pétrolières au Canada</w:t>
            </w:r>
            <w:r w:rsidRPr="00F52884">
              <w:rPr>
                <w:rFonts w:ascii="Arial" w:eastAsia="Arial" w:hAnsi="Arial" w:cs="Arial"/>
                <w:szCs w:val="23"/>
                <w:lang w:val="fr-CA"/>
              </w:rPr>
              <w:t xml:space="preserve"> peuvent être incorporées dans les lois ou règlements du gouvernement du Canada afin de mettre en œuvre les accords conclus avec les Provinces, y compris l’Accord entre le gouvernement du Canada et le gouvernement du Québec sur la gestion conjointe des hydrocarbures dans le golfe du Saint-Laurent. Aux fins de la présente exception, ces accords et lois ou règlements de mise en œuvre sont réputés, une fois conclus, être des mesures existantes.</w:t>
            </w:r>
          </w:p>
          <w:p w14:paraId="6CD17077" w14:textId="22B18B2A" w:rsidR="002028B5" w:rsidRPr="00F52884" w:rsidRDefault="002028B5" w:rsidP="008E4BC2">
            <w:pPr>
              <w:spacing w:before="120" w:after="120"/>
              <w:ind w:left="366" w:hanging="366"/>
              <w:rPr>
                <w:rFonts w:ascii="Arial" w:eastAsia="Arial" w:hAnsi="Arial" w:cs="Arial"/>
                <w:szCs w:val="23"/>
                <w:lang w:val="fr-FR"/>
              </w:rPr>
            </w:pPr>
            <w:r w:rsidRPr="00F52884">
              <w:rPr>
                <w:rFonts w:ascii="Arial" w:eastAsia="Arial" w:hAnsi="Arial" w:cs="Arial"/>
                <w:szCs w:val="23"/>
                <w:lang w:val="fr-CA"/>
              </w:rPr>
              <w:t xml:space="preserve">6. </w:t>
            </w:r>
            <w:r w:rsidR="008E4BC2" w:rsidRPr="00F52884">
              <w:rPr>
                <w:rFonts w:ascii="Arial" w:eastAsia="Arial" w:hAnsi="Arial" w:cs="Arial"/>
                <w:szCs w:val="23"/>
                <w:lang w:val="fr-CA"/>
              </w:rPr>
              <w:tab/>
            </w:r>
            <w:r w:rsidRPr="00F52884">
              <w:rPr>
                <w:rFonts w:ascii="Arial" w:eastAsia="Arial" w:hAnsi="Arial" w:cs="Arial"/>
                <w:szCs w:val="23"/>
                <w:lang w:val="fr-CA"/>
              </w:rPr>
              <w:t xml:space="preserve">La </w:t>
            </w:r>
            <w:r w:rsidRPr="00F52884">
              <w:rPr>
                <w:rFonts w:ascii="Arial" w:eastAsia="Arial" w:hAnsi="Arial" w:cs="Arial"/>
                <w:i/>
                <w:iCs/>
                <w:szCs w:val="23"/>
                <w:lang w:val="fr-CA"/>
              </w:rPr>
              <w:t>Loi de mise en œuvre de l’Accord Canada – Nouvelle-Écosse sur les hydrocarbures extracôtiers</w:t>
            </w:r>
            <w:r w:rsidRPr="00F52884">
              <w:rPr>
                <w:rFonts w:ascii="Arial" w:eastAsia="Arial" w:hAnsi="Arial" w:cs="Arial"/>
                <w:szCs w:val="23"/>
                <w:lang w:val="fr-CA"/>
              </w:rPr>
              <w:t xml:space="preserve"> et la </w:t>
            </w:r>
            <w:r w:rsidRPr="00F52884">
              <w:rPr>
                <w:rFonts w:ascii="Arial" w:eastAsia="Arial" w:hAnsi="Arial" w:cs="Arial"/>
                <w:i/>
                <w:iCs/>
                <w:szCs w:val="23"/>
                <w:lang w:val="fr-CA"/>
              </w:rPr>
              <w:t>Loi de mise en œuvre de l’Accord atlantique Canada-Terre-Neuve-et-Labrador</w:t>
            </w:r>
            <w:r w:rsidRPr="00F52884">
              <w:rPr>
                <w:rFonts w:ascii="Arial" w:eastAsia="Arial" w:hAnsi="Arial" w:cs="Arial"/>
                <w:szCs w:val="23"/>
                <w:lang w:val="fr-CA"/>
              </w:rPr>
              <w:t xml:space="preserve"> comportent la même prescription d’un plan de retombées économiques, mais elles exigent en outre que ce plan fasse en sorte que :</w:t>
            </w:r>
          </w:p>
          <w:p w14:paraId="39D47E2A" w14:textId="0E696C6C" w:rsidR="002028B5" w:rsidRPr="00F52884" w:rsidRDefault="002028B5" w:rsidP="00F52884">
            <w:pPr>
              <w:numPr>
                <w:ilvl w:val="0"/>
                <w:numId w:val="309"/>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avant</w:t>
            </w:r>
            <w:proofErr w:type="gramEnd"/>
            <w:r w:rsidRPr="00F52884">
              <w:rPr>
                <w:rFonts w:ascii="Arial" w:eastAsia="Arial" w:hAnsi="Arial" w:cs="Arial"/>
                <w:szCs w:val="23"/>
                <w:lang w:val="fr-CA"/>
              </w:rPr>
              <w:t xml:space="preserve"> d’entreprendre des travaux ou des activités dans la région extracôtière, la société ou autre organisme présentant le plan établisse une instance décisionnelle appropriée dans la province concernée;</w:t>
            </w:r>
          </w:p>
          <w:p w14:paraId="27F8F1B1" w14:textId="7D712334" w:rsidR="002028B5" w:rsidRPr="00F52884" w:rsidRDefault="002028B5" w:rsidP="00F52884">
            <w:pPr>
              <w:numPr>
                <w:ilvl w:val="0"/>
                <w:numId w:val="309"/>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des</w:t>
            </w:r>
            <w:proofErr w:type="gramEnd"/>
            <w:r w:rsidRPr="00F52884">
              <w:rPr>
                <w:rFonts w:ascii="Arial" w:eastAsia="Arial" w:hAnsi="Arial" w:cs="Arial"/>
                <w:szCs w:val="23"/>
                <w:lang w:val="fr-CA"/>
              </w:rPr>
              <w:t xml:space="preserve"> dépenses soient engagées pour financer des activités de recherche et développement, d’enseignement et de formation dans la province;</w:t>
            </w:r>
          </w:p>
          <w:p w14:paraId="145CE460" w14:textId="78607607" w:rsidR="002028B5" w:rsidRPr="00F52884" w:rsidRDefault="002028B5" w:rsidP="00F52884">
            <w:pPr>
              <w:numPr>
                <w:ilvl w:val="0"/>
                <w:numId w:val="309"/>
              </w:numPr>
              <w:tabs>
                <w:tab w:val="clear" w:pos="72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la</w:t>
            </w:r>
            <w:proofErr w:type="gramEnd"/>
            <w:r w:rsidRPr="00F52884">
              <w:rPr>
                <w:rFonts w:ascii="Arial" w:eastAsia="Arial" w:hAnsi="Arial" w:cs="Arial"/>
                <w:szCs w:val="23"/>
                <w:lang w:val="fr-CA"/>
              </w:rPr>
              <w:t xml:space="preserve"> priorité soit donnée aux produits fabriqués et aux services fournis dans la province s’ils se comparent, en situation de libre concurrence, à ceux des autres marchés quant au prix, à la qualité et aux conditions de fourniture.</w:t>
            </w:r>
          </w:p>
          <w:p w14:paraId="4AB1FEE1" w14:textId="3A83DF96" w:rsidR="002028B5" w:rsidRPr="00F52884" w:rsidRDefault="002028B5" w:rsidP="008E4BC2">
            <w:pPr>
              <w:spacing w:before="120" w:after="120"/>
              <w:ind w:left="366" w:hanging="360"/>
              <w:rPr>
                <w:rFonts w:ascii="Arial" w:eastAsia="Arial" w:hAnsi="Arial" w:cs="Arial"/>
                <w:szCs w:val="23"/>
                <w:lang w:val="fr-FR"/>
              </w:rPr>
            </w:pPr>
            <w:r w:rsidRPr="00F52884">
              <w:rPr>
                <w:rFonts w:ascii="Arial" w:eastAsia="Arial" w:hAnsi="Arial" w:cs="Arial"/>
                <w:szCs w:val="23"/>
                <w:lang w:val="fr-CA"/>
              </w:rPr>
              <w:t xml:space="preserve">7. </w:t>
            </w:r>
            <w:r w:rsidR="008E4BC2" w:rsidRPr="00F52884">
              <w:rPr>
                <w:rFonts w:ascii="Arial" w:eastAsia="Arial" w:hAnsi="Arial" w:cs="Arial"/>
                <w:szCs w:val="23"/>
                <w:lang w:val="fr-CA"/>
              </w:rPr>
              <w:tab/>
            </w:r>
            <w:r w:rsidRPr="00F52884">
              <w:rPr>
                <w:rFonts w:ascii="Arial" w:eastAsia="Arial" w:hAnsi="Arial" w:cs="Arial"/>
                <w:szCs w:val="23"/>
                <w:lang w:val="fr-CA"/>
              </w:rPr>
              <w:t>Les conseils qui administrent le plan de retombées économiques prévu par ces lois peuvent également exiger que le plan contienne des dispositions visant à faire en sorte que les individus ou groupes défavorisés, ou les sociétés qu’ils détiennent ou les coopératives qu’ils exploitent, participent à la fourniture des produits et services utilisés dans les travaux ou activités envisagés dont il est fait mention dans le plan.</w:t>
            </w:r>
          </w:p>
        </w:tc>
      </w:tr>
    </w:tbl>
    <w:p w14:paraId="780D5594" w14:textId="211CF478" w:rsidR="002028B5" w:rsidRPr="00F52884" w:rsidRDefault="002028B5" w:rsidP="00E94578">
      <w:pPr>
        <w:rPr>
          <w:rFonts w:ascii="Arial" w:eastAsia="Arial" w:hAnsi="Arial" w:cs="Arial"/>
          <w:szCs w:val="23"/>
          <w:lang w:val="fr-CA"/>
        </w:rPr>
      </w:pPr>
    </w:p>
    <w:p w14:paraId="6EDB5132" w14:textId="77777777" w:rsidR="00C82933" w:rsidRPr="00F52884" w:rsidRDefault="00C82933" w:rsidP="00E94578">
      <w:pPr>
        <w:rPr>
          <w:rFonts w:ascii="Arial" w:eastAsia="Arial" w:hAnsi="Arial" w:cs="Arial"/>
          <w:szCs w:val="23"/>
          <w:lang w:val="fr-CA"/>
        </w:rPr>
      </w:pPr>
    </w:p>
    <w:p w14:paraId="3298F6EB" w14:textId="002A1B36" w:rsidR="002028B5" w:rsidRPr="00F52884" w:rsidRDefault="00A62726" w:rsidP="00C82933">
      <w:pPr>
        <w:spacing w:before="60" w:after="60"/>
        <w:ind w:left="-357"/>
        <w:rPr>
          <w:rFonts w:ascii="Arial" w:eastAsia="Arial" w:hAnsi="Arial" w:cs="Arial"/>
          <w:b/>
          <w:szCs w:val="23"/>
        </w:rPr>
      </w:pPr>
      <w:r>
        <w:rPr>
          <w:rFonts w:ascii="Arial" w:eastAsia="Arial" w:hAnsi="Arial" w:cs="Arial"/>
          <w:b/>
          <w:szCs w:val="23"/>
          <w:lang w:val="fr-CA"/>
        </w:rPr>
        <w:t>6</w:t>
      </w:r>
      <w:r w:rsidR="00C82933" w:rsidRPr="00F52884">
        <w:rPr>
          <w:rFonts w:ascii="Arial" w:eastAsia="Arial" w:hAnsi="Arial" w:cs="Arial"/>
          <w:b/>
          <w:szCs w:val="23"/>
          <w:lang w:val="fr-CA"/>
        </w:rPr>
        <w:t xml:space="preserve">.  </w:t>
      </w:r>
      <w:r w:rsidR="002028B5" w:rsidRPr="00F52884">
        <w:rPr>
          <w:rFonts w:ascii="Arial Bold" w:eastAsia="Arial" w:hAnsi="Arial Bold" w:cs="Arial"/>
          <w:b/>
          <w:caps/>
          <w:szCs w:val="23"/>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8021"/>
        <w:gridCol w:w="71"/>
      </w:tblGrid>
      <w:tr w:rsidR="002028B5" w:rsidRPr="00F52884" w14:paraId="17208924" w14:textId="77777777" w:rsidTr="008E4BC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1455B6E" w14:textId="05E57C72" w:rsidR="002028B5" w:rsidRPr="00F52884" w:rsidRDefault="002028B5" w:rsidP="00C82933">
            <w:pPr>
              <w:spacing w:before="60" w:after="60"/>
              <w:rPr>
                <w:rFonts w:ascii="Arial" w:eastAsia="Arial" w:hAnsi="Arial" w:cs="Arial"/>
                <w:szCs w:val="23"/>
                <w:lang w:val="fr-FR"/>
              </w:rPr>
            </w:pPr>
            <w:r w:rsidRPr="00F52884">
              <w:rPr>
                <w:rFonts w:ascii="Arial" w:eastAsia="Arial" w:hAnsi="Arial" w:cs="Arial"/>
                <w:szCs w:val="23"/>
                <w:lang w:val="fr-CA"/>
              </w:rPr>
              <w:lastRenderedPageBreak/>
              <w:br w:type="page"/>
            </w:r>
            <w:r w:rsidR="008E4BC2" w:rsidRPr="00F52884">
              <w:rPr>
                <w:rFonts w:ascii="Arial" w:eastAsia="Arial" w:hAnsi="Arial" w:cs="Arial"/>
                <w:b/>
                <w:bCs/>
                <w:szCs w:val="23"/>
                <w:lang w:val="fr-CA"/>
              </w:rPr>
              <w:t>S</w:t>
            </w:r>
            <w:r w:rsidRPr="00F52884">
              <w:rPr>
                <w:rFonts w:ascii="Arial" w:eastAsia="Arial" w:hAnsi="Arial" w:cs="Arial"/>
                <w:b/>
                <w:bCs/>
                <w:szCs w:val="23"/>
                <w:lang w:val="fr-CA"/>
              </w:rPr>
              <w:t xml:space="preserve">ecteur : </w:t>
            </w:r>
          </w:p>
        </w:tc>
        <w:tc>
          <w:tcPr>
            <w:tcW w:w="8092" w:type="dxa"/>
            <w:gridSpan w:val="2"/>
            <w:tcBorders>
              <w:top w:val="single" w:sz="4" w:space="0" w:color="C0C0C0"/>
              <w:left w:val="single" w:sz="4" w:space="0" w:color="FFFFFF"/>
              <w:bottom w:val="single" w:sz="4" w:space="0" w:color="C0C0C0"/>
              <w:right w:val="nil"/>
            </w:tcBorders>
            <w:vAlign w:val="center"/>
          </w:tcPr>
          <w:p w14:paraId="4CD15E6E" w14:textId="3D5800EB"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Énergie (pétrole et gaz)</w:t>
            </w:r>
          </w:p>
        </w:tc>
      </w:tr>
      <w:tr w:rsidR="002028B5" w:rsidRPr="00D315AF" w14:paraId="1B8E92B3" w14:textId="77777777" w:rsidTr="008E4BC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5639E220" w14:textId="3D237868" w:rsidR="002028B5" w:rsidRPr="00F52884" w:rsidRDefault="002028B5" w:rsidP="00C82933">
            <w:pPr>
              <w:spacing w:before="60" w:after="60"/>
              <w:rPr>
                <w:rFonts w:ascii="Arial" w:eastAsia="Arial" w:hAnsi="Arial" w:cs="Arial"/>
                <w:b/>
                <w:szCs w:val="23"/>
                <w:lang w:val="fr-FR"/>
              </w:rPr>
            </w:pPr>
            <w:r w:rsidRPr="00F52884">
              <w:rPr>
                <w:rFonts w:ascii="Arial" w:eastAsia="Arial" w:hAnsi="Arial" w:cs="Arial"/>
                <w:b/>
                <w:bCs/>
                <w:szCs w:val="23"/>
                <w:lang w:val="fr-CA"/>
              </w:rPr>
              <w:t xml:space="preserve">Sous-secteur : </w:t>
            </w:r>
          </w:p>
        </w:tc>
        <w:tc>
          <w:tcPr>
            <w:tcW w:w="8092" w:type="dxa"/>
            <w:gridSpan w:val="2"/>
            <w:tcBorders>
              <w:top w:val="single" w:sz="4" w:space="0" w:color="C0C0C0"/>
              <w:left w:val="single" w:sz="4" w:space="0" w:color="FFFFFF"/>
              <w:bottom w:val="single" w:sz="4" w:space="0" w:color="C0C0C0"/>
              <w:right w:val="nil"/>
            </w:tcBorders>
            <w:vAlign w:val="center"/>
          </w:tcPr>
          <w:p w14:paraId="05A4BA5F" w14:textId="279CD95D"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Industries du pétrole brut et du gaz naturel; services annexes aux industries extractives</w:t>
            </w:r>
          </w:p>
        </w:tc>
      </w:tr>
      <w:tr w:rsidR="002028B5" w:rsidRPr="00F52884" w14:paraId="14844AC3" w14:textId="77777777" w:rsidTr="008E4BC2">
        <w:trPr>
          <w:gridAfter w:val="1"/>
          <w:wAfter w:w="71"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479E9BBE" w14:textId="7376716E"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8021" w:type="dxa"/>
            <w:tcBorders>
              <w:top w:val="single" w:sz="4" w:space="0" w:color="C0C0C0"/>
              <w:left w:val="single" w:sz="4" w:space="0" w:color="FFFFFF"/>
              <w:bottom w:val="single" w:sz="4" w:space="0" w:color="C0C0C0"/>
              <w:right w:val="nil"/>
            </w:tcBorders>
            <w:vAlign w:val="center"/>
          </w:tcPr>
          <w:p w14:paraId="2AC9A323" w14:textId="03B7197D" w:rsidR="002028B5" w:rsidRPr="00F52884" w:rsidRDefault="008E4BC2" w:rsidP="00C82933">
            <w:pPr>
              <w:spacing w:before="60" w:after="60"/>
              <w:ind w:left="4"/>
              <w:rPr>
                <w:rFonts w:ascii="Arial" w:eastAsia="Arial" w:hAnsi="Arial" w:cs="Arial"/>
                <w:szCs w:val="23"/>
              </w:rPr>
            </w:pPr>
            <w:r w:rsidRPr="00F52884">
              <w:rPr>
                <w:rFonts w:ascii="Arial" w:eastAsia="Arial" w:hAnsi="Arial" w:cs="Arial"/>
                <w:szCs w:val="23"/>
                <w:lang w:val="fr-CA"/>
              </w:rPr>
              <w:t>CPC 120, 883</w:t>
            </w:r>
          </w:p>
        </w:tc>
      </w:tr>
      <w:tr w:rsidR="008E4BC2" w:rsidRPr="00F52884" w14:paraId="2FCA605D"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11E450BF" w14:textId="474B9123"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3234D489" w14:textId="6DAAC40A" w:rsidR="008E4BC2" w:rsidRPr="00F52884" w:rsidRDefault="008E4BC2"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313 (Prescriptions de résultats)</w:t>
            </w:r>
          </w:p>
        </w:tc>
      </w:tr>
      <w:tr w:rsidR="002028B5" w:rsidRPr="00F52884" w14:paraId="7CE58C02"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1DFAC67" w14:textId="77777777" w:rsidR="002028B5" w:rsidRPr="00F52884" w:rsidRDefault="002028B5" w:rsidP="005B2946">
            <w:pPr>
              <w:spacing w:before="60" w:after="60"/>
              <w:rPr>
                <w:b/>
              </w:rPr>
            </w:pPr>
            <w:r w:rsidRPr="00F52884">
              <w:rPr>
                <w:b/>
                <w:lang w:val="fr-CA"/>
              </w:rPr>
              <w:t>Mesures :</w:t>
            </w:r>
          </w:p>
        </w:tc>
      </w:tr>
      <w:tr w:rsidR="002028B5" w:rsidRPr="00D315AF" w14:paraId="64F83A4E"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0D392976" w14:textId="6FB443F8" w:rsidR="002028B5" w:rsidRPr="00F52884" w:rsidRDefault="002028B5" w:rsidP="00C82933">
            <w:pPr>
              <w:spacing w:before="60" w:after="60"/>
              <w:rPr>
                <w:rFonts w:ascii="Arial" w:eastAsia="Arial" w:hAnsi="Arial" w:cs="Arial"/>
                <w:szCs w:val="23"/>
                <w:lang w:val="fr-CA"/>
              </w:rPr>
            </w:pPr>
            <w:r w:rsidRPr="00F52884">
              <w:rPr>
                <w:rFonts w:ascii="Arial" w:eastAsia="Arial" w:hAnsi="Arial" w:cs="Arial"/>
                <w:i/>
                <w:iCs/>
                <w:szCs w:val="23"/>
                <w:lang w:val="fr-CA"/>
              </w:rPr>
              <w:t xml:space="preserve">Loi sur l’exploitation du champ </w:t>
            </w:r>
            <w:proofErr w:type="spellStart"/>
            <w:r w:rsidRPr="00F52884">
              <w:rPr>
                <w:rFonts w:ascii="Arial" w:eastAsia="Arial" w:hAnsi="Arial" w:cs="Arial"/>
                <w:i/>
                <w:iCs/>
                <w:szCs w:val="23"/>
                <w:lang w:val="fr-CA"/>
              </w:rPr>
              <w:t>Hibernia</w:t>
            </w:r>
            <w:proofErr w:type="spellEnd"/>
            <w:r w:rsidRPr="00F52884">
              <w:rPr>
                <w:rFonts w:ascii="Arial" w:eastAsia="Arial" w:hAnsi="Arial" w:cs="Arial"/>
                <w:szCs w:val="23"/>
                <w:lang w:val="fr-CA"/>
              </w:rPr>
              <w:t>, LC 1990, c 41</w:t>
            </w:r>
            <w:r w:rsidRPr="00F52884">
              <w:rPr>
                <w:rFonts w:ascii="Arial" w:eastAsia="Arial" w:hAnsi="Arial" w:cs="Arial"/>
                <w:i/>
                <w:iCs/>
                <w:szCs w:val="23"/>
                <w:lang w:val="fr-CA"/>
              </w:rPr>
              <w:t>Loi de mise en œuvre de l’Accord atlantique Canada-Terre-Neuve-et-Labrador</w:t>
            </w:r>
            <w:r w:rsidRPr="00F52884">
              <w:rPr>
                <w:rFonts w:ascii="Arial" w:eastAsia="Arial" w:hAnsi="Arial" w:cs="Arial"/>
                <w:szCs w:val="23"/>
                <w:lang w:val="fr-CA"/>
              </w:rPr>
              <w:t>, LC 1987, -c 3</w:t>
            </w:r>
          </w:p>
        </w:tc>
      </w:tr>
      <w:tr w:rsidR="002028B5" w:rsidRPr="00F52884" w14:paraId="683C8FFD"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1E1A325" w14:textId="77777777" w:rsidR="002028B5" w:rsidRPr="00F52884" w:rsidRDefault="002028B5" w:rsidP="005B2946">
            <w:pPr>
              <w:spacing w:before="60" w:after="60"/>
              <w:rPr>
                <w:b/>
                <w:lang w:val="fr-CA"/>
              </w:rPr>
            </w:pPr>
            <w:r w:rsidRPr="00F52884">
              <w:rPr>
                <w:b/>
                <w:lang w:val="fr-CA"/>
              </w:rPr>
              <w:t>Description :</w:t>
            </w:r>
          </w:p>
        </w:tc>
      </w:tr>
      <w:tr w:rsidR="002028B5" w:rsidRPr="00D315AF" w14:paraId="4BE927D4"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766CDD09" w14:textId="76C1D362" w:rsidR="002028B5" w:rsidRPr="00F52884" w:rsidRDefault="002028B5" w:rsidP="008E4BC2">
            <w:pPr>
              <w:spacing w:before="120" w:after="120"/>
              <w:ind w:left="366" w:hanging="366"/>
              <w:rPr>
                <w:rFonts w:ascii="Arial" w:eastAsia="Arial" w:hAnsi="Arial" w:cs="Arial"/>
                <w:bCs/>
                <w:szCs w:val="23"/>
                <w:lang w:val="fr-FR"/>
              </w:rPr>
            </w:pPr>
            <w:r w:rsidRPr="00F52884">
              <w:rPr>
                <w:rFonts w:ascii="Arial" w:eastAsia="Arial" w:hAnsi="Arial" w:cs="Arial"/>
                <w:szCs w:val="23"/>
                <w:lang w:val="fr-CA"/>
              </w:rPr>
              <w:t>1.</w:t>
            </w:r>
            <w:r w:rsidRPr="00F52884">
              <w:rPr>
                <w:rFonts w:ascii="Arial" w:eastAsia="Arial" w:hAnsi="Arial" w:cs="Arial"/>
                <w:szCs w:val="23"/>
                <w:lang w:val="fr-CA"/>
              </w:rPr>
              <w:tab/>
              <w:t xml:space="preserve">En vertu de la </w:t>
            </w:r>
            <w:r w:rsidRPr="00F52884">
              <w:rPr>
                <w:rFonts w:ascii="Arial" w:eastAsia="Arial" w:hAnsi="Arial" w:cs="Arial"/>
                <w:i/>
                <w:iCs/>
                <w:szCs w:val="23"/>
                <w:lang w:val="fr-CA"/>
              </w:rPr>
              <w:t xml:space="preserve">Loi sur l’exploitation du champ </w:t>
            </w:r>
            <w:proofErr w:type="spellStart"/>
            <w:r w:rsidRPr="00F52884">
              <w:rPr>
                <w:rFonts w:ascii="Arial" w:eastAsia="Arial" w:hAnsi="Arial" w:cs="Arial"/>
                <w:i/>
                <w:iCs/>
                <w:szCs w:val="23"/>
                <w:lang w:val="fr-CA"/>
              </w:rPr>
              <w:t>Hibernia</w:t>
            </w:r>
            <w:proofErr w:type="spellEnd"/>
            <w:r w:rsidRPr="00F52884">
              <w:rPr>
                <w:rFonts w:ascii="Arial" w:eastAsia="Arial" w:hAnsi="Arial" w:cs="Arial"/>
                <w:szCs w:val="23"/>
                <w:lang w:val="fr-CA"/>
              </w:rPr>
              <w:t xml:space="preserve">, le Canada et les propriétaires du champ </w:t>
            </w:r>
            <w:proofErr w:type="spellStart"/>
            <w:r w:rsidRPr="00F52884">
              <w:rPr>
                <w:rFonts w:ascii="Arial" w:eastAsia="Arial" w:hAnsi="Arial" w:cs="Arial"/>
                <w:szCs w:val="23"/>
                <w:lang w:val="fr-CA"/>
              </w:rPr>
              <w:t>Hibernia</w:t>
            </w:r>
            <w:proofErr w:type="spellEnd"/>
            <w:r w:rsidRPr="00F52884">
              <w:rPr>
                <w:rFonts w:ascii="Arial" w:eastAsia="Arial" w:hAnsi="Arial" w:cs="Arial"/>
                <w:szCs w:val="23"/>
                <w:lang w:val="fr-CA"/>
              </w:rPr>
              <w:t xml:space="preserve"> peuvent conclure des accords. Aux termes de ces accords, les propriétaires du champ peuvent être tenus d’entreprendre certains travaux au Canada et à Terre-Neuve-et-Labrador et de déployer tous leurs efforts pour atteindre les niveaux cibles canadiens et terre-neuviens particuliers se rapportant aux dispositions du « plan de retombées économiques » prescrit par la </w:t>
            </w:r>
            <w:r w:rsidRPr="00F52884">
              <w:rPr>
                <w:rFonts w:ascii="Arial" w:eastAsia="Arial" w:hAnsi="Arial" w:cs="Arial"/>
                <w:i/>
                <w:iCs/>
                <w:szCs w:val="23"/>
                <w:lang w:val="fr-CA"/>
              </w:rPr>
              <w:t>Loi de mise en œuvre de l’Accord atlantique Canada-Terre-Neuve-et-Labrador</w:t>
            </w:r>
            <w:r w:rsidRPr="00F52884">
              <w:rPr>
                <w:rFonts w:ascii="Arial" w:eastAsia="Arial" w:hAnsi="Arial" w:cs="Arial"/>
                <w:szCs w:val="23"/>
                <w:lang w:val="fr-CA"/>
              </w:rPr>
              <w:t xml:space="preserve">. Les « plans de retombées économiques » sont décrits plus en détail dans la présente </w:t>
            </w:r>
            <w:proofErr w:type="gramStart"/>
            <w:r w:rsidRPr="00F52884">
              <w:rPr>
                <w:rFonts w:ascii="Arial" w:eastAsia="Arial" w:hAnsi="Arial" w:cs="Arial"/>
                <w:szCs w:val="23"/>
                <w:lang w:val="fr-CA"/>
              </w:rPr>
              <w:t>liste  I</w:t>
            </w:r>
            <w:proofErr w:type="gramEnd"/>
            <w:r w:rsidRPr="00F52884">
              <w:rPr>
                <w:rFonts w:ascii="Arial" w:eastAsia="Arial" w:hAnsi="Arial" w:cs="Arial"/>
                <w:szCs w:val="23"/>
                <w:lang w:val="fr-CA"/>
              </w:rPr>
              <w:t>-C-6.</w:t>
            </w:r>
          </w:p>
          <w:p w14:paraId="49689356" w14:textId="77777777" w:rsidR="002028B5" w:rsidRPr="00F52884" w:rsidRDefault="002028B5" w:rsidP="008E4BC2">
            <w:pPr>
              <w:spacing w:before="120" w:after="120"/>
              <w:ind w:left="366" w:hanging="366"/>
              <w:rPr>
                <w:rFonts w:ascii="Arial" w:eastAsia="Times New Roman" w:hAnsi="Arial" w:cs="Arial"/>
                <w:bCs/>
                <w:szCs w:val="23"/>
                <w:lang w:val="fr-FR" w:bidi="en-US"/>
              </w:rPr>
            </w:pPr>
            <w:r w:rsidRPr="00F52884">
              <w:rPr>
                <w:rFonts w:ascii="Arial" w:eastAsia="Times New Roman" w:hAnsi="Arial" w:cs="Arial"/>
                <w:szCs w:val="23"/>
                <w:lang w:val="fr-CA" w:bidi="en-US"/>
              </w:rPr>
              <w:t>2.</w:t>
            </w:r>
            <w:r w:rsidRPr="00F52884">
              <w:rPr>
                <w:rFonts w:ascii="Arial" w:eastAsia="Times New Roman" w:hAnsi="Arial" w:cs="Arial"/>
                <w:szCs w:val="23"/>
                <w:lang w:val="fr-CA" w:bidi="en-US"/>
              </w:rPr>
              <w:tab/>
              <w:t xml:space="preserve">En outre, le Canada peut, dans le cadre du projet </w:t>
            </w:r>
            <w:proofErr w:type="spellStart"/>
            <w:r w:rsidRPr="00F52884">
              <w:rPr>
                <w:rFonts w:ascii="Arial" w:eastAsia="Times New Roman" w:hAnsi="Arial" w:cs="Arial"/>
                <w:szCs w:val="23"/>
                <w:lang w:val="fr-CA" w:bidi="en-US"/>
              </w:rPr>
              <w:t>Hibernia</w:t>
            </w:r>
            <w:proofErr w:type="spellEnd"/>
            <w:r w:rsidRPr="00F52884">
              <w:rPr>
                <w:rFonts w:ascii="Arial" w:eastAsia="Times New Roman" w:hAnsi="Arial" w:cs="Arial"/>
                <w:szCs w:val="23"/>
                <w:lang w:val="fr-CA" w:bidi="en-US"/>
              </w:rPr>
              <w:t>, imposer une exigence ou faire exécuter un engagement qui concerne le transfert de technologie, d’un procédé de fabrication ou d’un autre savoir-faire exclusif à un ressortissant ou à une entreprise au Canada.</w:t>
            </w:r>
          </w:p>
        </w:tc>
      </w:tr>
    </w:tbl>
    <w:p w14:paraId="4AA9C4D6" w14:textId="50461154" w:rsidR="002028B5" w:rsidRPr="00F52884" w:rsidRDefault="002028B5" w:rsidP="00C82933">
      <w:pPr>
        <w:rPr>
          <w:lang w:val="fr-FR"/>
        </w:rPr>
      </w:pPr>
    </w:p>
    <w:p w14:paraId="2B13AFDD" w14:textId="77777777" w:rsidR="00C82933" w:rsidRPr="00F52884" w:rsidRDefault="00C82933" w:rsidP="00C82933">
      <w:pPr>
        <w:rPr>
          <w:lang w:val="fr-FR"/>
        </w:rPr>
      </w:pPr>
    </w:p>
    <w:p w14:paraId="6DF110E5" w14:textId="6A629B84" w:rsidR="002028B5" w:rsidRPr="00F52884" w:rsidRDefault="00A62726" w:rsidP="00C82933">
      <w:pPr>
        <w:spacing w:before="60" w:after="60"/>
        <w:ind w:left="-360"/>
        <w:rPr>
          <w:b/>
          <w:lang w:val="fr-FR"/>
        </w:rPr>
      </w:pPr>
      <w:r>
        <w:rPr>
          <w:b/>
          <w:lang w:val="fr-CA"/>
        </w:rPr>
        <w:t>7</w:t>
      </w:r>
      <w:r w:rsidR="00C82933" w:rsidRPr="00F52884">
        <w:rPr>
          <w:b/>
          <w:lang w:val="fr-CA"/>
        </w:rPr>
        <w:t xml:space="preserve">.  </w:t>
      </w:r>
      <w:r w:rsidR="002028B5" w:rsidRPr="00F52884">
        <w:rPr>
          <w:rFonts w:ascii="Arial Bold" w:hAnsi="Arial Bold"/>
          <w:b/>
          <w:caps/>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8021"/>
        <w:gridCol w:w="71"/>
      </w:tblGrid>
      <w:tr w:rsidR="002028B5" w:rsidRPr="00F52884" w14:paraId="59F69982" w14:textId="77777777" w:rsidTr="008E4BC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4220226" w14:textId="7CA146CF" w:rsidR="002028B5" w:rsidRPr="00F52884" w:rsidRDefault="002028B5" w:rsidP="00C82933">
            <w:pPr>
              <w:spacing w:before="60" w:after="60"/>
              <w:rPr>
                <w:rFonts w:ascii="Arial" w:eastAsia="Arial" w:hAnsi="Arial" w:cs="Arial"/>
                <w:szCs w:val="23"/>
                <w:lang w:val="fr-FR"/>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37B94771" w14:textId="2065F8FB"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Énergie (pétrole et gaz)</w:t>
            </w:r>
          </w:p>
        </w:tc>
      </w:tr>
      <w:tr w:rsidR="002028B5" w:rsidRPr="00D315AF" w14:paraId="47CFBE43" w14:textId="77777777" w:rsidTr="008E4BC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646BF9CC" w14:textId="10BC9DF9" w:rsidR="002028B5" w:rsidRPr="00F52884" w:rsidRDefault="002028B5" w:rsidP="00C82933">
            <w:pPr>
              <w:spacing w:before="60" w:after="60"/>
              <w:rPr>
                <w:rFonts w:ascii="Arial" w:eastAsia="Arial" w:hAnsi="Arial" w:cs="Arial"/>
                <w:b/>
                <w:szCs w:val="23"/>
                <w:lang w:val="fr-FR"/>
              </w:rPr>
            </w:pPr>
            <w:r w:rsidRPr="00F52884">
              <w:rPr>
                <w:rFonts w:ascii="Arial" w:eastAsia="Arial" w:hAnsi="Arial" w:cs="Arial"/>
                <w:b/>
                <w:bCs/>
                <w:szCs w:val="23"/>
                <w:lang w:val="fr-CA"/>
              </w:rPr>
              <w:t xml:space="preserve">Sous-secteur : </w:t>
            </w:r>
          </w:p>
        </w:tc>
        <w:tc>
          <w:tcPr>
            <w:tcW w:w="8092" w:type="dxa"/>
            <w:gridSpan w:val="2"/>
            <w:tcBorders>
              <w:top w:val="single" w:sz="4" w:space="0" w:color="C0C0C0"/>
              <w:left w:val="single" w:sz="4" w:space="0" w:color="FFFFFF"/>
              <w:bottom w:val="single" w:sz="4" w:space="0" w:color="C0C0C0"/>
              <w:right w:val="nil"/>
            </w:tcBorders>
            <w:vAlign w:val="center"/>
          </w:tcPr>
          <w:p w14:paraId="1D5B04B1" w14:textId="04D74CFE" w:rsidR="002028B5" w:rsidRPr="00F52884" w:rsidRDefault="008E4BC2" w:rsidP="00C82933">
            <w:pPr>
              <w:spacing w:before="60" w:after="60"/>
              <w:rPr>
                <w:rFonts w:ascii="Arial" w:eastAsia="Arial" w:hAnsi="Arial" w:cs="Arial"/>
                <w:szCs w:val="23"/>
                <w:lang w:val="fr-FR"/>
              </w:rPr>
            </w:pPr>
            <w:r w:rsidRPr="00F52884">
              <w:rPr>
                <w:rFonts w:ascii="Arial" w:eastAsia="Arial" w:hAnsi="Arial" w:cs="Arial"/>
                <w:szCs w:val="23"/>
                <w:lang w:val="fr-CA"/>
              </w:rPr>
              <w:t>Industries du pétrole brut et du gaz naturel; services annexes aux industries extractives</w:t>
            </w:r>
          </w:p>
        </w:tc>
      </w:tr>
      <w:tr w:rsidR="002028B5" w:rsidRPr="00F52884" w14:paraId="61990518" w14:textId="77777777" w:rsidTr="008E4BC2">
        <w:trPr>
          <w:gridAfter w:val="1"/>
          <w:wAfter w:w="71"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7C2E084" w14:textId="15A36E18"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8021" w:type="dxa"/>
            <w:tcBorders>
              <w:top w:val="single" w:sz="4" w:space="0" w:color="C0C0C0"/>
              <w:left w:val="single" w:sz="4" w:space="0" w:color="FFFFFF"/>
              <w:bottom w:val="single" w:sz="4" w:space="0" w:color="C0C0C0"/>
              <w:right w:val="nil"/>
            </w:tcBorders>
            <w:vAlign w:val="center"/>
          </w:tcPr>
          <w:p w14:paraId="5A2BE911" w14:textId="558B2E8D" w:rsidR="002028B5" w:rsidRPr="00F52884" w:rsidRDefault="008E4BC2" w:rsidP="00C82933">
            <w:pPr>
              <w:spacing w:before="60" w:after="60"/>
              <w:ind w:left="4"/>
              <w:rPr>
                <w:rFonts w:ascii="Arial" w:eastAsia="Arial" w:hAnsi="Arial" w:cs="Arial"/>
                <w:szCs w:val="23"/>
              </w:rPr>
            </w:pPr>
            <w:r w:rsidRPr="00F52884">
              <w:rPr>
                <w:rFonts w:ascii="Arial" w:eastAsia="Arial" w:hAnsi="Arial" w:cs="Arial"/>
                <w:szCs w:val="23"/>
                <w:lang w:val="fr-CA"/>
              </w:rPr>
              <w:t>CPC 120, 883</w:t>
            </w:r>
          </w:p>
        </w:tc>
      </w:tr>
      <w:tr w:rsidR="008E4BC2" w:rsidRPr="00F52884" w14:paraId="386179A7"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3C07F0C4" w14:textId="79A79AF0" w:rsidR="008E4BC2" w:rsidRPr="00F52884" w:rsidRDefault="008E4BC2" w:rsidP="00C82933">
            <w:pPr>
              <w:spacing w:before="60" w:after="60"/>
              <w:rPr>
                <w:rFonts w:ascii="Arial" w:eastAsia="Times New Roman" w:hAnsi="Arial" w:cs="Arial"/>
                <w:szCs w:val="23"/>
                <w:lang w:val="fr-CA"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46655457" w14:textId="3E293CD8" w:rsidR="008E4BC2" w:rsidRPr="00F52884" w:rsidRDefault="008E4BC2" w:rsidP="00C82933">
            <w:pPr>
              <w:spacing w:before="60" w:after="60"/>
              <w:rPr>
                <w:rFonts w:ascii="Arial" w:eastAsia="Times New Roman" w:hAnsi="Arial" w:cs="Arial"/>
                <w:szCs w:val="23"/>
                <w:lang w:val="fr-CA" w:bidi="en-US"/>
              </w:rPr>
            </w:pPr>
            <w:r w:rsidRPr="00F52884">
              <w:rPr>
                <w:rFonts w:ascii="Arial" w:eastAsia="Times New Roman" w:hAnsi="Arial" w:cs="Arial"/>
                <w:szCs w:val="23"/>
                <w:lang w:val="fr-CA" w:bidi="en-US"/>
              </w:rPr>
              <w:t>Article 201 (Traitement non discriminatoire)</w:t>
            </w:r>
          </w:p>
        </w:tc>
      </w:tr>
      <w:tr w:rsidR="002028B5" w:rsidRPr="00F52884" w14:paraId="189272D1"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E84D2AA" w14:textId="77777777" w:rsidR="002028B5" w:rsidRPr="00F52884" w:rsidRDefault="002028B5" w:rsidP="005B2946">
            <w:pPr>
              <w:spacing w:before="60" w:after="60"/>
              <w:rPr>
                <w:b/>
              </w:rPr>
            </w:pPr>
            <w:r w:rsidRPr="00F52884">
              <w:rPr>
                <w:b/>
                <w:lang w:val="fr-CA"/>
              </w:rPr>
              <w:t>Mesures :</w:t>
            </w:r>
          </w:p>
        </w:tc>
      </w:tr>
      <w:tr w:rsidR="002028B5" w:rsidRPr="00D315AF" w14:paraId="7A650F6E"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54B7219" w14:textId="24D705F5" w:rsidR="002028B5" w:rsidRPr="00F52884" w:rsidRDefault="002028B5" w:rsidP="008E4BC2">
            <w:pPr>
              <w:spacing w:before="120" w:after="120"/>
              <w:rPr>
                <w:rFonts w:ascii="Arial" w:eastAsia="Arial" w:hAnsi="Arial" w:cs="Arial"/>
                <w:szCs w:val="23"/>
                <w:lang w:val="fr-FR"/>
              </w:rPr>
            </w:pPr>
            <w:r w:rsidRPr="00F52884">
              <w:rPr>
                <w:rFonts w:ascii="Arial" w:eastAsia="Arial" w:hAnsi="Arial" w:cs="Arial"/>
                <w:i/>
                <w:iCs/>
                <w:szCs w:val="23"/>
                <w:lang w:val="fr-CA"/>
              </w:rPr>
              <w:t>Loi de mise en œuvre de l’Accord atlantique Canada-Terre-Neuve-et-Labrador</w:t>
            </w:r>
            <w:r w:rsidRPr="00F52884">
              <w:rPr>
                <w:rFonts w:ascii="Arial" w:eastAsia="Arial" w:hAnsi="Arial" w:cs="Arial"/>
                <w:szCs w:val="23"/>
                <w:lang w:val="fr-CA"/>
              </w:rPr>
              <w:t xml:space="preserve">, LC 1987, c 3 </w:t>
            </w:r>
            <w:r w:rsidRPr="00F52884">
              <w:rPr>
                <w:rFonts w:ascii="Arial" w:eastAsia="Arial" w:hAnsi="Arial" w:cs="Arial"/>
                <w:szCs w:val="23"/>
                <w:lang w:val="fr-CA"/>
              </w:rPr>
              <w:br/>
            </w:r>
            <w:r w:rsidRPr="00F52884">
              <w:rPr>
                <w:rFonts w:ascii="Arial" w:eastAsia="Arial" w:hAnsi="Arial" w:cs="Arial"/>
                <w:i/>
                <w:iCs/>
                <w:szCs w:val="23"/>
                <w:lang w:val="fr-CA"/>
              </w:rPr>
              <w:t>Loi de mise en œuvre de l’Accord Canada – Nouvelle-Écosse sur les hydrocarbures extracôtiers</w:t>
            </w:r>
            <w:r w:rsidRPr="00F52884">
              <w:rPr>
                <w:rFonts w:ascii="Arial" w:eastAsia="Arial" w:hAnsi="Arial" w:cs="Arial"/>
                <w:szCs w:val="23"/>
                <w:lang w:val="fr-CA"/>
              </w:rPr>
              <w:t>, LC 1988, c 28</w:t>
            </w:r>
            <w:r w:rsidRPr="00F52884">
              <w:rPr>
                <w:rFonts w:ascii="Arial" w:eastAsia="Arial" w:hAnsi="Arial" w:cs="Arial"/>
                <w:szCs w:val="23"/>
                <w:lang w:val="fr-CA"/>
              </w:rPr>
              <w:br/>
            </w:r>
            <w:r w:rsidRPr="00F52884">
              <w:rPr>
                <w:rFonts w:ascii="Arial" w:eastAsia="Arial" w:hAnsi="Arial" w:cs="Arial"/>
                <w:i/>
                <w:iCs/>
                <w:szCs w:val="23"/>
                <w:lang w:val="fr-CA"/>
              </w:rPr>
              <w:t>Loi fédérale sur les hydrocarbures</w:t>
            </w:r>
            <w:r w:rsidRPr="00F52884">
              <w:rPr>
                <w:rFonts w:ascii="Arial" w:eastAsia="Arial" w:hAnsi="Arial" w:cs="Arial"/>
                <w:szCs w:val="23"/>
                <w:lang w:val="fr-CA"/>
              </w:rPr>
              <w:t>, LRC 1985, c 36 (2</w:t>
            </w:r>
            <w:r w:rsidRPr="00F52884">
              <w:rPr>
                <w:rFonts w:ascii="Arial" w:eastAsia="Arial" w:hAnsi="Arial" w:cs="Arial"/>
                <w:szCs w:val="23"/>
                <w:vertAlign w:val="superscript"/>
                <w:lang w:val="fr-CA"/>
              </w:rPr>
              <w:t>e</w:t>
            </w:r>
            <w:r w:rsidRPr="00F52884">
              <w:rPr>
                <w:rFonts w:ascii="Arial" w:eastAsia="Arial" w:hAnsi="Arial" w:cs="Arial"/>
                <w:szCs w:val="23"/>
                <w:lang w:val="fr-CA"/>
              </w:rPr>
              <w:t> supp)</w:t>
            </w:r>
            <w:r w:rsidRPr="00F52884">
              <w:rPr>
                <w:rFonts w:ascii="Arial" w:eastAsia="Arial" w:hAnsi="Arial" w:cs="Arial"/>
                <w:szCs w:val="23"/>
                <w:lang w:val="fr-CA"/>
              </w:rPr>
              <w:br/>
            </w:r>
            <w:r w:rsidRPr="00F52884">
              <w:rPr>
                <w:rFonts w:ascii="Arial" w:eastAsia="Arial" w:hAnsi="Arial" w:cs="Arial"/>
                <w:i/>
                <w:iCs/>
                <w:szCs w:val="23"/>
                <w:lang w:val="fr-CA"/>
              </w:rPr>
              <w:t>Loi sur les terres territoriales</w:t>
            </w:r>
            <w:r w:rsidRPr="00F52884">
              <w:rPr>
                <w:rFonts w:ascii="Arial" w:eastAsia="Arial" w:hAnsi="Arial" w:cs="Arial"/>
                <w:szCs w:val="23"/>
                <w:lang w:val="fr-CA"/>
              </w:rPr>
              <w:t xml:space="preserve">, LRC 1985, c T-7 </w:t>
            </w:r>
            <w:r w:rsidRPr="00F52884">
              <w:rPr>
                <w:rFonts w:ascii="Arial" w:eastAsia="Arial" w:hAnsi="Arial" w:cs="Arial"/>
                <w:szCs w:val="23"/>
                <w:lang w:val="fr-CA"/>
              </w:rPr>
              <w:br/>
            </w:r>
            <w:r w:rsidRPr="00F52884">
              <w:rPr>
                <w:rFonts w:ascii="Arial" w:eastAsia="Arial" w:hAnsi="Arial" w:cs="Arial"/>
                <w:i/>
                <w:iCs/>
                <w:szCs w:val="23"/>
                <w:lang w:val="fr-CA"/>
              </w:rPr>
              <w:t>Loi sur les immeubles fédéraux et les biens réels fédéraux</w:t>
            </w:r>
            <w:r w:rsidRPr="00F52884">
              <w:rPr>
                <w:rFonts w:ascii="Arial" w:eastAsia="Arial" w:hAnsi="Arial" w:cs="Arial"/>
                <w:szCs w:val="23"/>
                <w:lang w:val="fr-CA"/>
              </w:rPr>
              <w:t>, LC 1991, c 50</w:t>
            </w:r>
          </w:p>
        </w:tc>
      </w:tr>
      <w:tr w:rsidR="002028B5" w:rsidRPr="00F52884" w14:paraId="3C4F27FD"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20DF3D0" w14:textId="77777777" w:rsidR="002028B5" w:rsidRPr="00F52884" w:rsidRDefault="002028B5" w:rsidP="005B2946">
            <w:pPr>
              <w:spacing w:before="60" w:after="60"/>
              <w:rPr>
                <w:b/>
              </w:rPr>
            </w:pPr>
            <w:r w:rsidRPr="00F52884">
              <w:rPr>
                <w:b/>
                <w:lang w:val="fr-CA"/>
              </w:rPr>
              <w:t>Description :</w:t>
            </w:r>
          </w:p>
        </w:tc>
      </w:tr>
      <w:tr w:rsidR="002028B5" w:rsidRPr="00D315AF" w14:paraId="016EEF12"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3BDDBF1" w14:textId="680C48F7" w:rsidR="002028B5" w:rsidRPr="00F52884" w:rsidRDefault="002028B5" w:rsidP="00C82933">
            <w:pPr>
              <w:spacing w:before="120" w:after="120"/>
              <w:ind w:left="366" w:hanging="360"/>
              <w:rPr>
                <w:rFonts w:ascii="Arial" w:eastAsia="Arial" w:hAnsi="Arial" w:cs="Arial"/>
                <w:szCs w:val="23"/>
                <w:lang w:val="fr-FR"/>
              </w:rPr>
            </w:pPr>
            <w:r w:rsidRPr="00F52884">
              <w:rPr>
                <w:rFonts w:ascii="Arial" w:eastAsia="Arial" w:hAnsi="Arial" w:cs="Arial"/>
                <w:szCs w:val="23"/>
                <w:lang w:val="fr-CA"/>
              </w:rPr>
              <w:lastRenderedPageBreak/>
              <w:t xml:space="preserve">1. </w:t>
            </w:r>
            <w:r w:rsidR="008E4BC2" w:rsidRPr="00F52884">
              <w:rPr>
                <w:rFonts w:ascii="Arial" w:eastAsia="Arial" w:hAnsi="Arial" w:cs="Arial"/>
                <w:szCs w:val="23"/>
                <w:lang w:val="fr-CA"/>
              </w:rPr>
              <w:tab/>
            </w:r>
            <w:r w:rsidRPr="00F52884">
              <w:rPr>
                <w:rFonts w:ascii="Arial" w:eastAsia="Arial" w:hAnsi="Arial" w:cs="Arial"/>
                <w:szCs w:val="23"/>
                <w:lang w:val="fr-CA"/>
              </w:rPr>
              <w:t>La présente exception s’applique aux licences de production octroyées pour les « terres domaniales » et pour les « zones extracôtières » (qui ne sont pas de compétence provinciale ou territoriale) telles qu’elles sont définies dans les mesures applicables.</w:t>
            </w:r>
          </w:p>
          <w:p w14:paraId="65AB8DE1" w14:textId="22B52A9C" w:rsidR="002028B5" w:rsidRPr="00F52884" w:rsidRDefault="002028B5" w:rsidP="00C82933">
            <w:pPr>
              <w:spacing w:before="120" w:after="120" w:line="288" w:lineRule="auto"/>
              <w:ind w:left="366" w:hanging="360"/>
              <w:rPr>
                <w:rFonts w:ascii="Arial" w:eastAsia="Times New Roman" w:hAnsi="Arial" w:cs="Arial"/>
                <w:bCs/>
                <w:szCs w:val="23"/>
                <w:lang w:val="fr-FR" w:bidi="en-US"/>
              </w:rPr>
            </w:pPr>
            <w:r w:rsidRPr="00F52884">
              <w:rPr>
                <w:rFonts w:ascii="Arial" w:eastAsia="Times New Roman" w:hAnsi="Arial" w:cs="Arial"/>
                <w:szCs w:val="23"/>
                <w:lang w:val="fr-CA" w:bidi="en-US"/>
              </w:rPr>
              <w:t xml:space="preserve">2.  </w:t>
            </w:r>
            <w:r w:rsidR="008E4BC2" w:rsidRPr="00F52884">
              <w:rPr>
                <w:rFonts w:ascii="Arial" w:eastAsia="Times New Roman" w:hAnsi="Arial" w:cs="Arial"/>
                <w:szCs w:val="23"/>
                <w:lang w:val="fr-CA" w:bidi="en-US"/>
              </w:rPr>
              <w:tab/>
            </w:r>
            <w:r w:rsidRPr="00F52884">
              <w:rPr>
                <w:rFonts w:ascii="Arial" w:eastAsia="Times New Roman" w:hAnsi="Arial" w:cs="Arial"/>
                <w:szCs w:val="23"/>
                <w:lang w:val="fr-CA" w:bidi="en-US"/>
              </w:rPr>
              <w:t>Une personne détenant une licence de production de pétrole et</w:t>
            </w:r>
            <w:r w:rsidR="00C82933" w:rsidRPr="00F52884">
              <w:rPr>
                <w:rFonts w:ascii="Arial" w:eastAsia="Times New Roman" w:hAnsi="Arial" w:cs="Arial"/>
                <w:szCs w:val="23"/>
                <w:lang w:val="fr-CA" w:bidi="en-US"/>
              </w:rPr>
              <w:t xml:space="preserve"> de gaz ou des actions dans une </w:t>
            </w:r>
            <w:r w:rsidRPr="00F52884">
              <w:rPr>
                <w:rFonts w:ascii="Arial" w:eastAsia="Times New Roman" w:hAnsi="Arial" w:cs="Arial"/>
                <w:szCs w:val="23"/>
                <w:lang w:val="fr-CA" w:bidi="en-US"/>
              </w:rPr>
              <w:t>telle licence doit être une société constituée au Canada.</w:t>
            </w:r>
          </w:p>
        </w:tc>
      </w:tr>
    </w:tbl>
    <w:p w14:paraId="17D64275" w14:textId="77777777" w:rsidR="002028B5" w:rsidRPr="00F52884" w:rsidRDefault="002028B5" w:rsidP="00E94578">
      <w:pPr>
        <w:ind w:left="-357"/>
        <w:rPr>
          <w:rFonts w:ascii="Arial" w:eastAsia="Arial" w:hAnsi="Arial" w:cs="Arial"/>
          <w:szCs w:val="23"/>
          <w:lang w:val="fr-CA"/>
        </w:rPr>
      </w:pPr>
    </w:p>
    <w:p w14:paraId="11C04FD6" w14:textId="77777777" w:rsidR="002028B5" w:rsidRPr="00F52884" w:rsidRDefault="002028B5" w:rsidP="00E94578">
      <w:pPr>
        <w:ind w:left="-357"/>
        <w:rPr>
          <w:rFonts w:ascii="Arial" w:eastAsia="Arial" w:hAnsi="Arial" w:cs="Arial"/>
          <w:szCs w:val="23"/>
          <w:lang w:val="fr-CA"/>
        </w:rPr>
      </w:pPr>
    </w:p>
    <w:p w14:paraId="19C36EBE" w14:textId="63F4F9EF" w:rsidR="002028B5" w:rsidRPr="00F52884" w:rsidRDefault="00A62726" w:rsidP="00C82933">
      <w:pPr>
        <w:spacing w:before="60" w:after="60"/>
        <w:ind w:left="-357"/>
        <w:rPr>
          <w:rFonts w:ascii="Arial" w:eastAsia="Arial" w:hAnsi="Arial" w:cs="Arial"/>
          <w:b/>
          <w:szCs w:val="23"/>
        </w:rPr>
      </w:pPr>
      <w:r>
        <w:rPr>
          <w:rFonts w:ascii="Arial" w:eastAsia="Arial" w:hAnsi="Arial" w:cs="Arial"/>
          <w:b/>
          <w:szCs w:val="23"/>
          <w:lang w:val="fr-CA"/>
        </w:rPr>
        <w:t>8</w:t>
      </w:r>
      <w:r w:rsidR="00C82933" w:rsidRPr="00F52884">
        <w:rPr>
          <w:rFonts w:ascii="Arial" w:eastAsia="Arial" w:hAnsi="Arial" w:cs="Arial"/>
          <w:b/>
          <w:szCs w:val="23"/>
          <w:lang w:val="fr-CA"/>
        </w:rPr>
        <w:t xml:space="preserve">.  </w:t>
      </w:r>
      <w:r w:rsidR="002028B5" w:rsidRPr="00F52884">
        <w:rPr>
          <w:rFonts w:ascii="Arial Bold" w:eastAsia="Arial" w:hAnsi="Arial Bold" w:cs="Arial"/>
          <w:b/>
          <w:caps/>
          <w:szCs w:val="23"/>
          <w:lang w:val="fr-CA"/>
        </w:rPr>
        <w:t>Canada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250"/>
        <w:gridCol w:w="8021"/>
        <w:gridCol w:w="71"/>
      </w:tblGrid>
      <w:tr w:rsidR="002028B5" w:rsidRPr="00F52884" w14:paraId="61DCB328" w14:textId="77777777" w:rsidTr="00C82933">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97C2E5F" w14:textId="7BC0DCD6" w:rsidR="002028B5" w:rsidRPr="00F52884" w:rsidRDefault="002028B5" w:rsidP="00C82933">
            <w:pPr>
              <w:spacing w:before="60" w:after="60"/>
              <w:rPr>
                <w:rFonts w:ascii="Arial" w:eastAsia="Arial" w:hAnsi="Arial" w:cs="Arial"/>
                <w:szCs w:val="23"/>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92" w:type="dxa"/>
            <w:gridSpan w:val="2"/>
            <w:tcBorders>
              <w:top w:val="single" w:sz="4" w:space="0" w:color="C0C0C0"/>
              <w:left w:val="single" w:sz="4" w:space="0" w:color="FFFFFF"/>
              <w:bottom w:val="single" w:sz="4" w:space="0" w:color="C0C0C0"/>
              <w:right w:val="nil"/>
            </w:tcBorders>
            <w:vAlign w:val="center"/>
          </w:tcPr>
          <w:p w14:paraId="2C0BF5AD" w14:textId="1D693458" w:rsidR="002028B5" w:rsidRPr="00F52884" w:rsidRDefault="00C82933" w:rsidP="00C82933">
            <w:pPr>
              <w:spacing w:before="60" w:after="60"/>
              <w:rPr>
                <w:rFonts w:ascii="Arial" w:eastAsia="Arial" w:hAnsi="Arial" w:cs="Arial"/>
                <w:szCs w:val="23"/>
              </w:rPr>
            </w:pPr>
            <w:r w:rsidRPr="00F52884">
              <w:rPr>
                <w:rFonts w:ascii="Arial" w:eastAsia="Arial" w:hAnsi="Arial" w:cs="Arial"/>
                <w:szCs w:val="23"/>
                <w:lang w:val="fr-CA"/>
              </w:rPr>
              <w:t>Transports</w:t>
            </w:r>
          </w:p>
        </w:tc>
      </w:tr>
      <w:tr w:rsidR="002028B5" w:rsidRPr="00F52884" w14:paraId="09E0CA8F" w14:textId="77777777" w:rsidTr="00C82933">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6AD1E00B" w14:textId="27EF1438" w:rsidR="002028B5" w:rsidRPr="00F52884" w:rsidRDefault="002028B5" w:rsidP="00C82933">
            <w:pPr>
              <w:spacing w:before="60" w:after="60"/>
              <w:rPr>
                <w:rFonts w:ascii="Arial" w:eastAsia="Arial" w:hAnsi="Arial" w:cs="Arial"/>
                <w:b/>
                <w:szCs w:val="23"/>
              </w:rPr>
            </w:pPr>
            <w:r w:rsidRPr="00F52884">
              <w:rPr>
                <w:rFonts w:ascii="Arial" w:eastAsia="Arial" w:hAnsi="Arial" w:cs="Arial"/>
                <w:b/>
                <w:bCs/>
                <w:szCs w:val="23"/>
                <w:lang w:val="fr-CA"/>
              </w:rPr>
              <w:t xml:space="preserve">Sous-secteur : </w:t>
            </w:r>
          </w:p>
        </w:tc>
        <w:tc>
          <w:tcPr>
            <w:tcW w:w="8092" w:type="dxa"/>
            <w:gridSpan w:val="2"/>
            <w:tcBorders>
              <w:top w:val="single" w:sz="4" w:space="0" w:color="C0C0C0"/>
              <w:left w:val="single" w:sz="4" w:space="0" w:color="FFFFFF"/>
              <w:bottom w:val="single" w:sz="4" w:space="0" w:color="C0C0C0"/>
              <w:right w:val="nil"/>
            </w:tcBorders>
            <w:vAlign w:val="center"/>
          </w:tcPr>
          <w:p w14:paraId="108CF006" w14:textId="08E0A875" w:rsidR="002028B5" w:rsidRPr="00F52884" w:rsidRDefault="00C82933" w:rsidP="00C82933">
            <w:pPr>
              <w:spacing w:before="60" w:after="60"/>
              <w:rPr>
                <w:rFonts w:ascii="Arial" w:eastAsia="Arial" w:hAnsi="Arial" w:cs="Arial"/>
                <w:szCs w:val="23"/>
              </w:rPr>
            </w:pPr>
            <w:r w:rsidRPr="00F52884">
              <w:rPr>
                <w:rFonts w:ascii="Arial" w:eastAsia="Arial" w:hAnsi="Arial" w:cs="Arial"/>
                <w:szCs w:val="23"/>
                <w:lang w:val="fr-CA"/>
              </w:rPr>
              <w:t>Pilotage maritime</w:t>
            </w:r>
          </w:p>
        </w:tc>
      </w:tr>
      <w:tr w:rsidR="002028B5" w:rsidRPr="00F52884" w14:paraId="62282E50" w14:textId="77777777" w:rsidTr="00C82933">
        <w:trPr>
          <w:gridAfter w:val="1"/>
          <w:wAfter w:w="71"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FC78228" w14:textId="21D81565"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8021" w:type="dxa"/>
            <w:tcBorders>
              <w:top w:val="single" w:sz="4" w:space="0" w:color="C0C0C0"/>
              <w:left w:val="single" w:sz="4" w:space="0" w:color="FFFFFF"/>
              <w:bottom w:val="single" w:sz="4" w:space="0" w:color="C0C0C0"/>
              <w:right w:val="nil"/>
            </w:tcBorders>
            <w:vAlign w:val="center"/>
          </w:tcPr>
          <w:p w14:paraId="73D8E077" w14:textId="21D233AB" w:rsidR="002028B5" w:rsidRPr="00F52884" w:rsidRDefault="00C82933" w:rsidP="00C82933">
            <w:pPr>
              <w:spacing w:before="60" w:after="60"/>
              <w:ind w:left="4"/>
              <w:rPr>
                <w:rFonts w:ascii="Arial" w:eastAsia="Arial" w:hAnsi="Arial" w:cs="Arial"/>
                <w:szCs w:val="23"/>
              </w:rPr>
            </w:pPr>
            <w:r w:rsidRPr="00F52884">
              <w:rPr>
                <w:rFonts w:ascii="Arial" w:eastAsia="Arial" w:hAnsi="Arial" w:cs="Arial"/>
                <w:szCs w:val="23"/>
                <w:lang w:val="fr-CA"/>
              </w:rPr>
              <w:t>CPC 74520</w:t>
            </w:r>
          </w:p>
        </w:tc>
      </w:tr>
      <w:tr w:rsidR="00C82933" w:rsidRPr="00D315AF" w14:paraId="3389286A"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38B48323" w14:textId="3A581814" w:rsidR="00C82933" w:rsidRPr="00F52884" w:rsidRDefault="00C82933"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92" w:type="dxa"/>
            <w:gridSpan w:val="2"/>
            <w:tcBorders>
              <w:top w:val="single" w:sz="4" w:space="0" w:color="C0C0C0"/>
              <w:left w:val="single" w:sz="4" w:space="0" w:color="FFFFFF" w:themeColor="background1"/>
              <w:bottom w:val="single" w:sz="4" w:space="0" w:color="C0C0C0"/>
              <w:right w:val="single" w:sz="4" w:space="0" w:color="C0C0C0"/>
            </w:tcBorders>
          </w:tcPr>
          <w:p w14:paraId="3A85A148" w14:textId="5C36C989" w:rsidR="00C82933" w:rsidRPr="00F52884" w:rsidRDefault="00C82933"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201 (Traitement non discriminatoire), article 307 (Accès aux marchés – Services)</w:t>
            </w:r>
          </w:p>
        </w:tc>
      </w:tr>
      <w:tr w:rsidR="002028B5" w:rsidRPr="00F52884" w14:paraId="4857AB44" w14:textId="77777777" w:rsidTr="00C82933">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FE03B82" w14:textId="77777777" w:rsidR="002028B5" w:rsidRPr="00F52884" w:rsidRDefault="002028B5" w:rsidP="005B2946">
            <w:pPr>
              <w:spacing w:before="60" w:after="60"/>
              <w:rPr>
                <w:b/>
              </w:rPr>
            </w:pPr>
            <w:r w:rsidRPr="00F52884">
              <w:rPr>
                <w:b/>
                <w:lang w:val="fr-CA"/>
              </w:rPr>
              <w:t>Mesures :</w:t>
            </w:r>
          </w:p>
        </w:tc>
      </w:tr>
      <w:tr w:rsidR="002028B5" w:rsidRPr="00D315AF" w14:paraId="77222169" w14:textId="77777777" w:rsidTr="00C82933">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66521CA7" w14:textId="60D199A7" w:rsidR="002028B5" w:rsidRPr="00F52884" w:rsidRDefault="002028B5" w:rsidP="00C82933">
            <w:pPr>
              <w:spacing w:before="60" w:after="60"/>
              <w:ind w:left="6"/>
              <w:rPr>
                <w:rFonts w:ascii="Arial" w:eastAsia="Arial" w:hAnsi="Arial" w:cs="Arial"/>
                <w:szCs w:val="23"/>
                <w:lang w:val="fr-CA"/>
              </w:rPr>
            </w:pPr>
            <w:r w:rsidRPr="00F52884">
              <w:rPr>
                <w:rFonts w:ascii="Arial" w:eastAsia="Arial" w:hAnsi="Arial" w:cs="Arial"/>
                <w:i/>
                <w:iCs/>
                <w:szCs w:val="23"/>
                <w:lang w:val="fr-CA"/>
              </w:rPr>
              <w:t>Loi sur le pilotage</w:t>
            </w:r>
            <w:r w:rsidRPr="00F52884">
              <w:rPr>
                <w:rFonts w:ascii="Arial" w:eastAsia="Arial" w:hAnsi="Arial" w:cs="Arial"/>
                <w:szCs w:val="23"/>
                <w:lang w:val="fr-CA"/>
              </w:rPr>
              <w:t>, LRC 1985, c P-14</w:t>
            </w:r>
          </w:p>
        </w:tc>
      </w:tr>
      <w:tr w:rsidR="002028B5" w:rsidRPr="00F52884" w14:paraId="1087C084" w14:textId="77777777" w:rsidTr="00C82933">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368A4D0" w14:textId="77777777" w:rsidR="002028B5" w:rsidRPr="00F52884" w:rsidRDefault="002028B5" w:rsidP="005B2946">
            <w:pPr>
              <w:spacing w:before="60" w:after="60"/>
              <w:rPr>
                <w:b/>
              </w:rPr>
            </w:pPr>
            <w:r w:rsidRPr="00F52884">
              <w:rPr>
                <w:b/>
                <w:lang w:val="fr-CA"/>
              </w:rPr>
              <w:t>Description :</w:t>
            </w:r>
          </w:p>
        </w:tc>
      </w:tr>
      <w:tr w:rsidR="002028B5" w:rsidRPr="00D315AF" w14:paraId="3EFCD48B" w14:textId="77777777" w:rsidTr="00C82933">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2F152A8" w14:textId="1B8F8CD2" w:rsidR="002028B5" w:rsidRPr="00F52884" w:rsidRDefault="002028B5" w:rsidP="00C82933">
            <w:pPr>
              <w:spacing w:before="120" w:after="120"/>
              <w:ind w:left="6"/>
              <w:rPr>
                <w:rFonts w:ascii="Arial" w:eastAsia="Arial" w:hAnsi="Arial" w:cs="Arial"/>
                <w:b/>
                <w:bCs/>
                <w:szCs w:val="23"/>
                <w:lang w:val="fr-FR"/>
              </w:rPr>
            </w:pPr>
            <w:r w:rsidRPr="00F52884">
              <w:rPr>
                <w:rFonts w:ascii="Arial" w:eastAsia="Arial" w:hAnsi="Arial" w:cs="Arial"/>
                <w:szCs w:val="23"/>
                <w:lang w:val="fr-CA"/>
              </w:rPr>
              <w:t xml:space="preserve">Les Administrations de pilotage régionales du Canada, qui sont responsables de la mise en œuvre de la Loi sur le pilotage au niveau local, peuvent à ce titre adopter ou maintenir des frais locaux et des exclusions relatives au pilotage obligatoire pour la région qui peuvent différer selon les provinces ou les régions. </w:t>
            </w:r>
          </w:p>
        </w:tc>
      </w:tr>
    </w:tbl>
    <w:p w14:paraId="0472A65A" w14:textId="1C606E77" w:rsidR="002028B5" w:rsidRPr="00F52884" w:rsidRDefault="002028B5" w:rsidP="00C82933">
      <w:pPr>
        <w:rPr>
          <w:lang w:val="fr-FR"/>
        </w:rPr>
      </w:pPr>
    </w:p>
    <w:p w14:paraId="3A7A8F31" w14:textId="77777777" w:rsidR="00C82933" w:rsidRPr="00F52884" w:rsidRDefault="00C82933" w:rsidP="00C82933">
      <w:pPr>
        <w:rPr>
          <w:lang w:val="fr-FR"/>
        </w:rPr>
      </w:pPr>
    </w:p>
    <w:p w14:paraId="3D64739B" w14:textId="48252C07" w:rsidR="002028B5" w:rsidRPr="00F52884" w:rsidRDefault="00A62726" w:rsidP="00C82933">
      <w:pPr>
        <w:ind w:left="-360"/>
        <w:rPr>
          <w:b/>
        </w:rPr>
      </w:pPr>
      <w:r>
        <w:rPr>
          <w:b/>
          <w:lang w:val="fr-CA"/>
        </w:rPr>
        <w:t>9</w:t>
      </w:r>
      <w:r w:rsidR="002028B5" w:rsidRPr="00F52884">
        <w:rPr>
          <w:b/>
          <w:lang w:val="fr-CA"/>
        </w:rPr>
        <w:t>.</w:t>
      </w:r>
      <w:r w:rsidR="002028B5" w:rsidRPr="00F52884">
        <w:rPr>
          <w:rFonts w:ascii="Arial Bold" w:hAnsi="Arial Bold"/>
          <w:b/>
          <w:caps/>
          <w:lang w:val="fr-CA"/>
        </w:rPr>
        <w:tab/>
      </w:r>
      <w:r w:rsidR="00C82933" w:rsidRPr="00F52884">
        <w:rPr>
          <w:rFonts w:ascii="Arial Bold" w:hAnsi="Arial Bold"/>
          <w:b/>
          <w:caps/>
          <w:lang w:val="fr-CA"/>
        </w:rPr>
        <w:t xml:space="preserve"> </w:t>
      </w:r>
      <w:r w:rsidR="002028B5" w:rsidRPr="00F52884">
        <w:rPr>
          <w:rFonts w:ascii="Arial Bold" w:hAnsi="Arial Bold"/>
          <w:b/>
          <w:caps/>
          <w:lang w:val="fr-CA"/>
        </w:rPr>
        <w:t>Canada</w:t>
      </w:r>
    </w:p>
    <w:tbl>
      <w:tblPr>
        <w:tblW w:w="10252" w:type="dxa"/>
        <w:jc w:val="center"/>
        <w:tblCellMar>
          <w:top w:w="14" w:type="dxa"/>
          <w:left w:w="86" w:type="dxa"/>
          <w:bottom w:w="14" w:type="dxa"/>
          <w:right w:w="86" w:type="dxa"/>
        </w:tblCellMar>
        <w:tblLook w:val="0000" w:firstRow="0" w:lastRow="0" w:firstColumn="0" w:lastColumn="0" w:noHBand="0" w:noVBand="0"/>
      </w:tblPr>
      <w:tblGrid>
        <w:gridCol w:w="2250"/>
        <w:gridCol w:w="7931"/>
        <w:gridCol w:w="71"/>
      </w:tblGrid>
      <w:tr w:rsidR="002028B5" w:rsidRPr="00F52884" w14:paraId="48F1E5DF" w14:textId="77777777" w:rsidTr="00C82933">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1B3E1E4" w14:textId="555F4E88" w:rsidR="002028B5" w:rsidRPr="00F52884" w:rsidRDefault="002028B5" w:rsidP="00C82933">
            <w:pPr>
              <w:spacing w:before="60" w:after="60"/>
              <w:rPr>
                <w:rFonts w:ascii="Arial" w:eastAsia="Arial" w:hAnsi="Arial" w:cs="Arial"/>
                <w:szCs w:val="23"/>
              </w:rPr>
            </w:pPr>
            <w:r w:rsidRPr="00F52884">
              <w:rPr>
                <w:rFonts w:ascii="Arial" w:eastAsia="Arial" w:hAnsi="Arial" w:cs="Arial"/>
                <w:szCs w:val="23"/>
                <w:lang w:val="fr-CA"/>
              </w:rPr>
              <w:br w:type="page"/>
            </w:r>
            <w:r w:rsidRPr="00F52884">
              <w:rPr>
                <w:rFonts w:ascii="Arial" w:eastAsia="Arial" w:hAnsi="Arial" w:cs="Arial"/>
                <w:b/>
                <w:bCs/>
                <w:szCs w:val="23"/>
                <w:lang w:val="fr-CA"/>
              </w:rPr>
              <w:t xml:space="preserve">Secteur : </w:t>
            </w:r>
          </w:p>
        </w:tc>
        <w:tc>
          <w:tcPr>
            <w:tcW w:w="8002" w:type="dxa"/>
            <w:gridSpan w:val="2"/>
            <w:tcBorders>
              <w:top w:val="single" w:sz="4" w:space="0" w:color="C0C0C0"/>
              <w:left w:val="single" w:sz="4" w:space="0" w:color="FFFFFF"/>
              <w:bottom w:val="single" w:sz="4" w:space="0" w:color="C0C0C0"/>
              <w:right w:val="nil"/>
            </w:tcBorders>
            <w:vAlign w:val="center"/>
          </w:tcPr>
          <w:p w14:paraId="7CEDC6D5" w14:textId="126138AB" w:rsidR="002028B5" w:rsidRPr="00F52884" w:rsidRDefault="00C82933" w:rsidP="00C82933">
            <w:pPr>
              <w:spacing w:before="60" w:after="60"/>
              <w:rPr>
                <w:rFonts w:ascii="Arial" w:eastAsia="Arial" w:hAnsi="Arial" w:cs="Arial"/>
                <w:szCs w:val="23"/>
              </w:rPr>
            </w:pPr>
            <w:r w:rsidRPr="00F52884">
              <w:rPr>
                <w:rFonts w:ascii="Arial" w:eastAsia="Arial" w:hAnsi="Arial" w:cs="Arial"/>
                <w:szCs w:val="23"/>
                <w:lang w:val="fr-CA"/>
              </w:rPr>
              <w:t>Services de communication</w:t>
            </w:r>
          </w:p>
        </w:tc>
      </w:tr>
      <w:tr w:rsidR="002028B5" w:rsidRPr="00F52884" w14:paraId="11DBAEA9" w14:textId="77777777" w:rsidTr="00C82933">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030C65AC" w14:textId="522F5FA0" w:rsidR="002028B5" w:rsidRPr="00F52884" w:rsidRDefault="002028B5" w:rsidP="00C82933">
            <w:pPr>
              <w:spacing w:before="60" w:after="60"/>
              <w:rPr>
                <w:rFonts w:ascii="Arial" w:eastAsia="Arial" w:hAnsi="Arial" w:cs="Arial"/>
                <w:b/>
                <w:szCs w:val="23"/>
              </w:rPr>
            </w:pPr>
            <w:r w:rsidRPr="00F52884">
              <w:rPr>
                <w:rFonts w:ascii="Arial" w:eastAsia="Arial" w:hAnsi="Arial" w:cs="Arial"/>
                <w:b/>
                <w:bCs/>
                <w:szCs w:val="23"/>
                <w:lang w:val="fr-CA"/>
              </w:rPr>
              <w:t xml:space="preserve">Sous-secteur : </w:t>
            </w:r>
          </w:p>
        </w:tc>
        <w:tc>
          <w:tcPr>
            <w:tcW w:w="8002" w:type="dxa"/>
            <w:gridSpan w:val="2"/>
            <w:tcBorders>
              <w:top w:val="single" w:sz="4" w:space="0" w:color="C0C0C0"/>
              <w:left w:val="single" w:sz="4" w:space="0" w:color="FFFFFF"/>
              <w:bottom w:val="single" w:sz="4" w:space="0" w:color="C0C0C0"/>
              <w:right w:val="nil"/>
            </w:tcBorders>
            <w:vAlign w:val="center"/>
          </w:tcPr>
          <w:p w14:paraId="0DA519CE" w14:textId="230509F2" w:rsidR="002028B5" w:rsidRPr="00F52884" w:rsidRDefault="00C82933" w:rsidP="00C82933">
            <w:pPr>
              <w:spacing w:before="60" w:after="60"/>
              <w:rPr>
                <w:rFonts w:ascii="Arial" w:eastAsia="Arial" w:hAnsi="Arial" w:cs="Arial"/>
                <w:szCs w:val="23"/>
              </w:rPr>
            </w:pPr>
            <w:r w:rsidRPr="00F52884">
              <w:rPr>
                <w:rFonts w:ascii="Arial" w:eastAsia="Arial" w:hAnsi="Arial" w:cs="Arial"/>
                <w:szCs w:val="23"/>
                <w:lang w:val="fr-CA"/>
              </w:rPr>
              <w:t>Services postaux</w:t>
            </w:r>
          </w:p>
        </w:tc>
      </w:tr>
      <w:tr w:rsidR="002028B5" w:rsidRPr="00F52884" w14:paraId="72C5B077" w14:textId="77777777" w:rsidTr="00C82933">
        <w:trPr>
          <w:gridAfter w:val="1"/>
          <w:wAfter w:w="71"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3C84411" w14:textId="40905762" w:rsidR="002028B5" w:rsidRPr="00F52884" w:rsidRDefault="002028B5" w:rsidP="00C82933">
            <w:pPr>
              <w:spacing w:before="60" w:after="60"/>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7931" w:type="dxa"/>
            <w:tcBorders>
              <w:top w:val="single" w:sz="4" w:space="0" w:color="C0C0C0"/>
              <w:left w:val="single" w:sz="4" w:space="0" w:color="FFFFFF"/>
              <w:bottom w:val="single" w:sz="4" w:space="0" w:color="C0C0C0"/>
              <w:right w:val="nil"/>
            </w:tcBorders>
            <w:vAlign w:val="center"/>
          </w:tcPr>
          <w:p w14:paraId="24E7FC45" w14:textId="00F46A20" w:rsidR="002028B5" w:rsidRPr="00F52884" w:rsidRDefault="00C82933" w:rsidP="00C82933">
            <w:pPr>
              <w:spacing w:before="60" w:after="60"/>
              <w:ind w:left="4"/>
              <w:rPr>
                <w:rFonts w:ascii="Arial" w:eastAsia="Arial" w:hAnsi="Arial" w:cs="Arial"/>
                <w:szCs w:val="23"/>
              </w:rPr>
            </w:pPr>
            <w:r w:rsidRPr="00F52884">
              <w:rPr>
                <w:rFonts w:ascii="Arial" w:eastAsia="Arial" w:hAnsi="Arial" w:cs="Arial"/>
                <w:szCs w:val="23"/>
                <w:lang w:val="fr-CA"/>
              </w:rPr>
              <w:t>CPC 7511</w:t>
            </w:r>
          </w:p>
        </w:tc>
      </w:tr>
      <w:tr w:rsidR="00C82933" w:rsidRPr="00D315AF" w14:paraId="66FC7D2E" w14:textId="77777777" w:rsidTr="005B2946">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59EB7139" w14:textId="6D1A12C7" w:rsidR="00C82933" w:rsidRPr="00F52884" w:rsidRDefault="00C82933" w:rsidP="00C82933">
            <w:pPr>
              <w:spacing w:before="60" w:after="60"/>
              <w:rPr>
                <w:rFonts w:ascii="Arial" w:eastAsia="Times New Roman" w:hAnsi="Arial" w:cs="Arial"/>
                <w:szCs w:val="23"/>
                <w:lang w:val="fr-FR" w:bidi="en-US"/>
              </w:rPr>
            </w:pPr>
            <w:r w:rsidRPr="00F52884">
              <w:rPr>
                <w:rFonts w:ascii="Arial" w:eastAsia="Times New Roman" w:hAnsi="Arial" w:cs="Arial"/>
                <w:b/>
                <w:bCs/>
                <w:szCs w:val="23"/>
                <w:lang w:val="fr-CA" w:bidi="en-US"/>
              </w:rPr>
              <w:t>Type d’exception :</w:t>
            </w:r>
            <w:r w:rsidRPr="00F52884">
              <w:rPr>
                <w:rFonts w:ascii="Arial" w:eastAsia="Times New Roman" w:hAnsi="Arial" w:cs="Arial"/>
                <w:szCs w:val="23"/>
                <w:lang w:val="fr-CA" w:bidi="en-US"/>
              </w:rPr>
              <w:t xml:space="preserve"> </w:t>
            </w:r>
          </w:p>
        </w:tc>
        <w:tc>
          <w:tcPr>
            <w:tcW w:w="8002" w:type="dxa"/>
            <w:gridSpan w:val="2"/>
            <w:tcBorders>
              <w:top w:val="single" w:sz="4" w:space="0" w:color="C0C0C0"/>
              <w:left w:val="single" w:sz="4" w:space="0" w:color="FFFFFF" w:themeColor="background1"/>
              <w:bottom w:val="single" w:sz="4" w:space="0" w:color="C0C0C0"/>
              <w:right w:val="single" w:sz="4" w:space="0" w:color="C0C0C0"/>
            </w:tcBorders>
          </w:tcPr>
          <w:p w14:paraId="250FB76C" w14:textId="1C4F48DE" w:rsidR="00C82933" w:rsidRPr="00F52884" w:rsidRDefault="00C82933" w:rsidP="00C82933">
            <w:pPr>
              <w:spacing w:before="60" w:after="60"/>
              <w:rPr>
                <w:rFonts w:ascii="Arial" w:eastAsia="Times New Roman" w:hAnsi="Arial" w:cs="Arial"/>
                <w:szCs w:val="23"/>
                <w:lang w:val="fr-FR" w:bidi="en-US"/>
              </w:rPr>
            </w:pPr>
            <w:r w:rsidRPr="00F52884">
              <w:rPr>
                <w:rFonts w:ascii="Arial" w:eastAsia="Times New Roman" w:hAnsi="Arial" w:cs="Arial"/>
                <w:szCs w:val="23"/>
                <w:lang w:val="fr-CA" w:bidi="en-US"/>
              </w:rPr>
              <w:t>Article 307 (Accès aux marchés – Services), article 312 (Accès aux marchés – Investissement)</w:t>
            </w:r>
          </w:p>
        </w:tc>
      </w:tr>
      <w:tr w:rsidR="002028B5" w:rsidRPr="00F52884" w14:paraId="677938D9" w14:textId="77777777" w:rsidTr="00C82933">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5B2A78" w14:textId="77777777" w:rsidR="002028B5" w:rsidRPr="00F52884" w:rsidRDefault="002028B5" w:rsidP="005B2946">
            <w:pPr>
              <w:spacing w:before="60" w:after="60"/>
              <w:rPr>
                <w:b/>
              </w:rPr>
            </w:pPr>
            <w:r w:rsidRPr="00F52884">
              <w:rPr>
                <w:b/>
                <w:lang w:val="fr-CA"/>
              </w:rPr>
              <w:t>Mesures :</w:t>
            </w:r>
          </w:p>
        </w:tc>
      </w:tr>
      <w:tr w:rsidR="002028B5" w:rsidRPr="00D315AF" w14:paraId="3FB54122" w14:textId="77777777" w:rsidTr="00C82933">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086D565" w14:textId="24EB67CD" w:rsidR="002028B5" w:rsidRPr="00F52884" w:rsidRDefault="002028B5" w:rsidP="00C82933">
            <w:pPr>
              <w:spacing w:before="60" w:after="60"/>
              <w:ind w:left="6"/>
              <w:rPr>
                <w:rFonts w:ascii="Arial" w:eastAsia="Arial" w:hAnsi="Arial" w:cs="Arial"/>
                <w:szCs w:val="23"/>
                <w:lang w:val="fr-CA"/>
              </w:rPr>
            </w:pPr>
            <w:r w:rsidRPr="00F52884">
              <w:rPr>
                <w:rFonts w:ascii="Arial" w:eastAsia="Arial" w:hAnsi="Arial" w:cs="Arial"/>
                <w:i/>
                <w:iCs/>
                <w:szCs w:val="23"/>
                <w:lang w:val="fr-CA"/>
              </w:rPr>
              <w:t xml:space="preserve">Loi sur la Société canadienne des postes, </w:t>
            </w:r>
            <w:r w:rsidRPr="00F52884">
              <w:rPr>
                <w:rFonts w:ascii="Arial" w:eastAsia="Arial" w:hAnsi="Arial" w:cs="Arial"/>
                <w:szCs w:val="23"/>
                <w:lang w:val="fr-CA"/>
              </w:rPr>
              <w:t>LRC 1985, c C-10</w:t>
            </w:r>
            <w:r w:rsidRPr="00F52884">
              <w:rPr>
                <w:rFonts w:ascii="Arial" w:eastAsia="Arial" w:hAnsi="Arial" w:cs="Arial"/>
                <w:szCs w:val="23"/>
                <w:lang w:val="fr-CA"/>
              </w:rPr>
              <w:br/>
            </w:r>
            <w:r w:rsidRPr="00F52884">
              <w:rPr>
                <w:rFonts w:ascii="Arial" w:eastAsia="Arial" w:hAnsi="Arial" w:cs="Arial"/>
                <w:i/>
                <w:iCs/>
                <w:szCs w:val="23"/>
                <w:lang w:val="fr-CA"/>
              </w:rPr>
              <w:t xml:space="preserve">Règlement sur la définition de lettre, </w:t>
            </w:r>
            <w:r w:rsidRPr="00F52884">
              <w:rPr>
                <w:rFonts w:ascii="Arial" w:eastAsia="Arial" w:hAnsi="Arial" w:cs="Arial"/>
                <w:szCs w:val="23"/>
                <w:lang w:val="fr-CA"/>
              </w:rPr>
              <w:t>DORS/83-481</w:t>
            </w:r>
          </w:p>
        </w:tc>
      </w:tr>
      <w:tr w:rsidR="002028B5" w:rsidRPr="00F52884" w14:paraId="6F81A017" w14:textId="77777777" w:rsidTr="00C82933">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7908D18" w14:textId="77777777" w:rsidR="002028B5" w:rsidRPr="00F52884" w:rsidRDefault="002028B5" w:rsidP="005B2946">
            <w:pPr>
              <w:spacing w:before="60" w:after="60"/>
              <w:rPr>
                <w:b/>
              </w:rPr>
            </w:pPr>
            <w:r w:rsidRPr="00F52884">
              <w:rPr>
                <w:b/>
                <w:lang w:val="fr-CA"/>
              </w:rPr>
              <w:t>Description :</w:t>
            </w:r>
          </w:p>
        </w:tc>
      </w:tr>
      <w:tr w:rsidR="002028B5" w:rsidRPr="00D315AF" w14:paraId="74013E3D" w14:textId="77777777" w:rsidTr="00C82933">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AE79268" w14:textId="0F139ECB" w:rsidR="002028B5" w:rsidRPr="00F52884" w:rsidRDefault="002028B5" w:rsidP="00C82933">
            <w:pPr>
              <w:spacing w:before="120" w:after="120"/>
              <w:ind w:left="366" w:hanging="360"/>
              <w:rPr>
                <w:rFonts w:ascii="Arial" w:eastAsia="Arial" w:hAnsi="Arial" w:cs="Arial"/>
                <w:bCs/>
                <w:szCs w:val="23"/>
                <w:lang w:val="fr-FR"/>
              </w:rPr>
            </w:pPr>
            <w:r w:rsidRPr="00F52884">
              <w:rPr>
                <w:rFonts w:ascii="Arial" w:eastAsia="Arial" w:hAnsi="Arial" w:cs="Arial"/>
                <w:szCs w:val="23"/>
                <w:lang w:val="fr-CA"/>
              </w:rPr>
              <w:lastRenderedPageBreak/>
              <w:t xml:space="preserve">1.  </w:t>
            </w:r>
            <w:r w:rsidR="00C82933" w:rsidRPr="00F52884">
              <w:rPr>
                <w:rFonts w:ascii="Arial" w:eastAsia="Arial" w:hAnsi="Arial" w:cs="Arial"/>
                <w:szCs w:val="23"/>
                <w:lang w:val="fr-CA"/>
              </w:rPr>
              <w:tab/>
            </w:r>
            <w:r w:rsidRPr="00F52884">
              <w:rPr>
                <w:rFonts w:ascii="Arial" w:eastAsia="Arial" w:hAnsi="Arial" w:cs="Arial"/>
                <w:szCs w:val="23"/>
                <w:lang w:val="fr-CA"/>
              </w:rPr>
              <w:t xml:space="preserve">Le privilège exclusif du relevage, de la transmission et de la distribution </w:t>
            </w:r>
            <w:proofErr w:type="gramStart"/>
            <w:r w:rsidRPr="00F52884">
              <w:rPr>
                <w:rFonts w:ascii="Arial" w:eastAsia="Arial" w:hAnsi="Arial" w:cs="Arial"/>
                <w:szCs w:val="23"/>
                <w:lang w:val="fr-CA"/>
              </w:rPr>
              <w:t>des  lettres</w:t>
            </w:r>
            <w:proofErr w:type="gramEnd"/>
            <w:r w:rsidRPr="00F52884">
              <w:rPr>
                <w:rFonts w:ascii="Arial" w:eastAsia="Arial" w:hAnsi="Arial" w:cs="Arial"/>
                <w:szCs w:val="23"/>
                <w:lang w:val="fr-CA"/>
              </w:rPr>
              <w:t xml:space="preserve">  au Canada, telles qu’elles sont définies dans le </w:t>
            </w:r>
            <w:r w:rsidRPr="00F52884">
              <w:rPr>
                <w:rFonts w:ascii="Arial" w:eastAsia="Arial" w:hAnsi="Arial" w:cs="Arial"/>
                <w:i/>
                <w:iCs/>
                <w:szCs w:val="23"/>
                <w:lang w:val="fr-CA"/>
              </w:rPr>
              <w:t>Règlement sur la définition de lettre</w:t>
            </w:r>
            <w:r w:rsidRPr="00F52884">
              <w:rPr>
                <w:rFonts w:ascii="Arial" w:eastAsia="Arial" w:hAnsi="Arial" w:cs="Arial"/>
                <w:szCs w:val="23"/>
                <w:lang w:val="fr-CA"/>
              </w:rPr>
              <w:t>, est réservé au monopole des postes.</w:t>
            </w:r>
          </w:p>
          <w:p w14:paraId="00E889F5" w14:textId="7482E770" w:rsidR="002028B5" w:rsidRPr="00F52884" w:rsidRDefault="002028B5" w:rsidP="00C82933">
            <w:pPr>
              <w:spacing w:before="120" w:after="120"/>
              <w:ind w:left="366" w:hanging="360"/>
              <w:rPr>
                <w:rFonts w:ascii="Arial" w:eastAsia="Arial" w:hAnsi="Arial" w:cs="Arial"/>
                <w:b/>
                <w:bCs/>
                <w:szCs w:val="23"/>
                <w:lang w:val="fr-FR"/>
              </w:rPr>
            </w:pPr>
            <w:r w:rsidRPr="00F52884">
              <w:rPr>
                <w:rFonts w:ascii="Arial" w:eastAsia="Arial" w:hAnsi="Arial" w:cs="Arial"/>
                <w:szCs w:val="23"/>
                <w:lang w:val="fr-CA"/>
              </w:rPr>
              <w:t>2.</w:t>
            </w:r>
            <w:r w:rsidRPr="00F52884">
              <w:rPr>
                <w:rFonts w:ascii="Arial" w:eastAsia="Arial" w:hAnsi="Arial" w:cs="Arial"/>
                <w:b/>
                <w:bCs/>
                <w:szCs w:val="23"/>
                <w:lang w:val="fr-CA"/>
              </w:rPr>
              <w:t xml:space="preserve"> </w:t>
            </w:r>
            <w:r w:rsidR="00C82933" w:rsidRPr="00F52884">
              <w:rPr>
                <w:rFonts w:ascii="Arial" w:eastAsia="Arial" w:hAnsi="Arial" w:cs="Arial"/>
                <w:b/>
                <w:bCs/>
                <w:szCs w:val="23"/>
                <w:lang w:val="fr-CA"/>
              </w:rPr>
              <w:tab/>
            </w:r>
            <w:r w:rsidRPr="00F52884">
              <w:rPr>
                <w:rFonts w:ascii="Arial" w:eastAsia="Arial" w:hAnsi="Arial" w:cs="Arial"/>
                <w:szCs w:val="23"/>
                <w:lang w:val="fr-CA"/>
              </w:rPr>
              <w:t>Il est entendu que les activités se rapportant au privilège exclusif peuvent également être restreintes, y compris l’émission de timbres-poste ainsi que l’installation, l’érection ou le déménagement, dans un lieu public, de tout contenant postal ou dispositif devant servir au relevage, à la distribution ou à l’entreposage du courrier.</w:t>
            </w:r>
          </w:p>
        </w:tc>
      </w:tr>
    </w:tbl>
    <w:p w14:paraId="6EBD99E0" w14:textId="77777777" w:rsidR="002028B5" w:rsidRPr="00F52884" w:rsidRDefault="002028B5" w:rsidP="00E94578">
      <w:pPr>
        <w:rPr>
          <w:rFonts w:ascii="Arial" w:eastAsia="Arial" w:hAnsi="Arial" w:cs="Arial"/>
          <w:szCs w:val="23"/>
          <w:lang w:val="fr-CA"/>
        </w:rPr>
      </w:pPr>
    </w:p>
    <w:p w14:paraId="7AC52B85" w14:textId="77777777" w:rsidR="002028B5" w:rsidRPr="00F52884" w:rsidRDefault="002028B5">
      <w:pPr>
        <w:rPr>
          <w:lang w:val="fr-CA"/>
        </w:rPr>
      </w:pPr>
      <w:r w:rsidRPr="00F52884">
        <w:rPr>
          <w:lang w:val="fr-CA"/>
        </w:rPr>
        <w:br w:type="page"/>
      </w:r>
    </w:p>
    <w:p w14:paraId="6D828AC2" w14:textId="06A232F2" w:rsidR="00B8348C" w:rsidRPr="00F52884" w:rsidRDefault="00B8348C" w:rsidP="00F52884">
      <w:pPr>
        <w:pStyle w:val="Heading3"/>
        <w:jc w:val="center"/>
        <w:rPr>
          <w:rFonts w:asciiTheme="minorHAnsi" w:hAnsiTheme="minorHAnsi" w:cstheme="minorHAnsi"/>
          <w:sz w:val="24"/>
          <w:szCs w:val="24"/>
          <w:lang w:val="fr-CA"/>
        </w:rPr>
      </w:pPr>
      <w:bookmarkStart w:id="277" w:name="_Toc156311788"/>
      <w:r w:rsidRPr="00F52884">
        <w:rPr>
          <w:rFonts w:asciiTheme="minorHAnsi" w:hAnsiTheme="minorHAnsi" w:cstheme="minorHAnsi"/>
          <w:sz w:val="24"/>
          <w:szCs w:val="24"/>
          <w:lang w:val="fr-CA"/>
        </w:rPr>
        <w:lastRenderedPageBreak/>
        <w:t>Liste de l’Ontario</w:t>
      </w:r>
      <w:bookmarkEnd w:id="276"/>
      <w:bookmarkEnd w:id="277"/>
    </w:p>
    <w:p w14:paraId="4412350E" w14:textId="77777777" w:rsidR="00B8348C" w:rsidRPr="00F52884" w:rsidRDefault="00B8348C" w:rsidP="000C25A3">
      <w:pPr>
        <w:rPr>
          <w:rFonts w:cstheme="minorHAnsi"/>
          <w:b/>
          <w:bCs/>
          <w:szCs w:val="23"/>
          <w:lang w:val="fr-CA"/>
        </w:rPr>
      </w:pPr>
    </w:p>
    <w:p w14:paraId="098A283D" w14:textId="77777777" w:rsidR="00B8348C" w:rsidRPr="00F52884" w:rsidRDefault="00B8348C" w:rsidP="000C25A3">
      <w:pPr>
        <w:jc w:val="center"/>
        <w:rPr>
          <w:rFonts w:cstheme="minorHAnsi"/>
          <w:b/>
          <w:bCs/>
          <w:sz w:val="24"/>
          <w:szCs w:val="24"/>
          <w:lang w:val="fr-CA"/>
        </w:rPr>
      </w:pPr>
      <w:r w:rsidRPr="00F52884">
        <w:rPr>
          <w:rFonts w:cstheme="minorHAnsi"/>
          <w:b/>
          <w:bCs/>
          <w:sz w:val="24"/>
          <w:szCs w:val="24"/>
          <w:lang w:val="fr-CA"/>
        </w:rPr>
        <w:t>Annexe I</w:t>
      </w:r>
    </w:p>
    <w:p w14:paraId="143670F3" w14:textId="77777777" w:rsidR="00B8348C" w:rsidRPr="00F52884" w:rsidRDefault="00B8348C" w:rsidP="000C25A3">
      <w:pPr>
        <w:rPr>
          <w:rFonts w:cstheme="minorHAnsi"/>
          <w:b/>
          <w:bCs/>
          <w:szCs w:val="23"/>
          <w:lang w:val="fr-CA"/>
        </w:rPr>
      </w:pPr>
    </w:p>
    <w:p w14:paraId="0797C404" w14:textId="0B625C3D" w:rsidR="00B8348C" w:rsidRPr="00F52884" w:rsidRDefault="00B8348C" w:rsidP="000C25A3">
      <w:pPr>
        <w:spacing w:before="60" w:after="60"/>
        <w:ind w:left="-360"/>
        <w:contextualSpacing/>
        <w:rPr>
          <w:rFonts w:eastAsia="Arial" w:cstheme="minorHAnsi"/>
          <w:b/>
          <w:szCs w:val="23"/>
          <w:lang w:val="fr-CA"/>
        </w:rPr>
      </w:pPr>
      <w:r w:rsidRPr="00F52884">
        <w:rPr>
          <w:rFonts w:eastAsia="Arial" w:cstheme="minorHAnsi"/>
          <w:b/>
          <w:bCs/>
          <w:szCs w:val="23"/>
          <w:lang w:val="fr-CA"/>
        </w:rPr>
        <w:t>1.</w:t>
      </w:r>
      <w:r w:rsidR="00632D41" w:rsidRPr="00F52884">
        <w:rPr>
          <w:rFonts w:eastAsia="Arial" w:cstheme="minorHAnsi"/>
          <w:b/>
          <w:bCs/>
          <w:szCs w:val="23"/>
          <w:lang w:val="fr-CA"/>
        </w:rPr>
        <w:t xml:space="preserve"> </w:t>
      </w:r>
      <w:r w:rsidRPr="00F52884">
        <w:rPr>
          <w:rFonts w:eastAsia="Arial" w:cstheme="minorHAnsi"/>
          <w:b/>
          <w:bCs/>
          <w:szCs w:val="23"/>
          <w:lang w:val="fr-CA"/>
        </w:rPr>
        <w:t xml:space="preserve"> ONTARIO</w:t>
      </w:r>
    </w:p>
    <w:tbl>
      <w:tblPr>
        <w:tblW w:w="10273" w:type="dxa"/>
        <w:jc w:val="center"/>
        <w:tblLayout w:type="fixed"/>
        <w:tblCellMar>
          <w:top w:w="14" w:type="dxa"/>
          <w:left w:w="86" w:type="dxa"/>
          <w:bottom w:w="14" w:type="dxa"/>
          <w:right w:w="86" w:type="dxa"/>
        </w:tblCellMar>
        <w:tblLook w:val="0000" w:firstRow="0" w:lastRow="0" w:firstColumn="0" w:lastColumn="0" w:noHBand="0" w:noVBand="0"/>
      </w:tblPr>
      <w:tblGrid>
        <w:gridCol w:w="1688"/>
        <w:gridCol w:w="763"/>
        <w:gridCol w:w="7466"/>
        <w:gridCol w:w="356"/>
      </w:tblGrid>
      <w:tr w:rsidR="00B8348C" w:rsidRPr="00D315AF" w14:paraId="0A354E03" w14:textId="77777777" w:rsidTr="00632D41">
        <w:trPr>
          <w:trHeight w:val="42"/>
          <w:jc w:val="center"/>
        </w:trPr>
        <w:tc>
          <w:tcPr>
            <w:tcW w:w="2451" w:type="dxa"/>
            <w:gridSpan w:val="2"/>
            <w:tcBorders>
              <w:top w:val="single" w:sz="4" w:space="0" w:color="C0C0C0"/>
              <w:left w:val="nil"/>
              <w:bottom w:val="single" w:sz="4" w:space="0" w:color="C0C0C0"/>
              <w:right w:val="single" w:sz="4" w:space="0" w:color="FFFFFF"/>
            </w:tcBorders>
            <w:vAlign w:val="center"/>
          </w:tcPr>
          <w:p w14:paraId="64478798" w14:textId="77777777" w:rsidR="00B8348C" w:rsidRPr="00164D59" w:rsidRDefault="00B8348C" w:rsidP="00B8348C">
            <w:pPr>
              <w:spacing w:before="60" w:after="60"/>
              <w:rPr>
                <w:rFonts w:eastAsia="Arial" w:cstheme="minorHAnsi"/>
                <w:szCs w:val="23"/>
              </w:rPr>
            </w:pPr>
            <w:r w:rsidRPr="00164D59">
              <w:rPr>
                <w:rFonts w:eastAsia="Arial" w:cstheme="minorHAnsi"/>
                <w:szCs w:val="23"/>
                <w:lang w:val="fr-CA"/>
              </w:rPr>
              <w:br w:type="page"/>
            </w:r>
            <w:r w:rsidRPr="00164D59">
              <w:rPr>
                <w:rFonts w:eastAsia="Arial" w:cstheme="minorHAnsi"/>
                <w:b/>
                <w:bCs/>
                <w:szCs w:val="23"/>
                <w:lang w:val="fr-CA"/>
              </w:rPr>
              <w:t>Secteur :</w:t>
            </w:r>
            <w:r w:rsidRPr="00164D59">
              <w:rPr>
                <w:rFonts w:eastAsia="Arial" w:cstheme="minorHAnsi"/>
                <w:szCs w:val="23"/>
                <w:lang w:val="fr-CA"/>
              </w:rPr>
              <w:t xml:space="preserve"> </w:t>
            </w:r>
          </w:p>
        </w:tc>
        <w:tc>
          <w:tcPr>
            <w:tcW w:w="7822" w:type="dxa"/>
            <w:gridSpan w:val="2"/>
            <w:tcBorders>
              <w:top w:val="single" w:sz="4" w:space="0" w:color="C0C0C0"/>
              <w:left w:val="nil"/>
              <w:bottom w:val="single" w:sz="4" w:space="0" w:color="C0C0C0"/>
              <w:right w:val="single" w:sz="4" w:space="0" w:color="FFFFFF"/>
            </w:tcBorders>
            <w:vAlign w:val="center"/>
          </w:tcPr>
          <w:p w14:paraId="2729D0A0" w14:textId="77777777" w:rsidR="00B8348C" w:rsidRPr="00164D59" w:rsidRDefault="00B8348C" w:rsidP="00B8348C">
            <w:pPr>
              <w:spacing w:before="60" w:after="60"/>
              <w:rPr>
                <w:rFonts w:eastAsia="Arial" w:cstheme="minorHAnsi"/>
                <w:szCs w:val="23"/>
                <w:lang w:val="fr-FR"/>
              </w:rPr>
            </w:pPr>
            <w:r w:rsidRPr="00164D59">
              <w:rPr>
                <w:rFonts w:eastAsia="Arial" w:cstheme="minorHAnsi"/>
                <w:szCs w:val="23"/>
                <w:lang w:val="fr-CA"/>
              </w:rPr>
              <w:t>Minerais et minéraux; électricité, gaz et eau</w:t>
            </w:r>
          </w:p>
        </w:tc>
      </w:tr>
      <w:tr w:rsidR="00B8348C" w:rsidRPr="00F52884" w14:paraId="7D6CCD4E" w14:textId="77777777" w:rsidTr="00632D41">
        <w:trPr>
          <w:trHeight w:val="246"/>
          <w:jc w:val="center"/>
        </w:trPr>
        <w:tc>
          <w:tcPr>
            <w:tcW w:w="1688" w:type="dxa"/>
            <w:tcBorders>
              <w:top w:val="single" w:sz="4" w:space="0" w:color="C0C0C0"/>
              <w:left w:val="nil"/>
              <w:bottom w:val="single" w:sz="4" w:space="0" w:color="C0C0C0"/>
              <w:right w:val="single" w:sz="4" w:space="0" w:color="FFFFFF"/>
            </w:tcBorders>
            <w:vAlign w:val="center"/>
          </w:tcPr>
          <w:p w14:paraId="39FE924C" w14:textId="77777777" w:rsidR="00B8348C" w:rsidRPr="00164D59" w:rsidRDefault="00B8348C" w:rsidP="00B8348C">
            <w:pPr>
              <w:spacing w:before="60" w:after="60"/>
              <w:rPr>
                <w:rFonts w:eastAsia="Arial" w:cstheme="minorHAnsi"/>
                <w:b/>
                <w:szCs w:val="23"/>
              </w:rPr>
            </w:pPr>
            <w:r w:rsidRPr="00164D59">
              <w:rPr>
                <w:rFonts w:eastAsia="Arial" w:cstheme="minorHAnsi"/>
                <w:b/>
                <w:bCs/>
                <w:szCs w:val="23"/>
                <w:lang w:val="fr-CA"/>
              </w:rPr>
              <w:t>Sous-secteur :</w:t>
            </w:r>
          </w:p>
        </w:tc>
        <w:tc>
          <w:tcPr>
            <w:tcW w:w="763" w:type="dxa"/>
            <w:tcBorders>
              <w:top w:val="single" w:sz="4" w:space="0" w:color="C0C0C0"/>
              <w:left w:val="single" w:sz="4" w:space="0" w:color="FFFFFF"/>
              <w:bottom w:val="single" w:sz="4" w:space="0" w:color="C0C0C0"/>
              <w:right w:val="nil"/>
            </w:tcBorders>
            <w:vAlign w:val="center"/>
          </w:tcPr>
          <w:p w14:paraId="763F32D7" w14:textId="77777777" w:rsidR="00B8348C" w:rsidRPr="00164D59" w:rsidRDefault="00B8348C" w:rsidP="00B8348C">
            <w:pPr>
              <w:spacing w:before="60" w:after="60"/>
              <w:rPr>
                <w:rFonts w:eastAsia="Arial" w:cstheme="minorHAnsi"/>
                <w:szCs w:val="23"/>
              </w:rPr>
            </w:pPr>
          </w:p>
        </w:tc>
        <w:tc>
          <w:tcPr>
            <w:tcW w:w="7822" w:type="dxa"/>
            <w:gridSpan w:val="2"/>
            <w:tcBorders>
              <w:top w:val="single" w:sz="4" w:space="0" w:color="C0C0C0"/>
              <w:left w:val="single" w:sz="4" w:space="0" w:color="FFFFFF"/>
              <w:bottom w:val="single" w:sz="4" w:space="0" w:color="C0C0C0"/>
              <w:right w:val="nil"/>
            </w:tcBorders>
            <w:vAlign w:val="center"/>
          </w:tcPr>
          <w:p w14:paraId="718E5C03" w14:textId="77777777" w:rsidR="00B8348C" w:rsidRPr="00164D59" w:rsidRDefault="00B8348C" w:rsidP="00B8348C">
            <w:pPr>
              <w:spacing w:before="60" w:after="60"/>
              <w:rPr>
                <w:rFonts w:eastAsia="Arial" w:cstheme="minorHAnsi"/>
                <w:szCs w:val="23"/>
              </w:rPr>
            </w:pPr>
            <w:r w:rsidRPr="00164D59">
              <w:rPr>
                <w:rFonts w:eastAsia="Arial" w:cstheme="minorHAnsi"/>
                <w:szCs w:val="23"/>
                <w:lang w:val="fr-CA"/>
              </w:rPr>
              <w:t>Gaz naturel; énergie électrique</w:t>
            </w:r>
          </w:p>
        </w:tc>
      </w:tr>
      <w:tr w:rsidR="00B8348C" w:rsidRPr="00164D59" w14:paraId="3D4F492A" w14:textId="77777777" w:rsidTr="00632D41">
        <w:trPr>
          <w:gridAfter w:val="1"/>
          <w:wAfter w:w="356" w:type="dxa"/>
          <w:trHeight w:val="42"/>
          <w:jc w:val="center"/>
        </w:trPr>
        <w:tc>
          <w:tcPr>
            <w:tcW w:w="2451" w:type="dxa"/>
            <w:gridSpan w:val="2"/>
            <w:tcBorders>
              <w:top w:val="single" w:sz="4" w:space="0" w:color="C0C0C0"/>
              <w:left w:val="nil"/>
              <w:bottom w:val="single" w:sz="4" w:space="0" w:color="C0C0C0"/>
              <w:right w:val="single" w:sz="4" w:space="0" w:color="FFFFFF"/>
            </w:tcBorders>
            <w:vAlign w:val="center"/>
          </w:tcPr>
          <w:p w14:paraId="520D3108" w14:textId="77777777" w:rsidR="00B8348C" w:rsidRPr="00164D59" w:rsidRDefault="00B8348C" w:rsidP="00B8348C">
            <w:pPr>
              <w:spacing w:before="60" w:after="60"/>
              <w:rPr>
                <w:rFonts w:eastAsia="Arial" w:cstheme="minorHAnsi"/>
                <w:szCs w:val="23"/>
              </w:rPr>
            </w:pPr>
            <w:r w:rsidRPr="00164D59">
              <w:rPr>
                <w:rFonts w:eastAsia="Arial" w:cstheme="minorHAnsi"/>
                <w:b/>
                <w:bCs/>
                <w:szCs w:val="23"/>
                <w:lang w:val="fr-CA"/>
              </w:rPr>
              <w:t xml:space="preserve">Classification de l’industrie : </w:t>
            </w:r>
          </w:p>
        </w:tc>
        <w:tc>
          <w:tcPr>
            <w:tcW w:w="7466" w:type="dxa"/>
            <w:tcBorders>
              <w:top w:val="single" w:sz="4" w:space="0" w:color="C0C0C0"/>
              <w:left w:val="nil"/>
              <w:bottom w:val="single" w:sz="4" w:space="0" w:color="C0C0C0"/>
              <w:right w:val="single" w:sz="4" w:space="0" w:color="FFFFFF"/>
            </w:tcBorders>
            <w:vAlign w:val="center"/>
          </w:tcPr>
          <w:p w14:paraId="5F1ED7F2" w14:textId="77777777" w:rsidR="00B8348C" w:rsidRPr="00164D59" w:rsidRDefault="00B8348C" w:rsidP="00B8348C">
            <w:pPr>
              <w:spacing w:before="60" w:after="60"/>
              <w:rPr>
                <w:rFonts w:eastAsia="Arial" w:cstheme="minorHAnsi"/>
                <w:szCs w:val="23"/>
              </w:rPr>
            </w:pPr>
            <w:r w:rsidRPr="00164D59">
              <w:rPr>
                <w:rFonts w:eastAsia="Arial" w:cstheme="minorHAnsi"/>
                <w:szCs w:val="23"/>
                <w:lang w:val="fr-CA"/>
              </w:rPr>
              <w:t>CPC 120, 17, 334, 713, 887</w:t>
            </w:r>
          </w:p>
        </w:tc>
      </w:tr>
      <w:tr w:rsidR="00B8348C" w:rsidRPr="00D315AF" w14:paraId="126BBBC7" w14:textId="77777777" w:rsidTr="00632D41">
        <w:trPr>
          <w:trHeight w:val="42"/>
          <w:jc w:val="center"/>
        </w:trPr>
        <w:tc>
          <w:tcPr>
            <w:tcW w:w="2451" w:type="dxa"/>
            <w:gridSpan w:val="2"/>
            <w:tcBorders>
              <w:top w:val="single" w:sz="4" w:space="0" w:color="C0C0C0"/>
              <w:left w:val="nil"/>
              <w:bottom w:val="single" w:sz="4" w:space="0" w:color="C0C0C0"/>
            </w:tcBorders>
          </w:tcPr>
          <w:p w14:paraId="25B69977" w14:textId="1EB84699" w:rsidR="00B8348C" w:rsidRPr="00164D59" w:rsidRDefault="00B8348C" w:rsidP="00B8348C">
            <w:pPr>
              <w:spacing w:before="60" w:after="60"/>
              <w:rPr>
                <w:rFonts w:eastAsia="Times New Roman" w:cstheme="minorHAnsi"/>
                <w:szCs w:val="23"/>
              </w:rPr>
            </w:pPr>
            <w:r w:rsidRPr="00164D59">
              <w:rPr>
                <w:rFonts w:eastAsia="Times New Roman" w:cstheme="minorHAnsi"/>
                <w:b/>
                <w:bCs/>
                <w:szCs w:val="23"/>
                <w:lang w:val="fr-CA"/>
              </w:rPr>
              <w:t>Type d’exception :</w:t>
            </w:r>
            <w:r w:rsidRPr="00164D59">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692A2F76" w14:textId="1BAECBA2" w:rsidR="00B8348C" w:rsidRPr="00164D59" w:rsidRDefault="00B8348C" w:rsidP="00B8348C">
            <w:pPr>
              <w:spacing w:before="60" w:after="60"/>
              <w:rPr>
                <w:rFonts w:eastAsia="Times New Roman" w:cstheme="minorHAnsi"/>
                <w:szCs w:val="23"/>
                <w:lang w:val="fr-FR"/>
              </w:rPr>
            </w:pPr>
            <w:r w:rsidRPr="00164D59">
              <w:rPr>
                <w:rFonts w:eastAsia="Times New Roman" w:cstheme="minorHAnsi"/>
                <w:szCs w:val="23"/>
                <w:lang w:val="fr-CA"/>
              </w:rPr>
              <w:t>Article 201 (Traitement non discriminatoire), article 307 (Accès aux marchés – Services), article 312 (Accès aux marchés – Investissement), article 313 (Prescriptions de résultats)</w:t>
            </w:r>
            <w:r w:rsidR="00164D59" w:rsidRPr="00164D59">
              <w:rPr>
                <w:rFonts w:eastAsia="Times New Roman" w:cstheme="minorHAnsi"/>
                <w:szCs w:val="23"/>
                <w:lang w:val="fr-CA"/>
              </w:rPr>
              <w:t>, Article 2 de l’annexe 309 (Fourniture libre et non discriminatoire du service de transport d’électricité)</w:t>
            </w:r>
          </w:p>
        </w:tc>
      </w:tr>
      <w:tr w:rsidR="00B8348C" w:rsidRPr="00F52884" w14:paraId="510A7831" w14:textId="77777777" w:rsidTr="00632D41">
        <w:trPr>
          <w:trHeight w:val="42"/>
          <w:jc w:val="center"/>
        </w:trPr>
        <w:tc>
          <w:tcPr>
            <w:tcW w:w="10273"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A0F8913" w14:textId="77777777" w:rsidR="00B8348C" w:rsidRPr="00164D59" w:rsidRDefault="00B8348C" w:rsidP="00B8348C">
            <w:pPr>
              <w:spacing w:before="60" w:after="60"/>
              <w:rPr>
                <w:rFonts w:cstheme="minorHAnsi"/>
                <w:b/>
                <w:szCs w:val="23"/>
              </w:rPr>
            </w:pPr>
            <w:r w:rsidRPr="00164D59">
              <w:rPr>
                <w:rFonts w:cstheme="minorHAnsi"/>
                <w:b/>
                <w:bCs/>
                <w:szCs w:val="23"/>
                <w:lang w:val="fr-CA"/>
              </w:rPr>
              <w:t>Mesures :</w:t>
            </w:r>
          </w:p>
        </w:tc>
      </w:tr>
      <w:tr w:rsidR="00B8348C" w:rsidRPr="00D315AF" w14:paraId="17559ABB" w14:textId="77777777" w:rsidTr="00632D41">
        <w:trPr>
          <w:trHeight w:val="273"/>
          <w:jc w:val="center"/>
        </w:trPr>
        <w:tc>
          <w:tcPr>
            <w:tcW w:w="10273" w:type="dxa"/>
            <w:gridSpan w:val="4"/>
            <w:tcBorders>
              <w:top w:val="single" w:sz="4" w:space="0" w:color="C0C0C0"/>
              <w:left w:val="single" w:sz="4" w:space="0" w:color="C0C0C0"/>
              <w:bottom w:val="single" w:sz="4" w:space="0" w:color="C0C0C0"/>
              <w:right w:val="single" w:sz="4" w:space="0" w:color="C0C0C0"/>
            </w:tcBorders>
          </w:tcPr>
          <w:p w14:paraId="19B1C4EC" w14:textId="22EB92DD" w:rsidR="00B8348C" w:rsidRPr="00164D59" w:rsidRDefault="00B8348C" w:rsidP="00B8348C">
            <w:pPr>
              <w:spacing w:before="60" w:after="60"/>
              <w:rPr>
                <w:rFonts w:eastAsia="Arial" w:cstheme="minorHAnsi"/>
                <w:szCs w:val="23"/>
                <w:lang w:val="fr-CA"/>
              </w:rPr>
            </w:pPr>
            <w:r w:rsidRPr="00164D59">
              <w:rPr>
                <w:rFonts w:eastAsia="Arial" w:cstheme="minorHAnsi"/>
                <w:i/>
                <w:iCs/>
                <w:szCs w:val="23"/>
                <w:lang w:val="fr-CA"/>
              </w:rPr>
              <w:t xml:space="preserve">Loi de 1998 sur la Commission de l'énergie de </w:t>
            </w:r>
            <w:r w:rsidR="004522A3" w:rsidRPr="00164D59">
              <w:rPr>
                <w:rFonts w:eastAsia="Arial" w:cstheme="minorHAnsi"/>
                <w:i/>
                <w:iCs/>
                <w:szCs w:val="23"/>
                <w:lang w:val="fr-CA"/>
              </w:rPr>
              <w:t>l’Ontario, LO</w:t>
            </w:r>
            <w:r w:rsidRPr="00164D59">
              <w:rPr>
                <w:rFonts w:eastAsia="Arial" w:cstheme="minorHAnsi"/>
                <w:szCs w:val="23"/>
                <w:lang w:val="fr-CA"/>
              </w:rPr>
              <w:t xml:space="preserve"> 1998, c 15, annexe B  </w:t>
            </w:r>
          </w:p>
          <w:p w14:paraId="53DC5266" w14:textId="6B3775F8" w:rsidR="00B8348C" w:rsidRPr="00164D59" w:rsidRDefault="00B8348C" w:rsidP="00B8348C">
            <w:pPr>
              <w:spacing w:before="60" w:after="60"/>
              <w:rPr>
                <w:rFonts w:eastAsia="Arial" w:cstheme="minorHAnsi"/>
                <w:szCs w:val="23"/>
                <w:lang w:val="fr-CA"/>
              </w:rPr>
            </w:pPr>
            <w:r w:rsidRPr="00164D59">
              <w:rPr>
                <w:rFonts w:eastAsia="Arial" w:cstheme="minorHAnsi"/>
                <w:i/>
                <w:iCs/>
                <w:szCs w:val="23"/>
                <w:lang w:val="fr-CA"/>
              </w:rPr>
              <w:t>Loi de 1998 sur l'électricité,</w:t>
            </w:r>
            <w:r w:rsidRPr="00164D59">
              <w:rPr>
                <w:rFonts w:eastAsia="Arial" w:cstheme="minorHAnsi"/>
                <w:szCs w:val="23"/>
                <w:lang w:val="fr-CA"/>
              </w:rPr>
              <w:t xml:space="preserve"> LO 1998, c 15, annexe A</w:t>
            </w:r>
          </w:p>
          <w:p w14:paraId="4E928F07" w14:textId="48D46E1E" w:rsidR="00B8348C" w:rsidRPr="00164D59" w:rsidRDefault="00B8348C" w:rsidP="00B8348C">
            <w:pPr>
              <w:spacing w:before="60" w:after="60"/>
              <w:rPr>
                <w:rFonts w:eastAsia="Arial" w:cstheme="minorHAnsi"/>
                <w:szCs w:val="23"/>
                <w:lang w:val="fr-CA"/>
              </w:rPr>
            </w:pPr>
            <w:r w:rsidRPr="00164D59">
              <w:rPr>
                <w:rFonts w:eastAsia="Arial" w:cstheme="minorHAnsi"/>
                <w:i/>
                <w:iCs/>
                <w:szCs w:val="23"/>
                <w:lang w:val="fr-CA"/>
              </w:rPr>
              <w:t>Loi de 2009 sur l'énergie verte et l'économie verte</w:t>
            </w:r>
            <w:r w:rsidRPr="00164D59">
              <w:rPr>
                <w:rFonts w:eastAsia="Arial" w:cstheme="minorHAnsi"/>
                <w:szCs w:val="23"/>
                <w:lang w:val="fr-CA"/>
              </w:rPr>
              <w:t>, LO 2009, c 12</w:t>
            </w:r>
          </w:p>
          <w:p w14:paraId="6785E957" w14:textId="67912B53" w:rsidR="00B8348C" w:rsidRPr="00164D59" w:rsidRDefault="00B8348C" w:rsidP="00B8348C">
            <w:pPr>
              <w:spacing w:before="60" w:after="60"/>
              <w:rPr>
                <w:rFonts w:eastAsia="Arial" w:cstheme="minorHAnsi"/>
                <w:szCs w:val="23"/>
                <w:lang w:val="fr-CA"/>
              </w:rPr>
            </w:pPr>
            <w:r w:rsidRPr="00164D59">
              <w:rPr>
                <w:rFonts w:eastAsia="Arial" w:cstheme="minorHAnsi"/>
                <w:i/>
                <w:iCs/>
                <w:szCs w:val="23"/>
                <w:lang w:val="fr-CA"/>
              </w:rPr>
              <w:t>Loi sur les concessions municipales,</w:t>
            </w:r>
            <w:r w:rsidRPr="00164D59">
              <w:rPr>
                <w:rFonts w:eastAsia="Arial" w:cstheme="minorHAnsi"/>
                <w:szCs w:val="23"/>
                <w:lang w:val="fr-CA"/>
              </w:rPr>
              <w:t xml:space="preserve"> LRO 1990, c M.55</w:t>
            </w:r>
          </w:p>
        </w:tc>
      </w:tr>
      <w:tr w:rsidR="00B8348C" w:rsidRPr="00F52884" w14:paraId="6FE3C5B3" w14:textId="77777777" w:rsidTr="00632D41">
        <w:trPr>
          <w:trHeight w:val="49"/>
          <w:jc w:val="center"/>
        </w:trPr>
        <w:tc>
          <w:tcPr>
            <w:tcW w:w="10273"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A1DAF88" w14:textId="77777777" w:rsidR="00B8348C" w:rsidRPr="00164D59" w:rsidRDefault="00B8348C" w:rsidP="00B8348C">
            <w:pPr>
              <w:spacing w:before="60" w:after="60"/>
              <w:rPr>
                <w:rFonts w:cstheme="minorHAnsi"/>
                <w:b/>
                <w:szCs w:val="23"/>
              </w:rPr>
            </w:pPr>
            <w:r w:rsidRPr="00164D59">
              <w:rPr>
                <w:rFonts w:cstheme="minorHAnsi"/>
                <w:b/>
                <w:bCs/>
                <w:szCs w:val="23"/>
                <w:lang w:val="fr-CA"/>
              </w:rPr>
              <w:t>Description :</w:t>
            </w:r>
          </w:p>
        </w:tc>
      </w:tr>
      <w:tr w:rsidR="00B8348C" w:rsidRPr="00D315AF" w14:paraId="3C25AABC" w14:textId="77777777" w:rsidTr="00632D41">
        <w:trPr>
          <w:trHeight w:val="66"/>
          <w:jc w:val="center"/>
        </w:trPr>
        <w:tc>
          <w:tcPr>
            <w:tcW w:w="10273" w:type="dxa"/>
            <w:gridSpan w:val="4"/>
            <w:tcBorders>
              <w:top w:val="single" w:sz="4" w:space="0" w:color="C0C0C0"/>
              <w:left w:val="single" w:sz="4" w:space="0" w:color="C0C0C0"/>
              <w:bottom w:val="single" w:sz="4" w:space="0" w:color="C0C0C0"/>
              <w:right w:val="single" w:sz="4" w:space="0" w:color="C0C0C0"/>
            </w:tcBorders>
          </w:tcPr>
          <w:p w14:paraId="5F54DC28" w14:textId="77777777" w:rsidR="00164D59" w:rsidRPr="00164D59" w:rsidRDefault="00164D59" w:rsidP="00164D59">
            <w:pPr>
              <w:spacing w:before="120" w:after="120"/>
              <w:rPr>
                <w:rFonts w:eastAsia="Arial" w:cstheme="minorHAnsi"/>
                <w:szCs w:val="23"/>
                <w:lang w:val="fr-CA"/>
              </w:rPr>
            </w:pPr>
            <w:r w:rsidRPr="00164D59">
              <w:rPr>
                <w:rFonts w:eastAsia="Arial" w:cstheme="minorHAnsi"/>
                <w:szCs w:val="23"/>
                <w:lang w:val="fr-CA"/>
              </w:rPr>
              <w:t xml:space="preserve">Le gouvernement de l’Ontario et ses autorités, entités et organismes en matière d’énergie, dont la Société indépendante d’exploitation du réseau d’électricité, l’Ontario Power </w:t>
            </w:r>
            <w:proofErr w:type="spellStart"/>
            <w:r w:rsidRPr="00164D59">
              <w:rPr>
                <w:rFonts w:eastAsia="Arial" w:cstheme="minorHAnsi"/>
                <w:szCs w:val="23"/>
                <w:lang w:val="fr-CA"/>
              </w:rPr>
              <w:t>Generation</w:t>
            </w:r>
            <w:proofErr w:type="spellEnd"/>
            <w:r w:rsidRPr="00164D59">
              <w:rPr>
                <w:rFonts w:eastAsia="Arial" w:cstheme="minorHAnsi"/>
                <w:szCs w:val="23"/>
                <w:lang w:val="fr-CA"/>
              </w:rPr>
              <w:t xml:space="preserve"> Inc., Hydro One Inc. et la Commission de l’énergie de l’Ontario, et leurs successeurs ou ayants droit, peuvent permettre à une ou à plusieurs personnes ou entités d’installer ou de prolonger des infrastructures d’électricité et de gaz ou de produire, de transporter, de distribuer, de conserver, de gérer (demande et charge), de stocker, de vendre, de vendre au détail ou de commercialiser l’énergie (dont l’électricité, le gaz naturel et l’énergie renouvelable) dans toute région de l’Ontario, y compris les biens-fonds réservés aux couloirs. De plus, le gouvernement de l’Ontario ou une de ses autorités en matière d’énergie, la Société indépendante d’exploitation du réseau d’électricité, la Commission de l’énergie de l’Ontario, ou ses successeurs ou ayants droit, peuvent réglementer les tarifs, le stockage, les normes, y compris la publication d’information ou l’accès aux services fournis, notamment l’accès aux services de transport, par les producteurs, distributeurs, transporteurs, vendeurs, détaillants, commerçants et entreprises de stockage d’énergie en Ontario. </w:t>
            </w:r>
          </w:p>
          <w:p w14:paraId="5F9BD7CD" w14:textId="77777777" w:rsidR="00B8348C" w:rsidRPr="00164D59" w:rsidRDefault="00B8348C" w:rsidP="00B8348C">
            <w:pPr>
              <w:spacing w:before="120" w:after="120"/>
              <w:rPr>
                <w:rFonts w:eastAsia="Arial" w:cstheme="minorHAnsi"/>
                <w:i/>
                <w:szCs w:val="23"/>
                <w:lang w:val="fr-FR"/>
              </w:rPr>
            </w:pPr>
            <w:r w:rsidRPr="00164D59">
              <w:rPr>
                <w:rFonts w:eastAsia="Arial" w:cstheme="minorHAnsi"/>
                <w:szCs w:val="23"/>
                <w:lang w:val="fr-CA"/>
              </w:rPr>
              <w:t>Sans restreindre la portée générale de ce qui précède, certaines mesures et dispositions prises par l’Ontario et les autorités, entités et organismes en matière d’énergie susmentionnés, et leurs successeurs ou ayants droit, peuvent supposer la prise de décisions discrétionnaires fondées sur des facteurs pouvant mener à l’octroi d’un traitement préférentiel :</w:t>
            </w:r>
          </w:p>
          <w:p w14:paraId="78B2C3B6" w14:textId="77777777" w:rsidR="00B8348C" w:rsidRPr="00164D59" w:rsidRDefault="00B8348C" w:rsidP="00632D41">
            <w:pPr>
              <w:numPr>
                <w:ilvl w:val="0"/>
                <w:numId w:val="301"/>
              </w:numPr>
              <w:spacing w:before="120" w:after="120"/>
              <w:ind w:left="906" w:hanging="540"/>
              <w:rPr>
                <w:rFonts w:eastAsia="Arial" w:cstheme="minorHAnsi"/>
                <w:i/>
                <w:szCs w:val="23"/>
              </w:rPr>
            </w:pPr>
            <w:proofErr w:type="gramStart"/>
            <w:r w:rsidRPr="00164D59">
              <w:rPr>
                <w:rFonts w:eastAsia="Arial" w:cstheme="minorHAnsi"/>
                <w:szCs w:val="23"/>
                <w:lang w:val="fr-CA"/>
              </w:rPr>
              <w:t>aux</w:t>
            </w:r>
            <w:proofErr w:type="gramEnd"/>
            <w:r w:rsidRPr="00164D59">
              <w:rPr>
                <w:rFonts w:eastAsia="Arial" w:cstheme="minorHAnsi"/>
                <w:szCs w:val="23"/>
                <w:lang w:val="fr-CA"/>
              </w:rPr>
              <w:t xml:space="preserve"> résidents de l’Ontario;</w:t>
            </w:r>
          </w:p>
          <w:p w14:paraId="7D0B2110" w14:textId="47E39F15" w:rsidR="00B8348C" w:rsidRPr="00164D59" w:rsidRDefault="00B8348C" w:rsidP="00632D41">
            <w:pPr>
              <w:numPr>
                <w:ilvl w:val="0"/>
                <w:numId w:val="301"/>
              </w:numPr>
              <w:spacing w:before="120" w:after="120"/>
              <w:ind w:left="906" w:hanging="540"/>
              <w:rPr>
                <w:rFonts w:eastAsia="Arial" w:cstheme="minorHAnsi"/>
                <w:i/>
                <w:szCs w:val="23"/>
                <w:lang w:val="fr-FR"/>
              </w:rPr>
            </w:pPr>
            <w:proofErr w:type="gramStart"/>
            <w:r w:rsidRPr="00164D59">
              <w:rPr>
                <w:rFonts w:eastAsia="Arial" w:cstheme="minorHAnsi"/>
                <w:szCs w:val="23"/>
                <w:lang w:val="fr-CA"/>
              </w:rPr>
              <w:t>aux</w:t>
            </w:r>
            <w:proofErr w:type="gramEnd"/>
            <w:r w:rsidRPr="00164D59">
              <w:rPr>
                <w:rFonts w:eastAsia="Arial" w:cstheme="minorHAnsi"/>
                <w:szCs w:val="23"/>
                <w:lang w:val="fr-CA"/>
              </w:rPr>
              <w:t xml:space="preserve"> entités constituées conformément à la législation du Canada ou d’une province du Canada et qui ont un lieu d’affaires en Ontario. </w:t>
            </w:r>
          </w:p>
          <w:p w14:paraId="06746E0F" w14:textId="77777777" w:rsidR="004C0B41" w:rsidRPr="00164D59" w:rsidRDefault="00B8348C" w:rsidP="006E3B0F">
            <w:pPr>
              <w:spacing w:before="120" w:after="120"/>
              <w:rPr>
                <w:rFonts w:eastAsia="Arial" w:cstheme="minorHAnsi"/>
                <w:szCs w:val="23"/>
                <w:lang w:val="fr-CA"/>
              </w:rPr>
            </w:pPr>
            <w:r w:rsidRPr="00164D59">
              <w:rPr>
                <w:rFonts w:eastAsia="Arial" w:cstheme="minorHAnsi"/>
                <w:szCs w:val="23"/>
                <w:lang w:val="fr-CA"/>
              </w:rPr>
              <w:lastRenderedPageBreak/>
              <w:t>Il est entendu qu’une entreprise constituée conformément à la législation de l’Ontario et qui a un lieu d’affaires dans cette province est traitée de la même manière qu’une entreprise qui est résidente de l’Ontario.</w:t>
            </w:r>
          </w:p>
          <w:p w14:paraId="349B66A8" w14:textId="77777777" w:rsidR="009D3A26" w:rsidRPr="00164D59" w:rsidRDefault="009D3A26" w:rsidP="009D3A26">
            <w:pPr>
              <w:pStyle w:val="Default"/>
              <w:rPr>
                <w:rFonts w:asciiTheme="minorHAnsi" w:hAnsiTheme="minorHAnsi" w:cstheme="minorHAnsi"/>
                <w:sz w:val="23"/>
                <w:szCs w:val="23"/>
                <w:lang w:val="fr-CA"/>
              </w:rPr>
            </w:pPr>
            <w:r w:rsidRPr="00164D59">
              <w:rPr>
                <w:rFonts w:asciiTheme="minorHAnsi" w:hAnsiTheme="minorHAnsi" w:cstheme="minorHAnsi"/>
                <w:sz w:val="23"/>
                <w:szCs w:val="23"/>
                <w:lang w:val="fr-CA"/>
              </w:rPr>
              <w:t xml:space="preserve">Il est entendu qu’aucune disposition de la présente exception ne s’applique aux pipelines pour hydrocarbures. </w:t>
            </w:r>
          </w:p>
          <w:p w14:paraId="06E213B1" w14:textId="77777777" w:rsidR="00164D59" w:rsidRPr="00164D59" w:rsidRDefault="00164D59" w:rsidP="00164D59">
            <w:pPr>
              <w:pStyle w:val="Default"/>
              <w:rPr>
                <w:rFonts w:asciiTheme="minorHAnsi" w:hAnsiTheme="minorHAnsi" w:cstheme="minorHAnsi"/>
                <w:sz w:val="23"/>
                <w:szCs w:val="23"/>
                <w:lang w:val="fr-CA"/>
              </w:rPr>
            </w:pPr>
          </w:p>
          <w:p w14:paraId="2F005E12" w14:textId="2A1A0FC5" w:rsidR="00164D59" w:rsidRPr="00164D59" w:rsidRDefault="00164D59" w:rsidP="00164D59">
            <w:pPr>
              <w:pStyle w:val="Default"/>
              <w:rPr>
                <w:rFonts w:asciiTheme="minorHAnsi" w:hAnsiTheme="minorHAnsi" w:cstheme="minorHAnsi"/>
                <w:sz w:val="23"/>
                <w:szCs w:val="23"/>
                <w:lang w:val="fr-CA"/>
              </w:rPr>
            </w:pPr>
            <w:r w:rsidRPr="00164D59">
              <w:rPr>
                <w:rFonts w:asciiTheme="minorHAnsi" w:hAnsiTheme="minorHAnsi" w:cstheme="minorHAnsi"/>
                <w:sz w:val="23"/>
                <w:szCs w:val="23"/>
                <w:lang w:val="fr-CA"/>
              </w:rPr>
              <w:t>Il est entendu que les exigences en matière de transparence et de disponibilité de l’information dont il est question à l’annexe 309(2)c) seront seulement couvertes en vertu de la présente exception au cours des 18 mois suivant la date d’entrée en vigueur de l’exception à l’annexe 309.</w:t>
            </w:r>
          </w:p>
        </w:tc>
      </w:tr>
    </w:tbl>
    <w:p w14:paraId="0C13D21B" w14:textId="77777777" w:rsidR="00B8348C" w:rsidRPr="00F52884" w:rsidRDefault="00B8348C" w:rsidP="000C25A3">
      <w:pPr>
        <w:ind w:left="-360"/>
        <w:contextualSpacing/>
        <w:rPr>
          <w:rFonts w:eastAsia="Arial" w:cstheme="minorHAnsi"/>
          <w:b/>
          <w:szCs w:val="23"/>
          <w:lang w:val="fr-FR"/>
        </w:rPr>
      </w:pPr>
    </w:p>
    <w:p w14:paraId="6F70072F" w14:textId="77777777" w:rsidR="00B8348C" w:rsidRPr="00F52884" w:rsidRDefault="00B8348C" w:rsidP="000C25A3">
      <w:pPr>
        <w:ind w:left="-360"/>
        <w:contextualSpacing/>
        <w:rPr>
          <w:rFonts w:eastAsia="Arial" w:cstheme="minorHAnsi"/>
          <w:b/>
          <w:szCs w:val="23"/>
          <w:lang w:val="fr-FR"/>
        </w:rPr>
      </w:pPr>
    </w:p>
    <w:p w14:paraId="37D08AD0" w14:textId="41FF1966"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2.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57" w:type="dxa"/>
        <w:jc w:val="center"/>
        <w:tblLayout w:type="fixed"/>
        <w:tblCellMar>
          <w:top w:w="14" w:type="dxa"/>
          <w:left w:w="86" w:type="dxa"/>
          <w:bottom w:w="14" w:type="dxa"/>
          <w:right w:w="86" w:type="dxa"/>
        </w:tblCellMar>
        <w:tblLook w:val="0000" w:firstRow="0" w:lastRow="0" w:firstColumn="0" w:lastColumn="0" w:noHBand="0" w:noVBand="0"/>
      </w:tblPr>
      <w:tblGrid>
        <w:gridCol w:w="1693"/>
        <w:gridCol w:w="842"/>
        <w:gridCol w:w="7506"/>
        <w:gridCol w:w="316"/>
      </w:tblGrid>
      <w:tr w:rsidR="00B8348C" w:rsidRPr="00F52884" w14:paraId="771D87BE" w14:textId="77777777" w:rsidTr="00632D41">
        <w:trPr>
          <w:trHeight w:val="42"/>
          <w:jc w:val="center"/>
        </w:trPr>
        <w:tc>
          <w:tcPr>
            <w:tcW w:w="2535" w:type="dxa"/>
            <w:gridSpan w:val="2"/>
            <w:tcBorders>
              <w:top w:val="single" w:sz="4" w:space="0" w:color="C0C0C0"/>
              <w:left w:val="nil"/>
              <w:bottom w:val="single" w:sz="4" w:space="0" w:color="C0C0C0"/>
              <w:right w:val="single" w:sz="4" w:space="0" w:color="FFFFFF"/>
            </w:tcBorders>
            <w:vAlign w:val="center"/>
          </w:tcPr>
          <w:p w14:paraId="566A276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Secteur :</w:t>
            </w:r>
            <w:r w:rsidRPr="00F52884">
              <w:rPr>
                <w:rFonts w:eastAsia="Arial" w:cstheme="minorHAnsi"/>
                <w:szCs w:val="23"/>
                <w:lang w:val="fr-CA"/>
              </w:rPr>
              <w:t xml:space="preserve"> </w:t>
            </w:r>
          </w:p>
        </w:tc>
        <w:tc>
          <w:tcPr>
            <w:tcW w:w="7822" w:type="dxa"/>
            <w:gridSpan w:val="2"/>
            <w:tcBorders>
              <w:top w:val="single" w:sz="4" w:space="0" w:color="C0C0C0"/>
              <w:left w:val="nil"/>
              <w:bottom w:val="single" w:sz="4" w:space="0" w:color="C0C0C0"/>
              <w:right w:val="single" w:sz="4" w:space="0" w:color="FFFFFF"/>
            </w:tcBorders>
            <w:vAlign w:val="center"/>
          </w:tcPr>
          <w:p w14:paraId="41766C1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Services immobiliers</w:t>
            </w:r>
          </w:p>
        </w:tc>
      </w:tr>
      <w:tr w:rsidR="00B8348C" w:rsidRPr="00D315AF" w14:paraId="68B7914D" w14:textId="77777777" w:rsidTr="00632D41">
        <w:trPr>
          <w:trHeight w:val="246"/>
          <w:jc w:val="center"/>
        </w:trPr>
        <w:tc>
          <w:tcPr>
            <w:tcW w:w="1693" w:type="dxa"/>
            <w:tcBorders>
              <w:top w:val="single" w:sz="4" w:space="0" w:color="C0C0C0"/>
              <w:left w:val="nil"/>
              <w:bottom w:val="single" w:sz="4" w:space="0" w:color="C0C0C0"/>
              <w:right w:val="single" w:sz="4" w:space="0" w:color="FFFFFF"/>
            </w:tcBorders>
            <w:vAlign w:val="center"/>
          </w:tcPr>
          <w:p w14:paraId="42ED789D" w14:textId="77777777" w:rsidR="00B8348C" w:rsidRPr="00F52884" w:rsidRDefault="00B8348C" w:rsidP="000C25A3">
            <w:pPr>
              <w:spacing w:before="60" w:after="60"/>
              <w:rPr>
                <w:rFonts w:eastAsia="Arial" w:cstheme="minorHAnsi"/>
                <w:b/>
                <w:szCs w:val="23"/>
              </w:rPr>
            </w:pPr>
            <w:r w:rsidRPr="00F52884">
              <w:rPr>
                <w:rFonts w:eastAsia="Arial" w:cstheme="minorHAnsi"/>
                <w:b/>
                <w:bCs/>
                <w:szCs w:val="23"/>
                <w:lang w:val="fr-CA"/>
              </w:rPr>
              <w:t>Sous-secteur :</w:t>
            </w:r>
          </w:p>
        </w:tc>
        <w:tc>
          <w:tcPr>
            <w:tcW w:w="842" w:type="dxa"/>
            <w:tcBorders>
              <w:top w:val="single" w:sz="4" w:space="0" w:color="C0C0C0"/>
              <w:left w:val="single" w:sz="4" w:space="0" w:color="FFFFFF"/>
              <w:bottom w:val="single" w:sz="4" w:space="0" w:color="C0C0C0"/>
              <w:right w:val="nil"/>
            </w:tcBorders>
            <w:vAlign w:val="center"/>
          </w:tcPr>
          <w:p w14:paraId="2B38EACA" w14:textId="77777777" w:rsidR="00B8348C" w:rsidRPr="00F52884" w:rsidRDefault="00B8348C" w:rsidP="000C25A3">
            <w:pPr>
              <w:spacing w:before="60" w:after="60"/>
              <w:rPr>
                <w:rFonts w:eastAsia="Arial" w:cstheme="minorHAnsi"/>
                <w:szCs w:val="23"/>
              </w:rPr>
            </w:pPr>
          </w:p>
        </w:tc>
        <w:tc>
          <w:tcPr>
            <w:tcW w:w="7822" w:type="dxa"/>
            <w:gridSpan w:val="2"/>
            <w:tcBorders>
              <w:top w:val="single" w:sz="4" w:space="0" w:color="C0C0C0"/>
              <w:left w:val="single" w:sz="4" w:space="0" w:color="FFFFFF"/>
              <w:bottom w:val="single" w:sz="4" w:space="0" w:color="C0C0C0"/>
              <w:right w:val="nil"/>
            </w:tcBorders>
            <w:vAlign w:val="center"/>
          </w:tcPr>
          <w:p w14:paraId="4194135C"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immobiliers à forfait ou sous contrat; services immobiliers se rapportant à des biens propres ou loués</w:t>
            </w:r>
          </w:p>
        </w:tc>
      </w:tr>
      <w:tr w:rsidR="00B8348C" w:rsidRPr="00F52884" w14:paraId="1505B9F9" w14:textId="77777777" w:rsidTr="00632D41">
        <w:trPr>
          <w:gridAfter w:val="1"/>
          <w:wAfter w:w="316" w:type="dxa"/>
          <w:trHeight w:val="42"/>
          <w:jc w:val="center"/>
        </w:trPr>
        <w:tc>
          <w:tcPr>
            <w:tcW w:w="2535" w:type="dxa"/>
            <w:gridSpan w:val="2"/>
            <w:tcBorders>
              <w:top w:val="single" w:sz="4" w:space="0" w:color="C0C0C0"/>
              <w:left w:val="nil"/>
              <w:bottom w:val="single" w:sz="4" w:space="0" w:color="C0C0C0"/>
              <w:right w:val="single" w:sz="4" w:space="0" w:color="FFFFFF"/>
            </w:tcBorders>
            <w:vAlign w:val="center"/>
          </w:tcPr>
          <w:p w14:paraId="654E31DA"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506" w:type="dxa"/>
            <w:tcBorders>
              <w:top w:val="single" w:sz="4" w:space="0" w:color="C0C0C0"/>
              <w:left w:val="nil"/>
              <w:bottom w:val="single" w:sz="4" w:space="0" w:color="C0C0C0"/>
              <w:right w:val="single" w:sz="4" w:space="0" w:color="FFFFFF"/>
            </w:tcBorders>
            <w:vAlign w:val="center"/>
          </w:tcPr>
          <w:p w14:paraId="03DB7435"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821, 822</w:t>
            </w:r>
          </w:p>
        </w:tc>
      </w:tr>
      <w:tr w:rsidR="00B8348C" w:rsidRPr="00F52884" w14:paraId="7083874E" w14:textId="77777777" w:rsidTr="00632D41">
        <w:trPr>
          <w:trHeight w:val="42"/>
          <w:jc w:val="center"/>
        </w:trPr>
        <w:tc>
          <w:tcPr>
            <w:tcW w:w="2535" w:type="dxa"/>
            <w:gridSpan w:val="2"/>
            <w:tcBorders>
              <w:top w:val="single" w:sz="4" w:space="0" w:color="C0C0C0"/>
              <w:left w:val="nil"/>
              <w:bottom w:val="single" w:sz="4" w:space="0" w:color="C0C0C0"/>
            </w:tcBorders>
          </w:tcPr>
          <w:p w14:paraId="17BC3916" w14:textId="6EAF899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2AE6BA3D" w14:textId="67CEAE52"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4688A1B5" w14:textId="77777777" w:rsidTr="00632D41">
        <w:trPr>
          <w:trHeight w:val="42"/>
          <w:jc w:val="center"/>
        </w:trPr>
        <w:tc>
          <w:tcPr>
            <w:tcW w:w="1035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0EAB0AE"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3EE2607B" w14:textId="77777777" w:rsidTr="00632D41">
        <w:trPr>
          <w:trHeight w:val="273"/>
          <w:jc w:val="center"/>
        </w:trPr>
        <w:tc>
          <w:tcPr>
            <w:tcW w:w="10357" w:type="dxa"/>
            <w:gridSpan w:val="4"/>
            <w:tcBorders>
              <w:top w:val="single" w:sz="4" w:space="0" w:color="C0C0C0"/>
              <w:left w:val="single" w:sz="4" w:space="0" w:color="C0C0C0"/>
              <w:bottom w:val="single" w:sz="4" w:space="0" w:color="C0C0C0"/>
              <w:right w:val="single" w:sz="4" w:space="0" w:color="C0C0C0"/>
            </w:tcBorders>
          </w:tcPr>
          <w:p w14:paraId="02B073D3" w14:textId="16096BEA" w:rsidR="00B8348C" w:rsidRPr="00F52884" w:rsidRDefault="00B8348C" w:rsidP="000C25A3">
            <w:pPr>
              <w:spacing w:before="60" w:after="60"/>
              <w:rPr>
                <w:rFonts w:eastAsia="Arial" w:cstheme="minorHAnsi"/>
                <w:szCs w:val="23"/>
                <w:lang w:val="fr-FR"/>
              </w:rPr>
            </w:pPr>
            <w:r w:rsidRPr="00F52884">
              <w:rPr>
                <w:rFonts w:eastAsia="Arial" w:cstheme="minorHAnsi"/>
                <w:i/>
                <w:iCs/>
                <w:szCs w:val="23"/>
                <w:lang w:val="fr-CA"/>
              </w:rPr>
              <w:t>Loi de 2002 sur le courtage commercial et immobilier</w:t>
            </w:r>
            <w:r w:rsidRPr="00F52884">
              <w:rPr>
                <w:rFonts w:eastAsia="Arial" w:cstheme="minorHAnsi"/>
                <w:szCs w:val="23"/>
                <w:lang w:val="fr-CA"/>
              </w:rPr>
              <w:t xml:space="preserve">, LO 2002, c 30, annexe C </w:t>
            </w:r>
          </w:p>
          <w:p w14:paraId="46582724" w14:textId="00DDB52D"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Dispositions générales</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567/05, art 24(1) </w:t>
            </w:r>
          </w:p>
        </w:tc>
      </w:tr>
      <w:tr w:rsidR="00B8348C" w:rsidRPr="00F52884" w14:paraId="37EB8F76" w14:textId="77777777" w:rsidTr="00632D41">
        <w:trPr>
          <w:trHeight w:val="49"/>
          <w:jc w:val="center"/>
        </w:trPr>
        <w:tc>
          <w:tcPr>
            <w:tcW w:w="1035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D9C1558"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7C04824E" w14:textId="77777777" w:rsidTr="00632D41">
        <w:trPr>
          <w:trHeight w:val="66"/>
          <w:jc w:val="center"/>
        </w:trPr>
        <w:tc>
          <w:tcPr>
            <w:tcW w:w="10357" w:type="dxa"/>
            <w:gridSpan w:val="4"/>
            <w:tcBorders>
              <w:top w:val="single" w:sz="4" w:space="0" w:color="C0C0C0"/>
              <w:left w:val="single" w:sz="4" w:space="0" w:color="C0C0C0"/>
              <w:bottom w:val="single" w:sz="4" w:space="0" w:color="C0C0C0"/>
              <w:right w:val="single" w:sz="4" w:space="0" w:color="C0C0C0"/>
            </w:tcBorders>
          </w:tcPr>
          <w:p w14:paraId="62EB6813"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En Ontario, les services immobiliers doivent être fournis au moyen d’une présence commerciale dans la province.</w:t>
            </w:r>
          </w:p>
        </w:tc>
      </w:tr>
    </w:tbl>
    <w:p w14:paraId="5407EFA2" w14:textId="77777777" w:rsidR="00B8348C" w:rsidRPr="00F52884" w:rsidRDefault="00B8348C" w:rsidP="000C25A3">
      <w:pPr>
        <w:rPr>
          <w:rFonts w:eastAsia="Arial" w:cstheme="minorHAnsi"/>
          <w:b/>
          <w:szCs w:val="23"/>
          <w:lang w:val="fr-FR"/>
        </w:rPr>
      </w:pPr>
    </w:p>
    <w:p w14:paraId="4F80F916" w14:textId="77777777" w:rsidR="00B8348C" w:rsidRPr="00F52884" w:rsidRDefault="00B8348C" w:rsidP="000C25A3">
      <w:pPr>
        <w:rPr>
          <w:rFonts w:eastAsia="Arial" w:cstheme="minorHAnsi"/>
          <w:b/>
          <w:szCs w:val="23"/>
          <w:lang w:val="fr-FR"/>
        </w:rPr>
      </w:pPr>
    </w:p>
    <w:p w14:paraId="21E095AA" w14:textId="4F9B7F57"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3.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2E840BC5"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3FDA57F9"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366DD4A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Boissons alcoolisées</w:t>
            </w:r>
          </w:p>
        </w:tc>
      </w:tr>
      <w:tr w:rsidR="00B8348C" w:rsidRPr="00F52884" w14:paraId="78A06C63"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1AC45D22"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7A35AFA6"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Produits du vin</w:t>
            </w:r>
          </w:p>
        </w:tc>
      </w:tr>
      <w:tr w:rsidR="00B8348C" w:rsidRPr="00F52884" w14:paraId="1E6429C0"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3D6B002F"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4CF2EC6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242</w:t>
            </w:r>
          </w:p>
        </w:tc>
      </w:tr>
      <w:tr w:rsidR="00B8348C" w:rsidRPr="00F52884" w14:paraId="45CF78A3" w14:textId="77777777" w:rsidTr="00FA2285">
        <w:trPr>
          <w:trHeight w:val="42"/>
          <w:jc w:val="center"/>
        </w:trPr>
        <w:tc>
          <w:tcPr>
            <w:tcW w:w="2520" w:type="dxa"/>
            <w:tcBorders>
              <w:top w:val="single" w:sz="4" w:space="0" w:color="C0C0C0"/>
              <w:left w:val="nil"/>
              <w:bottom w:val="single" w:sz="4" w:space="0" w:color="C0C0C0"/>
            </w:tcBorders>
          </w:tcPr>
          <w:p w14:paraId="03A267AC" w14:textId="547C3BD0"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086FD873"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Article 313 (Prescriptions de résultats)</w:t>
            </w:r>
          </w:p>
        </w:tc>
      </w:tr>
      <w:tr w:rsidR="00B8348C" w:rsidRPr="00F52884" w14:paraId="0336928C"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353DC48"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1A0D017B"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FA0B6E9" w14:textId="2186EF83" w:rsidR="00B8348C" w:rsidRPr="00F52884" w:rsidRDefault="00B8348C" w:rsidP="000C25A3">
            <w:pPr>
              <w:spacing w:before="60" w:after="60"/>
              <w:ind w:left="2880" w:hanging="2880"/>
              <w:rPr>
                <w:rFonts w:eastAsia="Arial" w:cstheme="minorHAnsi"/>
                <w:szCs w:val="23"/>
                <w:lang w:val="fr-CA"/>
              </w:rPr>
            </w:pPr>
            <w:r w:rsidRPr="00F52884">
              <w:rPr>
                <w:rFonts w:eastAsia="Arial" w:cstheme="minorHAnsi"/>
                <w:i/>
                <w:iCs/>
                <w:szCs w:val="23"/>
                <w:lang w:val="fr-CA"/>
              </w:rPr>
              <w:t>Loi de 2000 sur le contenu et l’étiquetage du vin</w:t>
            </w:r>
            <w:r w:rsidRPr="00F52884">
              <w:rPr>
                <w:rFonts w:eastAsia="Arial" w:cstheme="minorHAnsi"/>
                <w:szCs w:val="23"/>
                <w:lang w:val="fr-CA"/>
              </w:rPr>
              <w:t xml:space="preserve">, LO 2000, c 26, annexe P </w:t>
            </w:r>
          </w:p>
          <w:p w14:paraId="3395EF60" w14:textId="59B17C2F"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Contenu du vin</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659/00 </w:t>
            </w:r>
          </w:p>
        </w:tc>
      </w:tr>
      <w:tr w:rsidR="00B8348C" w:rsidRPr="00F52884" w14:paraId="62F66754"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FE89B8"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3553CBDD"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21E6FBBA" w14:textId="08F5F7A9"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lastRenderedPageBreak/>
              <w:t>Un établissement vinicole en Ontario peut vendre du vin fabriqué à partir d’un mélange de produits du raisin importés et canadiens. Chaque bouteille doit être constituée d’au moins 25 pour cent de raisins cultivés en Ontario.</w:t>
            </w:r>
          </w:p>
        </w:tc>
      </w:tr>
    </w:tbl>
    <w:p w14:paraId="6AC0A716" w14:textId="77777777" w:rsidR="00B8348C" w:rsidRPr="00F52884" w:rsidRDefault="00B8348C" w:rsidP="000C25A3">
      <w:pPr>
        <w:rPr>
          <w:rFonts w:eastAsia="Arial" w:cstheme="minorHAnsi"/>
          <w:b/>
          <w:szCs w:val="23"/>
          <w:lang w:val="fr-FR"/>
        </w:rPr>
      </w:pPr>
    </w:p>
    <w:p w14:paraId="7BD6F3F8" w14:textId="77777777" w:rsidR="00B8348C" w:rsidRPr="00F52884" w:rsidRDefault="00B8348C" w:rsidP="000C25A3">
      <w:pPr>
        <w:rPr>
          <w:rFonts w:eastAsia="Arial" w:cstheme="minorHAnsi"/>
          <w:b/>
          <w:szCs w:val="23"/>
          <w:lang w:val="fr-FR"/>
        </w:rPr>
      </w:pPr>
    </w:p>
    <w:p w14:paraId="005A7067" w14:textId="1D4C7BD2"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4.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38CB87EE"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2896C3E9"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3AE686BB"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Services de commerce</w:t>
            </w:r>
          </w:p>
        </w:tc>
      </w:tr>
      <w:tr w:rsidR="00B8348C" w:rsidRPr="00D315AF" w14:paraId="19DB40BB"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732A80B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4097C7DD"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de vente, d’entretien et de réparation de véhicules automobiles</w:t>
            </w:r>
          </w:p>
        </w:tc>
      </w:tr>
      <w:tr w:rsidR="00B8348C" w:rsidRPr="00F52884" w14:paraId="0DBC84BD"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0B4EF87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6F9DA47F"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611, 612</w:t>
            </w:r>
          </w:p>
        </w:tc>
      </w:tr>
      <w:tr w:rsidR="00B8348C" w:rsidRPr="00D315AF" w14:paraId="55CE916D" w14:textId="77777777" w:rsidTr="00FA2285">
        <w:trPr>
          <w:trHeight w:val="42"/>
          <w:jc w:val="center"/>
        </w:trPr>
        <w:tc>
          <w:tcPr>
            <w:tcW w:w="2520" w:type="dxa"/>
            <w:tcBorders>
              <w:top w:val="single" w:sz="4" w:space="0" w:color="C0C0C0"/>
              <w:left w:val="nil"/>
              <w:bottom w:val="single" w:sz="4" w:space="0" w:color="C0C0C0"/>
            </w:tcBorders>
          </w:tcPr>
          <w:p w14:paraId="143D1005" w14:textId="5F2AC70A"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059C3CA1" w14:textId="3BD7DAF2"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Article 201 (Traitement non discriminatoire), article 307 (Accès aux marchés – Services)</w:t>
            </w:r>
          </w:p>
        </w:tc>
      </w:tr>
      <w:tr w:rsidR="00B8348C" w:rsidRPr="00F52884" w14:paraId="5C164204"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0ADF17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6CE0F2A2"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CEF8C29" w14:textId="5413C9B8"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de 2002 sur le commerce des véhicules automobiles</w:t>
            </w:r>
            <w:r w:rsidRPr="00F52884">
              <w:rPr>
                <w:rFonts w:eastAsia="Arial" w:cstheme="minorHAnsi"/>
                <w:szCs w:val="23"/>
                <w:lang w:val="fr-CA"/>
              </w:rPr>
              <w:t>, LO 2002, c 30, annexe B</w:t>
            </w:r>
          </w:p>
        </w:tc>
      </w:tr>
      <w:tr w:rsidR="00B8348C" w:rsidRPr="00F52884" w14:paraId="1BDF09AF"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CC926B8"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F52884" w14:paraId="021B4EC9"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68331D3"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Un commerçant de véhicules automobiles doit être inscrit et mener ses activités uniquement à l’endroit qu’autorise son inscription. L’endroit autorisé doit être situé en Ontario.</w:t>
            </w:r>
          </w:p>
        </w:tc>
      </w:tr>
    </w:tbl>
    <w:p w14:paraId="6CAA3468" w14:textId="77777777" w:rsidR="00B8348C" w:rsidRPr="00F52884" w:rsidRDefault="00B8348C" w:rsidP="000C25A3">
      <w:pPr>
        <w:rPr>
          <w:rFonts w:eastAsia="Arial" w:cstheme="minorHAnsi"/>
          <w:b/>
          <w:szCs w:val="23"/>
        </w:rPr>
      </w:pPr>
    </w:p>
    <w:p w14:paraId="58A96D3F" w14:textId="77777777" w:rsidR="00B8348C" w:rsidRPr="00F52884" w:rsidRDefault="00B8348C" w:rsidP="000C25A3">
      <w:pPr>
        <w:rPr>
          <w:rFonts w:eastAsia="Arial" w:cstheme="minorHAnsi"/>
          <w:b/>
          <w:szCs w:val="23"/>
        </w:rPr>
      </w:pPr>
    </w:p>
    <w:p w14:paraId="76D0F734" w14:textId="50EDDB00"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5.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1E0032B2"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49A8869E"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614137A2"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Tourisme</w:t>
            </w:r>
          </w:p>
        </w:tc>
      </w:tr>
      <w:tr w:rsidR="00B8348C" w:rsidRPr="00D315AF" w14:paraId="15373C4F"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08A59F46"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54DBF447"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d’agences de voyages et d’organisateurs et guides touristiques</w:t>
            </w:r>
          </w:p>
        </w:tc>
      </w:tr>
      <w:tr w:rsidR="00B8348C" w:rsidRPr="00F52884" w14:paraId="392CFBF4"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0311677D"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4DBBD025"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7471</w:t>
            </w:r>
          </w:p>
        </w:tc>
      </w:tr>
      <w:tr w:rsidR="00B8348C" w:rsidRPr="00F52884" w14:paraId="01FF247E" w14:textId="77777777" w:rsidTr="00FA2285">
        <w:trPr>
          <w:trHeight w:val="42"/>
          <w:jc w:val="center"/>
        </w:trPr>
        <w:tc>
          <w:tcPr>
            <w:tcW w:w="2520" w:type="dxa"/>
            <w:tcBorders>
              <w:top w:val="single" w:sz="4" w:space="0" w:color="C0C0C0"/>
              <w:left w:val="nil"/>
              <w:bottom w:val="single" w:sz="4" w:space="0" w:color="C0C0C0"/>
            </w:tcBorders>
          </w:tcPr>
          <w:p w14:paraId="0DCA8853" w14:textId="162E835E"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2DDC92F9" w14:textId="7F7D1BDE"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6D7B719E"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279492"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0AD7068B"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3C29D4E" w14:textId="39E4D0C9" w:rsidR="00B8348C" w:rsidRPr="00F52884" w:rsidRDefault="00B8348C" w:rsidP="000C25A3">
            <w:pPr>
              <w:spacing w:before="60" w:after="60"/>
              <w:ind w:left="2880" w:hanging="2880"/>
              <w:rPr>
                <w:rFonts w:eastAsia="Arial" w:cstheme="minorHAnsi"/>
                <w:szCs w:val="23"/>
                <w:lang w:val="fr-CA"/>
              </w:rPr>
            </w:pPr>
            <w:r w:rsidRPr="00F52884">
              <w:rPr>
                <w:rFonts w:eastAsia="Arial" w:cstheme="minorHAnsi"/>
                <w:i/>
                <w:iCs/>
                <w:szCs w:val="23"/>
                <w:lang w:val="fr-CA"/>
              </w:rPr>
              <w:t>Loi de 2002 sur le secteur du voyage</w:t>
            </w:r>
            <w:r w:rsidRPr="00F52884">
              <w:rPr>
                <w:rFonts w:eastAsia="Arial" w:cstheme="minorHAnsi"/>
                <w:szCs w:val="23"/>
                <w:lang w:val="fr-CA"/>
              </w:rPr>
              <w:t xml:space="preserve">, LO 2002, c 30, annexe D, art 4(1) </w:t>
            </w:r>
          </w:p>
          <w:p w14:paraId="4C198A2F" w14:textId="563A70B2"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Dispositions générales</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26/05, art 10(1)</w:t>
            </w:r>
          </w:p>
        </w:tc>
      </w:tr>
      <w:tr w:rsidR="00B8348C" w:rsidRPr="00F52884" w14:paraId="2BF9AB26"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622B153"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1EC4E4E5"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24279D29"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Les agents de voyages et les voyagistes inscrits en Ontario ne peuvent exploiter leur entreprise que si leur établissement permanent est situé en Ontario.</w:t>
            </w:r>
          </w:p>
        </w:tc>
      </w:tr>
    </w:tbl>
    <w:p w14:paraId="028DE51C" w14:textId="77777777" w:rsidR="00B8348C" w:rsidRPr="00F52884" w:rsidRDefault="00B8348C" w:rsidP="000C25A3">
      <w:pPr>
        <w:rPr>
          <w:rFonts w:eastAsia="Arial" w:cstheme="minorHAnsi"/>
          <w:b/>
          <w:szCs w:val="23"/>
          <w:lang w:val="fr-FR"/>
        </w:rPr>
      </w:pPr>
    </w:p>
    <w:p w14:paraId="189B1454" w14:textId="77777777" w:rsidR="00B8348C" w:rsidRPr="00F52884" w:rsidRDefault="00B8348C" w:rsidP="000C25A3">
      <w:pPr>
        <w:rPr>
          <w:rFonts w:eastAsia="Arial" w:cstheme="minorHAnsi"/>
          <w:b/>
          <w:szCs w:val="23"/>
          <w:lang w:val="fr-FR"/>
        </w:rPr>
      </w:pPr>
    </w:p>
    <w:p w14:paraId="106793FE" w14:textId="17D423D5"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6.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90"/>
        <w:gridCol w:w="7353"/>
        <w:gridCol w:w="379"/>
      </w:tblGrid>
      <w:tr w:rsidR="00B8348C" w:rsidRPr="00F52884" w14:paraId="45C57E37"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0A52799"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3"/>
            <w:tcBorders>
              <w:top w:val="single" w:sz="4" w:space="0" w:color="C0C0C0"/>
              <w:left w:val="nil"/>
              <w:bottom w:val="single" w:sz="4" w:space="0" w:color="C0C0C0"/>
              <w:right w:val="single" w:sz="4" w:space="0" w:color="FFFFFF"/>
            </w:tcBorders>
            <w:vAlign w:val="center"/>
          </w:tcPr>
          <w:p w14:paraId="0AED1EDB"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Boissons alcoolisées</w:t>
            </w:r>
          </w:p>
        </w:tc>
      </w:tr>
      <w:tr w:rsidR="00B8348C" w:rsidRPr="00D315AF" w14:paraId="5F628EAF"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4487E8D6"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lastRenderedPageBreak/>
              <w:t>Sous-secteur :</w:t>
            </w:r>
          </w:p>
        </w:tc>
        <w:tc>
          <w:tcPr>
            <w:tcW w:w="7822" w:type="dxa"/>
            <w:gridSpan w:val="3"/>
            <w:tcBorders>
              <w:top w:val="single" w:sz="4" w:space="0" w:color="C0C0C0"/>
              <w:left w:val="nil"/>
              <w:bottom w:val="single" w:sz="4" w:space="0" w:color="C0C0C0"/>
              <w:right w:val="single" w:sz="4" w:space="0" w:color="FFFFFF"/>
            </w:tcBorders>
            <w:vAlign w:val="center"/>
          </w:tcPr>
          <w:p w14:paraId="2CFC1FF4"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de courtage, services de commerce de gros, services de commerce de détail (spiritueux, vin et bière), magasins de spiritueux, de vin et de bière, fabrication de boissons alcoolisées</w:t>
            </w:r>
          </w:p>
        </w:tc>
      </w:tr>
      <w:tr w:rsidR="00B8348C" w:rsidRPr="00F52884" w14:paraId="3F7EF3AA" w14:textId="77777777" w:rsidTr="00FA2285">
        <w:trPr>
          <w:gridAfter w:val="1"/>
          <w:wAfter w:w="379" w:type="dxa"/>
          <w:trHeight w:val="42"/>
          <w:jc w:val="center"/>
        </w:trPr>
        <w:tc>
          <w:tcPr>
            <w:tcW w:w="2610" w:type="dxa"/>
            <w:gridSpan w:val="2"/>
            <w:tcBorders>
              <w:top w:val="single" w:sz="4" w:space="0" w:color="C0C0C0"/>
              <w:left w:val="nil"/>
              <w:bottom w:val="single" w:sz="4" w:space="0" w:color="C0C0C0"/>
              <w:right w:val="single" w:sz="4" w:space="0" w:color="FFFFFF"/>
            </w:tcBorders>
            <w:vAlign w:val="center"/>
          </w:tcPr>
          <w:p w14:paraId="6308AE82"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353" w:type="dxa"/>
            <w:tcBorders>
              <w:top w:val="single" w:sz="4" w:space="0" w:color="C0C0C0"/>
              <w:left w:val="nil"/>
              <w:bottom w:val="single" w:sz="4" w:space="0" w:color="C0C0C0"/>
              <w:right w:val="single" w:sz="4" w:space="0" w:color="FFFFFF"/>
            </w:tcBorders>
            <w:vAlign w:val="center"/>
          </w:tcPr>
          <w:p w14:paraId="5F1B9062"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24 (autre que 244), 62112, 62226, 63107</w:t>
            </w:r>
          </w:p>
        </w:tc>
      </w:tr>
      <w:tr w:rsidR="00B8348C" w:rsidRPr="00D315AF" w14:paraId="340069C7" w14:textId="77777777" w:rsidTr="00FA2285">
        <w:trPr>
          <w:trHeight w:val="42"/>
          <w:jc w:val="center"/>
        </w:trPr>
        <w:tc>
          <w:tcPr>
            <w:tcW w:w="2520" w:type="dxa"/>
            <w:tcBorders>
              <w:top w:val="single" w:sz="4" w:space="0" w:color="C0C0C0"/>
              <w:left w:val="nil"/>
              <w:bottom w:val="single" w:sz="4" w:space="0" w:color="C0C0C0"/>
            </w:tcBorders>
          </w:tcPr>
          <w:p w14:paraId="0456A876" w14:textId="1B0240FF"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3"/>
            <w:tcBorders>
              <w:top w:val="single" w:sz="4" w:space="0" w:color="C0C0C0"/>
              <w:left w:val="nil"/>
              <w:bottom w:val="single" w:sz="4" w:space="0" w:color="C0C0C0"/>
            </w:tcBorders>
          </w:tcPr>
          <w:p w14:paraId="0B897955"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Article 301 (Droit d’entrée et de sortie), article 307 (Accès aux marchés – Services), article 312 (Accès aux marchés – Investissement)</w:t>
            </w:r>
          </w:p>
        </w:tc>
      </w:tr>
      <w:tr w:rsidR="00B8348C" w:rsidRPr="00F52884" w14:paraId="4517B7DF" w14:textId="77777777" w:rsidTr="00FA2285">
        <w:trPr>
          <w:trHeight w:val="42"/>
          <w:jc w:val="center"/>
        </w:trPr>
        <w:tc>
          <w:tcPr>
            <w:tcW w:w="1034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EE6BE1B"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56DB40BA" w14:textId="77777777" w:rsidTr="00FA2285">
        <w:trPr>
          <w:trHeight w:val="273"/>
          <w:jc w:val="center"/>
        </w:trPr>
        <w:tc>
          <w:tcPr>
            <w:tcW w:w="10342" w:type="dxa"/>
            <w:gridSpan w:val="4"/>
            <w:tcBorders>
              <w:top w:val="single" w:sz="4" w:space="0" w:color="C0C0C0"/>
              <w:left w:val="single" w:sz="4" w:space="0" w:color="C0C0C0"/>
              <w:bottom w:val="single" w:sz="4" w:space="0" w:color="C0C0C0"/>
              <w:right w:val="single" w:sz="4" w:space="0" w:color="C0C0C0"/>
            </w:tcBorders>
          </w:tcPr>
          <w:p w14:paraId="39F5CA57" w14:textId="07B14079"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sur les alcools</w:t>
            </w:r>
            <w:r w:rsidRPr="00F52884">
              <w:rPr>
                <w:rFonts w:eastAsia="Arial" w:cstheme="minorHAnsi"/>
                <w:szCs w:val="23"/>
                <w:lang w:val="fr-CA"/>
              </w:rPr>
              <w:t>, LRO 1990, c L18</w:t>
            </w:r>
          </w:p>
          <w:p w14:paraId="25604DC3" w14:textId="0DF4C59C"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Dispositions Générales</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717/90</w:t>
            </w:r>
          </w:p>
          <w:p w14:paraId="7A9409BA" w14:textId="55CDD590"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de 1996 sur la réglementation des alcools et des jeux et la protection du public</w:t>
            </w:r>
            <w:r w:rsidRPr="00F52884">
              <w:rPr>
                <w:rFonts w:eastAsia="Arial" w:cstheme="minorHAnsi"/>
                <w:szCs w:val="23"/>
                <w:lang w:val="fr-CA"/>
              </w:rPr>
              <w:t xml:space="preserve">, LO 1996, c 26, annexe </w:t>
            </w:r>
          </w:p>
          <w:p w14:paraId="1C46273F" w14:textId="13CE022E"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Attribution des pouvoirs et des fonctions</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141/01</w:t>
            </w:r>
          </w:p>
          <w:p w14:paraId="4A5C6D55" w14:textId="1F648135"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Politiques et pratiques du registrateur de la Commission des alcools et des jeux de l’Ontario</w:t>
            </w:r>
          </w:p>
        </w:tc>
      </w:tr>
      <w:tr w:rsidR="00B8348C" w:rsidRPr="00F52884" w14:paraId="54DFC186" w14:textId="77777777" w:rsidTr="00FA2285">
        <w:trPr>
          <w:trHeight w:val="49"/>
          <w:jc w:val="center"/>
        </w:trPr>
        <w:tc>
          <w:tcPr>
            <w:tcW w:w="1034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4EFA29"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2D1844AE" w14:textId="77777777" w:rsidTr="00FA2285">
        <w:trPr>
          <w:trHeight w:val="66"/>
          <w:jc w:val="center"/>
        </w:trPr>
        <w:tc>
          <w:tcPr>
            <w:tcW w:w="10342" w:type="dxa"/>
            <w:gridSpan w:val="4"/>
            <w:tcBorders>
              <w:top w:val="single" w:sz="4" w:space="0" w:color="C0C0C0"/>
              <w:left w:val="single" w:sz="4" w:space="0" w:color="C0C0C0"/>
              <w:bottom w:val="single" w:sz="4" w:space="0" w:color="C0C0C0"/>
              <w:right w:val="single" w:sz="4" w:space="0" w:color="C0C0C0"/>
            </w:tcBorders>
          </w:tcPr>
          <w:p w14:paraId="27100839" w14:textId="7F3A87BB"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Les mesures susmentionnées permettent à l’Ontario de réglementer et d’autoriser l’importation, l’achat, la production, la distribution, la fourniture, la commercialisation et la vente de boissons alcoolisées en Ontario et de réaliser ces activités, y compris par l’intermédiaire de monopoles provinciaux. Seuls les magasins du gouvernement autorisés peuvent vendre de la bière. La Commission des alcools et des jeux de l’Ontario autorise seulement The Beer Store à vendre de la bière, canadienne ou importée.</w:t>
            </w:r>
          </w:p>
        </w:tc>
      </w:tr>
    </w:tbl>
    <w:p w14:paraId="170F961D" w14:textId="77777777" w:rsidR="00B8348C" w:rsidRPr="00F52884" w:rsidRDefault="00B8348C" w:rsidP="000C25A3">
      <w:pPr>
        <w:rPr>
          <w:rFonts w:eastAsia="Arial" w:cstheme="minorHAnsi"/>
          <w:b/>
          <w:szCs w:val="23"/>
          <w:lang w:val="fr-FR"/>
        </w:rPr>
      </w:pPr>
    </w:p>
    <w:p w14:paraId="4BFE9447" w14:textId="77777777" w:rsidR="00B8348C" w:rsidRPr="00F52884" w:rsidRDefault="00B8348C" w:rsidP="000C25A3">
      <w:pPr>
        <w:rPr>
          <w:rFonts w:eastAsia="Arial" w:cstheme="minorHAnsi"/>
          <w:b/>
          <w:szCs w:val="23"/>
          <w:lang w:val="fr-FR"/>
        </w:rPr>
      </w:pPr>
    </w:p>
    <w:p w14:paraId="008B350C" w14:textId="40ECC855" w:rsidR="00B8348C" w:rsidRPr="00F52884" w:rsidRDefault="00632D41" w:rsidP="000C25A3">
      <w:pPr>
        <w:spacing w:before="60" w:after="60"/>
        <w:ind w:left="-360"/>
        <w:contextualSpacing/>
        <w:rPr>
          <w:rFonts w:eastAsia="Arial" w:cstheme="minorHAnsi"/>
          <w:szCs w:val="23"/>
        </w:rPr>
      </w:pPr>
      <w:r w:rsidRPr="00F52884">
        <w:rPr>
          <w:rFonts w:eastAsia="Arial" w:cstheme="minorHAnsi"/>
          <w:b/>
          <w:bCs/>
          <w:szCs w:val="23"/>
          <w:lang w:val="fr-CA"/>
        </w:rPr>
        <w:t xml:space="preserve">7.  </w:t>
      </w:r>
      <w:r w:rsidR="00B8348C"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2A9D7D51"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77ECB3F"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56483170"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Boissons alcoolisées</w:t>
            </w:r>
          </w:p>
        </w:tc>
      </w:tr>
      <w:tr w:rsidR="00B8348C" w:rsidRPr="00D315AF" w14:paraId="4980869F"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76DD47EA"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221CE4C1"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de courtage, services de commerce de gros, services de commerce de détail (spiritueux, vin et bière; magasins de bière, de vin et de spiritueux), fabrication de boissons alcoolisées.</w:t>
            </w:r>
          </w:p>
        </w:tc>
      </w:tr>
      <w:tr w:rsidR="00B8348C" w:rsidRPr="00F52884" w14:paraId="3F2A090D"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62B958AD"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7B8BD9A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24, 62112, 62226, 63107</w:t>
            </w:r>
          </w:p>
        </w:tc>
      </w:tr>
      <w:tr w:rsidR="00B8348C" w:rsidRPr="00D315AF" w14:paraId="13DF7D02" w14:textId="77777777" w:rsidTr="00FA2285">
        <w:trPr>
          <w:trHeight w:val="42"/>
          <w:jc w:val="center"/>
        </w:trPr>
        <w:tc>
          <w:tcPr>
            <w:tcW w:w="2520" w:type="dxa"/>
            <w:tcBorders>
              <w:top w:val="single" w:sz="4" w:space="0" w:color="C0C0C0"/>
              <w:left w:val="nil"/>
              <w:bottom w:val="single" w:sz="4" w:space="0" w:color="C0C0C0"/>
            </w:tcBorders>
          </w:tcPr>
          <w:p w14:paraId="4AAA1DD9" w14:textId="6328E149"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7B47FDC6" w14:textId="38DD9BFA"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Article 201 (Traitement non discriminatoire), article 307 (Accès aux marchés – Services), article 312 (Accès aux marchés – Investissement)</w:t>
            </w:r>
          </w:p>
        </w:tc>
      </w:tr>
      <w:tr w:rsidR="00B8348C" w:rsidRPr="00F52884" w14:paraId="3B4A6DA6"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CB74B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69FAACF9"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15D3DDE" w14:textId="0E1BC67C"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sur les alcools</w:t>
            </w:r>
            <w:r w:rsidRPr="00F52884">
              <w:rPr>
                <w:rFonts w:eastAsia="Arial" w:cstheme="minorHAnsi"/>
                <w:szCs w:val="23"/>
                <w:lang w:val="fr-CA"/>
              </w:rPr>
              <w:t>, LRO 1990, c L18</w:t>
            </w:r>
            <w:r w:rsidRPr="00F52884">
              <w:rPr>
                <w:rFonts w:eastAsia="Arial" w:cstheme="minorHAnsi"/>
                <w:szCs w:val="23"/>
                <w:lang w:val="fr-CA"/>
              </w:rPr>
              <w:br/>
            </w:r>
            <w:r w:rsidRPr="00F52884">
              <w:rPr>
                <w:rFonts w:eastAsia="Arial" w:cstheme="minorHAnsi"/>
                <w:i/>
                <w:iCs/>
                <w:szCs w:val="23"/>
                <w:lang w:val="fr-CA"/>
              </w:rPr>
              <w:t>Dispositions générales</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717/90</w:t>
            </w:r>
            <w:r w:rsidRPr="00F52884">
              <w:rPr>
                <w:rFonts w:eastAsia="Arial" w:cstheme="minorHAnsi"/>
                <w:szCs w:val="23"/>
                <w:lang w:val="fr-CA"/>
              </w:rPr>
              <w:br/>
            </w:r>
            <w:r w:rsidRPr="00F52884">
              <w:rPr>
                <w:rFonts w:eastAsia="Arial" w:cstheme="minorHAnsi"/>
                <w:i/>
                <w:iCs/>
                <w:szCs w:val="23"/>
                <w:lang w:val="fr-CA"/>
              </w:rPr>
              <w:t>Loi de 1996 sur la réglementation des alcools et des jeux et la protection du public</w:t>
            </w:r>
            <w:r w:rsidRPr="00F52884">
              <w:rPr>
                <w:rFonts w:eastAsia="Arial" w:cstheme="minorHAnsi"/>
                <w:szCs w:val="23"/>
                <w:lang w:val="fr-CA"/>
              </w:rPr>
              <w:t xml:space="preserve">, LO 1996, c 26, annexe </w:t>
            </w:r>
          </w:p>
          <w:p w14:paraId="611B28D7" w14:textId="7028A860" w:rsidR="00B8348C" w:rsidRPr="00F52884" w:rsidRDefault="00B8348C" w:rsidP="00B8348C">
            <w:pPr>
              <w:spacing w:before="60" w:after="60"/>
              <w:rPr>
                <w:rFonts w:eastAsia="Arial" w:cstheme="minorHAnsi"/>
                <w:szCs w:val="23"/>
                <w:lang w:val="fr-FR"/>
              </w:rPr>
            </w:pPr>
            <w:r w:rsidRPr="00F52884">
              <w:rPr>
                <w:rFonts w:eastAsia="Arial" w:cstheme="minorHAnsi"/>
                <w:i/>
                <w:iCs/>
                <w:szCs w:val="23"/>
                <w:lang w:val="fr-CA"/>
              </w:rPr>
              <w:t xml:space="preserve">Attribution des pouvoirs et des fonctions, </w:t>
            </w:r>
            <w:proofErr w:type="spellStart"/>
            <w:r w:rsidRPr="00F52884">
              <w:rPr>
                <w:rFonts w:eastAsia="Arial" w:cstheme="minorHAnsi"/>
                <w:iCs/>
                <w:szCs w:val="23"/>
                <w:lang w:val="fr-CA"/>
              </w:rPr>
              <w:t>Règl</w:t>
            </w:r>
            <w:proofErr w:type="spellEnd"/>
            <w:r w:rsidRPr="00F52884">
              <w:rPr>
                <w:rFonts w:eastAsia="Arial" w:cstheme="minorHAnsi"/>
                <w:iCs/>
                <w:szCs w:val="23"/>
                <w:lang w:val="fr-CA"/>
              </w:rPr>
              <w:t xml:space="preserve"> de l'Ont </w:t>
            </w:r>
            <w:r w:rsidRPr="00F52884">
              <w:rPr>
                <w:rFonts w:eastAsia="Arial" w:cstheme="minorHAnsi"/>
                <w:szCs w:val="23"/>
                <w:lang w:val="fr-CA"/>
              </w:rPr>
              <w:t>141/01</w:t>
            </w:r>
            <w:r w:rsidRPr="00F52884">
              <w:rPr>
                <w:rFonts w:eastAsia="Arial" w:cstheme="minorHAnsi"/>
                <w:szCs w:val="23"/>
                <w:lang w:val="fr-CA"/>
              </w:rPr>
              <w:br/>
              <w:t>Politiques et pratiques du registrateur de la Commission des alcools et des jeux de l’Ontario</w:t>
            </w:r>
          </w:p>
        </w:tc>
      </w:tr>
      <w:tr w:rsidR="00B8348C" w:rsidRPr="00F52884" w14:paraId="0EAA261D"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0CAC9BD" w14:textId="77777777" w:rsidR="00B8348C" w:rsidRPr="00F52884" w:rsidRDefault="00B8348C" w:rsidP="000C25A3">
            <w:pPr>
              <w:spacing w:before="60" w:after="60"/>
              <w:rPr>
                <w:rFonts w:cstheme="minorHAnsi"/>
                <w:b/>
                <w:szCs w:val="23"/>
              </w:rPr>
            </w:pPr>
            <w:r w:rsidRPr="00F52884">
              <w:rPr>
                <w:rFonts w:cstheme="minorHAnsi"/>
                <w:b/>
                <w:bCs/>
                <w:szCs w:val="23"/>
                <w:lang w:val="fr-CA"/>
              </w:rPr>
              <w:lastRenderedPageBreak/>
              <w:t>Description :</w:t>
            </w:r>
          </w:p>
        </w:tc>
      </w:tr>
      <w:tr w:rsidR="00B8348C" w:rsidRPr="00D315AF" w14:paraId="158E0ECE"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084E0D5" w14:textId="6C4D6230" w:rsidR="00B8348C" w:rsidRPr="00F52884" w:rsidRDefault="00B8348C" w:rsidP="000C25A3">
            <w:pPr>
              <w:autoSpaceDE w:val="0"/>
              <w:autoSpaceDN w:val="0"/>
              <w:adjustRightInd w:val="0"/>
              <w:spacing w:before="120" w:after="120"/>
              <w:rPr>
                <w:rFonts w:eastAsia="Arial" w:cstheme="minorHAnsi"/>
                <w:szCs w:val="23"/>
                <w:lang w:val="fr-FR"/>
              </w:rPr>
            </w:pPr>
            <w:r w:rsidRPr="00F52884">
              <w:rPr>
                <w:rFonts w:eastAsia="Arial" w:cstheme="minorHAnsi"/>
                <w:szCs w:val="23"/>
                <w:lang w:val="fr-CA"/>
              </w:rPr>
              <w:t xml:space="preserve">Le registraire des alcools et des jeux autorise les fabricants de vins, de spiritueux et de bières de l’Ontario à exploiter des magasins pour vendre leurs vins, leurs spiritueux et leurs bières, respectivement. </w:t>
            </w:r>
          </w:p>
          <w:p w14:paraId="74B20AFD" w14:textId="77777777" w:rsidR="00B8348C" w:rsidRPr="00F52884" w:rsidRDefault="00B8348C" w:rsidP="000C25A3">
            <w:pPr>
              <w:autoSpaceDE w:val="0"/>
              <w:autoSpaceDN w:val="0"/>
              <w:adjustRightInd w:val="0"/>
              <w:spacing w:before="120" w:after="120"/>
              <w:rPr>
                <w:rFonts w:eastAsia="Arial" w:cstheme="minorHAnsi"/>
                <w:szCs w:val="23"/>
                <w:lang w:val="fr-FR"/>
              </w:rPr>
            </w:pPr>
            <w:r w:rsidRPr="00F52884">
              <w:rPr>
                <w:rFonts w:eastAsia="Arial" w:cstheme="minorHAnsi"/>
                <w:szCs w:val="23"/>
                <w:lang w:val="fr-CA"/>
              </w:rPr>
              <w:t>Les autorités ontariennes compétentes peuvent maintenir une mesure dans les limites de leur juridiction respective, à condition que la mesure soit mise en œuvre d’une manière compatible avec les lois de l’Ontario :</w:t>
            </w:r>
          </w:p>
          <w:p w14:paraId="6D5C9447" w14:textId="77777777" w:rsidR="00B8348C" w:rsidRPr="00F52884" w:rsidRDefault="00B8348C" w:rsidP="00AA05B4">
            <w:pPr>
              <w:numPr>
                <w:ilvl w:val="0"/>
                <w:numId w:val="128"/>
              </w:numPr>
              <w:autoSpaceDE w:val="0"/>
              <w:autoSpaceDN w:val="0"/>
              <w:adjustRightInd w:val="0"/>
              <w:spacing w:before="120" w:after="120"/>
              <w:ind w:left="906" w:hanging="540"/>
              <w:rPr>
                <w:rFonts w:eastAsia="Arial" w:cstheme="minorHAnsi"/>
                <w:szCs w:val="23"/>
                <w:lang w:val="fr-FR"/>
              </w:rPr>
            </w:pPr>
            <w:proofErr w:type="gramStart"/>
            <w:r w:rsidRPr="00F52884">
              <w:rPr>
                <w:rFonts w:eastAsia="Arial" w:cstheme="minorHAnsi"/>
                <w:szCs w:val="23"/>
                <w:lang w:val="fr-CA"/>
              </w:rPr>
              <w:t>limiter</w:t>
            </w:r>
            <w:proofErr w:type="gramEnd"/>
            <w:r w:rsidRPr="00F52884">
              <w:rPr>
                <w:rFonts w:eastAsia="Arial" w:cstheme="minorHAnsi"/>
                <w:szCs w:val="23"/>
                <w:lang w:val="fr-CA"/>
              </w:rPr>
              <w:t xml:space="preserve"> aux spiritueux ou vins fabriqués sur les lieux les ventes effectuées sur place par une distillerie ou un établissement vinicole, à des prix non inférieurs aux prix des mêmes spiritueux ou vins vendus dans des points de vente accessibles aux produits fabriqués hors de l’Ontario; ou</w:t>
            </w:r>
          </w:p>
          <w:p w14:paraId="13B1581D" w14:textId="77777777" w:rsidR="00B8348C" w:rsidRPr="00F52884" w:rsidRDefault="00B8348C" w:rsidP="00AA05B4">
            <w:pPr>
              <w:numPr>
                <w:ilvl w:val="0"/>
                <w:numId w:val="128"/>
              </w:numPr>
              <w:autoSpaceDE w:val="0"/>
              <w:autoSpaceDN w:val="0"/>
              <w:adjustRightInd w:val="0"/>
              <w:spacing w:before="120" w:after="120"/>
              <w:ind w:left="906" w:hanging="540"/>
              <w:rPr>
                <w:rFonts w:eastAsia="Arial" w:cstheme="minorHAnsi"/>
                <w:szCs w:val="23"/>
                <w:lang w:val="fr-FR"/>
              </w:rPr>
            </w:pPr>
            <w:proofErr w:type="gramStart"/>
            <w:r w:rsidRPr="00F52884">
              <w:rPr>
                <w:rFonts w:eastAsia="Arial" w:cstheme="minorHAnsi"/>
                <w:szCs w:val="23"/>
                <w:lang w:val="fr-CA"/>
              </w:rPr>
              <w:t>exiger</w:t>
            </w:r>
            <w:proofErr w:type="gramEnd"/>
            <w:r w:rsidRPr="00F52884">
              <w:rPr>
                <w:rFonts w:eastAsia="Arial" w:cstheme="minorHAnsi"/>
                <w:szCs w:val="23"/>
                <w:lang w:val="fr-CA"/>
              </w:rPr>
              <w:t xml:space="preserve"> des commerces privés de vin hors site en Ontario qu’ils ne vendent que des vins fabriqués dans des établissements vinicoles ontariens. Le nombre de commerces privés de vin hors site en Ontario autorisés à ne vendre que des vins fabriqués dans des établissements vinicoles ontariens ne doit pas dépasser 292 en Ontario.</w:t>
            </w:r>
          </w:p>
        </w:tc>
      </w:tr>
    </w:tbl>
    <w:p w14:paraId="05DAA625" w14:textId="77777777" w:rsidR="00B8348C" w:rsidRPr="00F52884" w:rsidRDefault="00B8348C" w:rsidP="000C25A3">
      <w:pPr>
        <w:rPr>
          <w:rFonts w:eastAsia="Arial" w:cstheme="minorHAnsi"/>
          <w:b/>
          <w:szCs w:val="23"/>
          <w:lang w:val="fr-FR"/>
        </w:rPr>
      </w:pPr>
    </w:p>
    <w:p w14:paraId="30247A7C" w14:textId="77777777" w:rsidR="00B8348C" w:rsidRPr="00F52884" w:rsidRDefault="00B8348C" w:rsidP="000C25A3">
      <w:pPr>
        <w:rPr>
          <w:rFonts w:eastAsia="Arial" w:cstheme="minorHAnsi"/>
          <w:b/>
          <w:szCs w:val="23"/>
          <w:lang w:val="fr-FR"/>
        </w:rPr>
      </w:pPr>
    </w:p>
    <w:p w14:paraId="027BC4DC" w14:textId="32F67F5F" w:rsidR="00B8348C" w:rsidRPr="00F52884" w:rsidRDefault="00B8348C" w:rsidP="000C25A3">
      <w:pPr>
        <w:spacing w:before="60" w:after="60"/>
        <w:ind w:left="-360"/>
        <w:rPr>
          <w:rFonts w:eastAsia="Arial" w:cstheme="minorHAnsi"/>
          <w:szCs w:val="23"/>
        </w:rPr>
      </w:pPr>
      <w:r w:rsidRPr="00F52884">
        <w:rPr>
          <w:rFonts w:eastAsia="Arial" w:cstheme="minorHAnsi"/>
          <w:b/>
          <w:bCs/>
          <w:szCs w:val="23"/>
          <w:lang w:val="fr-CA"/>
        </w:rPr>
        <w:t xml:space="preserve">8.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5F2F09C8"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613BEF4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53578250"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Services des organisations associatives</w:t>
            </w:r>
          </w:p>
        </w:tc>
      </w:tr>
      <w:tr w:rsidR="00B8348C" w:rsidRPr="00D315AF" w14:paraId="006044DA"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2A972BE1"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047B11A3"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de documentation et de certification juridiques</w:t>
            </w:r>
          </w:p>
        </w:tc>
      </w:tr>
      <w:tr w:rsidR="00B8348C" w:rsidRPr="00F52884" w14:paraId="64771E81"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083E203D"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52676AC0"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8613, CPC 95910</w:t>
            </w:r>
          </w:p>
        </w:tc>
      </w:tr>
      <w:tr w:rsidR="00B8348C" w:rsidRPr="00F52884" w14:paraId="21371181" w14:textId="77777777" w:rsidTr="00FA2285">
        <w:trPr>
          <w:trHeight w:val="42"/>
          <w:jc w:val="center"/>
        </w:trPr>
        <w:tc>
          <w:tcPr>
            <w:tcW w:w="2520" w:type="dxa"/>
            <w:tcBorders>
              <w:top w:val="single" w:sz="4" w:space="0" w:color="C0C0C0"/>
              <w:left w:val="nil"/>
              <w:bottom w:val="single" w:sz="4" w:space="0" w:color="C0C0C0"/>
            </w:tcBorders>
          </w:tcPr>
          <w:p w14:paraId="48DA38D1" w14:textId="6FBCC5DE"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76C290B9" w14:textId="6ABCE9D7"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240C0161"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8A744EC"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6BD36879"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7B9DB270" w14:textId="4EAEB4A7"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Loi sur le mariage</w:t>
            </w:r>
            <w:r w:rsidRPr="00F52884">
              <w:rPr>
                <w:rFonts w:eastAsia="Arial" w:cstheme="minorHAnsi"/>
                <w:szCs w:val="23"/>
                <w:lang w:val="fr-CA"/>
              </w:rPr>
              <w:t>, LRO 1990, c M.3, art 11, 20</w:t>
            </w:r>
          </w:p>
        </w:tc>
      </w:tr>
      <w:tr w:rsidR="00B8348C" w:rsidRPr="00F52884" w14:paraId="668C9729"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85BD87A"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3EA05070"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A8FEDBD" w14:textId="77777777" w:rsidR="00B8348C" w:rsidRPr="00F52884" w:rsidRDefault="00B8348C" w:rsidP="000C25A3">
            <w:pPr>
              <w:autoSpaceDE w:val="0"/>
              <w:autoSpaceDN w:val="0"/>
              <w:adjustRightInd w:val="0"/>
              <w:spacing w:before="60" w:after="60"/>
              <w:rPr>
                <w:rFonts w:eastAsia="Arial" w:cstheme="minorHAnsi"/>
                <w:szCs w:val="23"/>
                <w:lang w:val="fr-FR"/>
              </w:rPr>
            </w:pPr>
            <w:r w:rsidRPr="00F52884">
              <w:rPr>
                <w:rFonts w:eastAsia="Arial" w:cstheme="minorHAnsi"/>
                <w:szCs w:val="23"/>
                <w:lang w:val="fr-CA"/>
              </w:rPr>
              <w:t xml:space="preserve">L’Ontario se réserve le droit de restreindre la catégorie de personnes pouvant être autorisées à délivrer des licences de mariage, notamment en fonction du lieu de résidence, et d’exiger qu’une personne inscrite comme étant autorisée par la </w:t>
            </w:r>
            <w:r w:rsidRPr="00F52884">
              <w:rPr>
                <w:rFonts w:eastAsia="Arial" w:cstheme="minorHAnsi"/>
                <w:iCs/>
                <w:szCs w:val="23"/>
                <w:lang w:val="fr-CA"/>
              </w:rPr>
              <w:t>Loi</w:t>
            </w:r>
            <w:r w:rsidRPr="00F52884">
              <w:rPr>
                <w:rFonts w:eastAsia="Arial" w:cstheme="minorHAnsi"/>
                <w:szCs w:val="23"/>
                <w:lang w:val="fr-CA"/>
              </w:rPr>
              <w:t xml:space="preserve"> à célébrer des mariages soit résidente de l’Ontario ou ait la responsabilité d’une paroisse ou d’une charge pastorale située en tout ou en partie en Ontario.</w:t>
            </w:r>
          </w:p>
        </w:tc>
      </w:tr>
    </w:tbl>
    <w:p w14:paraId="273ABE4B" w14:textId="77777777" w:rsidR="00B8348C" w:rsidRPr="00F52884" w:rsidRDefault="00B8348C" w:rsidP="000C25A3">
      <w:pPr>
        <w:rPr>
          <w:rFonts w:eastAsia="Arial" w:cstheme="minorHAnsi"/>
          <w:szCs w:val="23"/>
          <w:lang w:val="fr-FR"/>
        </w:rPr>
      </w:pPr>
    </w:p>
    <w:p w14:paraId="13A3026A" w14:textId="77777777" w:rsidR="00B8348C" w:rsidRPr="00F52884" w:rsidRDefault="00B8348C" w:rsidP="000C25A3">
      <w:pPr>
        <w:rPr>
          <w:rFonts w:eastAsia="Arial" w:cstheme="minorHAnsi"/>
          <w:szCs w:val="23"/>
          <w:lang w:val="fr-FR"/>
        </w:rPr>
      </w:pPr>
    </w:p>
    <w:p w14:paraId="6FA054B4" w14:textId="0A6FEAB5" w:rsidR="00B8348C" w:rsidRPr="00F52884" w:rsidRDefault="00B8348C" w:rsidP="000C25A3">
      <w:pPr>
        <w:spacing w:before="60" w:after="60"/>
        <w:ind w:left="-360"/>
        <w:rPr>
          <w:rFonts w:eastAsia="Arial" w:cstheme="minorHAnsi"/>
          <w:szCs w:val="23"/>
        </w:rPr>
      </w:pPr>
      <w:r w:rsidRPr="00F52884">
        <w:rPr>
          <w:rFonts w:eastAsia="Arial" w:cstheme="minorHAnsi"/>
          <w:b/>
          <w:bCs/>
          <w:szCs w:val="23"/>
          <w:lang w:val="fr-CA"/>
        </w:rPr>
        <w:t xml:space="preserve">9.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4F4A483E"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4DE6011"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121874EC"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Sylviculture</w:t>
            </w:r>
          </w:p>
        </w:tc>
      </w:tr>
      <w:tr w:rsidR="00B8348C" w:rsidRPr="00D315AF" w14:paraId="056C093C" w14:textId="77777777" w:rsidTr="00FA2285">
        <w:trPr>
          <w:trHeight w:val="381"/>
          <w:jc w:val="center"/>
        </w:trPr>
        <w:tc>
          <w:tcPr>
            <w:tcW w:w="2520" w:type="dxa"/>
            <w:tcBorders>
              <w:top w:val="single" w:sz="4" w:space="0" w:color="C0C0C0"/>
              <w:left w:val="nil"/>
              <w:bottom w:val="single" w:sz="4" w:space="0" w:color="C0C0C0"/>
              <w:right w:val="single" w:sz="4" w:space="0" w:color="FFFFFF"/>
            </w:tcBorders>
            <w:vAlign w:val="center"/>
          </w:tcPr>
          <w:p w14:paraId="6FC2497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0B884281" w14:textId="1F5541E3"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 xml:space="preserve">Grumes de bois de conifères, grumes de bois autres que conifères, fabrication de bois et d’articles en bois et en liège, à l’exclusion des </w:t>
            </w:r>
            <w:r w:rsidRPr="00F52884">
              <w:rPr>
                <w:rFonts w:eastAsia="Arial" w:cstheme="minorHAnsi"/>
                <w:szCs w:val="23"/>
                <w:lang w:val="fr-CA"/>
              </w:rPr>
              <w:lastRenderedPageBreak/>
              <w:t>meubles, fabrication d’articles de vannerie et de sparterie, à forfait ou sous contrat</w:t>
            </w:r>
          </w:p>
        </w:tc>
      </w:tr>
      <w:tr w:rsidR="00B8348C" w:rsidRPr="00F52884" w14:paraId="043F11F5"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1CAB0962" w14:textId="77777777" w:rsidR="00B8348C" w:rsidRPr="00F52884" w:rsidRDefault="00B8348C" w:rsidP="000C25A3">
            <w:pPr>
              <w:spacing w:before="60" w:after="60"/>
              <w:rPr>
                <w:rFonts w:eastAsia="Arial" w:cstheme="minorHAnsi"/>
                <w:b/>
                <w:szCs w:val="23"/>
              </w:rPr>
            </w:pPr>
            <w:r w:rsidRPr="00F52884">
              <w:rPr>
                <w:rFonts w:eastAsia="Arial" w:cstheme="minorHAnsi"/>
                <w:b/>
                <w:bCs/>
                <w:szCs w:val="23"/>
                <w:lang w:val="fr-CA"/>
              </w:rPr>
              <w:lastRenderedPageBreak/>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6893AC1F" w14:textId="77777777" w:rsidR="00B8348C" w:rsidRPr="00F52884" w:rsidRDefault="00B8348C" w:rsidP="000C25A3">
            <w:pPr>
              <w:spacing w:before="60" w:after="60"/>
              <w:rPr>
                <w:rFonts w:eastAsia="Arial" w:cstheme="minorHAnsi"/>
                <w:b/>
                <w:szCs w:val="23"/>
              </w:rPr>
            </w:pPr>
            <w:r w:rsidRPr="00F52884">
              <w:rPr>
                <w:rFonts w:eastAsia="Arial" w:cstheme="minorHAnsi"/>
                <w:szCs w:val="23"/>
                <w:lang w:val="fr-CA"/>
              </w:rPr>
              <w:t>CPC 0311, 0312, 8843</w:t>
            </w:r>
          </w:p>
        </w:tc>
      </w:tr>
      <w:tr w:rsidR="00B8348C" w:rsidRPr="00D315AF" w14:paraId="3BEE00F4" w14:textId="77777777" w:rsidTr="00FA2285">
        <w:trPr>
          <w:trHeight w:val="42"/>
          <w:jc w:val="center"/>
        </w:trPr>
        <w:tc>
          <w:tcPr>
            <w:tcW w:w="2520" w:type="dxa"/>
            <w:tcBorders>
              <w:top w:val="single" w:sz="4" w:space="0" w:color="C0C0C0"/>
              <w:left w:val="nil"/>
              <w:bottom w:val="single" w:sz="4" w:space="0" w:color="C0C0C0"/>
            </w:tcBorders>
          </w:tcPr>
          <w:p w14:paraId="02A09EAD" w14:textId="24CD656D"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66F40EF0"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Article 312 (Accès aux marchés – Investissement)</w:t>
            </w:r>
          </w:p>
        </w:tc>
      </w:tr>
      <w:tr w:rsidR="00B8348C" w:rsidRPr="00F52884" w14:paraId="1705B2D7"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A77379"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91EAE66"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0AA9954" w14:textId="0F3A95F8"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de 1994 sur la durabilité des forêts de la Couronne</w:t>
            </w:r>
            <w:r w:rsidRPr="00F52884">
              <w:rPr>
                <w:rFonts w:eastAsia="Arial" w:cstheme="minorHAnsi"/>
                <w:szCs w:val="23"/>
                <w:lang w:val="fr-CA"/>
              </w:rPr>
              <w:t xml:space="preserve">, LO 1994, c 25, art 34 </w:t>
            </w:r>
          </w:p>
          <w:p w14:paraId="3BC90056" w14:textId="5597F6A0" w:rsidR="00B8348C" w:rsidRPr="00F52884" w:rsidRDefault="00B8348C" w:rsidP="000C25A3">
            <w:pPr>
              <w:spacing w:before="60" w:after="60"/>
              <w:rPr>
                <w:rFonts w:eastAsia="Arial" w:cstheme="minorHAnsi"/>
                <w:szCs w:val="23"/>
              </w:rPr>
            </w:pPr>
            <w:r w:rsidRPr="00F52884">
              <w:rPr>
                <w:rFonts w:eastAsia="Arial" w:cstheme="minorHAnsi"/>
                <w:i/>
                <w:iCs/>
                <w:szCs w:val="23"/>
                <w:lang w:val="fr-CA"/>
              </w:rPr>
              <w:t>General</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167/95</w:t>
            </w:r>
          </w:p>
        </w:tc>
      </w:tr>
      <w:tr w:rsidR="00B8348C" w:rsidRPr="00F52884" w14:paraId="5E5170CA"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91539A7"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F52884" w14:paraId="227B3B85"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7560ED44" w14:textId="41DD466B" w:rsidR="00B8348C" w:rsidRPr="00F52884" w:rsidRDefault="00B8348C" w:rsidP="000C25A3">
            <w:pPr>
              <w:autoSpaceDE w:val="0"/>
              <w:autoSpaceDN w:val="0"/>
              <w:adjustRightInd w:val="0"/>
              <w:spacing w:before="60" w:after="60"/>
              <w:rPr>
                <w:rFonts w:eastAsia="Arial" w:cstheme="minorHAnsi"/>
                <w:szCs w:val="23"/>
              </w:rPr>
            </w:pPr>
            <w:r w:rsidRPr="00F52884">
              <w:rPr>
                <w:rFonts w:eastAsia="Arial" w:cstheme="minorHAnsi"/>
                <w:szCs w:val="23"/>
                <w:lang w:val="fr-CA"/>
              </w:rPr>
              <w:t xml:space="preserve">Les permis forestiers autorisant la récolte d’arbres sur les terres de la Couronne sont délivrés pour des portions de terres </w:t>
            </w:r>
            <w:r w:rsidR="000954E6" w:rsidRPr="00F52884">
              <w:rPr>
                <w:rFonts w:eastAsia="Arial" w:cstheme="minorHAnsi"/>
                <w:szCs w:val="23"/>
                <w:lang w:val="fr-CA"/>
              </w:rPr>
              <w:t>spécifiques</w:t>
            </w:r>
            <w:r w:rsidRPr="00F52884">
              <w:rPr>
                <w:rFonts w:eastAsia="Arial" w:cstheme="minorHAnsi"/>
                <w:szCs w:val="23"/>
                <w:lang w:val="fr-CA"/>
              </w:rPr>
              <w:t>. Par conséquent, le nombre de permis délivrés est limité.</w:t>
            </w:r>
          </w:p>
        </w:tc>
      </w:tr>
    </w:tbl>
    <w:p w14:paraId="6CA733DB" w14:textId="77777777" w:rsidR="00B8348C" w:rsidRPr="00F52884" w:rsidRDefault="00B8348C" w:rsidP="000C25A3">
      <w:pPr>
        <w:rPr>
          <w:rFonts w:eastAsia="Arial" w:cstheme="minorHAnsi"/>
          <w:szCs w:val="23"/>
        </w:rPr>
      </w:pPr>
    </w:p>
    <w:p w14:paraId="657D50E4" w14:textId="77777777" w:rsidR="00B8348C" w:rsidRPr="00F52884" w:rsidRDefault="00B8348C" w:rsidP="000C25A3">
      <w:pPr>
        <w:rPr>
          <w:rFonts w:eastAsia="Arial" w:cstheme="minorHAnsi"/>
          <w:szCs w:val="23"/>
        </w:rPr>
      </w:pPr>
    </w:p>
    <w:p w14:paraId="1395303E" w14:textId="2DFC0C40"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10.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7AE0858E"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5D688633"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0DF13DE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Agriculture</w:t>
            </w:r>
          </w:p>
        </w:tc>
      </w:tr>
      <w:tr w:rsidR="00B8348C" w:rsidRPr="00D315AF" w14:paraId="24DB15A8"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12709319"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03C7D8F6"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Produits de l’agriculture; services annexes à l’agriculture</w:t>
            </w:r>
          </w:p>
        </w:tc>
      </w:tr>
      <w:tr w:rsidR="00B8348C" w:rsidRPr="00D315AF" w14:paraId="4B5EBA7E" w14:textId="77777777" w:rsidTr="00FA228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03DAA208"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7586B1C5"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CPC 01, 8811 (sauf la location d’équipement agricole, avec opérateur)</w:t>
            </w:r>
          </w:p>
        </w:tc>
      </w:tr>
      <w:tr w:rsidR="00B8348C" w:rsidRPr="00F52884" w14:paraId="19C129A5" w14:textId="77777777" w:rsidTr="00FA2285">
        <w:trPr>
          <w:trHeight w:val="42"/>
          <w:jc w:val="center"/>
        </w:trPr>
        <w:tc>
          <w:tcPr>
            <w:tcW w:w="2430" w:type="dxa"/>
            <w:tcBorders>
              <w:top w:val="single" w:sz="4" w:space="0" w:color="C0C0C0"/>
              <w:left w:val="nil"/>
              <w:bottom w:val="single" w:sz="4" w:space="0" w:color="C0C0C0"/>
            </w:tcBorders>
          </w:tcPr>
          <w:p w14:paraId="0C254B38" w14:textId="60E35F18"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0DC355D9" w14:textId="58EA2616"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7307EB10"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267612E"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368027C9"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1D1BE59" w14:textId="79836C92" w:rsidR="00B8348C" w:rsidRPr="00F52884" w:rsidRDefault="00B8348C" w:rsidP="00B8348C">
            <w:pPr>
              <w:spacing w:before="60" w:after="60"/>
              <w:rPr>
                <w:rFonts w:eastAsia="Arial" w:cstheme="minorHAnsi"/>
                <w:i/>
                <w:iCs/>
                <w:szCs w:val="23"/>
                <w:lang w:val="fr-CA"/>
              </w:rPr>
            </w:pPr>
            <w:r w:rsidRPr="00F52884">
              <w:rPr>
                <w:rFonts w:eastAsia="Arial" w:cstheme="minorHAnsi"/>
                <w:i/>
                <w:iCs/>
                <w:szCs w:val="23"/>
                <w:lang w:val="fr-CA"/>
              </w:rPr>
              <w:t xml:space="preserve">Loi sur la moisson du riz sauvage, </w:t>
            </w:r>
            <w:r w:rsidRPr="00F52884">
              <w:rPr>
                <w:rFonts w:eastAsia="Arial" w:cstheme="minorHAnsi"/>
                <w:iCs/>
                <w:szCs w:val="23"/>
                <w:lang w:val="fr-CA"/>
              </w:rPr>
              <w:t>LRO</w:t>
            </w:r>
            <w:r w:rsidRPr="00F52884">
              <w:rPr>
                <w:rFonts w:eastAsia="Arial" w:cstheme="minorHAnsi"/>
                <w:szCs w:val="23"/>
                <w:lang w:val="fr-CA"/>
              </w:rPr>
              <w:t xml:space="preserve"> 1990, c W.7, art 1, 3(2)</w:t>
            </w:r>
          </w:p>
        </w:tc>
      </w:tr>
      <w:tr w:rsidR="00B8348C" w:rsidRPr="00F52884" w14:paraId="5A822669" w14:textId="77777777" w:rsidTr="00FA228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D83207C"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37AD95A5"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E08839A" w14:textId="77777777" w:rsidR="00B8348C" w:rsidRPr="00F52884" w:rsidRDefault="00B8348C" w:rsidP="000C25A3">
            <w:pPr>
              <w:autoSpaceDE w:val="0"/>
              <w:autoSpaceDN w:val="0"/>
              <w:adjustRightInd w:val="0"/>
              <w:spacing w:before="60" w:after="60"/>
              <w:contextualSpacing/>
              <w:rPr>
                <w:rFonts w:eastAsia="Arial" w:cstheme="minorHAnsi"/>
                <w:szCs w:val="23"/>
                <w:lang w:val="fr-FR"/>
              </w:rPr>
            </w:pPr>
            <w:r w:rsidRPr="00F52884">
              <w:rPr>
                <w:rFonts w:eastAsia="Arial" w:cstheme="minorHAnsi"/>
                <w:szCs w:val="23"/>
                <w:lang w:val="fr-CA"/>
              </w:rPr>
              <w:t>Une personne souhaitant récolter du riz sauvage sur les terres de la Couronne doit obtenir un permis. Seules les personnes ayant résidé en Ontario pendant 12 mois consécutifs immédiatement avant la présentation de leur demande peuvent obtenir un permis.</w:t>
            </w:r>
          </w:p>
        </w:tc>
      </w:tr>
    </w:tbl>
    <w:p w14:paraId="1952A799" w14:textId="77777777" w:rsidR="00B8348C" w:rsidRPr="00F52884" w:rsidRDefault="00B8348C" w:rsidP="000C25A3">
      <w:pPr>
        <w:rPr>
          <w:rFonts w:eastAsia="Arial" w:cstheme="minorHAnsi"/>
          <w:szCs w:val="23"/>
          <w:lang w:val="fr-FR"/>
        </w:rPr>
      </w:pPr>
    </w:p>
    <w:p w14:paraId="12F44518" w14:textId="77777777" w:rsidR="00B8348C" w:rsidRPr="00F52884" w:rsidRDefault="00B8348C" w:rsidP="000C25A3">
      <w:pPr>
        <w:rPr>
          <w:rFonts w:eastAsia="Arial" w:cstheme="minorHAnsi"/>
          <w:szCs w:val="23"/>
          <w:lang w:val="fr-FR"/>
        </w:rPr>
      </w:pPr>
    </w:p>
    <w:p w14:paraId="0CC14677" w14:textId="1DBE8FB9"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 xml:space="preserve">11.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383AB3A2"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6DB8EAB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6A11641E"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Services fournis aux entreprises</w:t>
            </w:r>
          </w:p>
        </w:tc>
      </w:tr>
      <w:tr w:rsidR="00B8348C" w:rsidRPr="00D315AF" w14:paraId="317A15F3"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3F0A146F"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00BEC437"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annexes à la chasse</w:t>
            </w:r>
          </w:p>
        </w:tc>
      </w:tr>
      <w:tr w:rsidR="00B8348C" w:rsidRPr="00F52884" w14:paraId="6D46C10F" w14:textId="77777777" w:rsidTr="00FA228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33A8C5F3"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6CBEC2DE"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8813</w:t>
            </w:r>
          </w:p>
        </w:tc>
      </w:tr>
      <w:tr w:rsidR="00B8348C" w:rsidRPr="00F52884" w14:paraId="0A0F028D" w14:textId="77777777" w:rsidTr="00FA2285">
        <w:trPr>
          <w:trHeight w:val="42"/>
          <w:jc w:val="center"/>
        </w:trPr>
        <w:tc>
          <w:tcPr>
            <w:tcW w:w="2430" w:type="dxa"/>
            <w:tcBorders>
              <w:top w:val="single" w:sz="4" w:space="0" w:color="C0C0C0"/>
              <w:left w:val="nil"/>
              <w:bottom w:val="single" w:sz="4" w:space="0" w:color="C0C0C0"/>
            </w:tcBorders>
          </w:tcPr>
          <w:p w14:paraId="4E694F2A" w14:textId="4569D39E"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390EDBB2" w14:textId="72830CFE"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733505D2"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CE18840"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12BE59FA"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42D2BD2" w14:textId="355BDAE8"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de 1997 sur la protection du poisson et de la faune</w:t>
            </w:r>
            <w:r w:rsidRPr="00F52884">
              <w:rPr>
                <w:rFonts w:eastAsia="Arial" w:cstheme="minorHAnsi"/>
                <w:szCs w:val="23"/>
                <w:lang w:val="fr-CA"/>
              </w:rPr>
              <w:t xml:space="preserve">, LO 1997, c 41, art 1(1) </w:t>
            </w:r>
          </w:p>
          <w:p w14:paraId="63F6EBBB" w14:textId="3D72FDC1" w:rsidR="00B8348C" w:rsidRPr="00F52884" w:rsidRDefault="00B8348C" w:rsidP="00B8348C">
            <w:pPr>
              <w:spacing w:before="60" w:after="60"/>
              <w:rPr>
                <w:rFonts w:eastAsia="Arial" w:cstheme="minorHAnsi"/>
                <w:szCs w:val="23"/>
                <w:lang w:val="fr-CA"/>
              </w:rPr>
            </w:pPr>
            <w:proofErr w:type="spellStart"/>
            <w:r w:rsidRPr="00F52884">
              <w:rPr>
                <w:rFonts w:eastAsia="Arial" w:cstheme="minorHAnsi"/>
                <w:i/>
                <w:iCs/>
                <w:szCs w:val="23"/>
                <w:lang w:val="fr-CA"/>
              </w:rPr>
              <w:t>Trapping</w:t>
            </w:r>
            <w:proofErr w:type="spellEnd"/>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667/98, art 11(1)</w:t>
            </w:r>
          </w:p>
        </w:tc>
      </w:tr>
      <w:tr w:rsidR="00B8348C" w:rsidRPr="00F52884" w14:paraId="131E2AA6" w14:textId="77777777" w:rsidTr="00FA228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B8E74A8" w14:textId="77777777" w:rsidR="00B8348C" w:rsidRPr="00F52884" w:rsidRDefault="00B8348C" w:rsidP="000C25A3">
            <w:pPr>
              <w:spacing w:before="60" w:after="60"/>
              <w:rPr>
                <w:rFonts w:cstheme="minorHAnsi"/>
                <w:b/>
                <w:szCs w:val="23"/>
              </w:rPr>
            </w:pPr>
            <w:r w:rsidRPr="00F52884">
              <w:rPr>
                <w:rFonts w:cstheme="minorHAnsi"/>
                <w:b/>
                <w:bCs/>
                <w:szCs w:val="23"/>
                <w:lang w:val="fr-CA"/>
              </w:rPr>
              <w:lastRenderedPageBreak/>
              <w:t>Description :</w:t>
            </w:r>
          </w:p>
        </w:tc>
      </w:tr>
      <w:tr w:rsidR="00B8348C" w:rsidRPr="00D315AF" w14:paraId="2AB89B4B"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756DF13" w14:textId="2B131EBC"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 xml:space="preserve">Seul un citoyen canadien ou un résident de l’Ontario peut obtenir un permis pour chasser ou piéger des animaux à fourrure. Un résident s’entend </w:t>
            </w:r>
            <w:r w:rsidRPr="00F52884">
              <w:rPr>
                <w:rFonts w:eastAsia="Arial" w:cstheme="minorHAnsi"/>
                <w:szCs w:val="23"/>
                <w:shd w:val="clear" w:color="auto" w:fill="FFFFFF"/>
                <w:lang w:val="fr-CA"/>
              </w:rPr>
              <w:t xml:space="preserve">d’une personne qui réside principalement en Ontario et qui y a effectivement résidé pendant une période d’au moins six mois au cours des 12 mois qui précèdent le jour où sa résidence devient pertinente aux termes de la </w:t>
            </w:r>
            <w:r w:rsidRPr="00F52884">
              <w:rPr>
                <w:rFonts w:eastAsia="Arial" w:cstheme="minorHAnsi"/>
                <w:iCs/>
                <w:szCs w:val="23"/>
                <w:shd w:val="clear" w:color="auto" w:fill="FFFFFF"/>
                <w:lang w:val="fr-CA"/>
              </w:rPr>
              <w:t>Loi</w:t>
            </w:r>
            <w:r w:rsidRPr="00F52884">
              <w:rPr>
                <w:rFonts w:eastAsia="Arial" w:cstheme="minorHAnsi"/>
                <w:szCs w:val="23"/>
                <w:shd w:val="clear" w:color="auto" w:fill="FFFFFF"/>
                <w:lang w:val="fr-CA"/>
              </w:rPr>
              <w:t xml:space="preserve">. </w:t>
            </w:r>
          </w:p>
        </w:tc>
      </w:tr>
    </w:tbl>
    <w:p w14:paraId="072A595A" w14:textId="77777777" w:rsidR="00B8348C" w:rsidRPr="00F52884" w:rsidRDefault="00B8348C" w:rsidP="000C25A3">
      <w:pPr>
        <w:rPr>
          <w:rFonts w:eastAsia="Arial" w:cstheme="minorHAnsi"/>
          <w:szCs w:val="23"/>
          <w:lang w:val="fr-FR"/>
        </w:rPr>
      </w:pPr>
    </w:p>
    <w:p w14:paraId="7EB281A5" w14:textId="77777777" w:rsidR="00B8348C" w:rsidRPr="00F52884" w:rsidRDefault="00B8348C" w:rsidP="000C25A3">
      <w:pPr>
        <w:rPr>
          <w:rFonts w:eastAsia="Arial" w:cstheme="minorHAnsi"/>
          <w:szCs w:val="23"/>
          <w:lang w:val="fr-FR"/>
        </w:rPr>
      </w:pPr>
    </w:p>
    <w:p w14:paraId="2124A0BD" w14:textId="66B509E8"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1</w:t>
      </w:r>
      <w:r w:rsidR="00B01C75">
        <w:rPr>
          <w:rFonts w:eastAsia="Arial" w:cstheme="minorHAnsi"/>
          <w:b/>
          <w:bCs/>
          <w:szCs w:val="23"/>
          <w:lang w:val="fr-CA"/>
        </w:rPr>
        <w:t>2</w:t>
      </w:r>
      <w:r w:rsidRPr="00F52884">
        <w:rPr>
          <w:rFonts w:eastAsia="Arial" w:cstheme="minorHAnsi"/>
          <w:b/>
          <w:bCs/>
          <w:szCs w:val="23"/>
          <w:lang w:val="fr-CA"/>
        </w:rPr>
        <w:t>.</w:t>
      </w:r>
      <w:r w:rsidR="00632D41" w:rsidRPr="00F52884">
        <w:rPr>
          <w:rFonts w:eastAsia="Arial" w:cstheme="minorHAnsi"/>
          <w:b/>
          <w:bCs/>
          <w:szCs w:val="23"/>
          <w:lang w:val="fr-CA"/>
        </w:rPr>
        <w:t xml:space="preserve"> </w:t>
      </w:r>
      <w:r w:rsidRPr="00F52884">
        <w:rPr>
          <w:rFonts w:eastAsia="Arial" w:cstheme="minorHAnsi"/>
          <w:b/>
          <w:bCs/>
          <w:szCs w:val="23"/>
          <w:lang w:val="fr-CA"/>
        </w:rPr>
        <w:t xml:space="preserve"> 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D315AF" w14:paraId="75E69B2A"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153727A3"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7FF85BCC"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récréatifs, culturels et sportifs</w:t>
            </w:r>
          </w:p>
        </w:tc>
      </w:tr>
      <w:tr w:rsidR="00B8348C" w:rsidRPr="00D315AF" w14:paraId="667C7B4C"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2ADB966A"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45263999"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sportifs et services annexes à la chasse</w:t>
            </w:r>
          </w:p>
        </w:tc>
      </w:tr>
      <w:tr w:rsidR="00B8348C" w:rsidRPr="00F52884" w14:paraId="035B56AC" w14:textId="77777777" w:rsidTr="00FA228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092EED8"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2FE1C550"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9641, 8813</w:t>
            </w:r>
          </w:p>
        </w:tc>
      </w:tr>
      <w:tr w:rsidR="00B8348C" w:rsidRPr="00F52884" w14:paraId="50F7AC7A" w14:textId="77777777" w:rsidTr="00FA2285">
        <w:trPr>
          <w:trHeight w:val="42"/>
          <w:jc w:val="center"/>
        </w:trPr>
        <w:tc>
          <w:tcPr>
            <w:tcW w:w="2430" w:type="dxa"/>
            <w:tcBorders>
              <w:top w:val="single" w:sz="4" w:space="0" w:color="C0C0C0"/>
              <w:left w:val="nil"/>
              <w:bottom w:val="single" w:sz="4" w:space="0" w:color="C0C0C0"/>
            </w:tcBorders>
          </w:tcPr>
          <w:p w14:paraId="6218B855" w14:textId="178EED43"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69648964" w14:textId="6AC4E353"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536AAD61"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8A0946B"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5F0A8F33"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E8A3A48" w14:textId="1D62617B"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de 1997 sur la protection du poisson et de la faune</w:t>
            </w:r>
            <w:r w:rsidRPr="00F52884">
              <w:rPr>
                <w:rFonts w:eastAsia="Arial" w:cstheme="minorHAnsi"/>
                <w:szCs w:val="23"/>
                <w:lang w:val="fr-CA"/>
              </w:rPr>
              <w:t xml:space="preserve">, LO 1997, c 41, art 1(1) </w:t>
            </w:r>
          </w:p>
          <w:p w14:paraId="57EAA00A" w14:textId="283DCE93" w:rsidR="00B8348C" w:rsidRPr="00F52884" w:rsidRDefault="00B8348C" w:rsidP="000C25A3">
            <w:pPr>
              <w:spacing w:before="60" w:after="60"/>
              <w:rPr>
                <w:rFonts w:eastAsia="Arial" w:cstheme="minorHAnsi"/>
                <w:szCs w:val="23"/>
              </w:rPr>
            </w:pPr>
            <w:r w:rsidRPr="00F52884">
              <w:rPr>
                <w:rFonts w:eastAsia="Arial" w:cstheme="minorHAnsi"/>
                <w:i/>
                <w:iCs/>
                <w:szCs w:val="23"/>
                <w:lang w:val="en-US"/>
              </w:rPr>
              <w:t>Hunting</w:t>
            </w:r>
            <w:r w:rsidRPr="00F52884">
              <w:rPr>
                <w:rFonts w:eastAsia="Arial" w:cstheme="minorHAnsi"/>
                <w:szCs w:val="23"/>
                <w:lang w:val="en-US"/>
              </w:rPr>
              <w:t xml:space="preserve">, </w:t>
            </w:r>
            <w:proofErr w:type="spellStart"/>
            <w:r w:rsidRPr="00F52884">
              <w:rPr>
                <w:rFonts w:eastAsia="Arial" w:cstheme="minorHAnsi"/>
                <w:szCs w:val="23"/>
                <w:lang w:val="en-US"/>
              </w:rPr>
              <w:t>Règl</w:t>
            </w:r>
            <w:proofErr w:type="spellEnd"/>
            <w:r w:rsidRPr="00F52884">
              <w:rPr>
                <w:rFonts w:eastAsia="Arial" w:cstheme="minorHAnsi"/>
                <w:szCs w:val="23"/>
                <w:lang w:val="en-US"/>
              </w:rPr>
              <w:t xml:space="preserve"> de </w:t>
            </w:r>
            <w:proofErr w:type="spellStart"/>
            <w:r w:rsidRPr="00F52884">
              <w:rPr>
                <w:rFonts w:eastAsia="Arial" w:cstheme="minorHAnsi"/>
                <w:szCs w:val="23"/>
                <w:lang w:val="en-US"/>
              </w:rPr>
              <w:t>l'Ont</w:t>
            </w:r>
            <w:proofErr w:type="spellEnd"/>
            <w:r w:rsidRPr="00F52884">
              <w:rPr>
                <w:rFonts w:eastAsia="Arial" w:cstheme="minorHAnsi"/>
                <w:szCs w:val="23"/>
                <w:lang w:val="en-US"/>
              </w:rPr>
              <w:t xml:space="preserve"> 665/98, art 12</w:t>
            </w:r>
            <w:r w:rsidRPr="00F52884">
              <w:rPr>
                <w:rFonts w:eastAsia="Arial" w:cstheme="minorHAnsi"/>
                <w:szCs w:val="23"/>
                <w:lang w:val="en-US"/>
              </w:rPr>
              <w:br/>
              <w:t>Ontario Hunter Education Program Standards, Wildlife Policy Section, 2006</w:t>
            </w:r>
          </w:p>
        </w:tc>
      </w:tr>
      <w:tr w:rsidR="00B8348C" w:rsidRPr="00F52884" w14:paraId="1AC7362C" w14:textId="77777777" w:rsidTr="00FA2285">
        <w:trPr>
          <w:trHeight w:val="183"/>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3248320"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3495227E"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6775FDC3" w14:textId="11D5008A"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 xml:space="preserve">Seuls les résidents de l’Ontario peuvent être désignés pour donner des cours sur la sécurité des chasseurs. Un résident s’entend </w:t>
            </w:r>
            <w:r w:rsidRPr="00F52884">
              <w:rPr>
                <w:rFonts w:eastAsia="Arial" w:cstheme="minorHAnsi"/>
                <w:szCs w:val="23"/>
                <w:shd w:val="clear" w:color="auto" w:fill="FFFFFF"/>
                <w:lang w:val="fr-CA"/>
              </w:rPr>
              <w:t xml:space="preserve">d’une personne qui réside principalement en Ontario et qui y a effectivement résidé pendant une période d’au moins six mois au cours des 12 mois qui précèdent le jour où sa résidence devient pertinente aux termes de la </w:t>
            </w:r>
            <w:r w:rsidRPr="00F52884">
              <w:rPr>
                <w:rFonts w:eastAsia="Arial" w:cstheme="minorHAnsi"/>
                <w:iCs/>
                <w:szCs w:val="23"/>
                <w:shd w:val="clear" w:color="auto" w:fill="FFFFFF"/>
                <w:lang w:val="fr-CA"/>
              </w:rPr>
              <w:t>Loi</w:t>
            </w:r>
            <w:r w:rsidRPr="00F52884">
              <w:rPr>
                <w:rFonts w:eastAsia="Arial" w:cstheme="minorHAnsi"/>
                <w:szCs w:val="23"/>
                <w:shd w:val="clear" w:color="auto" w:fill="FFFFFF"/>
                <w:lang w:val="fr-CA"/>
              </w:rPr>
              <w:t xml:space="preserve">. </w:t>
            </w:r>
          </w:p>
        </w:tc>
      </w:tr>
    </w:tbl>
    <w:p w14:paraId="585910E4" w14:textId="77777777" w:rsidR="00B8348C" w:rsidRPr="00F52884" w:rsidRDefault="00B8348C" w:rsidP="000C25A3">
      <w:pPr>
        <w:rPr>
          <w:rFonts w:eastAsia="Arial" w:cstheme="minorHAnsi"/>
          <w:szCs w:val="23"/>
          <w:lang w:val="fr-FR"/>
        </w:rPr>
      </w:pPr>
    </w:p>
    <w:p w14:paraId="6BE9E1DA" w14:textId="77777777" w:rsidR="00B8348C" w:rsidRPr="00F52884" w:rsidRDefault="00B8348C" w:rsidP="000C25A3">
      <w:pPr>
        <w:rPr>
          <w:rFonts w:eastAsia="Arial" w:cstheme="minorHAnsi"/>
          <w:szCs w:val="23"/>
          <w:lang w:val="fr-FR"/>
        </w:rPr>
      </w:pPr>
    </w:p>
    <w:p w14:paraId="068A5F09" w14:textId="15662B34"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1</w:t>
      </w:r>
      <w:r w:rsidR="00B01C75">
        <w:rPr>
          <w:rFonts w:eastAsia="Arial" w:cstheme="minorHAnsi"/>
          <w:b/>
          <w:bCs/>
          <w:szCs w:val="23"/>
          <w:lang w:val="fr-CA"/>
        </w:rPr>
        <w:t>3</w:t>
      </w:r>
      <w:r w:rsidRPr="00F52884">
        <w:rPr>
          <w:rFonts w:eastAsia="Arial" w:cstheme="minorHAnsi"/>
          <w:b/>
          <w:bCs/>
          <w:szCs w:val="23"/>
          <w:lang w:val="fr-CA"/>
        </w:rPr>
        <w:t xml:space="preserve">.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162" w:type="dxa"/>
        <w:jc w:val="center"/>
        <w:tblCellMar>
          <w:top w:w="14" w:type="dxa"/>
          <w:left w:w="86" w:type="dxa"/>
          <w:bottom w:w="14" w:type="dxa"/>
          <w:right w:w="86" w:type="dxa"/>
        </w:tblCellMar>
        <w:tblLook w:val="0000" w:firstRow="0" w:lastRow="0" w:firstColumn="0" w:lastColumn="0" w:noHBand="0" w:noVBand="0"/>
      </w:tblPr>
      <w:tblGrid>
        <w:gridCol w:w="2340"/>
        <w:gridCol w:w="7443"/>
        <w:gridCol w:w="379"/>
      </w:tblGrid>
      <w:tr w:rsidR="00B8348C" w:rsidRPr="00F52884" w14:paraId="2CCCA008"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056C930C" w14:textId="77777777" w:rsidR="00B8348C" w:rsidRPr="00F52884" w:rsidRDefault="00B8348C" w:rsidP="000C25A3">
            <w:pPr>
              <w:spacing w:before="60" w:after="60"/>
              <w:ind w:left="-45"/>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3151DE5F" w14:textId="77777777" w:rsidR="00B8348C" w:rsidRPr="00F52884" w:rsidRDefault="00B8348C" w:rsidP="000C25A3">
            <w:pPr>
              <w:spacing w:before="60" w:after="60"/>
              <w:ind w:left="-45"/>
              <w:rPr>
                <w:rFonts w:eastAsia="Arial" w:cstheme="minorHAnsi"/>
                <w:szCs w:val="23"/>
              </w:rPr>
            </w:pPr>
            <w:r w:rsidRPr="00F52884">
              <w:rPr>
                <w:rFonts w:eastAsia="Arial" w:cstheme="minorHAnsi"/>
                <w:szCs w:val="23"/>
                <w:lang w:val="fr-CA"/>
              </w:rPr>
              <w:t>Services fournis aux entreprises</w:t>
            </w:r>
          </w:p>
        </w:tc>
      </w:tr>
      <w:tr w:rsidR="00B8348C" w:rsidRPr="00D315AF" w14:paraId="40D2CCB6" w14:textId="77777777" w:rsidTr="000C25A3">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41240B41" w14:textId="77777777" w:rsidR="00B8348C" w:rsidRPr="00F52884" w:rsidRDefault="00B8348C" w:rsidP="000C25A3">
            <w:pPr>
              <w:spacing w:before="60" w:after="60"/>
              <w:ind w:left="-45"/>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1ED086DF" w14:textId="77777777" w:rsidR="00B8348C" w:rsidRPr="00F52884" w:rsidRDefault="00B8348C" w:rsidP="000C25A3">
            <w:pPr>
              <w:spacing w:before="60" w:after="60"/>
              <w:ind w:left="-45"/>
              <w:rPr>
                <w:rFonts w:eastAsia="Arial" w:cstheme="minorHAnsi"/>
                <w:szCs w:val="23"/>
                <w:lang w:val="fr-FR"/>
              </w:rPr>
            </w:pPr>
            <w:r w:rsidRPr="00F52884">
              <w:rPr>
                <w:rFonts w:eastAsia="Arial" w:cstheme="minorHAnsi"/>
                <w:szCs w:val="23"/>
                <w:lang w:val="fr-CA"/>
              </w:rPr>
              <w:t>Services annexes à la chasse</w:t>
            </w:r>
          </w:p>
        </w:tc>
      </w:tr>
      <w:tr w:rsidR="00B8348C" w:rsidRPr="00F52884" w14:paraId="3AF8D2A7" w14:textId="77777777" w:rsidTr="000C25A3">
        <w:trPr>
          <w:gridAfter w:val="1"/>
          <w:wAfter w:w="379"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720448B1" w14:textId="77777777" w:rsidR="00B8348C" w:rsidRPr="00F52884" w:rsidRDefault="00B8348C" w:rsidP="000C25A3">
            <w:pPr>
              <w:spacing w:before="60" w:after="60"/>
              <w:ind w:left="-45"/>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2965A1B1" w14:textId="77777777" w:rsidR="00B8348C" w:rsidRPr="00F52884" w:rsidRDefault="00B8348C" w:rsidP="000C25A3">
            <w:pPr>
              <w:spacing w:before="60" w:after="60"/>
              <w:ind w:left="-45"/>
              <w:rPr>
                <w:rFonts w:eastAsia="Arial" w:cstheme="minorHAnsi"/>
                <w:szCs w:val="23"/>
              </w:rPr>
            </w:pPr>
            <w:r w:rsidRPr="00F52884">
              <w:rPr>
                <w:rFonts w:eastAsia="Arial" w:cstheme="minorHAnsi"/>
                <w:szCs w:val="23"/>
                <w:lang w:val="fr-CA"/>
              </w:rPr>
              <w:t>CPC 8813</w:t>
            </w:r>
          </w:p>
        </w:tc>
      </w:tr>
      <w:tr w:rsidR="00B8348C" w:rsidRPr="00F52884" w14:paraId="10BDD0FE" w14:textId="77777777" w:rsidTr="000C25A3">
        <w:trPr>
          <w:trHeight w:val="42"/>
          <w:jc w:val="center"/>
        </w:trPr>
        <w:tc>
          <w:tcPr>
            <w:tcW w:w="2340" w:type="dxa"/>
            <w:tcBorders>
              <w:top w:val="single" w:sz="4" w:space="0" w:color="C0C0C0"/>
              <w:left w:val="nil"/>
              <w:bottom w:val="single" w:sz="4" w:space="0" w:color="C0C0C0"/>
            </w:tcBorders>
          </w:tcPr>
          <w:p w14:paraId="76B611DA" w14:textId="33826103"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41D7D972" w14:textId="5D2C8206"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00F8F253" w14:textId="77777777" w:rsidTr="000C25A3">
        <w:trPr>
          <w:trHeight w:val="42"/>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D076D4C"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3240DABE" w14:textId="77777777" w:rsidTr="000C25A3">
        <w:trPr>
          <w:trHeight w:val="273"/>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69751B56" w14:textId="11B01844"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de 1997 sur la protection du poisson et de la faune</w:t>
            </w:r>
            <w:r w:rsidRPr="00F52884">
              <w:rPr>
                <w:rFonts w:eastAsia="Arial" w:cstheme="minorHAnsi"/>
                <w:szCs w:val="23"/>
                <w:lang w:val="fr-CA"/>
              </w:rPr>
              <w:t xml:space="preserve">, LO 1997, c 41, art 1(1), 32 </w:t>
            </w:r>
          </w:p>
          <w:p w14:paraId="4CA6B37F" w14:textId="48F370F2"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Hunting</w:t>
            </w:r>
            <w:r w:rsidRPr="00F52884">
              <w:rPr>
                <w:rFonts w:eastAsia="Arial" w:cstheme="minorHAnsi"/>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w:t>
            </w:r>
            <w:proofErr w:type="gramStart"/>
            <w:r w:rsidRPr="00F52884">
              <w:rPr>
                <w:rFonts w:eastAsia="Arial" w:cstheme="minorHAnsi"/>
                <w:szCs w:val="23"/>
                <w:lang w:val="fr-CA"/>
              </w:rPr>
              <w:t>l'Ont  665</w:t>
            </w:r>
            <w:proofErr w:type="gramEnd"/>
            <w:r w:rsidRPr="00F52884">
              <w:rPr>
                <w:rFonts w:eastAsia="Arial" w:cstheme="minorHAnsi"/>
                <w:szCs w:val="23"/>
                <w:lang w:val="fr-CA"/>
              </w:rPr>
              <w:t>/98, art 94</w:t>
            </w:r>
            <w:r w:rsidRPr="004C0B41">
              <w:rPr>
                <w:rFonts w:ascii="Arial" w:hAnsi="Arial" w:cs="Arial"/>
                <w:szCs w:val="23"/>
                <w:lang w:val="fr-CA"/>
              </w:rPr>
              <w:t>–</w:t>
            </w:r>
            <w:r w:rsidRPr="00F52884">
              <w:rPr>
                <w:rFonts w:eastAsia="Arial" w:cstheme="minorHAnsi"/>
                <w:szCs w:val="23"/>
                <w:lang w:val="fr-CA"/>
              </w:rPr>
              <w:t xml:space="preserve">95 </w:t>
            </w:r>
          </w:p>
        </w:tc>
      </w:tr>
      <w:tr w:rsidR="00B8348C" w:rsidRPr="00F52884" w14:paraId="130F73F1" w14:textId="77777777" w:rsidTr="000C25A3">
        <w:trPr>
          <w:trHeight w:val="183"/>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D146910"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5F2208F" w14:textId="77777777" w:rsidTr="000C25A3">
        <w:trPr>
          <w:trHeight w:val="66"/>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52DF9208" w14:textId="33346E74"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 xml:space="preserve">Pour obtenir un permis de guide pour la chasse dans le district territorial de </w:t>
            </w:r>
            <w:proofErr w:type="spellStart"/>
            <w:r w:rsidRPr="00F52884">
              <w:rPr>
                <w:rFonts w:eastAsia="Arial" w:cstheme="minorHAnsi"/>
                <w:szCs w:val="23"/>
                <w:lang w:val="fr-CA"/>
              </w:rPr>
              <w:t>Rainy</w:t>
            </w:r>
            <w:proofErr w:type="spellEnd"/>
            <w:r w:rsidRPr="00F52884">
              <w:rPr>
                <w:rFonts w:eastAsia="Arial" w:cstheme="minorHAnsi"/>
                <w:szCs w:val="23"/>
                <w:lang w:val="fr-CA"/>
              </w:rPr>
              <w:t xml:space="preserve"> River et pour la chasse aux oiseaux migratoires sur le lac Sainte-Claire, il faut être un résident de l’Ontario ou un citoyen canadien. Un résident s’entend </w:t>
            </w:r>
            <w:r w:rsidRPr="00F52884">
              <w:rPr>
                <w:rFonts w:eastAsia="Arial" w:cstheme="minorHAnsi"/>
                <w:szCs w:val="23"/>
                <w:shd w:val="clear" w:color="auto" w:fill="FFFFFF"/>
                <w:lang w:val="fr-CA"/>
              </w:rPr>
              <w:t xml:space="preserve">d’une personne qui réside principalement en Ontario et </w:t>
            </w:r>
            <w:r w:rsidRPr="00F52884">
              <w:rPr>
                <w:rFonts w:eastAsia="Arial" w:cstheme="minorHAnsi"/>
                <w:szCs w:val="23"/>
                <w:shd w:val="clear" w:color="auto" w:fill="FFFFFF"/>
                <w:lang w:val="fr-CA"/>
              </w:rPr>
              <w:lastRenderedPageBreak/>
              <w:t xml:space="preserve">qui y a effectivement résidé pendant une période d’au moins six mois au cours des 12 mois qui précèdent le jour où sa résidence devient pertinente aux termes de la </w:t>
            </w:r>
            <w:r w:rsidRPr="00F52884">
              <w:rPr>
                <w:rFonts w:eastAsia="Arial" w:cstheme="minorHAnsi"/>
                <w:iCs/>
                <w:szCs w:val="23"/>
                <w:shd w:val="clear" w:color="auto" w:fill="FFFFFF"/>
                <w:lang w:val="fr-CA"/>
              </w:rPr>
              <w:t>Loi</w:t>
            </w:r>
            <w:r w:rsidRPr="00F52884">
              <w:rPr>
                <w:rFonts w:eastAsia="Arial" w:cstheme="minorHAnsi"/>
                <w:szCs w:val="23"/>
                <w:shd w:val="clear" w:color="auto" w:fill="FFFFFF"/>
                <w:lang w:val="fr-CA"/>
              </w:rPr>
              <w:t xml:space="preserve">. </w:t>
            </w:r>
          </w:p>
        </w:tc>
      </w:tr>
    </w:tbl>
    <w:p w14:paraId="14D7FE1F" w14:textId="77777777" w:rsidR="00B8348C" w:rsidRPr="00F52884" w:rsidRDefault="00B8348C" w:rsidP="000C25A3">
      <w:pPr>
        <w:rPr>
          <w:rFonts w:eastAsia="Arial" w:cstheme="minorHAnsi"/>
          <w:szCs w:val="23"/>
          <w:lang w:val="fr-FR"/>
        </w:rPr>
      </w:pPr>
    </w:p>
    <w:p w14:paraId="3D3C9B84" w14:textId="77777777" w:rsidR="00B8348C" w:rsidRPr="00F52884" w:rsidRDefault="00B8348C" w:rsidP="000C25A3">
      <w:pPr>
        <w:rPr>
          <w:rFonts w:eastAsia="Arial" w:cstheme="minorHAnsi"/>
          <w:szCs w:val="23"/>
          <w:lang w:val="fr-FR"/>
        </w:rPr>
      </w:pPr>
    </w:p>
    <w:p w14:paraId="5926EFE4" w14:textId="4F6D8BD5"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1</w:t>
      </w:r>
      <w:r w:rsidR="00B01C75">
        <w:rPr>
          <w:rFonts w:eastAsia="Arial" w:cstheme="minorHAnsi"/>
          <w:b/>
          <w:bCs/>
          <w:szCs w:val="23"/>
          <w:lang w:val="fr-CA"/>
        </w:rPr>
        <w:t>4</w:t>
      </w:r>
      <w:r w:rsidRPr="00F52884">
        <w:rPr>
          <w:rFonts w:eastAsia="Arial" w:cstheme="minorHAnsi"/>
          <w:b/>
          <w:bCs/>
          <w:szCs w:val="23"/>
          <w:lang w:val="fr-CA"/>
        </w:rPr>
        <w:t xml:space="preserve">.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533"/>
        <w:gridCol w:w="379"/>
      </w:tblGrid>
      <w:tr w:rsidR="00B8348C" w:rsidRPr="00F52884" w14:paraId="53CBC522" w14:textId="77777777" w:rsidTr="00FA2285">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45CDEEF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912" w:type="dxa"/>
            <w:gridSpan w:val="2"/>
            <w:tcBorders>
              <w:top w:val="single" w:sz="4" w:space="0" w:color="C0C0C0"/>
              <w:left w:val="nil"/>
              <w:bottom w:val="single" w:sz="4" w:space="0" w:color="C0C0C0"/>
              <w:right w:val="single" w:sz="4" w:space="0" w:color="FFFFFF"/>
            </w:tcBorders>
            <w:vAlign w:val="center"/>
          </w:tcPr>
          <w:p w14:paraId="08558494"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 xml:space="preserve">Services d’éducation </w:t>
            </w:r>
          </w:p>
        </w:tc>
      </w:tr>
      <w:tr w:rsidR="00B8348C" w:rsidRPr="00D315AF" w14:paraId="1CC37A38" w14:textId="77777777" w:rsidTr="00FA2285">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4B56790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912" w:type="dxa"/>
            <w:gridSpan w:val="2"/>
            <w:tcBorders>
              <w:top w:val="single" w:sz="4" w:space="0" w:color="C0C0C0"/>
              <w:left w:val="nil"/>
              <w:bottom w:val="single" w:sz="4" w:space="0" w:color="C0C0C0"/>
              <w:right w:val="single" w:sz="4" w:space="0" w:color="FFFFFF"/>
            </w:tcBorders>
            <w:vAlign w:val="center"/>
          </w:tcPr>
          <w:p w14:paraId="4F6CD20F"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Services de certification des conducteurs</w:t>
            </w:r>
          </w:p>
        </w:tc>
      </w:tr>
      <w:tr w:rsidR="00B8348C" w:rsidRPr="00F52884" w14:paraId="4AC5DA17" w14:textId="77777777" w:rsidTr="00FA2285">
        <w:trPr>
          <w:gridAfter w:val="1"/>
          <w:wAfter w:w="379"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123477FC"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533" w:type="dxa"/>
            <w:tcBorders>
              <w:top w:val="single" w:sz="4" w:space="0" w:color="C0C0C0"/>
              <w:left w:val="nil"/>
              <w:bottom w:val="single" w:sz="4" w:space="0" w:color="C0C0C0"/>
              <w:right w:val="single" w:sz="4" w:space="0" w:color="FFFFFF"/>
            </w:tcBorders>
            <w:vAlign w:val="center"/>
          </w:tcPr>
          <w:p w14:paraId="01EBB686"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9290</w:t>
            </w:r>
          </w:p>
        </w:tc>
      </w:tr>
      <w:tr w:rsidR="00B8348C" w:rsidRPr="00F52884" w14:paraId="6B460208" w14:textId="77777777" w:rsidTr="00FA2285">
        <w:trPr>
          <w:trHeight w:val="42"/>
          <w:jc w:val="center"/>
        </w:trPr>
        <w:tc>
          <w:tcPr>
            <w:tcW w:w="2340" w:type="dxa"/>
            <w:tcBorders>
              <w:top w:val="single" w:sz="4" w:space="0" w:color="C0C0C0"/>
              <w:left w:val="nil"/>
              <w:bottom w:val="single" w:sz="4" w:space="0" w:color="C0C0C0"/>
            </w:tcBorders>
          </w:tcPr>
          <w:p w14:paraId="234C9307" w14:textId="7D7E2D55"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912" w:type="dxa"/>
            <w:gridSpan w:val="2"/>
            <w:tcBorders>
              <w:top w:val="single" w:sz="4" w:space="0" w:color="C0C0C0"/>
              <w:left w:val="nil"/>
              <w:bottom w:val="single" w:sz="4" w:space="0" w:color="C0C0C0"/>
            </w:tcBorders>
          </w:tcPr>
          <w:p w14:paraId="4BB148E3" w14:textId="0A15E102"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6EFB826C"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7C8D760"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1381E1A6"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1C74F83" w14:textId="230AC67A" w:rsidR="00B8348C" w:rsidRPr="00F52884" w:rsidRDefault="00B8348C" w:rsidP="000C25A3">
            <w:pPr>
              <w:spacing w:before="60" w:after="60"/>
              <w:rPr>
                <w:rFonts w:eastAsia="Arial" w:cstheme="minorHAnsi"/>
                <w:i/>
                <w:iCs/>
                <w:szCs w:val="23"/>
                <w:lang w:val="fr-CA"/>
              </w:rPr>
            </w:pPr>
            <w:r w:rsidRPr="00F52884">
              <w:rPr>
                <w:rFonts w:eastAsia="Arial" w:cstheme="minorHAnsi"/>
                <w:i/>
                <w:iCs/>
                <w:szCs w:val="23"/>
                <w:lang w:val="fr-CA"/>
              </w:rPr>
              <w:t>Code de la route</w:t>
            </w:r>
            <w:r w:rsidRPr="00F52884">
              <w:rPr>
                <w:rFonts w:eastAsia="Arial" w:cstheme="minorHAnsi"/>
                <w:szCs w:val="23"/>
                <w:lang w:val="fr-CA"/>
              </w:rPr>
              <w:t xml:space="preserve">, LRO 1990, c H.8, art 32(5) </w:t>
            </w:r>
            <w:r w:rsidRPr="00F52884">
              <w:rPr>
                <w:lang w:val="fr-CA"/>
              </w:rPr>
              <w:t xml:space="preserve">"Délivrance du permis de conduire : inscriptions" </w:t>
            </w:r>
          </w:p>
          <w:p w14:paraId="16422C2F" w14:textId="03FFE06F" w:rsidR="00B8348C" w:rsidRPr="004C0B41" w:rsidRDefault="00B8348C" w:rsidP="000C25A3">
            <w:pPr>
              <w:spacing w:before="60" w:after="60"/>
              <w:rPr>
                <w:rFonts w:eastAsia="Arial" w:cstheme="minorHAnsi"/>
                <w:szCs w:val="23"/>
                <w:lang w:val="fr-CA"/>
              </w:rPr>
            </w:pPr>
            <w:r w:rsidRPr="00F52884">
              <w:rPr>
                <w:rFonts w:eastAsia="Arial" w:cstheme="minorHAnsi"/>
                <w:szCs w:val="23"/>
                <w:lang w:val="fr-CA"/>
              </w:rPr>
              <w:t>Permis de conduire,</w:t>
            </w:r>
            <w:r w:rsidRPr="00F52884">
              <w:rPr>
                <w:rFonts w:eastAsia="Arial" w:cstheme="minorHAnsi"/>
                <w:i/>
                <w:iCs/>
                <w:szCs w:val="23"/>
                <w:lang w:val="fr-CA"/>
              </w:rPr>
              <w:t xml:space="preserve"> </w:t>
            </w:r>
            <w:proofErr w:type="spellStart"/>
            <w:r w:rsidRPr="00F52884">
              <w:rPr>
                <w:rFonts w:eastAsia="Arial" w:cstheme="minorHAnsi"/>
                <w:szCs w:val="23"/>
                <w:lang w:val="fr-CA"/>
              </w:rPr>
              <w:t>Règl</w:t>
            </w:r>
            <w:proofErr w:type="spellEnd"/>
            <w:r w:rsidRPr="00F52884">
              <w:rPr>
                <w:rFonts w:eastAsia="Arial" w:cstheme="minorHAnsi"/>
                <w:szCs w:val="23"/>
                <w:lang w:val="fr-CA"/>
              </w:rPr>
              <w:t xml:space="preserve"> de l'Ont </w:t>
            </w:r>
            <w:r w:rsidRPr="004C0B41">
              <w:rPr>
                <w:rFonts w:eastAsia="Arial" w:cstheme="minorHAnsi"/>
                <w:szCs w:val="23"/>
                <w:lang w:val="fr-CA"/>
              </w:rPr>
              <w:t xml:space="preserve">340/94  </w:t>
            </w:r>
          </w:p>
          <w:p w14:paraId="03A5C784" w14:textId="7E280F14" w:rsidR="00B8348C" w:rsidRPr="004C0B41" w:rsidRDefault="00B8348C" w:rsidP="000C25A3">
            <w:pPr>
              <w:spacing w:before="60" w:after="60"/>
              <w:rPr>
                <w:rFonts w:eastAsia="Arial" w:cstheme="minorHAnsi"/>
                <w:szCs w:val="23"/>
              </w:rPr>
            </w:pPr>
            <w:proofErr w:type="spellStart"/>
            <w:r w:rsidRPr="00F52884">
              <w:rPr>
                <w:rFonts w:eastAsia="Arial" w:cstheme="minorHAnsi"/>
                <w:i/>
                <w:iCs/>
                <w:szCs w:val="23"/>
                <w:lang w:val="en-US"/>
              </w:rPr>
              <w:t>Licences</w:t>
            </w:r>
            <w:proofErr w:type="spellEnd"/>
            <w:r w:rsidRPr="00F52884">
              <w:rPr>
                <w:rFonts w:eastAsia="Arial" w:cstheme="minorHAnsi"/>
                <w:i/>
                <w:iCs/>
                <w:szCs w:val="23"/>
                <w:lang w:val="en-US"/>
              </w:rPr>
              <w:t xml:space="preserve"> for Driving Instructors and Driving School</w:t>
            </w:r>
            <w:r w:rsidRPr="00F52884">
              <w:rPr>
                <w:rFonts w:eastAsia="Arial" w:cstheme="minorHAnsi"/>
                <w:szCs w:val="23"/>
                <w:lang w:val="en-US"/>
              </w:rPr>
              <w:t xml:space="preserve">, </w:t>
            </w:r>
            <w:proofErr w:type="spellStart"/>
            <w:r w:rsidRPr="00F52884">
              <w:rPr>
                <w:rFonts w:eastAsia="Arial" w:cstheme="minorHAnsi"/>
                <w:szCs w:val="23"/>
                <w:lang w:val="en-US"/>
              </w:rPr>
              <w:t>Règl</w:t>
            </w:r>
            <w:proofErr w:type="spellEnd"/>
            <w:r w:rsidRPr="00F52884">
              <w:rPr>
                <w:rFonts w:eastAsia="Arial" w:cstheme="minorHAnsi"/>
                <w:szCs w:val="23"/>
                <w:lang w:val="en-US"/>
              </w:rPr>
              <w:t xml:space="preserve"> de </w:t>
            </w:r>
            <w:proofErr w:type="spellStart"/>
            <w:r w:rsidRPr="00F52884">
              <w:rPr>
                <w:rFonts w:eastAsia="Arial" w:cstheme="minorHAnsi"/>
                <w:szCs w:val="23"/>
                <w:lang w:val="en-US"/>
              </w:rPr>
              <w:t>l'Ont</w:t>
            </w:r>
            <w:proofErr w:type="spellEnd"/>
            <w:r w:rsidRPr="00F52884">
              <w:rPr>
                <w:rFonts w:eastAsia="Arial" w:cstheme="minorHAnsi"/>
                <w:szCs w:val="23"/>
                <w:lang w:val="en-US"/>
              </w:rPr>
              <w:t xml:space="preserve"> </w:t>
            </w:r>
            <w:r w:rsidRPr="004C0B41">
              <w:rPr>
                <w:rFonts w:eastAsia="Arial" w:cstheme="minorHAnsi"/>
                <w:szCs w:val="23"/>
              </w:rPr>
              <w:t xml:space="preserve">473/07 </w:t>
            </w:r>
          </w:p>
          <w:p w14:paraId="09E3CE86"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Politique sur le Programme d’attestation de la compétence des conducteurs de l’Ontario</w:t>
            </w:r>
          </w:p>
          <w:p w14:paraId="0376ADAB"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Programme de cours de conduite pour débutants</w:t>
            </w:r>
          </w:p>
          <w:p w14:paraId="7AF13B6E"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Cours de perfectionnement pour conducteurs d’autobus scolaires</w:t>
            </w:r>
          </w:p>
        </w:tc>
      </w:tr>
      <w:tr w:rsidR="00B8348C" w:rsidRPr="00F52884" w14:paraId="22DBAABD" w14:textId="77777777" w:rsidTr="00FA2285">
        <w:trPr>
          <w:trHeight w:val="183"/>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8BA6C5A"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737E19DD"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6031D9D1" w14:textId="61D7661A"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Quiconque présente une demande de permis pour offrir des cours de conduite et de perfectionnement des conducteurs en Ontario, y compris le programme d’attestation de la compétence des conducteurs, le cours de perfectionnement pour conducteurs d’autobus scolaires et le programme de cours de conduite pour débutants, doit posséder ou louer des locaux en Ontario destinés à accueillir le bureau et les salles de classe de l’auto-école.</w:t>
            </w:r>
          </w:p>
        </w:tc>
      </w:tr>
    </w:tbl>
    <w:p w14:paraId="47B3258D" w14:textId="77777777" w:rsidR="00B8348C" w:rsidRPr="00F52884" w:rsidRDefault="00B8348C" w:rsidP="000C25A3">
      <w:pPr>
        <w:rPr>
          <w:rFonts w:eastAsia="Arial" w:cstheme="minorHAnsi"/>
          <w:szCs w:val="23"/>
          <w:lang w:val="fr-FR"/>
        </w:rPr>
      </w:pPr>
    </w:p>
    <w:p w14:paraId="3EB46C36" w14:textId="77777777" w:rsidR="00B8348C" w:rsidRPr="00F52884" w:rsidRDefault="00B8348C" w:rsidP="000C25A3">
      <w:pPr>
        <w:rPr>
          <w:rFonts w:eastAsia="Arial" w:cstheme="minorHAnsi"/>
          <w:szCs w:val="23"/>
          <w:lang w:val="fr-FR"/>
        </w:rPr>
      </w:pPr>
    </w:p>
    <w:p w14:paraId="2AA8333A" w14:textId="12BED86E"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1</w:t>
      </w:r>
      <w:r w:rsidR="00B01C75">
        <w:rPr>
          <w:rFonts w:eastAsia="Arial" w:cstheme="minorHAnsi"/>
          <w:b/>
          <w:bCs/>
          <w:szCs w:val="23"/>
          <w:lang w:val="fr-CA"/>
        </w:rPr>
        <w:t>5</w:t>
      </w:r>
      <w:r w:rsidRPr="00F52884">
        <w:rPr>
          <w:rFonts w:eastAsia="Arial" w:cstheme="minorHAnsi"/>
          <w:b/>
          <w:bCs/>
          <w:szCs w:val="23"/>
          <w:lang w:val="fr-CA"/>
        </w:rPr>
        <w:t>.</w:t>
      </w:r>
      <w:r w:rsidR="00632D41" w:rsidRPr="00F52884">
        <w:rPr>
          <w:rFonts w:eastAsia="Arial" w:cstheme="minorHAnsi"/>
          <w:b/>
          <w:bCs/>
          <w:szCs w:val="23"/>
          <w:lang w:val="fr-CA"/>
        </w:rPr>
        <w:t xml:space="preserve"> </w:t>
      </w:r>
      <w:r w:rsidRPr="00F52884">
        <w:rPr>
          <w:rFonts w:eastAsia="Arial" w:cstheme="minorHAnsi"/>
          <w:b/>
          <w:bCs/>
          <w:szCs w:val="23"/>
          <w:lang w:val="fr-CA"/>
        </w:rPr>
        <w:t xml:space="preserve"> 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005CA681"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11C20939"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5BE87851"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Services de distribution</w:t>
            </w:r>
          </w:p>
        </w:tc>
      </w:tr>
      <w:tr w:rsidR="00B8348C" w:rsidRPr="00D315AF" w14:paraId="5A356306"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7D6C45A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3DB8161E"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Commerce de détail de produits et articles pharmaceutiques, médicaux et orthopédiques</w:t>
            </w:r>
          </w:p>
        </w:tc>
      </w:tr>
      <w:tr w:rsidR="00B8348C" w:rsidRPr="00F52884" w14:paraId="3BA5F68C" w14:textId="77777777" w:rsidTr="00FA228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4D24CD1F"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17DE065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63211</w:t>
            </w:r>
          </w:p>
        </w:tc>
      </w:tr>
      <w:tr w:rsidR="00B8348C" w:rsidRPr="00F52884" w14:paraId="56FE2A08" w14:textId="77777777" w:rsidTr="00FA2285">
        <w:trPr>
          <w:trHeight w:val="42"/>
          <w:jc w:val="center"/>
        </w:trPr>
        <w:tc>
          <w:tcPr>
            <w:tcW w:w="2430" w:type="dxa"/>
            <w:tcBorders>
              <w:top w:val="single" w:sz="4" w:space="0" w:color="C0C0C0"/>
              <w:left w:val="nil"/>
              <w:bottom w:val="single" w:sz="4" w:space="0" w:color="C0C0C0"/>
            </w:tcBorders>
          </w:tcPr>
          <w:p w14:paraId="68F02283" w14:textId="1F74ECC2"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5F68EAA2" w14:textId="52C99D46"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50FE0021"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F9F654C"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5D9EAEC2"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2D61597" w14:textId="42886111"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Loi sur les médicaments pour le bétail</w:t>
            </w:r>
            <w:r w:rsidRPr="00F52884">
              <w:rPr>
                <w:rFonts w:eastAsia="Arial" w:cstheme="minorHAnsi"/>
                <w:iCs/>
                <w:szCs w:val="23"/>
                <w:lang w:val="fr-CA"/>
              </w:rPr>
              <w:t>, LRO 1990</w:t>
            </w:r>
            <w:r w:rsidRPr="00F52884">
              <w:rPr>
                <w:rFonts w:eastAsia="Arial" w:cstheme="minorHAnsi"/>
                <w:szCs w:val="23"/>
                <w:lang w:val="fr-CA"/>
              </w:rPr>
              <w:t xml:space="preserve">, c L.23 </w:t>
            </w:r>
          </w:p>
          <w:p w14:paraId="5A071ADE" w14:textId="17BAEBEF" w:rsidR="00B8348C" w:rsidRPr="00F52884" w:rsidRDefault="00B8348C" w:rsidP="00B8348C">
            <w:pPr>
              <w:spacing w:before="60" w:after="60"/>
              <w:rPr>
                <w:rFonts w:eastAsia="Arial" w:cstheme="minorHAnsi"/>
                <w:szCs w:val="23"/>
                <w:lang w:val="fr-CA"/>
              </w:rPr>
            </w:pPr>
            <w:r w:rsidRPr="00F52884">
              <w:rPr>
                <w:rFonts w:eastAsia="Arial" w:cstheme="minorHAnsi"/>
                <w:i/>
                <w:iCs/>
                <w:szCs w:val="23"/>
                <w:lang w:val="fr-CA"/>
              </w:rPr>
              <w:t xml:space="preserve">General, </w:t>
            </w:r>
            <w:r w:rsidRPr="00F52884">
              <w:rPr>
                <w:rFonts w:eastAsia="Arial" w:cstheme="minorHAnsi"/>
                <w:iCs/>
                <w:szCs w:val="23"/>
                <w:lang w:val="fr-CA"/>
              </w:rPr>
              <w:t xml:space="preserve">RRO 1990, </w:t>
            </w:r>
            <w:r w:rsidRPr="00F52884">
              <w:rPr>
                <w:rFonts w:eastAsia="Arial" w:cstheme="minorHAnsi"/>
                <w:szCs w:val="23"/>
                <w:lang w:val="fr-CA"/>
              </w:rPr>
              <w:t>Reg 730</w:t>
            </w:r>
          </w:p>
        </w:tc>
      </w:tr>
      <w:tr w:rsidR="00B8348C" w:rsidRPr="00F52884" w14:paraId="2D6263D9" w14:textId="77777777" w:rsidTr="00FA2285">
        <w:trPr>
          <w:trHeight w:val="183"/>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BA328D6"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2E9B1AEE"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29D47F6" w14:textId="77777777"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lastRenderedPageBreak/>
              <w:t xml:space="preserve">Seules les personnes ayant établi un lieu d’affaires en Ontario peuvent obtenir un permis pour vendre des médicaments pour le bétail en Ontario.  </w:t>
            </w:r>
          </w:p>
          <w:p w14:paraId="56DE70D2" w14:textId="77777777"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t>Un permis peut être délivré à un vendeur ayant établi un lieu d’affaires temporaire dans le cadre d’événements tels que des courses et des foires ou expositions agricoles.</w:t>
            </w:r>
          </w:p>
        </w:tc>
      </w:tr>
    </w:tbl>
    <w:p w14:paraId="0F64F2DB" w14:textId="77777777" w:rsidR="00B8348C" w:rsidRPr="00F52884" w:rsidRDefault="00B8348C" w:rsidP="000C25A3">
      <w:pPr>
        <w:rPr>
          <w:rFonts w:eastAsia="Arial" w:cstheme="minorHAnsi"/>
          <w:szCs w:val="23"/>
          <w:lang w:val="fr-FR"/>
        </w:rPr>
      </w:pPr>
    </w:p>
    <w:p w14:paraId="2EC57F98" w14:textId="77777777" w:rsidR="00B8348C" w:rsidRPr="00F52884" w:rsidRDefault="00B8348C" w:rsidP="000C25A3">
      <w:pPr>
        <w:rPr>
          <w:rFonts w:eastAsia="Arial" w:cstheme="minorHAnsi"/>
          <w:szCs w:val="23"/>
          <w:lang w:val="fr-FR"/>
        </w:rPr>
      </w:pPr>
    </w:p>
    <w:p w14:paraId="69BCC15C" w14:textId="112EEC46"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1</w:t>
      </w:r>
      <w:r w:rsidR="00B01C75">
        <w:rPr>
          <w:rFonts w:eastAsia="Arial" w:cstheme="minorHAnsi"/>
          <w:b/>
          <w:bCs/>
          <w:szCs w:val="23"/>
          <w:lang w:val="fr-CA"/>
        </w:rPr>
        <w:t>6</w:t>
      </w:r>
      <w:r w:rsidRPr="00F52884">
        <w:rPr>
          <w:rFonts w:eastAsia="Arial" w:cstheme="minorHAnsi"/>
          <w:b/>
          <w:bCs/>
          <w:szCs w:val="23"/>
          <w:lang w:val="fr-CA"/>
        </w:rPr>
        <w:t xml:space="preserve">.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35AA8098"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0952C9C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4813AB96"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Services fournis aux entreprises</w:t>
            </w:r>
          </w:p>
        </w:tc>
      </w:tr>
      <w:tr w:rsidR="00B8348C" w:rsidRPr="00F52884" w14:paraId="5F6E5826"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69141EA8"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822" w:type="dxa"/>
            <w:gridSpan w:val="2"/>
            <w:tcBorders>
              <w:top w:val="single" w:sz="4" w:space="0" w:color="C0C0C0"/>
              <w:left w:val="nil"/>
              <w:bottom w:val="single" w:sz="4" w:space="0" w:color="C0C0C0"/>
              <w:right w:val="single" w:sz="4" w:space="0" w:color="FFFFFF"/>
            </w:tcBorders>
            <w:vAlign w:val="center"/>
          </w:tcPr>
          <w:p w14:paraId="43E91242"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Agents de recouvrement</w:t>
            </w:r>
          </w:p>
        </w:tc>
      </w:tr>
      <w:tr w:rsidR="00B8348C" w:rsidRPr="00F52884" w14:paraId="27AF36E3" w14:textId="77777777" w:rsidTr="00FA228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27389268"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43" w:type="dxa"/>
            <w:tcBorders>
              <w:top w:val="single" w:sz="4" w:space="0" w:color="C0C0C0"/>
              <w:left w:val="nil"/>
              <w:bottom w:val="single" w:sz="4" w:space="0" w:color="C0C0C0"/>
              <w:right w:val="single" w:sz="4" w:space="0" w:color="FFFFFF"/>
            </w:tcBorders>
            <w:vAlign w:val="center"/>
          </w:tcPr>
          <w:p w14:paraId="40556923"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 xml:space="preserve">CPC 87902 </w:t>
            </w:r>
          </w:p>
        </w:tc>
      </w:tr>
      <w:tr w:rsidR="00B8348C" w:rsidRPr="00F52884" w14:paraId="43327D54" w14:textId="77777777" w:rsidTr="00FA2285">
        <w:trPr>
          <w:trHeight w:val="42"/>
          <w:jc w:val="center"/>
        </w:trPr>
        <w:tc>
          <w:tcPr>
            <w:tcW w:w="2430" w:type="dxa"/>
            <w:tcBorders>
              <w:top w:val="single" w:sz="4" w:space="0" w:color="C0C0C0"/>
              <w:left w:val="nil"/>
              <w:bottom w:val="single" w:sz="4" w:space="0" w:color="C0C0C0"/>
            </w:tcBorders>
          </w:tcPr>
          <w:p w14:paraId="07D96DC6" w14:textId="78F9F97A"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3B54E719" w14:textId="315C4FDE" w:rsidR="00B8348C" w:rsidRPr="00F52884" w:rsidRDefault="00B8348C" w:rsidP="00B8348C">
            <w:pPr>
              <w:spacing w:before="60" w:after="60"/>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04C2F6CC"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FED1CA"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62B48301"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6829D5E" w14:textId="5553E451"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Loi sur les services de recouvrement et de règlement de dette,</w:t>
            </w:r>
            <w:r w:rsidRPr="00F52884">
              <w:rPr>
                <w:rFonts w:eastAsia="Arial" w:cstheme="minorHAnsi"/>
                <w:szCs w:val="23"/>
                <w:lang w:val="fr-CA"/>
              </w:rPr>
              <w:t xml:space="preserve"> LRO 1990, c C.14</w:t>
            </w:r>
          </w:p>
          <w:p w14:paraId="1BDC04E5" w14:textId="7E227E12" w:rsidR="00B8348C" w:rsidRPr="00F52884" w:rsidRDefault="000954E6" w:rsidP="00B8348C">
            <w:pPr>
              <w:spacing w:before="60" w:after="60"/>
              <w:rPr>
                <w:rFonts w:eastAsia="Arial" w:cstheme="minorHAnsi"/>
                <w:szCs w:val="23"/>
                <w:lang w:val="fr-CA"/>
              </w:rPr>
            </w:pPr>
            <w:r w:rsidRPr="00F52884">
              <w:rPr>
                <w:rFonts w:eastAsia="Arial" w:cstheme="minorHAnsi"/>
                <w:i/>
                <w:iCs/>
                <w:szCs w:val="23"/>
                <w:lang w:val="fr-CA"/>
              </w:rPr>
              <w:t>Dispositions</w:t>
            </w:r>
            <w:r w:rsidR="00B8348C" w:rsidRPr="00F52884">
              <w:rPr>
                <w:rFonts w:eastAsia="Arial" w:cstheme="minorHAnsi"/>
                <w:i/>
                <w:iCs/>
                <w:szCs w:val="23"/>
                <w:lang w:val="fr-CA"/>
              </w:rPr>
              <w:t xml:space="preserve"> général, </w:t>
            </w:r>
            <w:r w:rsidR="00B8348C" w:rsidRPr="00F52884">
              <w:rPr>
                <w:rFonts w:eastAsia="Arial" w:cstheme="minorHAnsi"/>
                <w:iCs/>
                <w:szCs w:val="23"/>
                <w:lang w:val="fr-CA"/>
              </w:rPr>
              <w:t xml:space="preserve">RRO 1990, </w:t>
            </w:r>
            <w:proofErr w:type="spellStart"/>
            <w:r w:rsidR="00B8348C" w:rsidRPr="00F52884">
              <w:rPr>
                <w:rFonts w:eastAsia="Arial" w:cstheme="minorHAnsi"/>
                <w:szCs w:val="23"/>
                <w:lang w:val="fr-CA"/>
              </w:rPr>
              <w:t>Règl</w:t>
            </w:r>
            <w:proofErr w:type="spellEnd"/>
            <w:r w:rsidR="00B8348C" w:rsidRPr="00F52884">
              <w:rPr>
                <w:rFonts w:eastAsia="Arial" w:cstheme="minorHAnsi"/>
                <w:szCs w:val="23"/>
                <w:lang w:val="fr-CA"/>
              </w:rPr>
              <w:t xml:space="preserve"> de l'Ont</w:t>
            </w:r>
            <w:r w:rsidR="00B8348C" w:rsidRPr="00F52884">
              <w:rPr>
                <w:rFonts w:eastAsia="Arial" w:cstheme="minorHAnsi"/>
                <w:iCs/>
                <w:szCs w:val="23"/>
                <w:lang w:val="fr-CA"/>
              </w:rPr>
              <w:t xml:space="preserve"> 74</w:t>
            </w:r>
            <w:r w:rsidR="00B8348C" w:rsidRPr="00F52884">
              <w:rPr>
                <w:rFonts w:eastAsia="Arial" w:cstheme="minorHAnsi"/>
                <w:szCs w:val="23"/>
                <w:lang w:val="fr-CA"/>
              </w:rPr>
              <w:t>, art 13(10)</w:t>
            </w:r>
          </w:p>
        </w:tc>
      </w:tr>
      <w:tr w:rsidR="00B8348C" w:rsidRPr="00F52884" w14:paraId="63279F0C" w14:textId="77777777" w:rsidTr="00FA2285">
        <w:trPr>
          <w:trHeight w:val="183"/>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212B7F2"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57CBB839"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20D6AED"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Une agence de recouvrement doit avoir un lieu d’affaires permanent en Ontario pour exercer ses activités dans la province.</w:t>
            </w:r>
          </w:p>
        </w:tc>
      </w:tr>
    </w:tbl>
    <w:p w14:paraId="3D675068" w14:textId="77777777" w:rsidR="00B8348C" w:rsidRPr="00F52884" w:rsidRDefault="00B8348C" w:rsidP="000C25A3">
      <w:pPr>
        <w:ind w:left="-360"/>
        <w:contextualSpacing/>
        <w:rPr>
          <w:rFonts w:eastAsia="Arial" w:cstheme="minorHAnsi"/>
          <w:b/>
          <w:szCs w:val="23"/>
          <w:lang w:val="fr-FR"/>
        </w:rPr>
      </w:pPr>
    </w:p>
    <w:p w14:paraId="3F846D43" w14:textId="77777777" w:rsidR="00B8348C" w:rsidRPr="00F52884" w:rsidRDefault="00B8348C" w:rsidP="000C25A3">
      <w:pPr>
        <w:ind w:left="-360"/>
        <w:contextualSpacing/>
        <w:rPr>
          <w:rFonts w:eastAsia="Arial" w:cstheme="minorHAnsi"/>
          <w:b/>
          <w:szCs w:val="23"/>
          <w:lang w:val="fr-FR"/>
        </w:rPr>
      </w:pPr>
    </w:p>
    <w:p w14:paraId="5660881E" w14:textId="1AA9C820" w:rsidR="00B8348C" w:rsidRPr="00F52884" w:rsidRDefault="00B8348C" w:rsidP="000C25A3">
      <w:pPr>
        <w:spacing w:before="60" w:after="60"/>
        <w:ind w:left="-360"/>
        <w:contextualSpacing/>
        <w:rPr>
          <w:rFonts w:eastAsia="Arial" w:cstheme="minorHAnsi"/>
          <w:szCs w:val="23"/>
        </w:rPr>
      </w:pPr>
      <w:r w:rsidRPr="00F52884">
        <w:rPr>
          <w:rFonts w:eastAsia="Arial" w:cstheme="minorHAnsi"/>
          <w:b/>
          <w:bCs/>
          <w:szCs w:val="23"/>
          <w:lang w:val="fr-CA"/>
        </w:rPr>
        <w:t>1</w:t>
      </w:r>
      <w:r w:rsidR="00B01C75">
        <w:rPr>
          <w:rFonts w:eastAsia="Arial" w:cstheme="minorHAnsi"/>
          <w:b/>
          <w:bCs/>
          <w:szCs w:val="23"/>
          <w:lang w:val="fr-CA"/>
        </w:rPr>
        <w:t>7</w:t>
      </w:r>
      <w:r w:rsidRPr="00F52884">
        <w:rPr>
          <w:rFonts w:eastAsia="Arial" w:cstheme="minorHAnsi"/>
          <w:b/>
          <w:bCs/>
          <w:szCs w:val="23"/>
          <w:lang w:val="fr-CA"/>
        </w:rPr>
        <w:t xml:space="preserve">. </w:t>
      </w:r>
      <w:r w:rsidR="00632D41" w:rsidRPr="00F52884">
        <w:rPr>
          <w:rFonts w:eastAsia="Arial" w:cstheme="minorHAnsi"/>
          <w:b/>
          <w:bCs/>
          <w:szCs w:val="23"/>
          <w:lang w:val="fr-CA"/>
        </w:rPr>
        <w:t xml:space="preserve"> </w:t>
      </w:r>
      <w:r w:rsidRPr="00F52884">
        <w:rPr>
          <w:rFonts w:eastAsia="Arial" w:cstheme="minorHAnsi"/>
          <w:b/>
          <w:bCs/>
          <w:szCs w:val="23"/>
          <w:lang w:val="fr-CA"/>
        </w:rPr>
        <w:t>ONTARIO</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62"/>
        <w:gridCol w:w="360"/>
      </w:tblGrid>
      <w:tr w:rsidR="00B8348C" w:rsidRPr="00F52884" w14:paraId="1E4B5B1B"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5052CC80"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br w:type="page"/>
            </w:r>
            <w:r w:rsidRPr="00F52884">
              <w:rPr>
                <w:rFonts w:eastAsia="Arial" w:cstheme="minorHAnsi"/>
                <w:b/>
                <w:bCs/>
                <w:szCs w:val="23"/>
                <w:lang w:val="fr-CA"/>
              </w:rPr>
              <w:t xml:space="preserve">Secteur : </w:t>
            </w:r>
          </w:p>
        </w:tc>
        <w:tc>
          <w:tcPr>
            <w:tcW w:w="7822" w:type="dxa"/>
            <w:gridSpan w:val="2"/>
            <w:tcBorders>
              <w:top w:val="single" w:sz="4" w:space="0" w:color="C0C0C0"/>
              <w:left w:val="nil"/>
              <w:bottom w:val="single" w:sz="4" w:space="0" w:color="C0C0C0"/>
              <w:right w:val="single" w:sz="4" w:space="0" w:color="FFFFFF"/>
            </w:tcBorders>
            <w:vAlign w:val="center"/>
          </w:tcPr>
          <w:p w14:paraId="137C300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Agriculture et pêches</w:t>
            </w:r>
          </w:p>
        </w:tc>
      </w:tr>
      <w:tr w:rsidR="00B8348C" w:rsidRPr="00D315AF" w14:paraId="63B03849"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4BF2D720" w14:textId="77777777" w:rsidR="00B8348C" w:rsidRPr="00F52884" w:rsidRDefault="00B8348C" w:rsidP="000C25A3">
            <w:pPr>
              <w:spacing w:before="60" w:after="60"/>
              <w:rPr>
                <w:rFonts w:eastAsia="Arial" w:cstheme="minorHAnsi"/>
                <w:b/>
                <w:szCs w:val="23"/>
              </w:rPr>
            </w:pPr>
            <w:r w:rsidRPr="00F52884">
              <w:rPr>
                <w:rFonts w:eastAsia="Arial"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3E33C8EE"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Produits de l’agriculture, sylviculture et pêche, services de commerce de gros de matières premières agricoles et d’animaux vivants, services annexes à l’agriculture, à la chasse et à la sylviculture, services annexes à la pêche</w:t>
            </w:r>
          </w:p>
        </w:tc>
      </w:tr>
      <w:tr w:rsidR="00B8348C" w:rsidRPr="00D315AF" w14:paraId="1A6361A0" w14:textId="77777777" w:rsidTr="00FA2285">
        <w:trPr>
          <w:gridAfter w:val="1"/>
          <w:wAfter w:w="360"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7A6C42F3"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462" w:type="dxa"/>
            <w:tcBorders>
              <w:top w:val="single" w:sz="4" w:space="0" w:color="C0C0C0"/>
              <w:left w:val="single" w:sz="4" w:space="0" w:color="FFFFFF"/>
              <w:bottom w:val="single" w:sz="4" w:space="0" w:color="C0C0C0"/>
              <w:right w:val="nil"/>
            </w:tcBorders>
            <w:vAlign w:val="center"/>
          </w:tcPr>
          <w:p w14:paraId="26515CD7" w14:textId="0C4B8735" w:rsidR="00B8348C" w:rsidRPr="00F52884" w:rsidRDefault="00B8348C" w:rsidP="000C25A3">
            <w:pPr>
              <w:spacing w:before="60" w:after="60"/>
              <w:ind w:left="6"/>
              <w:rPr>
                <w:rFonts w:eastAsia="Arial" w:cstheme="minorHAnsi"/>
                <w:szCs w:val="23"/>
                <w:lang w:val="fr-FR"/>
              </w:rPr>
            </w:pPr>
            <w:r w:rsidRPr="00F52884">
              <w:rPr>
                <w:rFonts w:eastAsia="Arial" w:cstheme="minorHAnsi"/>
                <w:szCs w:val="23"/>
                <w:lang w:val="fr-CA"/>
              </w:rPr>
              <w:t>CPC 01, 021, 029, 04, 21, 22, 881 (sauf la location d’équipement agricole, avec opérateur et 8814), 882</w:t>
            </w:r>
          </w:p>
        </w:tc>
      </w:tr>
      <w:tr w:rsidR="00B8348C" w:rsidRPr="00D315AF" w14:paraId="5C4B54C1" w14:textId="77777777" w:rsidTr="00FA2285">
        <w:trPr>
          <w:trHeight w:val="42"/>
          <w:jc w:val="center"/>
        </w:trPr>
        <w:tc>
          <w:tcPr>
            <w:tcW w:w="2430" w:type="dxa"/>
            <w:tcBorders>
              <w:top w:val="single" w:sz="4" w:space="0" w:color="C0C0C0"/>
              <w:left w:val="nil"/>
              <w:bottom w:val="single" w:sz="4" w:space="0" w:color="C0C0C0"/>
            </w:tcBorders>
          </w:tcPr>
          <w:p w14:paraId="71A4EF78" w14:textId="488EA9BC"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Type d’exception :</w:t>
            </w:r>
            <w:r w:rsidRPr="00F52884">
              <w:rPr>
                <w:rFonts w:eastAsia="Times New Roman" w:cstheme="minorHAnsi"/>
                <w:szCs w:val="23"/>
                <w:lang w:val="fr-CA"/>
              </w:rPr>
              <w:t xml:space="preserve"> </w:t>
            </w:r>
          </w:p>
        </w:tc>
        <w:tc>
          <w:tcPr>
            <w:tcW w:w="7822" w:type="dxa"/>
            <w:gridSpan w:val="2"/>
            <w:tcBorders>
              <w:top w:val="single" w:sz="4" w:space="0" w:color="C0C0C0"/>
              <w:left w:val="nil"/>
              <w:bottom w:val="single" w:sz="4" w:space="0" w:color="C0C0C0"/>
            </w:tcBorders>
          </w:tcPr>
          <w:p w14:paraId="5F83BF36" w14:textId="4D88B208"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Article 201 (Traitement non discriminatoire), article 301 (Droit d’entrée et de sortie), article 313 (Prescriptions de résultats), article 307 (Accès aux marchés – Services), article 312 (Accès aux marchés – Investissement)</w:t>
            </w:r>
          </w:p>
        </w:tc>
      </w:tr>
      <w:tr w:rsidR="00B8348C" w:rsidRPr="00F52884" w14:paraId="6FB8E54C"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0FF5DA8"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5F3E1CF2"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23418AB3" w14:textId="317942E6"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 xml:space="preserve">Loi sur la commercialisation des produits agricoles, </w:t>
            </w:r>
            <w:r w:rsidRPr="00F52884">
              <w:rPr>
                <w:rFonts w:eastAsia="Arial" w:cstheme="minorHAnsi"/>
                <w:iCs/>
                <w:szCs w:val="23"/>
                <w:lang w:val="fr-CA"/>
              </w:rPr>
              <w:t>LRO 1990</w:t>
            </w:r>
            <w:r w:rsidRPr="00F52884">
              <w:rPr>
                <w:rFonts w:eastAsia="Arial" w:cstheme="minorHAnsi"/>
                <w:szCs w:val="23"/>
                <w:lang w:val="fr-CA"/>
              </w:rPr>
              <w:t xml:space="preserve">, c F.9 </w:t>
            </w:r>
          </w:p>
          <w:p w14:paraId="2472B2B2" w14:textId="53F40F0B" w:rsidR="00B8348C" w:rsidRPr="00F52884" w:rsidRDefault="00B8348C" w:rsidP="000C25A3">
            <w:pPr>
              <w:spacing w:before="60" w:after="60"/>
              <w:rPr>
                <w:rFonts w:eastAsia="Arial" w:cstheme="minorHAnsi"/>
                <w:szCs w:val="23"/>
                <w:lang w:val="fr-CA"/>
              </w:rPr>
            </w:pPr>
            <w:r w:rsidRPr="00F52884">
              <w:rPr>
                <w:rFonts w:eastAsia="Arial" w:cstheme="minorHAnsi"/>
                <w:i/>
                <w:iCs/>
                <w:szCs w:val="23"/>
                <w:lang w:val="fr-CA"/>
              </w:rPr>
              <w:t xml:space="preserve">Loi sur le lait, </w:t>
            </w:r>
            <w:r w:rsidRPr="00F52884">
              <w:rPr>
                <w:rFonts w:eastAsia="Arial" w:cstheme="minorHAnsi"/>
                <w:iCs/>
                <w:szCs w:val="23"/>
                <w:lang w:val="fr-CA"/>
              </w:rPr>
              <w:t>LRO 1990,</w:t>
            </w:r>
            <w:r w:rsidRPr="00F52884">
              <w:rPr>
                <w:rFonts w:eastAsia="Arial" w:cstheme="minorHAnsi"/>
                <w:szCs w:val="23"/>
                <w:lang w:val="fr-CA"/>
              </w:rPr>
              <w:t xml:space="preserve"> c M.12</w:t>
            </w:r>
          </w:p>
        </w:tc>
      </w:tr>
      <w:tr w:rsidR="00B8348C" w:rsidRPr="00F52884" w14:paraId="4EECE9B2" w14:textId="77777777" w:rsidTr="00FA2285">
        <w:trPr>
          <w:trHeight w:val="183"/>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CE95849"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78CF74BA"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1CE3132" w14:textId="6DBA623B" w:rsidR="00B8348C" w:rsidRPr="00F52884" w:rsidRDefault="00B8348C" w:rsidP="000C25A3">
            <w:pPr>
              <w:autoSpaceDE w:val="0"/>
              <w:autoSpaceDN w:val="0"/>
              <w:adjustRightInd w:val="0"/>
              <w:spacing w:before="120" w:after="120"/>
              <w:rPr>
                <w:rFonts w:eastAsia="Arial" w:cstheme="minorHAnsi"/>
                <w:szCs w:val="23"/>
                <w:lang w:val="fr-FR"/>
              </w:rPr>
            </w:pPr>
            <w:r w:rsidRPr="00F52884">
              <w:rPr>
                <w:rFonts w:eastAsia="Arial" w:cstheme="minorHAnsi"/>
                <w:szCs w:val="23"/>
                <w:lang w:val="fr-CA"/>
              </w:rPr>
              <w:t xml:space="preserve">Les mesures susmentionnées permettent au gouvernement de l’Ontario de réglementer et d’accorder diverses autorisations à l’égard de la production et la commercialisation de produits </w:t>
            </w:r>
            <w:r w:rsidRPr="00F52884">
              <w:rPr>
                <w:rFonts w:eastAsia="Arial" w:cstheme="minorHAnsi"/>
                <w:szCs w:val="23"/>
                <w:lang w:val="fr-CA"/>
              </w:rPr>
              <w:lastRenderedPageBreak/>
              <w:t>agricoles et alimentaires dans la province, notamment les mesures visant la gestion de l’offre de produits laitiers, d’œufs et de volailles.</w:t>
            </w:r>
          </w:p>
          <w:p w14:paraId="0E423BB6" w14:textId="77777777" w:rsidR="00B8348C" w:rsidRPr="00F52884" w:rsidRDefault="00B8348C" w:rsidP="000C25A3">
            <w:pPr>
              <w:autoSpaceDE w:val="0"/>
              <w:autoSpaceDN w:val="0"/>
              <w:adjustRightInd w:val="0"/>
              <w:spacing w:before="120" w:after="120"/>
              <w:rPr>
                <w:rFonts w:eastAsia="Arial" w:cstheme="minorHAnsi"/>
                <w:szCs w:val="23"/>
                <w:lang w:val="fr-FR"/>
              </w:rPr>
            </w:pPr>
            <w:r w:rsidRPr="00F52884">
              <w:rPr>
                <w:rFonts w:eastAsia="Arial" w:cstheme="minorHAnsi"/>
                <w:szCs w:val="23"/>
                <w:lang w:val="fr-CA"/>
              </w:rPr>
              <w:t>Les exceptions visant Droit d’entrée et de sortie, Accès aux marchés – Services et Accès aux marchés – Investissement sont limitées à la réglementation et à l’octroi de diverses autorisations relatives à la production et à la commercialisation de poissons et de produits de la pêche en Ontario.</w:t>
            </w:r>
          </w:p>
          <w:p w14:paraId="1DF96200" w14:textId="77777777" w:rsidR="00B8348C" w:rsidRPr="00F52884" w:rsidRDefault="00B8348C" w:rsidP="000C25A3">
            <w:pPr>
              <w:autoSpaceDE w:val="0"/>
              <w:autoSpaceDN w:val="0"/>
              <w:adjustRightInd w:val="0"/>
              <w:spacing w:before="120" w:after="120"/>
              <w:rPr>
                <w:rFonts w:eastAsia="Arial" w:cstheme="minorHAnsi"/>
                <w:szCs w:val="23"/>
                <w:lang w:val="fr-FR"/>
              </w:rPr>
            </w:pPr>
            <w:r w:rsidRPr="00F52884">
              <w:rPr>
                <w:rFonts w:eastAsia="Arial" w:cstheme="minorHAnsi"/>
                <w:szCs w:val="23"/>
                <w:lang w:val="fr-CA"/>
              </w:rPr>
              <w:t>Sans restreindre la portée générale de ce qui précède, certaines mesures et dispositions prises par l’Ontario et les entités et organismes susmentionnés peuvent supposer la prise de décisions discrétionnaires fondées sur des facteurs pouvant mener à l’octroi d’un traitement préférentiel :</w:t>
            </w:r>
          </w:p>
          <w:p w14:paraId="03316C46" w14:textId="77777777" w:rsidR="00B8348C" w:rsidRPr="00F52884" w:rsidRDefault="00B8348C" w:rsidP="00B8348C">
            <w:pPr>
              <w:numPr>
                <w:ilvl w:val="1"/>
                <w:numId w:val="278"/>
              </w:numPr>
              <w:autoSpaceDE w:val="0"/>
              <w:autoSpaceDN w:val="0"/>
              <w:adjustRightInd w:val="0"/>
              <w:spacing w:before="120" w:after="120"/>
              <w:ind w:left="907" w:hanging="547"/>
              <w:rPr>
                <w:rFonts w:eastAsia="Arial" w:cstheme="minorHAnsi"/>
                <w:szCs w:val="23"/>
              </w:rPr>
            </w:pPr>
            <w:proofErr w:type="gramStart"/>
            <w:r w:rsidRPr="00F52884">
              <w:rPr>
                <w:rFonts w:eastAsia="Arial" w:cstheme="minorHAnsi"/>
                <w:szCs w:val="23"/>
                <w:lang w:val="fr-CA"/>
              </w:rPr>
              <w:t>aux</w:t>
            </w:r>
            <w:proofErr w:type="gramEnd"/>
            <w:r w:rsidRPr="00F52884">
              <w:rPr>
                <w:rFonts w:eastAsia="Arial" w:cstheme="minorHAnsi"/>
                <w:szCs w:val="23"/>
                <w:lang w:val="fr-CA"/>
              </w:rPr>
              <w:t xml:space="preserve"> résidents de l’Ontario;</w:t>
            </w:r>
          </w:p>
          <w:p w14:paraId="1A137DD8" w14:textId="0D0EAA3A" w:rsidR="00B8348C" w:rsidRPr="00F52884" w:rsidRDefault="00B8348C" w:rsidP="00B8348C">
            <w:pPr>
              <w:numPr>
                <w:ilvl w:val="1"/>
                <w:numId w:val="278"/>
              </w:numPr>
              <w:autoSpaceDE w:val="0"/>
              <w:autoSpaceDN w:val="0"/>
              <w:adjustRightInd w:val="0"/>
              <w:spacing w:before="120" w:after="120"/>
              <w:ind w:left="907" w:hanging="547"/>
              <w:rPr>
                <w:rFonts w:eastAsia="Arial" w:cstheme="minorHAnsi"/>
                <w:szCs w:val="23"/>
                <w:lang w:val="fr-FR"/>
              </w:rPr>
            </w:pPr>
            <w:proofErr w:type="gramStart"/>
            <w:r w:rsidRPr="00F52884">
              <w:rPr>
                <w:rFonts w:eastAsia="Arial" w:cstheme="minorHAnsi"/>
                <w:szCs w:val="23"/>
                <w:lang w:val="fr-CA"/>
              </w:rPr>
              <w:t>aux</w:t>
            </w:r>
            <w:proofErr w:type="gramEnd"/>
            <w:r w:rsidRPr="00F52884">
              <w:rPr>
                <w:rFonts w:eastAsia="Arial" w:cstheme="minorHAnsi"/>
                <w:szCs w:val="23"/>
                <w:lang w:val="fr-CA"/>
              </w:rPr>
              <w:t xml:space="preserve"> entités constituées conformément à la législation du Canada ou d’une province du Canada et qui ont un lieu d’affaires en Ontario.</w:t>
            </w:r>
          </w:p>
        </w:tc>
      </w:tr>
    </w:tbl>
    <w:p w14:paraId="4B4011AF" w14:textId="145726C5" w:rsidR="00B8348C" w:rsidRDefault="00B8348C">
      <w:pPr>
        <w:rPr>
          <w:rFonts w:eastAsia="Times New Roman" w:cstheme="minorHAnsi"/>
          <w:b/>
          <w:szCs w:val="23"/>
          <w:lang w:val="fr-FR"/>
        </w:rPr>
      </w:pPr>
    </w:p>
    <w:p w14:paraId="6B11ABA4" w14:textId="77777777" w:rsidR="00FE3EAB" w:rsidRDefault="00FE3EAB">
      <w:pPr>
        <w:rPr>
          <w:rFonts w:eastAsia="Times New Roman" w:cstheme="minorHAnsi"/>
          <w:b/>
          <w:szCs w:val="23"/>
          <w:lang w:val="fr-FR"/>
        </w:rPr>
      </w:pPr>
    </w:p>
    <w:p w14:paraId="6A794F9C" w14:textId="77777777" w:rsidR="00FE3EAB" w:rsidRPr="00FE3EAB" w:rsidRDefault="00FE3EAB" w:rsidP="00FE3EAB">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FE3EAB">
        <w:rPr>
          <w:rFonts w:ascii="Arial" w:eastAsia="Times New Roman" w:hAnsi="Arial" w:cs="Arial"/>
          <w:b/>
          <w:bCs/>
          <w:caps/>
          <w:szCs w:val="23"/>
          <w:lang w:val="fr-CA"/>
        </w:rPr>
        <w:t xml:space="preserve">18. </w:t>
      </w:r>
      <w:r w:rsidRPr="00FE3EAB">
        <w:rPr>
          <w:rFonts w:ascii="Arial" w:eastAsia="Times New Roman" w:hAnsi="Arial" w:cs="Arial"/>
          <w:b/>
          <w:bCs/>
          <w:szCs w:val="23"/>
          <w:lang w:val="fr-CA"/>
        </w:rPr>
        <w:t>ONTARIO</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FE3EAB" w:rsidRPr="00FE3EAB" w14:paraId="50DCD945"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4AEFFFA5"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proofErr w:type="spellStart"/>
            <w:proofErr w:type="gramStart"/>
            <w:r w:rsidRPr="00FE3EAB">
              <w:rPr>
                <w:rFonts w:ascii="Arial" w:eastAsia="Calibri" w:hAnsi="Arial" w:cs="Arial"/>
                <w:b/>
                <w:szCs w:val="24"/>
                <w:lang w:eastAsia="en-CA" w:bidi="en-US"/>
              </w:rPr>
              <w:t>Secteur</w:t>
            </w:r>
            <w:proofErr w:type="spellEnd"/>
            <w:r w:rsidRPr="00FE3EAB">
              <w:rPr>
                <w:rFonts w:ascii="Arial" w:eastAsia="Calibri" w:hAnsi="Arial" w:cs="Arial"/>
                <w:b/>
                <w:szCs w:val="24"/>
                <w:lang w:eastAsia="en-CA" w:bidi="en-US"/>
              </w:rPr>
              <w:t> :</w:t>
            </w:r>
            <w:proofErr w:type="gramEnd"/>
            <w:r w:rsidRPr="00FE3EAB">
              <w:rPr>
                <w:rFonts w:ascii="Arial" w:eastAsia="Calibri" w:hAnsi="Arial" w:cs="Arial"/>
                <w:b/>
                <w:szCs w:val="24"/>
                <w:lang w:eastAsia="en-CA" w:bidi="en-US"/>
              </w:rPr>
              <w:t xml:space="preserve"> </w:t>
            </w: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742F2CF6" w14:textId="77777777" w:rsidR="00FE3EAB" w:rsidRPr="00FE3EAB" w:rsidRDefault="00FE3EAB" w:rsidP="00FE3EAB">
            <w:pPr>
              <w:spacing w:before="60" w:after="60" w:line="42" w:lineRule="atLeast"/>
              <w:rPr>
                <w:rFonts w:ascii="Arial" w:eastAsia="Calibri" w:hAnsi="Arial" w:cs="Arial"/>
                <w:bCs/>
                <w:szCs w:val="24"/>
                <w:lang w:eastAsia="en-CA" w:bidi="en-US"/>
              </w:rPr>
            </w:pPr>
            <w:r w:rsidRPr="00FE3EAB">
              <w:rPr>
                <w:rFonts w:ascii="Arial" w:eastAsia="Calibri" w:hAnsi="Arial" w:cs="Arial"/>
                <w:bCs/>
                <w:szCs w:val="24"/>
                <w:lang w:eastAsia="en-CA" w:bidi="en-US"/>
              </w:rPr>
              <w:t>Cannabis</w:t>
            </w:r>
          </w:p>
        </w:tc>
      </w:tr>
      <w:tr w:rsidR="00FE3EAB" w:rsidRPr="00D315AF" w14:paraId="00E2B489"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4388084E"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r w:rsidRPr="00FE3EAB">
              <w:rPr>
                <w:rFonts w:ascii="Arial" w:eastAsia="Calibri" w:hAnsi="Arial" w:cs="Arial"/>
                <w:b/>
                <w:szCs w:val="24"/>
                <w:lang w:eastAsia="en-CA" w:bidi="en-US"/>
              </w:rPr>
              <w:t>Sous-</w:t>
            </w:r>
            <w:proofErr w:type="spellStart"/>
            <w:proofErr w:type="gramStart"/>
            <w:r w:rsidRPr="00FE3EAB">
              <w:rPr>
                <w:rFonts w:ascii="Arial" w:eastAsia="Calibri" w:hAnsi="Arial" w:cs="Arial"/>
                <w:b/>
                <w:szCs w:val="24"/>
                <w:lang w:eastAsia="en-CA" w:bidi="en-US"/>
              </w:rPr>
              <w:t>secteur</w:t>
            </w:r>
            <w:proofErr w:type="spellEnd"/>
            <w:r w:rsidRPr="00FE3EAB">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54B362D0"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rPr>
                <w:rFonts w:ascii="Arial" w:eastAsia="Calibri" w:hAnsi="Arial" w:cs="Arial"/>
                <w:bCs/>
                <w:szCs w:val="24"/>
                <w:lang w:val="fr-CA" w:eastAsia="en-CA" w:bidi="en-US"/>
              </w:rPr>
            </w:pPr>
            <w:r w:rsidRPr="00FE3EAB">
              <w:rPr>
                <w:rFonts w:ascii="Arial" w:eastAsia="Calibri" w:hAnsi="Arial" w:cs="Arial"/>
                <w:bCs/>
                <w:szCs w:val="24"/>
                <w:lang w:val="fr-CA" w:eastAsia="en-CA" w:bidi="en-US"/>
              </w:rPr>
              <w:t>Cannabis; Services de commerce de gros, y compris à forfait ou sous contrat; Services de commerce de détail, y compris à forfait ou sous contrat</w:t>
            </w:r>
          </w:p>
        </w:tc>
      </w:tr>
      <w:tr w:rsidR="00FE3EAB" w:rsidRPr="00FE3EAB" w14:paraId="1EC15CF5"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14349F9F"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r w:rsidRPr="00FE3EAB">
              <w:rPr>
                <w:rFonts w:ascii="Arial" w:eastAsia="Calibri" w:hAnsi="Arial" w:cs="Arial"/>
                <w:b/>
                <w:szCs w:val="24"/>
                <w:lang w:eastAsia="en-CA" w:bidi="en-US"/>
              </w:rPr>
              <w:t xml:space="preserve">Classification de </w:t>
            </w:r>
            <w:proofErr w:type="spellStart"/>
            <w:proofErr w:type="gramStart"/>
            <w:r w:rsidRPr="00FE3EAB">
              <w:rPr>
                <w:rFonts w:ascii="Arial" w:eastAsia="Calibri" w:hAnsi="Arial" w:cs="Arial"/>
                <w:b/>
                <w:szCs w:val="24"/>
                <w:lang w:eastAsia="en-CA" w:bidi="en-US"/>
              </w:rPr>
              <w:t>l’industrie</w:t>
            </w:r>
            <w:proofErr w:type="spellEnd"/>
            <w:r w:rsidRPr="00FE3EAB">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41DC64EA"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rPr>
                <w:rFonts w:ascii="Arial" w:eastAsia="Calibri" w:hAnsi="Arial" w:cs="Arial"/>
                <w:bCs/>
                <w:szCs w:val="24"/>
                <w:lang w:eastAsia="en-CA" w:bidi="en-US"/>
              </w:rPr>
            </w:pPr>
            <w:r w:rsidRPr="00FE3EAB">
              <w:rPr>
                <w:rFonts w:ascii="Arial" w:eastAsia="Calibri" w:hAnsi="Arial" w:cs="Arial"/>
                <w:bCs/>
                <w:szCs w:val="24"/>
                <w:lang w:eastAsia="en-CA" w:bidi="en-US"/>
              </w:rPr>
              <w:t>A, D, E</w:t>
            </w:r>
          </w:p>
        </w:tc>
        <w:tc>
          <w:tcPr>
            <w:tcW w:w="390" w:type="dxa"/>
            <w:tcBorders>
              <w:top w:val="nil"/>
              <w:left w:val="nil"/>
              <w:bottom w:val="single" w:sz="8" w:space="0" w:color="C0C0C0"/>
              <w:right w:val="nil"/>
            </w:tcBorders>
            <w:vAlign w:val="center"/>
            <w:hideMark/>
          </w:tcPr>
          <w:p w14:paraId="3F18354B"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rPr>
                <w:rFonts w:ascii="Arial" w:eastAsia="Calibri" w:hAnsi="Arial" w:cs="Arial"/>
                <w:bCs/>
                <w:szCs w:val="24"/>
                <w:lang w:eastAsia="en-CA" w:bidi="en-US"/>
              </w:rPr>
            </w:pPr>
            <w:r w:rsidRPr="00FE3EAB">
              <w:rPr>
                <w:rFonts w:ascii="Arial" w:eastAsia="Calibri" w:hAnsi="Arial" w:cs="Arial"/>
                <w:bCs/>
                <w:szCs w:val="24"/>
                <w:lang w:eastAsia="en-CA" w:bidi="en-US"/>
              </w:rPr>
              <w:t> </w:t>
            </w:r>
          </w:p>
        </w:tc>
      </w:tr>
      <w:tr w:rsidR="00FE3EAB" w:rsidRPr="00D315AF" w14:paraId="533A8162"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vAlign w:val="center"/>
            <w:hideMark/>
          </w:tcPr>
          <w:p w14:paraId="7B17ED41"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r w:rsidRPr="00FE3EAB">
              <w:rPr>
                <w:rFonts w:ascii="Arial" w:eastAsia="Calibri" w:hAnsi="Arial" w:cs="Arial"/>
                <w:b/>
                <w:szCs w:val="24"/>
                <w:lang w:eastAsia="en-CA" w:bidi="en-US"/>
              </w:rPr>
              <w:t>Type</w:t>
            </w:r>
          </w:p>
          <w:p w14:paraId="5FF5D70A"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proofErr w:type="spellStart"/>
            <w:proofErr w:type="gramStart"/>
            <w:r w:rsidRPr="00FE3EAB">
              <w:rPr>
                <w:rFonts w:ascii="Arial" w:eastAsia="Calibri" w:hAnsi="Arial" w:cs="Arial"/>
                <w:b/>
                <w:szCs w:val="24"/>
                <w:lang w:eastAsia="en-CA" w:bidi="en-US"/>
              </w:rPr>
              <w:t>d’exception</w:t>
            </w:r>
            <w:proofErr w:type="spellEnd"/>
            <w:r w:rsidRPr="00FE3EAB">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7547815B"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Article 301 (Droit d’entrée et de sortie), article 307 (Accès aux marchés – Services), article 312 (Accès aux marchés – Investissement) </w:t>
            </w:r>
          </w:p>
        </w:tc>
      </w:tr>
      <w:tr w:rsidR="00FE3EAB" w:rsidRPr="00FE3EAB" w14:paraId="5697AC94"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06827A3A"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proofErr w:type="spellStart"/>
            <w:proofErr w:type="gramStart"/>
            <w:r w:rsidRPr="00FE3EAB">
              <w:rPr>
                <w:rFonts w:ascii="Arial" w:eastAsia="Calibri" w:hAnsi="Arial" w:cs="Arial"/>
                <w:b/>
                <w:szCs w:val="24"/>
                <w:lang w:eastAsia="en-CA" w:bidi="en-US"/>
              </w:rPr>
              <w:t>Mesures</w:t>
            </w:r>
            <w:proofErr w:type="spellEnd"/>
            <w:r w:rsidRPr="00FE3EAB">
              <w:rPr>
                <w:rFonts w:ascii="Arial" w:eastAsia="Calibri" w:hAnsi="Arial" w:cs="Arial"/>
                <w:b/>
                <w:szCs w:val="24"/>
                <w:lang w:eastAsia="en-CA" w:bidi="en-US"/>
              </w:rPr>
              <w:t xml:space="preserve"> :</w:t>
            </w:r>
            <w:proofErr w:type="gramEnd"/>
            <w:r w:rsidRPr="00FE3EAB">
              <w:rPr>
                <w:rFonts w:ascii="Arial" w:eastAsia="Calibri" w:hAnsi="Arial" w:cs="Arial"/>
                <w:b/>
                <w:szCs w:val="24"/>
                <w:lang w:eastAsia="en-CA" w:bidi="en-US"/>
              </w:rPr>
              <w:t xml:space="preserve"> </w:t>
            </w:r>
          </w:p>
        </w:tc>
      </w:tr>
      <w:tr w:rsidR="00FE3EAB" w:rsidRPr="00D315AF" w14:paraId="73E8E1ED"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3C49BBC"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i/>
                <w:iCs/>
                <w:szCs w:val="24"/>
                <w:lang w:val="fr-CA" w:eastAsia="en-CA" w:bidi="en-US"/>
              </w:rPr>
              <w:t>Loi de 2018 sur les licences liées au cannabis</w:t>
            </w:r>
            <w:r w:rsidRPr="00FE3EAB">
              <w:rPr>
                <w:rFonts w:ascii="Arial" w:eastAsia="Calibri" w:hAnsi="Arial" w:cs="Arial"/>
                <w:bCs/>
                <w:szCs w:val="24"/>
                <w:lang w:val="fr-CA" w:eastAsia="en-CA" w:bidi="en-US"/>
              </w:rPr>
              <w:t xml:space="preserve">, L.O. 2018, ch. 12, annexe 2 </w:t>
            </w:r>
          </w:p>
          <w:p w14:paraId="78973956"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Règlement de l’Ontario 468/18 (dispositions générales) en vertu de la </w:t>
            </w:r>
            <w:r w:rsidRPr="00FE3EAB">
              <w:rPr>
                <w:rFonts w:ascii="Arial" w:eastAsia="Calibri" w:hAnsi="Arial" w:cs="Arial"/>
                <w:bCs/>
                <w:i/>
                <w:iCs/>
                <w:szCs w:val="24"/>
                <w:lang w:val="fr-CA" w:eastAsia="en-CA" w:bidi="en-US"/>
              </w:rPr>
              <w:t>Loi de 2018 sur les licences liées au cannabis</w:t>
            </w:r>
            <w:r w:rsidRPr="00FE3EAB">
              <w:rPr>
                <w:rFonts w:ascii="Arial" w:eastAsia="Calibri" w:hAnsi="Arial" w:cs="Arial"/>
                <w:bCs/>
                <w:szCs w:val="24"/>
                <w:lang w:val="fr-CA" w:eastAsia="en-CA" w:bidi="en-US"/>
              </w:rPr>
              <w:t xml:space="preserve"> </w:t>
            </w:r>
          </w:p>
          <w:p w14:paraId="5C7F815D"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i/>
                <w:iCs/>
                <w:szCs w:val="24"/>
                <w:lang w:val="fr-CA" w:eastAsia="en-CA" w:bidi="en-US"/>
              </w:rPr>
              <w:t>Loi de 2017 sur le contrôle du cannabis,</w:t>
            </w:r>
            <w:r w:rsidRPr="00FE3EAB">
              <w:rPr>
                <w:rFonts w:ascii="Arial" w:eastAsia="Calibri" w:hAnsi="Arial" w:cs="Arial"/>
                <w:bCs/>
                <w:szCs w:val="24"/>
                <w:lang w:val="fr-CA" w:eastAsia="en-CA" w:bidi="en-US"/>
              </w:rPr>
              <w:t xml:space="preserve"> L.O. 2017, ch. 26, annexe 1 </w:t>
            </w:r>
          </w:p>
          <w:p w14:paraId="2292C6FF"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i/>
                <w:iCs/>
                <w:szCs w:val="24"/>
                <w:lang w:val="fr-CA" w:eastAsia="en-CA" w:bidi="en-US"/>
              </w:rPr>
              <w:t>Loi de 2017 sur la Société ontarienne de vente du cannabis</w:t>
            </w:r>
            <w:r w:rsidRPr="00FE3EAB">
              <w:rPr>
                <w:rFonts w:ascii="Arial" w:eastAsia="Calibri" w:hAnsi="Arial" w:cs="Arial"/>
                <w:bCs/>
                <w:szCs w:val="24"/>
                <w:lang w:val="fr-CA" w:eastAsia="en-CA" w:bidi="en-US"/>
              </w:rPr>
              <w:t>, L.O. 2017, ch. 26, annexe 2</w:t>
            </w:r>
          </w:p>
        </w:tc>
      </w:tr>
      <w:tr w:rsidR="00FE3EAB" w:rsidRPr="00FE3EAB" w14:paraId="7BDED464"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48303144"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
                <w:szCs w:val="24"/>
                <w:lang w:eastAsia="en-CA" w:bidi="en-US"/>
              </w:rPr>
            </w:pPr>
            <w:proofErr w:type="gramStart"/>
            <w:r w:rsidRPr="00FE3EAB">
              <w:rPr>
                <w:rFonts w:ascii="Arial" w:eastAsia="Calibri" w:hAnsi="Arial" w:cs="Arial"/>
                <w:b/>
                <w:szCs w:val="24"/>
                <w:lang w:eastAsia="en-CA" w:bidi="en-US"/>
              </w:rPr>
              <w:t>Description :</w:t>
            </w:r>
            <w:proofErr w:type="gramEnd"/>
          </w:p>
        </w:tc>
      </w:tr>
      <w:tr w:rsidR="00FE3EAB" w:rsidRPr="00D315AF" w14:paraId="7CB26718"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2E87069A"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 Les mesures susmentionnées permettent à l’Ontario : </w:t>
            </w:r>
          </w:p>
          <w:p w14:paraId="0D15089B"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a) de limiter le nombre de magasins de vente au détail exploités par des producteurs autorisés par le gouvernement fédéral et leur emplacement; </w:t>
            </w:r>
          </w:p>
          <w:p w14:paraId="7AF7E0CC"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b) de limiter l’admissibilité à une licence d’exploitation pour vente au détail en fonction : i) de la propriété ou du contrôle partiel ou total, direct ou indirect par des producteurs autorisés par le gouvernement fédéral ou leurs sociétés affiliées, ou ii) de la propriété ou du contrôle partiel ou total, direct ou indirect par un producteur autorisé par le gouvernement fédéral et ses sociétés affiliées;</w:t>
            </w:r>
          </w:p>
          <w:p w14:paraId="1277DEAF"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c) de limiter le nombre d’autorisations d’exploitation d’un magasin de vente au détail détenues par les titulaires de licences d’exploitation pour vente au détail et leurs sociétés affiliées; </w:t>
            </w:r>
          </w:p>
          <w:p w14:paraId="1BA69AB2"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d) d’interdire la vente de cannabis en Ontario, sauf par l’intermédiaire de la Société ontarienne de </w:t>
            </w:r>
            <w:r w:rsidRPr="00FE3EAB">
              <w:rPr>
                <w:rFonts w:ascii="Arial" w:eastAsia="Calibri" w:hAnsi="Arial" w:cs="Arial"/>
                <w:bCs/>
                <w:szCs w:val="24"/>
                <w:lang w:val="fr-CA" w:eastAsia="en-CA" w:bidi="en-US"/>
              </w:rPr>
              <w:lastRenderedPageBreak/>
              <w:t xml:space="preserve">vente du cannabis (SOVC) et des détenteurs d’une autorisation d’exploitation d’un magasin de vente au détail de cannabis en Ontario; </w:t>
            </w:r>
          </w:p>
          <w:p w14:paraId="61895E34" w14:textId="77777777" w:rsidR="00FE3EAB" w:rsidRPr="00FE3EAB" w:rsidRDefault="00FE3EAB" w:rsidP="00FE3EAB">
            <w:pPr>
              <w:widowControl w:val="0"/>
              <w:numPr>
                <w:ilvl w:val="0"/>
                <w:numId w:val="439"/>
              </w:numPr>
              <w:tabs>
                <w:tab w:val="left" w:pos="720"/>
                <w:tab w:val="left" w:pos="1440"/>
                <w:tab w:val="left" w:pos="2160"/>
                <w:tab w:val="left" w:pos="2880"/>
              </w:tabs>
              <w:autoSpaceDE w:val="0"/>
              <w:autoSpaceDN w:val="0"/>
              <w:adjustRightInd w:val="0"/>
              <w:spacing w:before="60" w:after="60"/>
              <w:rPr>
                <w:rFonts w:ascii="Arial" w:eastAsia="Calibri" w:hAnsi="Arial" w:cs="Arial"/>
                <w:bCs/>
                <w:szCs w:val="24"/>
                <w:lang w:val="fr-CA" w:eastAsia="en-CA" w:bidi="en-US"/>
              </w:rPr>
            </w:pPr>
            <w:r w:rsidRPr="00FE3EAB">
              <w:rPr>
                <w:rFonts w:ascii="Arial" w:eastAsia="Calibri" w:hAnsi="Arial" w:cs="Arial"/>
                <w:bCs/>
                <w:szCs w:val="24"/>
                <w:lang w:val="fr-CA" w:eastAsia="en-CA" w:bidi="en-US"/>
              </w:rPr>
              <w:t>e) de donner le droit exclusif à la SOVC, sous réserve de certaines exceptions, de vendre du cannabis :</w:t>
            </w:r>
          </w:p>
          <w:p w14:paraId="6DEFCBED" w14:textId="77777777" w:rsidR="00FE3EAB" w:rsidRPr="00FE3EAB" w:rsidRDefault="00FE3EAB" w:rsidP="00FE3EAB">
            <w:pPr>
              <w:spacing w:before="60" w:after="60"/>
              <w:ind w:left="720"/>
              <w:rPr>
                <w:rFonts w:ascii="Arial" w:eastAsia="Calibri" w:hAnsi="Arial" w:cs="Arial"/>
                <w:bCs/>
                <w:szCs w:val="24"/>
                <w:lang w:val="fr-CA" w:eastAsia="en-CA" w:bidi="en-US"/>
              </w:rPr>
            </w:pPr>
            <w:r w:rsidRPr="00FE3EAB">
              <w:rPr>
                <w:rFonts w:ascii="Arial" w:eastAsia="Calibri" w:hAnsi="Arial" w:cs="Arial"/>
                <w:bCs/>
                <w:szCs w:val="24"/>
                <w:lang w:val="fr-CA" w:eastAsia="en-CA" w:bidi="en-US"/>
              </w:rPr>
              <w:t xml:space="preserve">i) en ligne, sans l’intermédiaire d’un magasin de vente au détail de cannabis en vertu de la </w:t>
            </w:r>
            <w:r w:rsidRPr="00FE3EAB">
              <w:rPr>
                <w:rFonts w:ascii="Arial" w:eastAsia="Calibri" w:hAnsi="Arial" w:cs="Arial"/>
                <w:bCs/>
                <w:i/>
                <w:iCs/>
                <w:szCs w:val="24"/>
                <w:lang w:val="fr-CA" w:eastAsia="en-CA" w:bidi="en-US"/>
              </w:rPr>
              <w:t>Loi de 2018 sur les licences liées au cannabis</w:t>
            </w:r>
            <w:r w:rsidRPr="00FE3EAB">
              <w:rPr>
                <w:rFonts w:ascii="Arial" w:eastAsia="Calibri" w:hAnsi="Arial" w:cs="Arial"/>
                <w:bCs/>
                <w:szCs w:val="24"/>
                <w:lang w:val="fr-CA" w:eastAsia="en-CA" w:bidi="en-US"/>
              </w:rPr>
              <w:t>; et</w:t>
            </w:r>
          </w:p>
          <w:p w14:paraId="236F378A" w14:textId="77777777" w:rsidR="00FE3EAB" w:rsidRPr="00FE3EAB" w:rsidRDefault="00FE3EAB" w:rsidP="00FE3EAB">
            <w:pPr>
              <w:spacing w:before="60" w:after="60"/>
              <w:ind w:left="720"/>
              <w:rPr>
                <w:rFonts w:ascii="Arial" w:eastAsia="Calibri" w:hAnsi="Arial" w:cs="Arial"/>
                <w:bCs/>
                <w:szCs w:val="24"/>
                <w:lang w:val="fr-CA" w:eastAsia="en-CA" w:bidi="en-US"/>
              </w:rPr>
            </w:pPr>
            <w:r w:rsidRPr="00FE3EAB">
              <w:rPr>
                <w:rFonts w:ascii="Arial" w:eastAsia="Calibri" w:hAnsi="Arial" w:cs="Arial"/>
                <w:bCs/>
                <w:szCs w:val="24"/>
                <w:lang w:val="fr-CA" w:eastAsia="en-CA" w:bidi="en-US"/>
              </w:rPr>
              <w:t>ii) au titulaire d’une autorisation d’exploitation d’un magasin de vente au détail aux fins de revente.</w:t>
            </w:r>
          </w:p>
        </w:tc>
      </w:tr>
    </w:tbl>
    <w:p w14:paraId="4EE6E5AE" w14:textId="77777777" w:rsidR="00FE3EAB" w:rsidRPr="00F52884" w:rsidRDefault="00FE3EAB">
      <w:pPr>
        <w:rPr>
          <w:rFonts w:eastAsia="Times New Roman" w:cstheme="minorHAnsi"/>
          <w:b/>
          <w:szCs w:val="23"/>
          <w:lang w:val="fr-FR"/>
        </w:rPr>
      </w:pPr>
    </w:p>
    <w:p w14:paraId="73F3570A" w14:textId="77777777" w:rsidR="00B8348C" w:rsidRPr="00F52884" w:rsidRDefault="00B8348C" w:rsidP="00F52884">
      <w:pPr>
        <w:pStyle w:val="Heading3"/>
        <w:jc w:val="center"/>
        <w:rPr>
          <w:sz w:val="24"/>
          <w:szCs w:val="24"/>
          <w:lang w:val="fr-CA"/>
        </w:rPr>
      </w:pPr>
      <w:bookmarkStart w:id="278" w:name="_Toc156311789"/>
      <w:r w:rsidRPr="00F52884">
        <w:rPr>
          <w:sz w:val="24"/>
          <w:szCs w:val="24"/>
          <w:lang w:val="fr-CA"/>
        </w:rPr>
        <w:t>Liste du Québec</w:t>
      </w:r>
      <w:bookmarkEnd w:id="278"/>
    </w:p>
    <w:p w14:paraId="595F0D1F" w14:textId="77777777" w:rsidR="00B8348C" w:rsidRPr="00F52884" w:rsidRDefault="00B8348C" w:rsidP="00610CDD">
      <w:pPr>
        <w:pStyle w:val="ListParagraph"/>
        <w:ind w:left="-142"/>
        <w:rPr>
          <w:rFonts w:cstheme="minorHAnsi"/>
          <w:b/>
          <w:sz w:val="24"/>
          <w:szCs w:val="24"/>
          <w:lang w:val="fr-CA"/>
        </w:rPr>
      </w:pPr>
    </w:p>
    <w:p w14:paraId="2E874D15" w14:textId="77777777" w:rsidR="00B8348C" w:rsidRPr="00F52884" w:rsidRDefault="00B8348C" w:rsidP="00610CDD">
      <w:pPr>
        <w:pStyle w:val="ListParagraph"/>
        <w:ind w:left="-142"/>
        <w:jc w:val="center"/>
        <w:rPr>
          <w:rFonts w:cstheme="minorHAnsi"/>
          <w:b/>
          <w:sz w:val="24"/>
          <w:szCs w:val="24"/>
          <w:lang w:val="fr-CA"/>
        </w:rPr>
      </w:pPr>
      <w:r w:rsidRPr="00F52884">
        <w:rPr>
          <w:rFonts w:cstheme="minorHAnsi"/>
          <w:b/>
          <w:sz w:val="24"/>
          <w:szCs w:val="24"/>
          <w:lang w:val="fr-CA"/>
        </w:rPr>
        <w:t>Annexe I</w:t>
      </w:r>
    </w:p>
    <w:p w14:paraId="17A4EAE9" w14:textId="77777777" w:rsidR="00B8348C" w:rsidRPr="00F52884" w:rsidRDefault="00B8348C" w:rsidP="00610CDD">
      <w:pPr>
        <w:pStyle w:val="ListParagraph"/>
        <w:ind w:left="-142"/>
        <w:rPr>
          <w:rFonts w:cstheme="minorHAnsi"/>
          <w:szCs w:val="23"/>
          <w:lang w:val="fr-CA"/>
        </w:rPr>
      </w:pPr>
    </w:p>
    <w:p w14:paraId="2CD49CAD" w14:textId="294FE035"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 </w:t>
      </w:r>
      <w:r w:rsidR="00632D41" w:rsidRPr="00F52884">
        <w:rPr>
          <w:rFonts w:cstheme="minorHAnsi"/>
          <w:b/>
          <w:szCs w:val="23"/>
          <w:lang w:val="fr-CA"/>
        </w:rPr>
        <w:t xml:space="preserve">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29432AF4" w14:textId="77777777" w:rsidTr="00DF62A7">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38B5CE1" w14:textId="7A7205EE"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4477213E" w14:textId="1DF01E62" w:rsidR="00B8348C" w:rsidRPr="00F52884" w:rsidRDefault="00DF62A7" w:rsidP="00C60FB9">
            <w:pPr>
              <w:spacing w:before="60" w:after="60"/>
              <w:rPr>
                <w:rFonts w:cstheme="minorHAnsi"/>
                <w:szCs w:val="23"/>
                <w:lang w:val="fr-CA"/>
              </w:rPr>
            </w:pPr>
            <w:r w:rsidRPr="00F52884">
              <w:rPr>
                <w:rFonts w:cstheme="minorHAnsi"/>
                <w:szCs w:val="23"/>
                <w:lang w:val="fr-CA"/>
              </w:rPr>
              <w:t>Services immobiliers</w:t>
            </w:r>
          </w:p>
        </w:tc>
      </w:tr>
      <w:tr w:rsidR="00B8348C" w:rsidRPr="00F52884" w14:paraId="185CA460" w14:textId="77777777" w:rsidTr="00DF62A7">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10D3ADE8" w14:textId="2416D185"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23C359E6" w14:textId="73A6B4D6" w:rsidR="00B8348C" w:rsidRPr="00F52884" w:rsidRDefault="00DF62A7" w:rsidP="00C60FB9">
            <w:pPr>
              <w:spacing w:before="60" w:after="60"/>
              <w:rPr>
                <w:rFonts w:cstheme="minorHAnsi"/>
                <w:szCs w:val="23"/>
                <w:lang w:val="fr-CA"/>
              </w:rPr>
            </w:pPr>
            <w:proofErr w:type="gramStart"/>
            <w:r w:rsidRPr="00F52884">
              <w:rPr>
                <w:rFonts w:cstheme="minorHAnsi"/>
                <w:szCs w:val="23"/>
                <w:lang w:val="fr-CA"/>
              </w:rPr>
              <w:t>services</w:t>
            </w:r>
            <w:proofErr w:type="gramEnd"/>
            <w:r w:rsidRPr="00F52884">
              <w:rPr>
                <w:rFonts w:cstheme="minorHAnsi"/>
                <w:szCs w:val="23"/>
                <w:lang w:val="fr-CA"/>
              </w:rPr>
              <w:t xml:space="preserve"> immobiliers</w:t>
            </w:r>
          </w:p>
        </w:tc>
      </w:tr>
      <w:tr w:rsidR="00B8348C" w:rsidRPr="00F52884" w14:paraId="3A2DEE19" w14:textId="77777777" w:rsidTr="00DF62A7">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51AA5DB" w14:textId="40F587A2"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5A599820" w14:textId="04F59DED" w:rsidR="00B8348C" w:rsidRPr="00F52884" w:rsidRDefault="00DF62A7" w:rsidP="00C60FB9">
            <w:pPr>
              <w:spacing w:before="60" w:after="60"/>
              <w:ind w:left="4"/>
              <w:rPr>
                <w:rFonts w:cstheme="minorHAnsi"/>
                <w:szCs w:val="23"/>
                <w:lang w:val="fr-CA"/>
              </w:rPr>
            </w:pPr>
            <w:r w:rsidRPr="00F52884">
              <w:rPr>
                <w:rFonts w:cstheme="minorHAnsi"/>
                <w:szCs w:val="23"/>
                <w:lang w:val="fr-CA"/>
              </w:rPr>
              <w:t>CPC 821, 822</w:t>
            </w:r>
          </w:p>
        </w:tc>
      </w:tr>
      <w:tr w:rsidR="00DF62A7" w:rsidRPr="00F52884" w14:paraId="10311E0A"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61A33FCF" w14:textId="77777777"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0F141332" w14:textId="18736B7A"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65BBC1C4"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75A13F0" w14:textId="77777777" w:rsidR="00B8348C" w:rsidRPr="00F52884" w:rsidRDefault="00B8348C" w:rsidP="00D1446B">
            <w:pPr>
              <w:spacing w:before="60" w:after="60"/>
              <w:rPr>
                <w:b/>
                <w:lang w:val="fr-CA"/>
              </w:rPr>
            </w:pPr>
            <w:r w:rsidRPr="00F52884">
              <w:rPr>
                <w:b/>
                <w:lang w:val="fr-CA"/>
              </w:rPr>
              <w:t>Mesure(s) :</w:t>
            </w:r>
          </w:p>
        </w:tc>
      </w:tr>
      <w:tr w:rsidR="00B8348C" w:rsidRPr="00D315AF" w14:paraId="3D0FFB28"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6F056566" w14:textId="4D01ADA2" w:rsidR="00B8348C" w:rsidRPr="00F52884" w:rsidRDefault="00B8348C" w:rsidP="00C60FB9">
            <w:pPr>
              <w:spacing w:before="60" w:after="60"/>
              <w:rPr>
                <w:rFonts w:cstheme="minorHAnsi"/>
                <w:szCs w:val="23"/>
                <w:lang w:val="fr-CA"/>
              </w:rPr>
            </w:pPr>
            <w:r w:rsidRPr="00F52884">
              <w:rPr>
                <w:rStyle w:val="Emphasis"/>
                <w:rFonts w:cstheme="minorHAnsi"/>
                <w:b w:val="0"/>
                <w:szCs w:val="23"/>
                <w:shd w:val="clear" w:color="auto" w:fill="FFFFFF"/>
                <w:lang w:val="fr-CA"/>
              </w:rPr>
              <w:t>Loi sur le courtage immobilier,</w:t>
            </w:r>
            <w:r w:rsidRPr="00F52884">
              <w:rPr>
                <w:rStyle w:val="apple-converted-space"/>
                <w:rFonts w:cstheme="minorHAnsi"/>
                <w:szCs w:val="23"/>
                <w:shd w:val="clear" w:color="auto" w:fill="FFFFFF"/>
                <w:lang w:val="fr-CA"/>
              </w:rPr>
              <w:t> </w:t>
            </w:r>
            <w:r w:rsidRPr="00F52884">
              <w:rPr>
                <w:rFonts w:cstheme="minorHAnsi"/>
                <w:szCs w:val="23"/>
                <w:shd w:val="clear" w:color="auto" w:fill="FFFFFF"/>
                <w:lang w:val="fr-CA"/>
              </w:rPr>
              <w:t>RLRQ c C-73.2</w:t>
            </w:r>
          </w:p>
        </w:tc>
      </w:tr>
      <w:tr w:rsidR="00B8348C" w:rsidRPr="00F52884" w14:paraId="3FB09B41"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23062C" w14:textId="77777777" w:rsidR="00B8348C" w:rsidRPr="00F52884" w:rsidRDefault="00B8348C" w:rsidP="00D1446B">
            <w:pPr>
              <w:spacing w:before="60" w:after="60"/>
              <w:rPr>
                <w:b/>
                <w:lang w:val="fr-CA"/>
              </w:rPr>
            </w:pPr>
            <w:r w:rsidRPr="00F52884">
              <w:rPr>
                <w:b/>
                <w:lang w:val="fr-CA"/>
              </w:rPr>
              <w:t>Description :</w:t>
            </w:r>
          </w:p>
        </w:tc>
      </w:tr>
      <w:tr w:rsidR="00B8348C" w:rsidRPr="00F52884" w14:paraId="54269536"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7540DB36" w14:textId="77777777" w:rsidR="00B8348C" w:rsidRPr="00F52884" w:rsidRDefault="00B8348C" w:rsidP="00C60FB9">
            <w:pPr>
              <w:spacing w:before="60" w:after="60"/>
              <w:rPr>
                <w:rFonts w:cstheme="minorHAnsi"/>
                <w:szCs w:val="23"/>
                <w:lang w:val="fr-CA"/>
              </w:rPr>
            </w:pPr>
            <w:r w:rsidRPr="00F52884">
              <w:rPr>
                <w:rFonts w:cstheme="minorHAnsi"/>
                <w:szCs w:val="23"/>
                <w:lang w:val="fr-CA"/>
              </w:rPr>
              <w:t>Un courtier doit avoir un établissement au Québec. Dans le cas d’un courtier qui agit pour une agence, son établissement est celui de l’agence. Toutes les agences doivent avoir un établissement au Québec.</w:t>
            </w:r>
          </w:p>
        </w:tc>
      </w:tr>
    </w:tbl>
    <w:p w14:paraId="6737165A" w14:textId="77777777" w:rsidR="00B8348C" w:rsidRPr="00F52884" w:rsidRDefault="00B8348C" w:rsidP="00610CDD">
      <w:pPr>
        <w:rPr>
          <w:rFonts w:cstheme="minorHAnsi"/>
          <w:b/>
          <w:szCs w:val="23"/>
          <w:lang w:val="fr-CA"/>
        </w:rPr>
      </w:pPr>
    </w:p>
    <w:p w14:paraId="47615D73" w14:textId="77777777" w:rsidR="00B8348C" w:rsidRPr="00F52884" w:rsidRDefault="00B8348C" w:rsidP="00610CDD">
      <w:pPr>
        <w:rPr>
          <w:rFonts w:cstheme="minorHAnsi"/>
          <w:b/>
          <w:szCs w:val="23"/>
          <w:lang w:val="fr-CA"/>
        </w:rPr>
      </w:pPr>
    </w:p>
    <w:p w14:paraId="7D4AEE0C" w14:textId="59BF8FFB" w:rsidR="00B8348C" w:rsidRPr="00F52884" w:rsidRDefault="00744339" w:rsidP="00C60FB9">
      <w:pPr>
        <w:spacing w:before="60" w:after="60"/>
        <w:ind w:left="-360"/>
        <w:rPr>
          <w:rFonts w:cstheme="minorHAnsi"/>
          <w:b/>
          <w:szCs w:val="23"/>
          <w:lang w:val="fr-CA"/>
        </w:rPr>
      </w:pPr>
      <w:r w:rsidRPr="00F52884">
        <w:rPr>
          <w:rFonts w:cstheme="minorHAnsi"/>
          <w:b/>
          <w:szCs w:val="23"/>
          <w:lang w:val="fr-CA"/>
        </w:rPr>
        <w:t xml:space="preserve">2.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52318E75" w14:textId="77777777" w:rsidTr="00DF62A7">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E9B4A6E" w14:textId="4408100A"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66833267" w14:textId="55742FF4" w:rsidR="00B8348C" w:rsidRPr="00F52884" w:rsidRDefault="00DF62A7" w:rsidP="00C60FB9">
            <w:pPr>
              <w:spacing w:before="60" w:after="60"/>
              <w:rPr>
                <w:rFonts w:cstheme="minorHAnsi"/>
                <w:szCs w:val="23"/>
                <w:lang w:val="fr-CA"/>
              </w:rPr>
            </w:pPr>
            <w:r w:rsidRPr="00F52884">
              <w:rPr>
                <w:rFonts w:cstheme="minorHAnsi"/>
                <w:szCs w:val="23"/>
                <w:lang w:val="fr-CA"/>
              </w:rPr>
              <w:t>Transport</w:t>
            </w:r>
          </w:p>
        </w:tc>
      </w:tr>
      <w:tr w:rsidR="00B8348C" w:rsidRPr="00F52884" w14:paraId="57CBC57E" w14:textId="77777777" w:rsidTr="00DF62A7">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5232EDB4" w14:textId="688AF976"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06D5EC02" w14:textId="573CB483" w:rsidR="00B8348C" w:rsidRPr="00F52884" w:rsidRDefault="00DF62A7" w:rsidP="00C60FB9">
            <w:pPr>
              <w:spacing w:before="60" w:after="60"/>
              <w:rPr>
                <w:rFonts w:cstheme="minorHAnsi"/>
                <w:szCs w:val="23"/>
                <w:lang w:val="fr-CA"/>
              </w:rPr>
            </w:pPr>
            <w:r w:rsidRPr="00F52884">
              <w:rPr>
                <w:rFonts w:cstheme="minorHAnsi"/>
                <w:szCs w:val="23"/>
                <w:lang w:val="fr-CA"/>
              </w:rPr>
              <w:t>Transport terrestre</w:t>
            </w:r>
          </w:p>
        </w:tc>
      </w:tr>
      <w:tr w:rsidR="00B8348C" w:rsidRPr="00F52884" w14:paraId="600361C2" w14:textId="77777777" w:rsidTr="00DF62A7">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F645887" w14:textId="529E3776"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07A50026" w14:textId="0538211A" w:rsidR="00B8348C" w:rsidRPr="00F52884" w:rsidRDefault="00DF62A7" w:rsidP="00C60FB9">
            <w:pPr>
              <w:spacing w:before="60" w:after="60"/>
              <w:ind w:left="4"/>
              <w:rPr>
                <w:rFonts w:cstheme="minorHAnsi"/>
                <w:szCs w:val="23"/>
                <w:lang w:val="fr-CA"/>
              </w:rPr>
            </w:pPr>
            <w:r w:rsidRPr="00F52884">
              <w:rPr>
                <w:rFonts w:cstheme="minorHAnsi"/>
                <w:szCs w:val="23"/>
                <w:lang w:val="fr-CA"/>
              </w:rPr>
              <w:t>CPC 71231, 71232, 71233, 71234</w:t>
            </w:r>
          </w:p>
        </w:tc>
      </w:tr>
      <w:tr w:rsidR="00DF62A7" w:rsidRPr="00D315AF" w14:paraId="740FC98B"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7D73C9E1" w14:textId="77777777"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7CCA32E7" w14:textId="2FAE6B44"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307 (Accès au marché –</w:t>
            </w:r>
            <w:r w:rsidRPr="00F52884" w:rsidDel="00E336BF">
              <w:rPr>
                <w:rFonts w:asciiTheme="minorHAnsi" w:hAnsiTheme="minorHAnsi" w:cstheme="minorHAnsi"/>
                <w:sz w:val="23"/>
                <w:szCs w:val="23"/>
                <w:lang w:val="fr-CA"/>
              </w:rPr>
              <w:t xml:space="preserve"> </w:t>
            </w:r>
            <w:r w:rsidRPr="00F52884">
              <w:rPr>
                <w:rFonts w:asciiTheme="minorHAnsi" w:hAnsiTheme="minorHAnsi" w:cstheme="minorHAnsi"/>
                <w:sz w:val="23"/>
                <w:szCs w:val="23"/>
                <w:lang w:val="fr-CA"/>
              </w:rPr>
              <w:t>Services), article 312 (Accès au marché –</w:t>
            </w:r>
            <w:r w:rsidRPr="00F52884" w:rsidDel="00E336BF">
              <w:rPr>
                <w:rFonts w:asciiTheme="minorHAnsi" w:hAnsiTheme="minorHAnsi" w:cstheme="minorHAnsi"/>
                <w:sz w:val="23"/>
                <w:szCs w:val="23"/>
                <w:lang w:val="fr-CA"/>
              </w:rPr>
              <w:t xml:space="preserve"> </w:t>
            </w:r>
            <w:r w:rsidRPr="00F52884">
              <w:rPr>
                <w:rFonts w:asciiTheme="minorHAnsi" w:hAnsiTheme="minorHAnsi" w:cstheme="minorHAnsi"/>
                <w:sz w:val="23"/>
                <w:szCs w:val="23"/>
                <w:lang w:val="fr-CA"/>
              </w:rPr>
              <w:t>Investissement), article 313 (Prescription de résultats)</w:t>
            </w:r>
          </w:p>
        </w:tc>
      </w:tr>
      <w:tr w:rsidR="00B8348C" w:rsidRPr="00F52884" w14:paraId="36582BF4"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CB3BCA1" w14:textId="77777777" w:rsidR="00B8348C" w:rsidRPr="00F52884" w:rsidRDefault="00B8348C" w:rsidP="00D1446B">
            <w:pPr>
              <w:spacing w:before="60" w:after="60"/>
              <w:rPr>
                <w:b/>
                <w:lang w:val="fr-CA"/>
              </w:rPr>
            </w:pPr>
            <w:r w:rsidRPr="00F52884">
              <w:rPr>
                <w:b/>
                <w:lang w:val="fr-CA"/>
              </w:rPr>
              <w:t>Mesure(s) :</w:t>
            </w:r>
          </w:p>
        </w:tc>
      </w:tr>
      <w:tr w:rsidR="00B8348C" w:rsidRPr="00D315AF" w14:paraId="3A0C4343"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6F9B03B5" w14:textId="6601C148" w:rsidR="00B8348C" w:rsidRPr="00F52884" w:rsidRDefault="00B8348C" w:rsidP="00C60FB9">
            <w:pPr>
              <w:pStyle w:val="NormalWeb"/>
              <w:shd w:val="clear" w:color="auto" w:fill="FFFFFF"/>
              <w:spacing w:before="60" w:beforeAutospacing="0" w:after="60" w:afterAutospacing="0"/>
              <w:rPr>
                <w:rStyle w:val="Emphasis"/>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 ministère des Transports,</w:t>
            </w:r>
            <w:r w:rsidRPr="00F52884">
              <w:rPr>
                <w:rStyle w:val="Emphasis"/>
                <w:rFonts w:asciiTheme="minorHAnsi" w:hAnsiTheme="minorHAnsi" w:cstheme="minorHAnsi"/>
                <w:szCs w:val="23"/>
                <w:lang w:val="fr-CA"/>
              </w:rPr>
              <w:t> </w:t>
            </w:r>
            <w:r w:rsidRPr="00F52884">
              <w:rPr>
                <w:rFonts w:asciiTheme="minorHAnsi" w:hAnsiTheme="minorHAnsi" w:cstheme="minorHAnsi"/>
                <w:iCs/>
                <w:szCs w:val="23"/>
                <w:lang w:val="fr-CA"/>
              </w:rPr>
              <w:t>RLRQ c M-28</w:t>
            </w:r>
          </w:p>
          <w:p w14:paraId="28EA2F51" w14:textId="58E6D0A4" w:rsidR="00B8348C" w:rsidRPr="00F52884" w:rsidRDefault="00B8348C" w:rsidP="00C60FB9">
            <w:pPr>
              <w:pStyle w:val="NormalWeb"/>
              <w:shd w:val="clear" w:color="auto" w:fill="FFFFFF"/>
              <w:spacing w:before="60" w:beforeAutospacing="0" w:after="6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lastRenderedPageBreak/>
              <w:t>Loi sur les transports,</w:t>
            </w:r>
            <w:r w:rsidRPr="00F52884">
              <w:rPr>
                <w:rStyle w:val="apple-converted-space"/>
                <w:rFonts w:asciiTheme="minorHAnsi" w:hAnsiTheme="minorHAnsi" w:cstheme="minorHAnsi"/>
                <w:szCs w:val="23"/>
                <w:lang w:val="fr-CA"/>
              </w:rPr>
              <w:t> </w:t>
            </w:r>
            <w:r w:rsidRPr="00F52884">
              <w:rPr>
                <w:rFonts w:asciiTheme="minorHAnsi" w:hAnsiTheme="minorHAnsi" w:cstheme="minorHAnsi"/>
                <w:szCs w:val="23"/>
                <w:lang w:val="fr-CA"/>
              </w:rPr>
              <w:t>RLRQ c T-12</w:t>
            </w:r>
          </w:p>
          <w:p w14:paraId="3B25F3F1" w14:textId="6C956D8E" w:rsidR="00B8348C" w:rsidRPr="00F52884" w:rsidRDefault="00B8348C" w:rsidP="00C60FB9">
            <w:pPr>
              <w:pStyle w:val="NormalWeb"/>
              <w:shd w:val="clear" w:color="auto" w:fill="FFFFFF"/>
              <w:spacing w:before="60" w:beforeAutospacing="0" w:after="6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concernant les propriétaires, les exploitants et les conducteurs de véhicules lourds,</w:t>
            </w:r>
            <w:r w:rsidRPr="00F52884">
              <w:rPr>
                <w:rStyle w:val="apple-converted-space"/>
                <w:rFonts w:asciiTheme="minorHAnsi" w:hAnsiTheme="minorHAnsi" w:cstheme="minorHAnsi"/>
                <w:b/>
                <w:szCs w:val="23"/>
                <w:lang w:val="fr-CA"/>
              </w:rPr>
              <w:t> </w:t>
            </w:r>
            <w:r w:rsidRPr="00F52884">
              <w:rPr>
                <w:rFonts w:asciiTheme="minorHAnsi" w:hAnsiTheme="minorHAnsi" w:cstheme="minorHAnsi"/>
                <w:szCs w:val="23"/>
                <w:lang w:val="fr-CA"/>
              </w:rPr>
              <w:t>RLRQ c P-30.3</w:t>
            </w:r>
          </w:p>
        </w:tc>
      </w:tr>
      <w:tr w:rsidR="00B8348C" w:rsidRPr="00F52884" w14:paraId="73FE4048"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37D2B99" w14:textId="77777777" w:rsidR="00B8348C" w:rsidRPr="00F52884" w:rsidRDefault="00B8348C" w:rsidP="00D1446B">
            <w:pPr>
              <w:spacing w:before="60" w:after="60"/>
              <w:rPr>
                <w:b/>
                <w:lang w:val="fr-CA"/>
              </w:rPr>
            </w:pPr>
            <w:r w:rsidRPr="00F52884">
              <w:rPr>
                <w:b/>
                <w:lang w:val="fr-CA"/>
              </w:rPr>
              <w:lastRenderedPageBreak/>
              <w:t>Description :</w:t>
            </w:r>
          </w:p>
        </w:tc>
      </w:tr>
      <w:tr w:rsidR="00B8348C" w:rsidRPr="00D315AF" w14:paraId="123873E4"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7BF4F0BB"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Le ministre des Transports détermine les conditions auxquelles doit satisfaire un exploitant de véhicules lourds dont le principal établissement situé hors Québec se trouve sur le territoire d’une Partie à l’Accord de libre-échange canadien pour s’inscrire au Registre du camionnage en vrac. Le nombre d’inscriptions permises n’est pas limité pour les exploitants hors Québec, mais elles ne sont pas transférables.</w:t>
            </w:r>
          </w:p>
          <w:p w14:paraId="7EC42965" w14:textId="590924A7" w:rsidR="00B8348C" w:rsidRPr="00F52884" w:rsidRDefault="00B8348C" w:rsidP="00C60FB9">
            <w:pPr>
              <w:spacing w:before="120" w:after="120"/>
              <w:rPr>
                <w:rFonts w:cstheme="minorHAnsi"/>
                <w:szCs w:val="23"/>
                <w:lang w:val="fr-CA"/>
              </w:rPr>
            </w:pPr>
            <w:r w:rsidRPr="00F52884">
              <w:rPr>
                <w:rFonts w:cstheme="minorHAnsi"/>
                <w:szCs w:val="23"/>
                <w:lang w:val="fr-CA"/>
              </w:rPr>
              <w:t>Un minimum de 50 pour cent du transport requis pour l’exécution d’un contrat de construction, de réfection ou d’entretien des routes adjugé par le ministre des Transports doit être offert au titulaire d’un permis de courtage et il est réservé aux petites entreprises de camionnage en vrac qui sont abonnées aux services de courtage fournis par une association titulaire d’un tel permis. Si le titulaire du permis de courtage accepte l’offre de transports de 50 pour cent requis, les entreprises de camionnage en vrac qui ne sont pas inscrites au Registre du camionnage en vrac n’ont accès qu’au 50 pour cent restant de ce transport.</w:t>
            </w:r>
          </w:p>
          <w:p w14:paraId="46750472" w14:textId="4ECFFD33" w:rsidR="00B8348C" w:rsidRPr="00F52884" w:rsidRDefault="00B8348C" w:rsidP="00C60FB9">
            <w:pPr>
              <w:spacing w:before="120" w:after="120"/>
              <w:rPr>
                <w:rFonts w:cstheme="minorHAnsi"/>
                <w:szCs w:val="23"/>
                <w:lang w:val="fr-CA"/>
              </w:rPr>
            </w:pPr>
            <w:r w:rsidRPr="00F52884">
              <w:rPr>
                <w:rFonts w:cstheme="minorHAnsi"/>
                <w:szCs w:val="23"/>
                <w:lang w:val="fr-CA"/>
              </w:rPr>
              <w:t>Pour obtenir un permis de courtage, une personne morale sans but lucratif ou une coopérative doit démontrer qu’elle représente au moins 35 pour cent des exploitants de véhicules lourds qui sont inscrits au Registre du camionnage en vrac et qui ont leur principal établissement dans la zone pour laquelle elle demande ce permis. L’abonnement d’un exploitant aux services de courtage s’effectue dans la zone de courtage où il a son principal établissement ou dans la zone déterminée par règlement.</w:t>
            </w:r>
          </w:p>
        </w:tc>
      </w:tr>
    </w:tbl>
    <w:p w14:paraId="1AC2A994" w14:textId="77777777" w:rsidR="00B8348C" w:rsidRPr="00F52884" w:rsidRDefault="00B8348C" w:rsidP="00610CDD">
      <w:pPr>
        <w:rPr>
          <w:rFonts w:cstheme="minorHAnsi"/>
          <w:b/>
          <w:szCs w:val="23"/>
          <w:lang w:val="fr-CA"/>
        </w:rPr>
      </w:pPr>
    </w:p>
    <w:p w14:paraId="38F04BA3" w14:textId="77777777" w:rsidR="00B8348C" w:rsidRPr="00F52884" w:rsidRDefault="00B8348C" w:rsidP="00610CDD">
      <w:pPr>
        <w:rPr>
          <w:rFonts w:cstheme="minorHAnsi"/>
          <w:b/>
          <w:szCs w:val="23"/>
          <w:lang w:val="fr-CA"/>
        </w:rPr>
      </w:pPr>
    </w:p>
    <w:p w14:paraId="759280E2" w14:textId="29535282" w:rsidR="00B8348C" w:rsidRPr="00F52884" w:rsidRDefault="00744339" w:rsidP="00C60FB9">
      <w:pPr>
        <w:spacing w:before="60" w:after="60"/>
        <w:ind w:left="-360"/>
        <w:rPr>
          <w:rFonts w:cstheme="minorHAnsi"/>
          <w:b/>
          <w:szCs w:val="23"/>
          <w:lang w:val="fr-CA"/>
        </w:rPr>
      </w:pPr>
      <w:r w:rsidRPr="00F52884">
        <w:rPr>
          <w:rFonts w:cstheme="minorHAnsi"/>
          <w:b/>
          <w:szCs w:val="23"/>
          <w:lang w:val="fr-CA"/>
        </w:rPr>
        <w:t xml:space="preserve">3.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5CC00BC0" w14:textId="77777777" w:rsidTr="00DF62A7">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06741AF" w14:textId="6C2CCE71"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644F997C" w14:textId="5F73C520" w:rsidR="00B8348C" w:rsidRPr="00F52884" w:rsidRDefault="00DF62A7" w:rsidP="00C60FB9">
            <w:pPr>
              <w:spacing w:before="60" w:after="60"/>
              <w:rPr>
                <w:rFonts w:cstheme="minorHAnsi"/>
                <w:szCs w:val="23"/>
                <w:lang w:val="fr-CA"/>
              </w:rPr>
            </w:pPr>
            <w:r w:rsidRPr="00F52884">
              <w:rPr>
                <w:rFonts w:cstheme="minorHAnsi"/>
                <w:szCs w:val="23"/>
                <w:lang w:val="fr-CA"/>
              </w:rPr>
              <w:t>Transport</w:t>
            </w:r>
          </w:p>
        </w:tc>
      </w:tr>
      <w:tr w:rsidR="00B8348C" w:rsidRPr="00F52884" w14:paraId="5B5C8C53" w14:textId="77777777" w:rsidTr="00DF62A7">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4E8FBF8F" w14:textId="5C4DC021"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7BB49F9F" w14:textId="50A0C93C" w:rsidR="00B8348C" w:rsidRPr="00F52884" w:rsidRDefault="00DF62A7" w:rsidP="00C60FB9">
            <w:pPr>
              <w:spacing w:before="60" w:after="60"/>
              <w:rPr>
                <w:rFonts w:cstheme="minorHAnsi"/>
                <w:szCs w:val="23"/>
                <w:lang w:val="fr-CA"/>
              </w:rPr>
            </w:pPr>
            <w:r w:rsidRPr="00F52884">
              <w:rPr>
                <w:rFonts w:cstheme="minorHAnsi"/>
                <w:szCs w:val="23"/>
                <w:lang w:val="fr-CA"/>
              </w:rPr>
              <w:t>Transport maritime</w:t>
            </w:r>
          </w:p>
        </w:tc>
      </w:tr>
      <w:tr w:rsidR="00B8348C" w:rsidRPr="00F52884" w14:paraId="10741387" w14:textId="77777777" w:rsidTr="00DF62A7">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88025D8" w14:textId="5C3712D1"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37389334" w14:textId="2B865C44" w:rsidR="00B8348C" w:rsidRPr="00F52884" w:rsidRDefault="00DF62A7" w:rsidP="00C60FB9">
            <w:pPr>
              <w:spacing w:before="60" w:after="60"/>
              <w:ind w:left="4"/>
              <w:rPr>
                <w:rFonts w:cstheme="minorHAnsi"/>
                <w:szCs w:val="23"/>
                <w:lang w:val="fr-CA"/>
              </w:rPr>
            </w:pPr>
            <w:r w:rsidRPr="00F52884">
              <w:rPr>
                <w:rFonts w:cstheme="minorHAnsi"/>
                <w:szCs w:val="23"/>
                <w:lang w:val="fr-CA"/>
              </w:rPr>
              <w:t>CPC 72211</w:t>
            </w:r>
          </w:p>
        </w:tc>
      </w:tr>
      <w:tr w:rsidR="00DF62A7" w:rsidRPr="00F52884" w14:paraId="21BAD654"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20154C84" w14:textId="77777777"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501DC928" w14:textId="74FCE9A8"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4E019DBE"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7BD2358" w14:textId="77777777" w:rsidR="00B8348C" w:rsidRPr="00F52884" w:rsidRDefault="00B8348C" w:rsidP="00D1446B">
            <w:pPr>
              <w:spacing w:before="60" w:after="60"/>
              <w:rPr>
                <w:b/>
                <w:lang w:val="fr-CA"/>
              </w:rPr>
            </w:pPr>
            <w:r w:rsidRPr="00F52884">
              <w:rPr>
                <w:b/>
                <w:lang w:val="fr-CA"/>
              </w:rPr>
              <w:t>Mesure(s) :</w:t>
            </w:r>
          </w:p>
        </w:tc>
      </w:tr>
      <w:tr w:rsidR="00B8348C" w:rsidRPr="00D315AF" w14:paraId="51F218BF"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2F0D5366" w14:textId="0C231A95" w:rsidR="00B8348C" w:rsidRPr="00F52884" w:rsidRDefault="00B8348C" w:rsidP="00C60FB9">
            <w:pPr>
              <w:pStyle w:val="NormalWeb"/>
              <w:shd w:val="clear" w:color="auto" w:fill="FFFFFF"/>
              <w:spacing w:before="60" w:beforeAutospacing="0" w:after="60" w:afterAutospacing="0"/>
              <w:rPr>
                <w:rStyle w:val="Emphasis"/>
                <w:rFonts w:asciiTheme="minorHAnsi" w:hAnsiTheme="minorHAnsi" w:cstheme="minorHAnsi"/>
                <w:b w:val="0"/>
                <w:szCs w:val="23"/>
                <w:lang w:val="fr-CA"/>
              </w:rPr>
            </w:pPr>
            <w:r w:rsidRPr="00F52884">
              <w:rPr>
                <w:rStyle w:val="Emphasis"/>
                <w:rFonts w:asciiTheme="minorHAnsi" w:hAnsiTheme="minorHAnsi" w:cstheme="minorHAnsi"/>
                <w:b w:val="0"/>
                <w:szCs w:val="23"/>
                <w:lang w:val="fr-CA"/>
              </w:rPr>
              <w:t>Loi sur la Société des traversiers du Québec, </w:t>
            </w:r>
            <w:r w:rsidRPr="00F52884">
              <w:rPr>
                <w:rStyle w:val="Emphasis"/>
                <w:rFonts w:asciiTheme="minorHAnsi" w:hAnsiTheme="minorHAnsi" w:cstheme="minorHAnsi"/>
                <w:b w:val="0"/>
                <w:i w:val="0"/>
                <w:szCs w:val="23"/>
                <w:lang w:val="fr-CA"/>
              </w:rPr>
              <w:t>RLRQ c S-14</w:t>
            </w:r>
          </w:p>
          <w:p w14:paraId="2D452D93" w14:textId="01D41F0B" w:rsidR="00B8348C" w:rsidRPr="00F52884" w:rsidRDefault="00B8348C" w:rsidP="00C60FB9">
            <w:pPr>
              <w:pStyle w:val="NormalWeb"/>
              <w:shd w:val="clear" w:color="auto" w:fill="FFFFFF"/>
              <w:spacing w:before="60" w:beforeAutospacing="0" w:after="6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les transports, </w:t>
            </w:r>
            <w:r w:rsidRPr="00F52884">
              <w:rPr>
                <w:rStyle w:val="Emphasis"/>
                <w:rFonts w:asciiTheme="minorHAnsi" w:hAnsiTheme="minorHAnsi" w:cstheme="minorHAnsi"/>
                <w:b w:val="0"/>
                <w:i w:val="0"/>
                <w:szCs w:val="23"/>
                <w:lang w:val="fr-CA"/>
              </w:rPr>
              <w:t>RLRQ c T-12</w:t>
            </w:r>
          </w:p>
        </w:tc>
      </w:tr>
      <w:tr w:rsidR="00B8348C" w:rsidRPr="00F52884" w14:paraId="1F53286E"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FAC4801" w14:textId="77777777" w:rsidR="00B8348C" w:rsidRPr="00F52884" w:rsidRDefault="00B8348C" w:rsidP="00D1446B">
            <w:pPr>
              <w:spacing w:before="60" w:after="60"/>
              <w:rPr>
                <w:b/>
                <w:lang w:val="fr-CA"/>
              </w:rPr>
            </w:pPr>
            <w:r w:rsidRPr="00F52884">
              <w:rPr>
                <w:b/>
                <w:lang w:val="fr-CA"/>
              </w:rPr>
              <w:t>Description :</w:t>
            </w:r>
          </w:p>
        </w:tc>
      </w:tr>
      <w:tr w:rsidR="00B8348C" w:rsidRPr="00D315AF" w14:paraId="06F6953A"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5442C42C" w14:textId="77777777" w:rsidR="00B8348C" w:rsidRPr="00F52884" w:rsidRDefault="00B8348C" w:rsidP="00C60FB9">
            <w:pPr>
              <w:spacing w:before="120" w:after="120"/>
              <w:jc w:val="both"/>
              <w:rPr>
                <w:rFonts w:cstheme="minorHAnsi"/>
                <w:szCs w:val="23"/>
                <w:lang w:val="fr-CA"/>
              </w:rPr>
            </w:pPr>
            <w:r w:rsidRPr="00F52884">
              <w:rPr>
                <w:rFonts w:cstheme="minorHAnsi"/>
                <w:szCs w:val="23"/>
                <w:lang w:val="fr-CA"/>
              </w:rPr>
              <w:t>Nul ne peut occuper la charge d’administrateur de la Société des traversiers du Québec s’il n’est pas domicilié au Québec.</w:t>
            </w:r>
          </w:p>
          <w:p w14:paraId="206CBF60" w14:textId="77777777" w:rsidR="00B8348C" w:rsidRPr="00F52884" w:rsidRDefault="00B8348C" w:rsidP="00C60FB9">
            <w:pPr>
              <w:spacing w:before="120" w:after="120"/>
              <w:jc w:val="both"/>
              <w:rPr>
                <w:rFonts w:cstheme="minorHAnsi"/>
                <w:szCs w:val="23"/>
                <w:shd w:val="clear" w:color="auto" w:fill="FFFFFF"/>
                <w:lang w:val="fr-CA"/>
              </w:rPr>
            </w:pPr>
            <w:r w:rsidRPr="00F52884">
              <w:rPr>
                <w:rFonts w:cstheme="minorHAnsi"/>
                <w:szCs w:val="23"/>
                <w:lang w:val="fr-CA"/>
              </w:rPr>
              <w:t xml:space="preserve">Tout permis est délivré au nom d'une personne qui est domiciliée au Québec ou a au Québec un établissement conforme. </w:t>
            </w:r>
          </w:p>
        </w:tc>
      </w:tr>
    </w:tbl>
    <w:p w14:paraId="3CC79342" w14:textId="77777777" w:rsidR="00B8348C" w:rsidRPr="00F52884" w:rsidRDefault="00B8348C" w:rsidP="00610CDD">
      <w:pPr>
        <w:rPr>
          <w:rFonts w:cstheme="minorHAnsi"/>
          <w:b/>
          <w:szCs w:val="23"/>
          <w:lang w:val="fr-CA"/>
        </w:rPr>
      </w:pPr>
    </w:p>
    <w:p w14:paraId="4F6925DD" w14:textId="77777777" w:rsidR="00B8348C" w:rsidRPr="00F52884" w:rsidRDefault="00B8348C" w:rsidP="00610CDD">
      <w:pPr>
        <w:rPr>
          <w:rFonts w:cstheme="minorHAnsi"/>
          <w:b/>
          <w:szCs w:val="23"/>
          <w:lang w:val="fr-CA"/>
        </w:rPr>
      </w:pPr>
    </w:p>
    <w:p w14:paraId="0FDE75CA" w14:textId="2B683A65"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4.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D315AF" w14:paraId="3A673B7E" w14:textId="77777777" w:rsidTr="00DF62A7">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64598C70" w14:textId="3D41E2CF"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5A6D9E85" w14:textId="3BA0CD86" w:rsidR="00B8348C" w:rsidRPr="00F52884" w:rsidRDefault="00DF62A7" w:rsidP="00C60FB9">
            <w:pPr>
              <w:spacing w:before="60" w:after="60"/>
              <w:rPr>
                <w:rFonts w:cstheme="minorHAnsi"/>
                <w:szCs w:val="23"/>
                <w:lang w:val="fr-CA"/>
              </w:rPr>
            </w:pPr>
            <w:r w:rsidRPr="00F52884">
              <w:rPr>
                <w:rFonts w:cstheme="minorHAnsi"/>
                <w:szCs w:val="23"/>
                <w:lang w:val="fr-CA"/>
              </w:rPr>
              <w:t>Services récréatifs, culturels et sportifs</w:t>
            </w:r>
          </w:p>
        </w:tc>
      </w:tr>
      <w:tr w:rsidR="00B8348C" w:rsidRPr="00F52884" w14:paraId="4C482679" w14:textId="77777777" w:rsidTr="00DF62A7">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25622F2F" w14:textId="78732445"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42B8F2D1" w14:textId="5066580A" w:rsidR="00B8348C" w:rsidRPr="00F52884" w:rsidRDefault="00DF62A7" w:rsidP="00C60FB9">
            <w:pPr>
              <w:spacing w:before="60" w:after="60"/>
              <w:rPr>
                <w:rFonts w:cstheme="minorHAnsi"/>
                <w:szCs w:val="23"/>
                <w:lang w:val="fr-CA"/>
              </w:rPr>
            </w:pPr>
            <w:r w:rsidRPr="00F52884">
              <w:rPr>
                <w:rFonts w:cstheme="minorHAnsi"/>
                <w:szCs w:val="23"/>
                <w:lang w:val="fr-CA"/>
              </w:rPr>
              <w:t>Courses de chevaux</w:t>
            </w:r>
          </w:p>
        </w:tc>
      </w:tr>
      <w:tr w:rsidR="00B8348C" w:rsidRPr="00F52884" w14:paraId="249CA5A6" w14:textId="77777777" w:rsidTr="00DF62A7">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6F8D50A" w14:textId="5B0201AB"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13119563" w14:textId="11856115" w:rsidR="00B8348C" w:rsidRPr="00F52884" w:rsidRDefault="00DF62A7" w:rsidP="00C60FB9">
            <w:pPr>
              <w:spacing w:before="60" w:after="60"/>
              <w:ind w:left="4"/>
              <w:rPr>
                <w:rFonts w:cstheme="minorHAnsi"/>
                <w:szCs w:val="23"/>
                <w:lang w:val="fr-CA"/>
              </w:rPr>
            </w:pPr>
            <w:r w:rsidRPr="00F52884">
              <w:rPr>
                <w:rFonts w:cstheme="minorHAnsi"/>
                <w:szCs w:val="23"/>
                <w:lang w:val="fr-CA"/>
              </w:rPr>
              <w:t>CPC 02113, 96492</w:t>
            </w:r>
          </w:p>
        </w:tc>
      </w:tr>
      <w:tr w:rsidR="00DF62A7" w:rsidRPr="00F52884" w14:paraId="0C605399"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28EF1262" w14:textId="77777777"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288B8B00" w14:textId="3BE0A8C7"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03391457"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673CAD4" w14:textId="77777777" w:rsidR="00B8348C" w:rsidRPr="00F52884" w:rsidRDefault="00B8348C" w:rsidP="00D1446B">
            <w:pPr>
              <w:spacing w:before="60" w:after="60"/>
              <w:rPr>
                <w:b/>
                <w:lang w:val="fr-CA"/>
              </w:rPr>
            </w:pPr>
            <w:r w:rsidRPr="00F52884">
              <w:rPr>
                <w:b/>
                <w:lang w:val="fr-CA"/>
              </w:rPr>
              <w:t>Mesure(s) :</w:t>
            </w:r>
          </w:p>
        </w:tc>
      </w:tr>
      <w:tr w:rsidR="00B8348C" w:rsidRPr="00D315AF" w14:paraId="5D207365"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3FCE019B" w14:textId="08831723" w:rsidR="00B8348C" w:rsidRPr="00F52884" w:rsidRDefault="00B8348C" w:rsidP="00C60FB9">
            <w:pPr>
              <w:pStyle w:val="NormalWeb"/>
              <w:shd w:val="clear" w:color="auto" w:fill="FFFFFF"/>
              <w:spacing w:before="60" w:beforeAutospacing="0" w:after="60" w:afterAutospacing="0"/>
              <w:rPr>
                <w:rFonts w:asciiTheme="minorHAnsi" w:hAnsiTheme="minorHAnsi" w:cstheme="minorHAnsi"/>
                <w:b/>
                <w:szCs w:val="23"/>
                <w:lang w:val="fr-CA"/>
              </w:rPr>
            </w:pPr>
            <w:r w:rsidRPr="00F52884">
              <w:rPr>
                <w:rStyle w:val="Emphasis"/>
                <w:rFonts w:asciiTheme="minorHAnsi" w:hAnsiTheme="minorHAnsi" w:cstheme="minorHAnsi"/>
                <w:b w:val="0"/>
                <w:i w:val="0"/>
                <w:iCs w:val="0"/>
                <w:szCs w:val="23"/>
                <w:lang w:val="fr-CA"/>
              </w:rPr>
              <w:t xml:space="preserve">Loi sur les courses, </w:t>
            </w:r>
            <w:r w:rsidRPr="00F52884">
              <w:rPr>
                <w:rStyle w:val="Emphasis"/>
                <w:rFonts w:asciiTheme="minorHAnsi" w:hAnsiTheme="minorHAnsi" w:cstheme="minorHAnsi"/>
                <w:b w:val="0"/>
                <w:i w:val="0"/>
                <w:szCs w:val="23"/>
                <w:lang w:val="fr-CA"/>
              </w:rPr>
              <w:t>RLRQ c C-72.1</w:t>
            </w:r>
          </w:p>
        </w:tc>
      </w:tr>
      <w:tr w:rsidR="00B8348C" w:rsidRPr="00F52884" w14:paraId="00E352BB"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0F7E39A" w14:textId="77777777" w:rsidR="00B8348C" w:rsidRPr="00F52884" w:rsidRDefault="00B8348C" w:rsidP="00D1446B">
            <w:pPr>
              <w:spacing w:before="60" w:after="60"/>
              <w:rPr>
                <w:b/>
                <w:lang w:val="fr-CA"/>
              </w:rPr>
            </w:pPr>
            <w:r w:rsidRPr="00F52884">
              <w:rPr>
                <w:b/>
                <w:lang w:val="fr-CA"/>
              </w:rPr>
              <w:t>Description :</w:t>
            </w:r>
          </w:p>
        </w:tc>
      </w:tr>
      <w:tr w:rsidR="00B8348C" w:rsidRPr="00D315AF" w14:paraId="642EC629"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2BE983DC" w14:textId="77777777" w:rsidR="00B8348C" w:rsidRPr="00F52884" w:rsidRDefault="00B8348C" w:rsidP="00C60FB9">
            <w:pPr>
              <w:spacing w:before="120" w:after="120"/>
              <w:jc w:val="both"/>
              <w:rPr>
                <w:rFonts w:cstheme="minorHAnsi"/>
                <w:szCs w:val="23"/>
                <w:shd w:val="clear" w:color="auto" w:fill="FFFFFF"/>
                <w:lang w:val="fr-CA"/>
              </w:rPr>
            </w:pPr>
            <w:r w:rsidRPr="00F52884">
              <w:rPr>
                <w:rFonts w:cstheme="minorHAnsi"/>
                <w:szCs w:val="23"/>
                <w:shd w:val="clear" w:color="auto" w:fill="FFFFFF"/>
                <w:lang w:val="fr-CA"/>
              </w:rPr>
              <w:t>Seul un cheval de course du Québec, tel que défini dans les</w:t>
            </w:r>
            <w:r w:rsidRPr="00F52884">
              <w:rPr>
                <w:rFonts w:cstheme="minorHAnsi"/>
                <w:szCs w:val="23"/>
                <w:lang w:val="fr-CA"/>
              </w:rPr>
              <w:t> </w:t>
            </w:r>
            <w:r w:rsidRPr="00F52884">
              <w:rPr>
                <w:rFonts w:cstheme="minorHAnsi"/>
                <w:bCs/>
                <w:i/>
                <w:iCs/>
                <w:szCs w:val="23"/>
                <w:lang w:val="fr-CA"/>
              </w:rPr>
              <w:t xml:space="preserve">Règles sur l’élevage du cheval de course du Québec de race </w:t>
            </w:r>
            <w:proofErr w:type="spellStart"/>
            <w:r w:rsidRPr="00F52884">
              <w:rPr>
                <w:rFonts w:cstheme="minorHAnsi"/>
                <w:bCs/>
                <w:i/>
                <w:iCs/>
                <w:szCs w:val="23"/>
                <w:lang w:val="fr-CA"/>
              </w:rPr>
              <w:t>Standardbred</w:t>
            </w:r>
            <w:proofErr w:type="spellEnd"/>
            <w:r w:rsidRPr="00F52884">
              <w:rPr>
                <w:rFonts w:cstheme="minorHAnsi"/>
                <w:b/>
                <w:bCs/>
                <w:i/>
                <w:iCs/>
                <w:szCs w:val="23"/>
                <w:lang w:val="fr-CA"/>
              </w:rPr>
              <w:t>,</w:t>
            </w:r>
            <w:r w:rsidRPr="00F52884">
              <w:rPr>
                <w:rFonts w:cstheme="minorHAnsi"/>
                <w:szCs w:val="23"/>
                <w:lang w:val="fr-CA"/>
              </w:rPr>
              <w:t> </w:t>
            </w:r>
            <w:r w:rsidRPr="00F52884">
              <w:rPr>
                <w:rFonts w:cstheme="minorHAnsi"/>
                <w:szCs w:val="23"/>
                <w:shd w:val="clear" w:color="auto" w:fill="FFFFFF"/>
                <w:lang w:val="fr-CA"/>
              </w:rPr>
              <w:t>peut se voir accorder un privilège ou un avantage.</w:t>
            </w:r>
          </w:p>
          <w:p w14:paraId="3874640B" w14:textId="77777777" w:rsidR="00B8348C" w:rsidRPr="00F52884" w:rsidRDefault="00B8348C" w:rsidP="00C60FB9">
            <w:pPr>
              <w:spacing w:before="120" w:after="120"/>
              <w:jc w:val="both"/>
              <w:rPr>
                <w:rFonts w:cstheme="minorHAnsi"/>
                <w:szCs w:val="23"/>
                <w:lang w:val="fr-CA"/>
              </w:rPr>
            </w:pPr>
            <w:r w:rsidRPr="00F52884">
              <w:rPr>
                <w:rFonts w:cstheme="minorHAnsi"/>
                <w:szCs w:val="23"/>
                <w:shd w:val="clear" w:color="auto" w:fill="FFFFFF"/>
                <w:lang w:val="fr-CA"/>
              </w:rPr>
              <w:t xml:space="preserve">Toute personne qui applique pour l’enregistrement d’un étalon </w:t>
            </w:r>
            <w:proofErr w:type="spellStart"/>
            <w:r w:rsidRPr="00F52884">
              <w:rPr>
                <w:rFonts w:cstheme="minorHAnsi"/>
                <w:i/>
                <w:szCs w:val="23"/>
                <w:shd w:val="clear" w:color="auto" w:fill="FFFFFF"/>
                <w:lang w:val="fr-CA"/>
              </w:rPr>
              <w:t>Standardbred</w:t>
            </w:r>
            <w:proofErr w:type="spellEnd"/>
            <w:r w:rsidRPr="00F52884">
              <w:rPr>
                <w:rFonts w:cstheme="minorHAnsi"/>
                <w:szCs w:val="23"/>
                <w:shd w:val="clear" w:color="auto" w:fill="FFFFFF"/>
                <w:lang w:val="fr-CA"/>
              </w:rPr>
              <w:t xml:space="preserve"> auprès de la Régie des alcools, des courses et des jeux (RACJ) doit résider au Québec depuis au moins 183 jours.</w:t>
            </w:r>
          </w:p>
        </w:tc>
      </w:tr>
    </w:tbl>
    <w:p w14:paraId="7174F20D" w14:textId="77777777" w:rsidR="00B8348C" w:rsidRPr="00F52884" w:rsidRDefault="00B8348C" w:rsidP="00610CDD">
      <w:pPr>
        <w:rPr>
          <w:rFonts w:cstheme="minorHAnsi"/>
          <w:b/>
          <w:szCs w:val="23"/>
          <w:lang w:val="fr-CA"/>
        </w:rPr>
      </w:pPr>
    </w:p>
    <w:p w14:paraId="2E76D0CA" w14:textId="77777777" w:rsidR="00B8348C" w:rsidRPr="00F52884" w:rsidRDefault="00B8348C" w:rsidP="00610CDD">
      <w:pPr>
        <w:rPr>
          <w:rFonts w:cstheme="minorHAnsi"/>
          <w:b/>
          <w:szCs w:val="23"/>
          <w:lang w:val="fr-CA"/>
        </w:rPr>
      </w:pPr>
    </w:p>
    <w:p w14:paraId="1F3496CC" w14:textId="416326AE"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5.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7FE60D9C" w14:textId="77777777" w:rsidTr="00DF62A7">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F89D98A" w14:textId="6F95009D"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266B5D46" w14:textId="2C9A12AD" w:rsidR="00B8348C" w:rsidRPr="00F52884" w:rsidRDefault="00DF62A7" w:rsidP="00C60FB9">
            <w:pPr>
              <w:spacing w:before="60" w:after="60"/>
              <w:rPr>
                <w:rFonts w:cstheme="minorHAnsi"/>
                <w:szCs w:val="23"/>
                <w:lang w:val="fr-CA"/>
              </w:rPr>
            </w:pPr>
            <w:r w:rsidRPr="00F52884">
              <w:rPr>
                <w:rFonts w:cstheme="minorHAnsi"/>
                <w:szCs w:val="23"/>
                <w:lang w:val="fr-CA"/>
              </w:rPr>
              <w:t>Tous</w:t>
            </w:r>
          </w:p>
        </w:tc>
      </w:tr>
      <w:tr w:rsidR="00B8348C" w:rsidRPr="00F52884" w14:paraId="3E89A254" w14:textId="77777777" w:rsidTr="00DF62A7">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37A508F1" w14:textId="2AB96DFE"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5154D559" w14:textId="0FFFBAA2" w:rsidR="00B8348C" w:rsidRPr="00F52884" w:rsidRDefault="00DF62A7" w:rsidP="00C60FB9">
            <w:pPr>
              <w:spacing w:before="60" w:after="60"/>
              <w:rPr>
                <w:rFonts w:cstheme="minorHAnsi"/>
                <w:szCs w:val="23"/>
                <w:lang w:val="fr-CA"/>
              </w:rPr>
            </w:pPr>
            <w:r w:rsidRPr="00F52884">
              <w:rPr>
                <w:rFonts w:cstheme="minorHAnsi"/>
                <w:szCs w:val="23"/>
                <w:lang w:val="fr-CA"/>
              </w:rPr>
              <w:t>Tous</w:t>
            </w:r>
          </w:p>
        </w:tc>
      </w:tr>
      <w:tr w:rsidR="00B8348C" w:rsidRPr="00F52884" w14:paraId="32CF2FE5" w14:textId="77777777" w:rsidTr="00DF62A7">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4125590A" w14:textId="77777777"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50D5BD62" w14:textId="77777777" w:rsidR="00B8348C" w:rsidRPr="00F52884" w:rsidRDefault="00B8348C" w:rsidP="00C60FB9">
            <w:pPr>
              <w:spacing w:before="60" w:after="60"/>
              <w:ind w:left="4"/>
              <w:rPr>
                <w:rFonts w:cstheme="minorHAnsi"/>
                <w:szCs w:val="23"/>
                <w:lang w:val="fr-CA"/>
              </w:rPr>
            </w:pPr>
          </w:p>
        </w:tc>
      </w:tr>
      <w:tr w:rsidR="00DF62A7" w:rsidRPr="00D315AF" w14:paraId="64B58450"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1EFBFB02" w14:textId="77777777"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516D2F1E" w14:textId="5B221AFA" w:rsidR="00DF62A7" w:rsidRPr="00F52884" w:rsidRDefault="00DF62A7"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312 (Accès au marché –Investissement)</w:t>
            </w:r>
          </w:p>
        </w:tc>
      </w:tr>
      <w:tr w:rsidR="00B8348C" w:rsidRPr="00F52884" w14:paraId="360B5968"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2A1D8EA" w14:textId="77777777" w:rsidR="00B8348C" w:rsidRPr="00F52884" w:rsidRDefault="00B8348C" w:rsidP="00D1446B">
            <w:pPr>
              <w:spacing w:before="60" w:after="60"/>
              <w:rPr>
                <w:b/>
                <w:lang w:val="fr-CA"/>
              </w:rPr>
            </w:pPr>
            <w:r w:rsidRPr="00F52884">
              <w:rPr>
                <w:b/>
                <w:lang w:val="fr-CA"/>
              </w:rPr>
              <w:t>Mesure(s) :</w:t>
            </w:r>
          </w:p>
        </w:tc>
      </w:tr>
      <w:tr w:rsidR="00B8348C" w:rsidRPr="00D315AF" w14:paraId="30DE303D"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6C71C0CC" w14:textId="19E309EB" w:rsidR="00B8348C" w:rsidRPr="00F52884" w:rsidRDefault="00B8348C" w:rsidP="00C60FB9">
            <w:pPr>
              <w:pStyle w:val="NormalWeb"/>
              <w:shd w:val="clear" w:color="auto" w:fill="FFFFFF"/>
              <w:spacing w:before="60" w:beforeAutospacing="0" w:after="60" w:afterAutospacing="0"/>
              <w:rPr>
                <w:rStyle w:val="Emphasis"/>
                <w:rFonts w:asciiTheme="minorHAnsi" w:hAnsiTheme="minorHAnsi" w:cstheme="minorHAnsi"/>
                <w:b w:val="0"/>
                <w:szCs w:val="23"/>
                <w:lang w:val="fr-CA"/>
              </w:rPr>
            </w:pPr>
            <w:r w:rsidRPr="00F52884">
              <w:rPr>
                <w:rStyle w:val="Emphasis"/>
                <w:rFonts w:asciiTheme="minorHAnsi" w:hAnsiTheme="minorHAnsi" w:cstheme="minorHAnsi"/>
                <w:b w:val="0"/>
                <w:iCs w:val="0"/>
                <w:szCs w:val="23"/>
                <w:lang w:val="fr-CA"/>
              </w:rPr>
              <w:t>Loi sur l’acquisition de terres agricoles par des non-résidents,</w:t>
            </w:r>
            <w:r w:rsidRPr="00F52884">
              <w:rPr>
                <w:rStyle w:val="Emphasis"/>
                <w:rFonts w:asciiTheme="minorHAnsi" w:hAnsiTheme="minorHAnsi" w:cstheme="minorHAnsi"/>
                <w:b w:val="0"/>
                <w:szCs w:val="23"/>
                <w:lang w:val="fr-CA"/>
              </w:rPr>
              <w:t> </w:t>
            </w:r>
            <w:r w:rsidRPr="00F52884">
              <w:rPr>
                <w:rStyle w:val="Emphasis"/>
                <w:rFonts w:asciiTheme="minorHAnsi" w:hAnsiTheme="minorHAnsi" w:cstheme="minorHAnsi"/>
                <w:b w:val="0"/>
                <w:i w:val="0"/>
                <w:szCs w:val="23"/>
                <w:lang w:val="fr-CA"/>
              </w:rPr>
              <w:t>RLRQ c A-4.1</w:t>
            </w:r>
          </w:p>
          <w:p w14:paraId="62FE4007" w14:textId="3F49D43D" w:rsidR="00B8348C" w:rsidRPr="00F52884" w:rsidRDefault="00B8348C" w:rsidP="00C60FB9">
            <w:pPr>
              <w:pStyle w:val="NormalWeb"/>
              <w:shd w:val="clear" w:color="auto" w:fill="FFFFFF"/>
              <w:spacing w:before="60" w:beforeAutospacing="0" w:after="60" w:afterAutospacing="0"/>
              <w:rPr>
                <w:rStyle w:val="Emphasis"/>
                <w:rFonts w:asciiTheme="minorHAnsi" w:hAnsiTheme="minorHAnsi" w:cstheme="minorHAnsi"/>
                <w:b w:val="0"/>
                <w:i w:val="0"/>
                <w:szCs w:val="23"/>
                <w:lang w:val="fr-CA"/>
              </w:rPr>
            </w:pPr>
            <w:r w:rsidRPr="00F52884">
              <w:rPr>
                <w:rStyle w:val="Emphasis"/>
                <w:rFonts w:asciiTheme="minorHAnsi" w:hAnsiTheme="minorHAnsi" w:cstheme="minorHAnsi"/>
                <w:b w:val="0"/>
                <w:iCs w:val="0"/>
                <w:szCs w:val="23"/>
                <w:lang w:val="fr-CA"/>
              </w:rPr>
              <w:t>Loi sur la protection du territoire et des activités agricoles,</w:t>
            </w:r>
            <w:r w:rsidRPr="00F52884">
              <w:rPr>
                <w:rStyle w:val="Emphasis"/>
                <w:rFonts w:asciiTheme="minorHAnsi" w:hAnsiTheme="minorHAnsi" w:cstheme="minorHAnsi"/>
                <w:b w:val="0"/>
                <w:szCs w:val="23"/>
                <w:lang w:val="fr-CA"/>
              </w:rPr>
              <w:t> </w:t>
            </w:r>
            <w:r w:rsidRPr="00F52884">
              <w:rPr>
                <w:rStyle w:val="Emphasis"/>
                <w:rFonts w:asciiTheme="minorHAnsi" w:hAnsiTheme="minorHAnsi" w:cstheme="minorHAnsi"/>
                <w:b w:val="0"/>
                <w:i w:val="0"/>
                <w:szCs w:val="23"/>
                <w:lang w:val="fr-CA"/>
              </w:rPr>
              <w:t>RLRQ c P-41.1</w:t>
            </w:r>
          </w:p>
          <w:p w14:paraId="4EEB385D" w14:textId="13ACB203" w:rsidR="00B8348C" w:rsidRPr="00F52884" w:rsidRDefault="00B8348C" w:rsidP="00C60FB9">
            <w:pPr>
              <w:pStyle w:val="NormalWeb"/>
              <w:shd w:val="clear" w:color="auto" w:fill="FFFFFF"/>
              <w:spacing w:before="60" w:beforeAutospacing="0" w:after="60" w:afterAutospacing="0"/>
              <w:rPr>
                <w:rFonts w:asciiTheme="minorHAnsi" w:hAnsiTheme="minorHAnsi" w:cstheme="minorHAnsi"/>
                <w:szCs w:val="23"/>
                <w:lang w:val="fr-CA"/>
              </w:rPr>
            </w:pPr>
            <w:r w:rsidRPr="00F52884">
              <w:rPr>
                <w:rStyle w:val="Emphasis"/>
                <w:rFonts w:asciiTheme="minorHAnsi" w:hAnsiTheme="minorHAnsi" w:cstheme="minorHAnsi"/>
                <w:b w:val="0"/>
                <w:iCs w:val="0"/>
                <w:szCs w:val="23"/>
                <w:lang w:val="fr-CA"/>
              </w:rPr>
              <w:t>Loi sur les terres du domaine de l’État,</w:t>
            </w:r>
            <w:r w:rsidRPr="00F52884">
              <w:rPr>
                <w:rStyle w:val="Emphasis"/>
                <w:rFonts w:asciiTheme="minorHAnsi" w:hAnsiTheme="minorHAnsi" w:cstheme="minorHAnsi"/>
                <w:b w:val="0"/>
                <w:szCs w:val="23"/>
                <w:lang w:val="fr-CA"/>
              </w:rPr>
              <w:t> </w:t>
            </w:r>
            <w:r w:rsidRPr="00F52884">
              <w:rPr>
                <w:rStyle w:val="Emphasis"/>
                <w:rFonts w:asciiTheme="minorHAnsi" w:hAnsiTheme="minorHAnsi" w:cstheme="minorHAnsi"/>
                <w:b w:val="0"/>
                <w:i w:val="0"/>
                <w:szCs w:val="23"/>
                <w:lang w:val="fr-CA"/>
              </w:rPr>
              <w:t>RLRQ c T-8.1</w:t>
            </w:r>
          </w:p>
        </w:tc>
      </w:tr>
      <w:tr w:rsidR="00B8348C" w:rsidRPr="00F52884" w14:paraId="6912BC2D"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6ED4F94" w14:textId="77777777" w:rsidR="00B8348C" w:rsidRPr="00F52884" w:rsidRDefault="00B8348C" w:rsidP="00D1446B">
            <w:pPr>
              <w:spacing w:before="60" w:after="60"/>
              <w:rPr>
                <w:b/>
                <w:lang w:val="fr-CA"/>
              </w:rPr>
            </w:pPr>
            <w:r w:rsidRPr="00F52884">
              <w:rPr>
                <w:b/>
                <w:lang w:val="fr-CA"/>
              </w:rPr>
              <w:t>Description :</w:t>
            </w:r>
          </w:p>
        </w:tc>
      </w:tr>
      <w:tr w:rsidR="00B8348C" w:rsidRPr="00D315AF" w14:paraId="25C4AF11"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0EC9FB45" w14:textId="77777777" w:rsidR="00B8348C" w:rsidRPr="00F52884" w:rsidRDefault="00B8348C" w:rsidP="00C60FB9">
            <w:pPr>
              <w:spacing w:before="120" w:after="120"/>
              <w:rPr>
                <w:rFonts w:cstheme="minorHAnsi"/>
                <w:szCs w:val="23"/>
                <w:shd w:val="clear" w:color="auto" w:fill="FFFFFF"/>
                <w:lang w:val="fr-CA"/>
              </w:rPr>
            </w:pPr>
            <w:r w:rsidRPr="00F52884">
              <w:rPr>
                <w:rFonts w:cstheme="minorHAnsi"/>
                <w:szCs w:val="23"/>
                <w:shd w:val="clear" w:color="auto" w:fill="FFFFFF"/>
                <w:lang w:val="fr-CA"/>
              </w:rPr>
              <w:t>Toute acquisition, directe ou indirecte, de terres agricoles par des non-résidents du Québec doit être autorisée par la </w:t>
            </w:r>
            <w:r w:rsidRPr="00F52884">
              <w:rPr>
                <w:rFonts w:cstheme="minorHAnsi"/>
                <w:bCs/>
                <w:iCs/>
                <w:szCs w:val="23"/>
                <w:shd w:val="clear" w:color="auto" w:fill="FFFFFF"/>
                <w:lang w:val="fr-CA"/>
              </w:rPr>
              <w:t>Commission de protection du territoire agricole du Québec</w:t>
            </w:r>
            <w:r w:rsidRPr="00F52884">
              <w:rPr>
                <w:rFonts w:cstheme="minorHAnsi"/>
                <w:bCs/>
                <w:i/>
                <w:iCs/>
                <w:szCs w:val="23"/>
                <w:shd w:val="clear" w:color="auto" w:fill="FFFFFF"/>
                <w:lang w:val="fr-CA"/>
              </w:rPr>
              <w:t>.</w:t>
            </w:r>
            <w:r w:rsidRPr="00F52884">
              <w:rPr>
                <w:rFonts w:cstheme="minorHAnsi"/>
                <w:b/>
                <w:bCs/>
                <w:i/>
                <w:iCs/>
                <w:szCs w:val="23"/>
                <w:shd w:val="clear" w:color="auto" w:fill="FFFFFF"/>
                <w:lang w:val="fr-CA"/>
              </w:rPr>
              <w:t> </w:t>
            </w:r>
            <w:r w:rsidRPr="00F52884">
              <w:rPr>
                <w:rFonts w:cstheme="minorHAnsi"/>
                <w:szCs w:val="23"/>
                <w:shd w:val="clear" w:color="auto" w:fill="FFFFFF"/>
                <w:lang w:val="fr-CA"/>
              </w:rPr>
              <w:t>Lorsqu’elle reçoit une demande d’autorisation d’un non-résident du Québec, la Commission prend en considération les utilisations possibles des terres à des fins agricoles et les impacts économiques de celles-ci.</w:t>
            </w:r>
          </w:p>
          <w:p w14:paraId="75B92F46" w14:textId="77777777" w:rsidR="00B8348C" w:rsidRPr="00F52884" w:rsidRDefault="00B8348C" w:rsidP="00C60FB9">
            <w:pPr>
              <w:spacing w:before="120" w:after="120"/>
              <w:rPr>
                <w:rFonts w:cstheme="minorHAnsi"/>
                <w:szCs w:val="23"/>
                <w:shd w:val="clear" w:color="auto" w:fill="FFFFFF"/>
                <w:lang w:val="fr-CA"/>
              </w:rPr>
            </w:pPr>
            <w:r w:rsidRPr="00F52884">
              <w:rPr>
                <w:rFonts w:cstheme="minorHAnsi"/>
                <w:szCs w:val="23"/>
                <w:shd w:val="clear" w:color="auto" w:fill="FFFFFF"/>
                <w:lang w:val="fr-CA"/>
              </w:rPr>
              <w:t>Dans une région agricole désignée, une personne ne peut utiliser un lot à une fin autre que l’agriculture sans l’autorisation de la Commission qui considère des facteurs socioéconomiques dans ses processus décisionnels.</w:t>
            </w:r>
          </w:p>
          <w:p w14:paraId="5C578CE2" w14:textId="77777777" w:rsidR="00B8348C" w:rsidRPr="00F52884" w:rsidRDefault="00B8348C" w:rsidP="00C60FB9">
            <w:pPr>
              <w:spacing w:before="120" w:after="120"/>
              <w:rPr>
                <w:rFonts w:cstheme="minorHAnsi"/>
                <w:szCs w:val="23"/>
                <w:lang w:val="fr-CA"/>
              </w:rPr>
            </w:pPr>
            <w:r w:rsidRPr="00F52884">
              <w:rPr>
                <w:rFonts w:cstheme="minorHAnsi"/>
                <w:szCs w:val="23"/>
                <w:shd w:val="clear" w:color="auto" w:fill="FFFFFF"/>
                <w:lang w:val="fr-CA"/>
              </w:rPr>
              <w:lastRenderedPageBreak/>
              <w:t>Les résidents du Québec ont priorité pour l’achat ou la location de terres du domaine de l’État.</w:t>
            </w:r>
          </w:p>
        </w:tc>
      </w:tr>
    </w:tbl>
    <w:p w14:paraId="057CE769" w14:textId="77777777" w:rsidR="00B8348C" w:rsidRPr="00F52884" w:rsidRDefault="00B8348C" w:rsidP="00610CDD">
      <w:pPr>
        <w:rPr>
          <w:rFonts w:cstheme="minorHAnsi"/>
          <w:b/>
          <w:szCs w:val="23"/>
          <w:lang w:val="fr-CA"/>
        </w:rPr>
      </w:pPr>
    </w:p>
    <w:p w14:paraId="23C65E85" w14:textId="77777777" w:rsidR="00B8348C" w:rsidRPr="00F52884" w:rsidRDefault="00B8348C" w:rsidP="00610CDD">
      <w:pPr>
        <w:rPr>
          <w:rFonts w:cstheme="minorHAnsi"/>
          <w:b/>
          <w:szCs w:val="23"/>
          <w:lang w:val="fr-CA"/>
        </w:rPr>
      </w:pPr>
    </w:p>
    <w:p w14:paraId="0C24D0B6" w14:textId="59F255E9"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6.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585"/>
        <w:gridCol w:w="470"/>
      </w:tblGrid>
      <w:tr w:rsidR="00B8348C" w:rsidRPr="00D315AF" w14:paraId="07C602B3"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B679906" w14:textId="165BF005"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50668340" w14:textId="1D09DCB2" w:rsidR="00B8348C" w:rsidRPr="00F52884" w:rsidRDefault="008A11B2" w:rsidP="00C60FB9">
            <w:pPr>
              <w:spacing w:before="60" w:after="60"/>
              <w:rPr>
                <w:rFonts w:cstheme="minorHAnsi"/>
                <w:szCs w:val="23"/>
                <w:lang w:val="fr-CA"/>
              </w:rPr>
            </w:pPr>
            <w:r w:rsidRPr="00F52884">
              <w:rPr>
                <w:rFonts w:cstheme="minorHAnsi"/>
                <w:szCs w:val="23"/>
                <w:shd w:val="clear" w:color="auto" w:fill="FFFFFF"/>
                <w:lang w:val="fr-CA"/>
              </w:rPr>
              <w:t>Services collectifs, sociaux et personnels</w:t>
            </w:r>
          </w:p>
        </w:tc>
      </w:tr>
      <w:tr w:rsidR="00B8348C" w:rsidRPr="00D315AF" w14:paraId="04DBCD74"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52623557" w14:textId="22F1A7E0"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1CA519CF" w14:textId="2798D37C" w:rsidR="00B8348C" w:rsidRPr="00F52884" w:rsidRDefault="008A11B2" w:rsidP="00C60FB9">
            <w:pPr>
              <w:spacing w:before="60" w:after="60"/>
              <w:rPr>
                <w:rFonts w:cstheme="minorHAnsi"/>
                <w:szCs w:val="23"/>
                <w:lang w:val="fr-CA"/>
              </w:rPr>
            </w:pPr>
            <w:r w:rsidRPr="00F52884">
              <w:rPr>
                <w:rFonts w:cstheme="minorHAnsi"/>
                <w:szCs w:val="23"/>
                <w:shd w:val="clear" w:color="auto" w:fill="FFFFFF"/>
                <w:lang w:val="fr-CA"/>
              </w:rPr>
              <w:t>Services de pompes funèbres et de crémation et autres services connexes</w:t>
            </w:r>
          </w:p>
        </w:tc>
      </w:tr>
      <w:tr w:rsidR="00B8348C" w:rsidRPr="00F52884" w14:paraId="3ED97785" w14:textId="77777777" w:rsidTr="008A11B2">
        <w:trPr>
          <w:gridAfter w:val="1"/>
          <w:wAfter w:w="470"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7F6597E7" w14:textId="64A49188"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5" w:type="dxa"/>
            <w:tcBorders>
              <w:top w:val="single" w:sz="4" w:space="0" w:color="C0C0C0"/>
              <w:left w:val="single" w:sz="4" w:space="0" w:color="FFFFFF"/>
              <w:bottom w:val="single" w:sz="4" w:space="0" w:color="C0C0C0"/>
              <w:right w:val="nil"/>
            </w:tcBorders>
            <w:vAlign w:val="center"/>
          </w:tcPr>
          <w:p w14:paraId="77818508" w14:textId="6CB66431" w:rsidR="00B8348C" w:rsidRPr="00F52884" w:rsidRDefault="008A11B2" w:rsidP="00C60FB9">
            <w:pPr>
              <w:spacing w:before="60" w:after="60"/>
              <w:ind w:left="4"/>
              <w:rPr>
                <w:rFonts w:cstheme="minorHAnsi"/>
                <w:szCs w:val="23"/>
                <w:lang w:val="fr-CA"/>
              </w:rPr>
            </w:pPr>
            <w:r w:rsidRPr="00F52884">
              <w:rPr>
                <w:rFonts w:cstheme="minorHAnsi"/>
                <w:szCs w:val="23"/>
                <w:lang w:val="fr-CA"/>
              </w:rPr>
              <w:t>CPC 9703</w:t>
            </w:r>
          </w:p>
        </w:tc>
      </w:tr>
      <w:tr w:rsidR="008A11B2" w:rsidRPr="00F52884" w14:paraId="03D7551A"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40109145"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37CB0DA5" w14:textId="78BAB79D"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4F4F67C5"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6E877F8" w14:textId="77777777" w:rsidR="00B8348C" w:rsidRPr="00F52884" w:rsidRDefault="00B8348C" w:rsidP="00D1446B">
            <w:pPr>
              <w:spacing w:before="60" w:after="60"/>
              <w:rPr>
                <w:b/>
                <w:lang w:val="fr-CA"/>
              </w:rPr>
            </w:pPr>
            <w:r w:rsidRPr="00F52884">
              <w:rPr>
                <w:b/>
                <w:lang w:val="fr-CA"/>
              </w:rPr>
              <w:t>Mesure(s) :</w:t>
            </w:r>
          </w:p>
        </w:tc>
      </w:tr>
      <w:tr w:rsidR="00B8348C" w:rsidRPr="00D315AF" w14:paraId="1C235900"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344CC204" w14:textId="0FDA72C1" w:rsidR="00B8348C" w:rsidRPr="00F52884" w:rsidRDefault="00B8348C" w:rsidP="00C60FB9">
            <w:pPr>
              <w:pStyle w:val="NormalWeb"/>
              <w:shd w:val="clear" w:color="auto" w:fill="FFFFFF"/>
              <w:spacing w:before="60" w:beforeAutospacing="0" w:after="60" w:afterAutospacing="0"/>
              <w:rPr>
                <w:rStyle w:val="Emphasis"/>
                <w:rFonts w:asciiTheme="minorHAnsi" w:hAnsiTheme="minorHAnsi" w:cstheme="minorHAnsi"/>
                <w:b w:val="0"/>
                <w:szCs w:val="23"/>
                <w:lang w:val="fr-CA"/>
              </w:rPr>
            </w:pPr>
            <w:r w:rsidRPr="00F52884">
              <w:rPr>
                <w:rStyle w:val="Emphasis"/>
                <w:rFonts w:asciiTheme="minorHAnsi" w:hAnsiTheme="minorHAnsi" w:cstheme="minorHAnsi"/>
                <w:b w:val="0"/>
                <w:iCs w:val="0"/>
                <w:szCs w:val="23"/>
                <w:lang w:val="fr-CA"/>
              </w:rPr>
              <w:t>Loi sur les laboratoires médicaux, la conservation des organes et des tissus et la disposition des cadavres,</w:t>
            </w:r>
            <w:r w:rsidRPr="00F52884" w:rsidDel="00C50180">
              <w:rPr>
                <w:rStyle w:val="Emphasis"/>
                <w:rFonts w:asciiTheme="minorHAnsi" w:hAnsiTheme="minorHAnsi" w:cstheme="minorHAnsi"/>
                <w:b w:val="0"/>
                <w:i w:val="0"/>
                <w:szCs w:val="23"/>
                <w:lang w:val="fr-CA"/>
              </w:rPr>
              <w:t xml:space="preserve"> </w:t>
            </w:r>
            <w:r w:rsidRPr="00F52884">
              <w:rPr>
                <w:rStyle w:val="Emphasis"/>
                <w:rFonts w:asciiTheme="minorHAnsi" w:hAnsiTheme="minorHAnsi" w:cstheme="minorHAnsi"/>
                <w:b w:val="0"/>
                <w:i w:val="0"/>
                <w:szCs w:val="23"/>
                <w:lang w:val="fr-CA"/>
              </w:rPr>
              <w:t>RLRQ c L-0.2</w:t>
            </w:r>
          </w:p>
          <w:p w14:paraId="7FBBD7EF" w14:textId="70697B95" w:rsidR="00B8348C" w:rsidRPr="00F52884" w:rsidRDefault="00B8348C" w:rsidP="00C60FB9">
            <w:pPr>
              <w:pStyle w:val="NormalWeb"/>
              <w:shd w:val="clear" w:color="auto" w:fill="FFFFFF"/>
              <w:spacing w:before="60" w:beforeAutospacing="0" w:after="60" w:afterAutospacing="0"/>
              <w:rPr>
                <w:rStyle w:val="Emphasis"/>
                <w:rFonts w:asciiTheme="minorHAnsi" w:hAnsiTheme="minorHAnsi" w:cstheme="minorHAnsi"/>
                <w:b w:val="0"/>
                <w:i w:val="0"/>
                <w:szCs w:val="23"/>
                <w:lang w:val="fr-CA"/>
              </w:rPr>
            </w:pPr>
            <w:r w:rsidRPr="00F52884">
              <w:rPr>
                <w:rStyle w:val="Emphasis"/>
                <w:rFonts w:asciiTheme="minorHAnsi" w:hAnsiTheme="minorHAnsi" w:cstheme="minorHAnsi"/>
                <w:b w:val="0"/>
                <w:iCs w:val="0"/>
                <w:szCs w:val="23"/>
                <w:lang w:val="fr-CA"/>
              </w:rPr>
              <w:t>Règlement d’application de la Loi sur les laboratoires médicaux, la conservation des organes et des tissus et la disposition des cadavres, </w:t>
            </w:r>
            <w:r w:rsidRPr="00F52884">
              <w:rPr>
                <w:rStyle w:val="Emphasis"/>
                <w:rFonts w:asciiTheme="minorHAnsi" w:hAnsiTheme="minorHAnsi" w:cstheme="minorHAnsi"/>
                <w:b w:val="0"/>
                <w:i w:val="0"/>
                <w:szCs w:val="23"/>
                <w:lang w:val="fr-CA"/>
              </w:rPr>
              <w:t>RLRQ c L-0.2, r 1</w:t>
            </w:r>
          </w:p>
          <w:p w14:paraId="6457ECC6" w14:textId="19644F88" w:rsidR="00B8348C" w:rsidRPr="00F52884" w:rsidRDefault="00B8348C" w:rsidP="00C60FB9">
            <w:pPr>
              <w:pStyle w:val="NormalWeb"/>
              <w:shd w:val="clear" w:color="auto" w:fill="FFFFFF"/>
              <w:spacing w:before="60" w:beforeAutospacing="0" w:after="60" w:afterAutospacing="0"/>
              <w:rPr>
                <w:rFonts w:asciiTheme="minorHAnsi" w:hAnsiTheme="minorHAnsi" w:cstheme="minorHAnsi"/>
                <w:szCs w:val="23"/>
                <w:lang w:val="fr-CA"/>
              </w:rPr>
            </w:pPr>
            <w:r w:rsidRPr="00F52884">
              <w:rPr>
                <w:rStyle w:val="Emphasis"/>
                <w:rFonts w:asciiTheme="minorHAnsi" w:hAnsiTheme="minorHAnsi" w:cstheme="minorHAnsi"/>
                <w:b w:val="0"/>
                <w:iCs w:val="0"/>
                <w:szCs w:val="23"/>
                <w:lang w:val="fr-CA"/>
              </w:rPr>
              <w:t>Loi sur les arrangements préalables de services funéraires et de sépulture</w:t>
            </w:r>
            <w:r w:rsidRPr="00F52884">
              <w:rPr>
                <w:rStyle w:val="Emphasis"/>
                <w:rFonts w:asciiTheme="minorHAnsi" w:hAnsiTheme="minorHAnsi" w:cstheme="minorHAnsi"/>
                <w:b w:val="0"/>
                <w:szCs w:val="23"/>
                <w:lang w:val="fr-CA"/>
              </w:rPr>
              <w:t xml:space="preserve">, </w:t>
            </w:r>
            <w:r w:rsidRPr="00F52884">
              <w:rPr>
                <w:rStyle w:val="Emphasis"/>
                <w:rFonts w:asciiTheme="minorHAnsi" w:hAnsiTheme="minorHAnsi" w:cstheme="minorHAnsi"/>
                <w:b w:val="0"/>
                <w:i w:val="0"/>
                <w:szCs w:val="23"/>
                <w:lang w:val="fr-CA"/>
              </w:rPr>
              <w:t>RLRQ c A-23.001</w:t>
            </w:r>
          </w:p>
        </w:tc>
      </w:tr>
      <w:tr w:rsidR="00B8348C" w:rsidRPr="00F52884" w14:paraId="6950DBA7"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31A0C26" w14:textId="77777777" w:rsidR="00B8348C" w:rsidRPr="00F52884" w:rsidRDefault="00B8348C" w:rsidP="00D1446B">
            <w:pPr>
              <w:spacing w:before="60" w:after="60"/>
              <w:rPr>
                <w:b/>
                <w:lang w:val="fr-CA"/>
              </w:rPr>
            </w:pPr>
            <w:r w:rsidRPr="00F52884">
              <w:rPr>
                <w:b/>
                <w:lang w:val="fr-CA"/>
              </w:rPr>
              <w:t>Description :</w:t>
            </w:r>
          </w:p>
        </w:tc>
      </w:tr>
      <w:tr w:rsidR="00B8348C" w:rsidRPr="00D315AF" w14:paraId="62780FEB"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5E078B4E" w14:textId="77777777" w:rsidR="00B8348C" w:rsidRPr="00F52884" w:rsidRDefault="00B8348C" w:rsidP="00C60FB9">
            <w:pPr>
              <w:spacing w:before="60" w:after="60"/>
              <w:rPr>
                <w:rFonts w:cstheme="minorHAnsi"/>
                <w:szCs w:val="23"/>
                <w:lang w:val="fr-CA"/>
              </w:rPr>
            </w:pPr>
            <w:r w:rsidRPr="00F52884">
              <w:rPr>
                <w:rFonts w:cstheme="minorHAnsi"/>
                <w:szCs w:val="23"/>
                <w:shd w:val="clear" w:color="auto" w:fill="FFFFFF"/>
                <w:lang w:val="fr-CA"/>
              </w:rPr>
              <w:t>Une personne physique qui sollicite un permis pour agir à titre de directeur de funérailles, en son nom ou pour une personne morale, une société ou une association ayant son siège social au Québec, doit être domiciliée au Québec depuis au moins 12 mois précédant la date de la demande.</w:t>
            </w:r>
          </w:p>
        </w:tc>
      </w:tr>
    </w:tbl>
    <w:p w14:paraId="33078962" w14:textId="66DC87B7" w:rsidR="00B8348C" w:rsidRPr="00F52884" w:rsidRDefault="00B8348C" w:rsidP="00610CDD">
      <w:pPr>
        <w:rPr>
          <w:rFonts w:cstheme="minorHAnsi"/>
          <w:b/>
          <w:szCs w:val="23"/>
          <w:lang w:val="fr-CA"/>
        </w:rPr>
      </w:pPr>
    </w:p>
    <w:p w14:paraId="354F5B36" w14:textId="77777777" w:rsidR="00744339" w:rsidRPr="00F52884" w:rsidRDefault="00744339" w:rsidP="00610CDD">
      <w:pPr>
        <w:rPr>
          <w:rFonts w:cstheme="minorHAnsi"/>
          <w:b/>
          <w:szCs w:val="23"/>
          <w:lang w:val="fr-CA"/>
        </w:rPr>
      </w:pPr>
    </w:p>
    <w:p w14:paraId="5E9BC3BA" w14:textId="384BC6E9" w:rsidR="00B8348C" w:rsidRPr="00F52884" w:rsidRDefault="00744339" w:rsidP="00C60FB9">
      <w:pPr>
        <w:spacing w:before="60" w:after="60"/>
        <w:ind w:left="-360"/>
        <w:rPr>
          <w:rFonts w:cstheme="minorHAnsi"/>
          <w:b/>
          <w:szCs w:val="23"/>
          <w:lang w:val="fr-CA"/>
        </w:rPr>
      </w:pPr>
      <w:r w:rsidRPr="00F52884">
        <w:rPr>
          <w:rFonts w:cstheme="minorHAnsi"/>
          <w:b/>
          <w:szCs w:val="23"/>
          <w:lang w:val="fr-CA"/>
        </w:rPr>
        <w:t xml:space="preserve">7.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36AD0B8B"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8B09EA6" w14:textId="00364B78"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4AC3053E" w14:textId="3F2BAF46" w:rsidR="00B8348C" w:rsidRPr="00F52884" w:rsidRDefault="008A11B2" w:rsidP="00C60FB9">
            <w:pPr>
              <w:spacing w:before="60" w:after="60"/>
              <w:rPr>
                <w:rFonts w:cstheme="minorHAnsi"/>
                <w:szCs w:val="23"/>
                <w:lang w:val="fr-CA"/>
              </w:rPr>
            </w:pPr>
            <w:r w:rsidRPr="00F52884">
              <w:rPr>
                <w:rFonts w:cstheme="minorHAnsi"/>
                <w:szCs w:val="23"/>
                <w:lang w:val="fr-CA"/>
              </w:rPr>
              <w:t>Tous</w:t>
            </w:r>
          </w:p>
        </w:tc>
      </w:tr>
      <w:tr w:rsidR="00B8348C" w:rsidRPr="00F52884" w14:paraId="6F226A6F"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27A09C2E" w14:textId="7170A9CB"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57944B87" w14:textId="6531FDDD" w:rsidR="00B8348C" w:rsidRPr="00F52884" w:rsidRDefault="008A11B2" w:rsidP="00C60FB9">
            <w:pPr>
              <w:spacing w:before="60" w:after="60"/>
              <w:rPr>
                <w:rFonts w:cstheme="minorHAnsi"/>
                <w:szCs w:val="23"/>
                <w:lang w:val="fr-CA"/>
              </w:rPr>
            </w:pPr>
            <w:r w:rsidRPr="00F52884">
              <w:rPr>
                <w:rFonts w:cstheme="minorHAnsi"/>
                <w:szCs w:val="23"/>
                <w:lang w:val="fr-CA"/>
              </w:rPr>
              <w:t>Tous</w:t>
            </w:r>
          </w:p>
        </w:tc>
      </w:tr>
      <w:tr w:rsidR="00B8348C" w:rsidRPr="00F52884" w14:paraId="6F649BEA"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165A0FD9" w14:textId="77777777"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181EC47D" w14:textId="77777777" w:rsidR="00B8348C" w:rsidRPr="00F52884" w:rsidRDefault="00B8348C" w:rsidP="00C60FB9">
            <w:pPr>
              <w:spacing w:before="60" w:after="60"/>
              <w:ind w:left="4"/>
              <w:rPr>
                <w:rFonts w:cstheme="minorHAnsi"/>
                <w:szCs w:val="23"/>
                <w:lang w:val="fr-CA"/>
              </w:rPr>
            </w:pPr>
          </w:p>
        </w:tc>
      </w:tr>
      <w:tr w:rsidR="008A11B2" w:rsidRPr="00D315AF" w14:paraId="7EE29058"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110BDF84"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01BE5C2B" w14:textId="32BB7352"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non-discriminatoire), article 312 (Accès au marché –Investissement), article 313 (Prescription de résultats)</w:t>
            </w:r>
          </w:p>
        </w:tc>
      </w:tr>
      <w:tr w:rsidR="00B8348C" w:rsidRPr="00F52884" w14:paraId="2ABEE2AD"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4C87F0C" w14:textId="77777777" w:rsidR="00B8348C" w:rsidRPr="00F52884" w:rsidRDefault="00B8348C" w:rsidP="00D1446B">
            <w:pPr>
              <w:spacing w:before="60" w:after="60"/>
              <w:rPr>
                <w:b/>
                <w:lang w:val="fr-CA"/>
              </w:rPr>
            </w:pPr>
            <w:r w:rsidRPr="00F52884">
              <w:rPr>
                <w:b/>
                <w:lang w:val="fr-CA"/>
              </w:rPr>
              <w:t>Mesure(s) :</w:t>
            </w:r>
          </w:p>
        </w:tc>
      </w:tr>
      <w:tr w:rsidR="00B8348C" w:rsidRPr="00D315AF" w14:paraId="51BCCFBE"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780ACF3A" w14:textId="3156D926" w:rsidR="00B8348C" w:rsidRPr="00F52884" w:rsidRDefault="00B8348C" w:rsidP="00C60FB9">
            <w:pPr>
              <w:pStyle w:val="NormalWeb"/>
              <w:shd w:val="clear" w:color="auto" w:fill="FFFFFF"/>
              <w:spacing w:before="60" w:beforeAutospacing="0" w:after="60" w:afterAutospacing="0"/>
              <w:rPr>
                <w:rFonts w:asciiTheme="minorHAnsi" w:hAnsiTheme="minorHAnsi" w:cstheme="minorHAnsi"/>
                <w:szCs w:val="23"/>
                <w:lang w:val="fr-CA"/>
              </w:rPr>
            </w:pPr>
            <w:r w:rsidRPr="00F52884">
              <w:rPr>
                <w:rStyle w:val="Emphasis"/>
                <w:rFonts w:asciiTheme="minorHAnsi" w:hAnsiTheme="minorHAnsi" w:cstheme="minorHAnsi"/>
                <w:b w:val="0"/>
                <w:iCs w:val="0"/>
                <w:szCs w:val="23"/>
                <w:lang w:val="fr-CA"/>
              </w:rPr>
              <w:t>Loi sur les coopératives</w:t>
            </w:r>
            <w:r w:rsidRPr="00F52884">
              <w:rPr>
                <w:rStyle w:val="Emphasis"/>
                <w:rFonts w:asciiTheme="minorHAnsi" w:hAnsiTheme="minorHAnsi" w:cstheme="minorHAnsi"/>
                <w:b w:val="0"/>
                <w:i w:val="0"/>
                <w:szCs w:val="23"/>
                <w:lang w:val="fr-CA"/>
              </w:rPr>
              <w:t>, RLRQ c C-67.2</w:t>
            </w:r>
          </w:p>
        </w:tc>
      </w:tr>
      <w:tr w:rsidR="00B8348C" w:rsidRPr="00F52884" w14:paraId="1E8AFFAB"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37A869C" w14:textId="77777777" w:rsidR="00B8348C" w:rsidRPr="00F52884" w:rsidRDefault="00B8348C" w:rsidP="00D1446B">
            <w:pPr>
              <w:spacing w:before="60" w:after="60"/>
              <w:rPr>
                <w:b/>
                <w:lang w:val="fr-CA"/>
              </w:rPr>
            </w:pPr>
            <w:r w:rsidRPr="00F52884">
              <w:rPr>
                <w:b/>
                <w:lang w:val="fr-CA"/>
              </w:rPr>
              <w:t>Description :</w:t>
            </w:r>
          </w:p>
        </w:tc>
      </w:tr>
      <w:tr w:rsidR="00B8348C" w:rsidRPr="00D315AF" w14:paraId="379FECD0"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557EF34D"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La </w:t>
            </w:r>
            <w:r w:rsidRPr="00F52884">
              <w:rPr>
                <w:rFonts w:cstheme="minorHAnsi"/>
                <w:bCs/>
                <w:i/>
                <w:iCs/>
                <w:szCs w:val="23"/>
                <w:lang w:val="fr-CA"/>
              </w:rPr>
              <w:t>Loi sur les coopératives</w:t>
            </w:r>
            <w:r w:rsidRPr="00F52884">
              <w:rPr>
                <w:rFonts w:cstheme="minorHAnsi"/>
                <w:szCs w:val="23"/>
                <w:lang w:val="fr-CA"/>
              </w:rPr>
              <w:t> impose des contraintes sur l’émission, le transfert et la propriété des actions d’une coopérative. L’adhésion d’un membre à la coopérative est subordonnée à l’utilisation réelle par le membre lui-même des services offerts par la coopérative et à la possibilité pour la coopérative de les lui fournir. La </w:t>
            </w:r>
            <w:r w:rsidRPr="00F52884">
              <w:rPr>
                <w:rFonts w:cstheme="minorHAnsi"/>
                <w:bCs/>
                <w:i/>
                <w:iCs/>
                <w:szCs w:val="23"/>
                <w:lang w:val="fr-CA"/>
              </w:rPr>
              <w:t>Loi sur les coopératives</w:t>
            </w:r>
            <w:r w:rsidRPr="00F52884">
              <w:rPr>
                <w:rFonts w:cstheme="minorHAnsi"/>
                <w:szCs w:val="23"/>
                <w:lang w:val="fr-CA"/>
              </w:rPr>
              <w:t xml:space="preserve"> stipule également que peut être </w:t>
            </w:r>
            <w:r w:rsidRPr="00F52884">
              <w:rPr>
                <w:rFonts w:cstheme="minorHAnsi"/>
                <w:szCs w:val="23"/>
                <w:lang w:val="fr-CA"/>
              </w:rPr>
              <w:lastRenderedPageBreak/>
              <w:t>administrateur tout membre de la coopérative ou tout représentant d’une personne morale ou d’une société qui en est membre. Une coopérative, une fédération ou une confédération doit avoir en permanence son siège au Québec.</w:t>
            </w:r>
          </w:p>
          <w:p w14:paraId="0248A2F3"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Une coopérative, une fédération ou une confédération doit effectuer avec ses membres une proportion de ses opérations totales selon le pourcentage déterminé par règlement du gouvernement. Dans le cas d’une coopérative de solidarité, cette proportion se calcule distinctement pour ses membres utilisateurs et ses membres travailleurs.</w:t>
            </w:r>
          </w:p>
        </w:tc>
      </w:tr>
    </w:tbl>
    <w:p w14:paraId="0D4CCBAC" w14:textId="77777777" w:rsidR="00B8348C" w:rsidRPr="00F52884" w:rsidRDefault="00B8348C" w:rsidP="00610CDD">
      <w:pPr>
        <w:rPr>
          <w:rFonts w:cstheme="minorHAnsi"/>
          <w:b/>
          <w:szCs w:val="23"/>
          <w:lang w:val="fr-CA"/>
        </w:rPr>
      </w:pPr>
    </w:p>
    <w:p w14:paraId="562E4360" w14:textId="77777777" w:rsidR="00B8348C" w:rsidRPr="00F52884" w:rsidRDefault="00B8348C" w:rsidP="00610CDD">
      <w:pPr>
        <w:rPr>
          <w:rFonts w:cstheme="minorHAnsi"/>
          <w:b/>
          <w:szCs w:val="23"/>
          <w:lang w:val="fr-CA"/>
        </w:rPr>
      </w:pPr>
    </w:p>
    <w:p w14:paraId="47DB9510" w14:textId="49C6EB2C"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8.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5810B9D3"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DF262D3" w14:textId="1ED24FA7"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66C61496" w14:textId="3AD04458" w:rsidR="00B8348C" w:rsidRPr="00F52884" w:rsidRDefault="008A11B2" w:rsidP="00C60FB9">
            <w:pPr>
              <w:spacing w:before="60" w:after="60"/>
              <w:rPr>
                <w:rFonts w:cstheme="minorHAnsi"/>
                <w:szCs w:val="23"/>
                <w:lang w:val="fr-CA"/>
              </w:rPr>
            </w:pPr>
            <w:r w:rsidRPr="00F52884">
              <w:rPr>
                <w:rFonts w:cstheme="minorHAnsi"/>
                <w:szCs w:val="23"/>
                <w:lang w:val="fr-CA" w:bidi="en-US"/>
              </w:rPr>
              <w:t>Pêches</w:t>
            </w:r>
          </w:p>
        </w:tc>
      </w:tr>
      <w:tr w:rsidR="00B8348C" w:rsidRPr="00D315AF" w14:paraId="51D1A7E5"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14B5ACBF" w14:textId="550F16A4"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18B0CDBE" w14:textId="70D57BFA" w:rsidR="00B8348C" w:rsidRPr="00F52884" w:rsidRDefault="008A11B2" w:rsidP="00C60FB9">
            <w:pPr>
              <w:spacing w:before="60" w:after="60"/>
              <w:rPr>
                <w:rFonts w:cstheme="minorHAnsi"/>
                <w:szCs w:val="23"/>
                <w:lang w:val="fr-CA"/>
              </w:rPr>
            </w:pPr>
            <w:r w:rsidRPr="00F52884">
              <w:rPr>
                <w:rFonts w:cstheme="minorHAnsi"/>
                <w:szCs w:val="23"/>
                <w:lang w:val="fr-CA" w:bidi="en-US"/>
              </w:rPr>
              <w:t>Poissons et autres produits de la pêche et services annexes à la pêche</w:t>
            </w:r>
          </w:p>
        </w:tc>
      </w:tr>
      <w:tr w:rsidR="00B8348C" w:rsidRPr="00F52884" w14:paraId="0A9B7DAB"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7322ED08" w14:textId="77777777"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1DEC3AE1" w14:textId="77777777" w:rsidR="00B8348C" w:rsidRPr="00F52884" w:rsidRDefault="00B8348C" w:rsidP="00C60FB9">
            <w:pPr>
              <w:spacing w:before="60" w:after="60"/>
              <w:ind w:left="4"/>
              <w:rPr>
                <w:rFonts w:cstheme="minorHAnsi"/>
                <w:szCs w:val="23"/>
                <w:lang w:val="fr-CA"/>
              </w:rPr>
            </w:pPr>
          </w:p>
        </w:tc>
      </w:tr>
      <w:tr w:rsidR="008A11B2" w:rsidRPr="00D315AF" w14:paraId="0A0AF368"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4C0DB589"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0A30B7E1" w14:textId="6BD5558D"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301 (Droit d’entrée et de sortie), article 313 (Prescription de résultats)</w:t>
            </w:r>
          </w:p>
        </w:tc>
      </w:tr>
      <w:tr w:rsidR="00B8348C" w:rsidRPr="00F52884" w14:paraId="6ACBB5D0"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12886E4" w14:textId="77777777" w:rsidR="00B8348C" w:rsidRPr="00F52884" w:rsidRDefault="00B8348C" w:rsidP="00D1446B">
            <w:pPr>
              <w:spacing w:before="60" w:after="60"/>
              <w:rPr>
                <w:b/>
                <w:lang w:val="fr-CA"/>
              </w:rPr>
            </w:pPr>
            <w:r w:rsidRPr="00F52884">
              <w:rPr>
                <w:b/>
                <w:lang w:val="fr-CA"/>
              </w:rPr>
              <w:t>Mesure(s) :</w:t>
            </w:r>
          </w:p>
        </w:tc>
      </w:tr>
      <w:tr w:rsidR="00B8348C" w:rsidRPr="00D315AF" w14:paraId="4ECE738B"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240AD65D" w14:textId="1C1D07C2" w:rsidR="00B8348C" w:rsidRPr="00F52884" w:rsidRDefault="00B8348C" w:rsidP="00C60FB9">
            <w:pPr>
              <w:spacing w:before="60" w:after="60"/>
              <w:rPr>
                <w:rFonts w:cstheme="minorHAnsi"/>
                <w:b/>
                <w:szCs w:val="23"/>
                <w:lang w:val="fr-CA"/>
              </w:rPr>
            </w:pPr>
            <w:r w:rsidRPr="00F52884">
              <w:rPr>
                <w:rStyle w:val="Emphasis"/>
                <w:rFonts w:cstheme="minorHAnsi"/>
                <w:b w:val="0"/>
                <w:szCs w:val="23"/>
                <w:shd w:val="clear" w:color="auto" w:fill="FFFFFF"/>
                <w:lang w:val="fr-CA"/>
              </w:rPr>
              <w:t>Loi sur la transformation des produits marins,</w:t>
            </w:r>
            <w:r w:rsidRPr="00F52884">
              <w:rPr>
                <w:rStyle w:val="Emphasis"/>
                <w:rFonts w:cstheme="minorHAnsi"/>
                <w:szCs w:val="23"/>
                <w:shd w:val="clear" w:color="auto" w:fill="FFFFFF"/>
                <w:lang w:val="fr-CA"/>
              </w:rPr>
              <w:t xml:space="preserve"> </w:t>
            </w:r>
            <w:proofErr w:type="gramStart"/>
            <w:r w:rsidRPr="00F52884">
              <w:rPr>
                <w:rFonts w:cstheme="minorHAnsi"/>
                <w:szCs w:val="23"/>
                <w:shd w:val="clear" w:color="auto" w:fill="FFFFFF"/>
                <w:lang w:val="fr-CA"/>
              </w:rPr>
              <w:t>RLRQ  c</w:t>
            </w:r>
            <w:proofErr w:type="gramEnd"/>
            <w:r w:rsidRPr="00F52884">
              <w:rPr>
                <w:rFonts w:cstheme="minorHAnsi"/>
                <w:szCs w:val="23"/>
                <w:shd w:val="clear" w:color="auto" w:fill="FFFFFF"/>
                <w:lang w:val="fr-CA"/>
              </w:rPr>
              <w:t> T-11.01</w:t>
            </w:r>
          </w:p>
        </w:tc>
      </w:tr>
      <w:tr w:rsidR="00B8348C" w:rsidRPr="00F52884" w14:paraId="0EC74ECE"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1337974" w14:textId="77777777" w:rsidR="00B8348C" w:rsidRPr="00F52884" w:rsidRDefault="00B8348C" w:rsidP="00D1446B">
            <w:pPr>
              <w:spacing w:before="60" w:after="60"/>
              <w:rPr>
                <w:b/>
                <w:lang w:val="fr-CA"/>
              </w:rPr>
            </w:pPr>
            <w:r w:rsidRPr="00F52884">
              <w:rPr>
                <w:b/>
                <w:lang w:val="fr-CA"/>
              </w:rPr>
              <w:t>Description :</w:t>
            </w:r>
          </w:p>
        </w:tc>
      </w:tr>
      <w:tr w:rsidR="00B8348C" w:rsidRPr="00F52884" w14:paraId="6320F16E"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0F26EB63" w14:textId="77777777" w:rsidR="00B8348C" w:rsidRPr="00F52884" w:rsidRDefault="00B8348C" w:rsidP="00C60FB9">
            <w:pPr>
              <w:spacing w:before="60" w:after="60"/>
              <w:rPr>
                <w:rFonts w:cstheme="minorHAnsi"/>
                <w:szCs w:val="23"/>
                <w:lang w:val="fr-CA"/>
              </w:rPr>
            </w:pPr>
            <w:r w:rsidRPr="00F52884">
              <w:rPr>
                <w:rFonts w:cstheme="minorHAnsi"/>
                <w:szCs w:val="23"/>
                <w:lang w:val="fr-CA"/>
              </w:rPr>
              <w:t>Le ministre peut, par règlement, prescrire des normes minimales de transformation auxquelles doit se conformer l’exploitant pour préparer ou mettre en conserve un produit marin. Les normes peuvent varier en fonction des produits.</w:t>
            </w:r>
          </w:p>
        </w:tc>
      </w:tr>
    </w:tbl>
    <w:p w14:paraId="01DAF935" w14:textId="77777777" w:rsidR="00B8348C" w:rsidRPr="00F52884" w:rsidRDefault="00B8348C" w:rsidP="00610CDD">
      <w:pPr>
        <w:rPr>
          <w:rFonts w:cstheme="minorHAnsi"/>
          <w:b/>
          <w:szCs w:val="23"/>
          <w:lang w:val="fr-CA"/>
        </w:rPr>
      </w:pPr>
    </w:p>
    <w:p w14:paraId="48971D7A" w14:textId="77777777" w:rsidR="00B8348C" w:rsidRPr="00F52884" w:rsidRDefault="00B8348C" w:rsidP="00610CDD">
      <w:pPr>
        <w:rPr>
          <w:rFonts w:cstheme="minorHAnsi"/>
          <w:b/>
          <w:szCs w:val="23"/>
          <w:lang w:val="fr-CA"/>
        </w:rPr>
      </w:pPr>
    </w:p>
    <w:p w14:paraId="6852A624" w14:textId="464C66A8"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9.  </w:t>
      </w:r>
      <w:r w:rsidR="00B8348C" w:rsidRPr="00F52884">
        <w:rPr>
          <w:rFonts w:cstheme="minorHAnsi"/>
          <w:b/>
          <w:szCs w:val="23"/>
          <w:lang w:val="fr-CA"/>
        </w:rPr>
        <w:t>QUÉBEC</w:t>
      </w:r>
    </w:p>
    <w:tbl>
      <w:tblPr>
        <w:tblW w:w="10305" w:type="dxa"/>
        <w:jc w:val="center"/>
        <w:tblCellMar>
          <w:top w:w="14" w:type="dxa"/>
          <w:left w:w="86" w:type="dxa"/>
          <w:bottom w:w="14" w:type="dxa"/>
          <w:right w:w="86" w:type="dxa"/>
        </w:tblCellMar>
        <w:tblLook w:val="0000" w:firstRow="0" w:lastRow="0" w:firstColumn="0" w:lastColumn="0" w:noHBand="0" w:noVBand="0"/>
      </w:tblPr>
      <w:tblGrid>
        <w:gridCol w:w="2250"/>
        <w:gridCol w:w="7676"/>
        <w:gridCol w:w="379"/>
      </w:tblGrid>
      <w:tr w:rsidR="00B8348C" w:rsidRPr="00F52884" w14:paraId="55C59A40"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5BC953C" w14:textId="5A79632A"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8055" w:type="dxa"/>
            <w:gridSpan w:val="2"/>
            <w:tcBorders>
              <w:top w:val="single" w:sz="4" w:space="0" w:color="C0C0C0"/>
              <w:left w:val="single" w:sz="4" w:space="0" w:color="FFFFFF"/>
              <w:bottom w:val="single" w:sz="4" w:space="0" w:color="C0C0C0"/>
              <w:right w:val="nil"/>
            </w:tcBorders>
            <w:vAlign w:val="center"/>
          </w:tcPr>
          <w:p w14:paraId="6EB5F6AF" w14:textId="5109E833" w:rsidR="00B8348C" w:rsidRPr="00F52884" w:rsidRDefault="008A11B2" w:rsidP="00C60FB9">
            <w:pPr>
              <w:spacing w:before="60" w:after="60"/>
              <w:rPr>
                <w:rFonts w:cstheme="minorHAnsi"/>
                <w:szCs w:val="23"/>
                <w:lang w:val="fr-CA"/>
              </w:rPr>
            </w:pPr>
            <w:r w:rsidRPr="00F52884">
              <w:rPr>
                <w:rFonts w:cstheme="minorHAnsi"/>
                <w:szCs w:val="23"/>
                <w:lang w:val="fr-CA"/>
              </w:rPr>
              <w:t>Faune,</w:t>
            </w:r>
            <w:r w:rsidRPr="00F52884">
              <w:rPr>
                <w:rFonts w:cstheme="minorHAnsi"/>
                <w:b/>
                <w:szCs w:val="23"/>
                <w:lang w:val="fr-CA"/>
              </w:rPr>
              <w:t xml:space="preserve"> </w:t>
            </w:r>
            <w:r w:rsidRPr="00F52884">
              <w:rPr>
                <w:rFonts w:cstheme="minorHAnsi"/>
                <w:szCs w:val="23"/>
                <w:lang w:val="fr-CA"/>
              </w:rPr>
              <w:t>chasse, pêches, piégeage</w:t>
            </w:r>
          </w:p>
        </w:tc>
      </w:tr>
      <w:tr w:rsidR="00B8348C" w:rsidRPr="00F52884" w14:paraId="3B78012E"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18BB5AB3" w14:textId="57E0360D"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8055" w:type="dxa"/>
            <w:gridSpan w:val="2"/>
            <w:tcBorders>
              <w:top w:val="single" w:sz="4" w:space="0" w:color="C0C0C0"/>
              <w:left w:val="single" w:sz="4" w:space="0" w:color="FFFFFF"/>
              <w:bottom w:val="single" w:sz="4" w:space="0" w:color="C0C0C0"/>
              <w:right w:val="nil"/>
            </w:tcBorders>
            <w:vAlign w:val="center"/>
          </w:tcPr>
          <w:p w14:paraId="66934983" w14:textId="2D2EF294" w:rsidR="00B8348C" w:rsidRPr="00F52884" w:rsidRDefault="008A11B2" w:rsidP="00C60FB9">
            <w:pPr>
              <w:spacing w:before="60" w:after="60"/>
              <w:rPr>
                <w:rFonts w:cstheme="minorHAnsi"/>
                <w:szCs w:val="23"/>
                <w:lang w:val="fr-CA"/>
              </w:rPr>
            </w:pPr>
            <w:r w:rsidRPr="00F52884">
              <w:rPr>
                <w:rFonts w:cstheme="minorHAnsi"/>
                <w:szCs w:val="23"/>
                <w:lang w:val="fr-CA"/>
              </w:rPr>
              <w:t>Tous</w:t>
            </w:r>
          </w:p>
        </w:tc>
      </w:tr>
      <w:tr w:rsidR="00B8348C" w:rsidRPr="00F52884" w14:paraId="63804FC6"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5D20C58" w14:textId="4A85BC5A"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676" w:type="dxa"/>
            <w:tcBorders>
              <w:top w:val="single" w:sz="4" w:space="0" w:color="C0C0C0"/>
              <w:left w:val="single" w:sz="4" w:space="0" w:color="FFFFFF"/>
              <w:bottom w:val="single" w:sz="4" w:space="0" w:color="C0C0C0"/>
              <w:right w:val="nil"/>
            </w:tcBorders>
            <w:vAlign w:val="center"/>
          </w:tcPr>
          <w:p w14:paraId="66303C25" w14:textId="67F7F6AC" w:rsidR="00B8348C" w:rsidRPr="00F52884" w:rsidRDefault="008A11B2" w:rsidP="00C60FB9">
            <w:pPr>
              <w:spacing w:before="60" w:after="60"/>
              <w:ind w:left="4"/>
              <w:rPr>
                <w:rFonts w:cstheme="minorHAnsi"/>
                <w:szCs w:val="23"/>
                <w:lang w:val="fr-CA"/>
              </w:rPr>
            </w:pPr>
            <w:r w:rsidRPr="00F52884">
              <w:rPr>
                <w:rFonts w:cstheme="minorHAnsi"/>
                <w:szCs w:val="23"/>
                <w:lang w:val="fr-CA"/>
              </w:rPr>
              <w:t>CPC 0297, 8813, 882,</w:t>
            </w:r>
            <w:r w:rsidRPr="00F52884">
              <w:rPr>
                <w:rFonts w:cstheme="minorHAnsi"/>
                <w:b/>
                <w:szCs w:val="23"/>
                <w:lang w:val="fr-CA"/>
              </w:rPr>
              <w:t xml:space="preserve"> </w:t>
            </w:r>
            <w:r w:rsidRPr="00F52884">
              <w:rPr>
                <w:rFonts w:cstheme="minorHAnsi"/>
                <w:szCs w:val="23"/>
                <w:lang w:val="fr-CA"/>
              </w:rPr>
              <w:t>9649</w:t>
            </w:r>
          </w:p>
        </w:tc>
      </w:tr>
      <w:tr w:rsidR="008A11B2" w:rsidRPr="00F52884" w14:paraId="1887BFE8"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24116E36"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055" w:type="dxa"/>
            <w:gridSpan w:val="2"/>
            <w:tcBorders>
              <w:top w:val="single" w:sz="4" w:space="0" w:color="C0C0C0"/>
              <w:left w:val="single" w:sz="4" w:space="0" w:color="FFFFFF" w:themeColor="background1"/>
              <w:bottom w:val="single" w:sz="4" w:space="0" w:color="C0C0C0"/>
              <w:right w:val="single" w:sz="4" w:space="0" w:color="C0C0C0"/>
            </w:tcBorders>
          </w:tcPr>
          <w:p w14:paraId="4C815431" w14:textId="13C5F5E8"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0686E9AA" w14:textId="77777777" w:rsidTr="00DF62A7">
        <w:trPr>
          <w:trHeight w:val="42"/>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AD9F489" w14:textId="77777777" w:rsidR="00B8348C" w:rsidRPr="00F52884" w:rsidRDefault="00B8348C" w:rsidP="00D1446B">
            <w:pPr>
              <w:spacing w:before="60" w:after="60"/>
              <w:rPr>
                <w:b/>
                <w:lang w:val="fr-CA"/>
              </w:rPr>
            </w:pPr>
            <w:r w:rsidRPr="00F52884">
              <w:rPr>
                <w:b/>
                <w:lang w:val="fr-CA"/>
              </w:rPr>
              <w:t>Mesure(s) :</w:t>
            </w:r>
          </w:p>
        </w:tc>
      </w:tr>
      <w:tr w:rsidR="00B8348C" w:rsidRPr="00D315AF" w14:paraId="33C7D724" w14:textId="77777777" w:rsidTr="00DF62A7">
        <w:trPr>
          <w:trHeight w:val="273"/>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00BED396" w14:textId="7D216A80" w:rsidR="00B8348C" w:rsidRPr="00F52884" w:rsidRDefault="00B8348C" w:rsidP="00C60FB9">
            <w:pPr>
              <w:spacing w:before="60" w:after="60"/>
              <w:rPr>
                <w:rFonts w:cstheme="minorHAnsi"/>
                <w:b/>
                <w:szCs w:val="23"/>
                <w:lang w:val="fr-CA"/>
              </w:rPr>
            </w:pPr>
            <w:r w:rsidRPr="00F52884">
              <w:rPr>
                <w:rStyle w:val="Emphasis"/>
                <w:rFonts w:eastAsia="Calibri" w:cstheme="minorHAnsi"/>
                <w:b w:val="0"/>
                <w:szCs w:val="23"/>
                <w:lang w:val="fr-CA"/>
              </w:rPr>
              <w:t>Loi sur la conservation et la mise en valeur de la faune,</w:t>
            </w:r>
            <w:r w:rsidRPr="00F52884">
              <w:rPr>
                <w:rStyle w:val="apple-converted-space"/>
                <w:rFonts w:cstheme="minorHAnsi"/>
                <w:b/>
                <w:szCs w:val="23"/>
                <w:lang w:val="fr-CA"/>
              </w:rPr>
              <w:t> </w:t>
            </w:r>
            <w:r w:rsidRPr="00F52884">
              <w:rPr>
                <w:rFonts w:cstheme="minorHAnsi"/>
                <w:szCs w:val="23"/>
                <w:lang w:val="fr-CA"/>
              </w:rPr>
              <w:t>RLRQ c C-61.1</w:t>
            </w:r>
          </w:p>
        </w:tc>
      </w:tr>
      <w:tr w:rsidR="00B8348C" w:rsidRPr="00F52884" w14:paraId="40F7E5EC" w14:textId="77777777" w:rsidTr="00DF62A7">
        <w:trPr>
          <w:trHeight w:val="49"/>
          <w:jc w:val="center"/>
        </w:trPr>
        <w:tc>
          <w:tcPr>
            <w:tcW w:w="1030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4955C05" w14:textId="77777777" w:rsidR="00B8348C" w:rsidRPr="00F52884" w:rsidRDefault="00B8348C" w:rsidP="00D1446B">
            <w:pPr>
              <w:spacing w:before="60" w:after="60"/>
              <w:rPr>
                <w:b/>
                <w:lang w:val="fr-CA"/>
              </w:rPr>
            </w:pPr>
            <w:r w:rsidRPr="00F52884">
              <w:rPr>
                <w:b/>
                <w:lang w:val="fr-CA"/>
              </w:rPr>
              <w:t>Description :</w:t>
            </w:r>
          </w:p>
        </w:tc>
      </w:tr>
      <w:tr w:rsidR="00B8348C" w:rsidRPr="00D315AF" w14:paraId="7E267C87" w14:textId="77777777" w:rsidTr="00DF62A7">
        <w:trPr>
          <w:trHeight w:val="66"/>
          <w:jc w:val="center"/>
        </w:trPr>
        <w:tc>
          <w:tcPr>
            <w:tcW w:w="10305" w:type="dxa"/>
            <w:gridSpan w:val="3"/>
            <w:tcBorders>
              <w:top w:val="single" w:sz="4" w:space="0" w:color="C0C0C0"/>
              <w:left w:val="single" w:sz="4" w:space="0" w:color="C0C0C0"/>
              <w:bottom w:val="single" w:sz="4" w:space="0" w:color="C0C0C0"/>
              <w:right w:val="single" w:sz="4" w:space="0" w:color="C0C0C0"/>
            </w:tcBorders>
          </w:tcPr>
          <w:p w14:paraId="013C767A"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 xml:space="preserve">La </w:t>
            </w:r>
            <w:r w:rsidRPr="00F52884">
              <w:rPr>
                <w:rFonts w:cstheme="minorHAnsi"/>
                <w:i/>
                <w:szCs w:val="23"/>
                <w:lang w:val="fr-CA"/>
              </w:rPr>
              <w:t>Loi sur la conservation et la mise en valeur de la faune</w:t>
            </w:r>
            <w:r w:rsidRPr="00F52884">
              <w:rPr>
                <w:rFonts w:cstheme="minorHAnsi"/>
                <w:szCs w:val="23"/>
                <w:lang w:val="fr-CA"/>
              </w:rPr>
              <w:t>, ainsi que tous les règlements qui en découlent, peuvent prévoir des traitements différenciés pour les non-résidents du Québec.</w:t>
            </w:r>
          </w:p>
          <w:p w14:paraId="342B59F3" w14:textId="1A2E7BD9" w:rsidR="00B8348C" w:rsidRPr="00F52884" w:rsidRDefault="00B8348C" w:rsidP="00C60FB9">
            <w:pPr>
              <w:spacing w:before="120" w:after="120"/>
              <w:rPr>
                <w:rFonts w:cstheme="minorHAnsi"/>
                <w:szCs w:val="23"/>
                <w:lang w:val="fr-CA"/>
              </w:rPr>
            </w:pPr>
            <w:r w:rsidRPr="00F52884">
              <w:rPr>
                <w:rFonts w:cstheme="minorHAnsi"/>
                <w:szCs w:val="23"/>
                <w:lang w:val="fr-CA"/>
              </w:rPr>
              <w:lastRenderedPageBreak/>
              <w:t xml:space="preserve">Un résident est considéré comme une personne domiciliée au Québec et y ayant demeuré au moins 183 jours au cours de l’année précédant ses activités de pêche, de chasse, de piégeage ou sa demande </w:t>
            </w:r>
            <w:r w:rsidR="00C60FB9" w:rsidRPr="00F52884">
              <w:rPr>
                <w:rFonts w:cstheme="minorHAnsi"/>
                <w:szCs w:val="23"/>
                <w:lang w:val="fr-CA"/>
              </w:rPr>
              <w:t>d’un permis ou d’un certificat.</w:t>
            </w:r>
          </w:p>
        </w:tc>
      </w:tr>
    </w:tbl>
    <w:p w14:paraId="258446E9" w14:textId="77777777" w:rsidR="00B8348C" w:rsidRPr="00F52884" w:rsidRDefault="00B8348C" w:rsidP="00610CDD">
      <w:pPr>
        <w:pStyle w:val="ListParagraph"/>
        <w:ind w:left="-142"/>
        <w:rPr>
          <w:rFonts w:cstheme="minorHAnsi"/>
          <w:szCs w:val="23"/>
          <w:lang w:val="fr-CA"/>
        </w:rPr>
      </w:pPr>
    </w:p>
    <w:p w14:paraId="5EA11E40" w14:textId="77777777" w:rsidR="00B8348C" w:rsidRPr="00F52884" w:rsidRDefault="00B8348C" w:rsidP="00610CDD">
      <w:pPr>
        <w:rPr>
          <w:rFonts w:cstheme="minorHAnsi"/>
          <w:b/>
          <w:szCs w:val="23"/>
          <w:lang w:val="fr-CA"/>
        </w:rPr>
      </w:pPr>
    </w:p>
    <w:p w14:paraId="661273A2" w14:textId="15EC6440"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10.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6D1B4473"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6CEB0DC0" w14:textId="164F5FAF"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107B8147" w14:textId="6BFF6DBC" w:rsidR="00B8348C" w:rsidRPr="00F52884" w:rsidRDefault="008A11B2" w:rsidP="00C60FB9">
            <w:pPr>
              <w:spacing w:before="60" w:after="60"/>
              <w:rPr>
                <w:rFonts w:cstheme="minorHAnsi"/>
                <w:szCs w:val="23"/>
                <w:lang w:val="fr-CA"/>
              </w:rPr>
            </w:pPr>
            <w:r w:rsidRPr="00F52884">
              <w:rPr>
                <w:rFonts w:cstheme="minorHAnsi"/>
                <w:szCs w:val="23"/>
                <w:lang w:val="fr-CA"/>
              </w:rPr>
              <w:t>Foresterie</w:t>
            </w:r>
          </w:p>
        </w:tc>
      </w:tr>
      <w:tr w:rsidR="00B8348C" w:rsidRPr="00D315AF" w14:paraId="51D3947C"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4A1DF0CE" w14:textId="53FA33EB"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79ABE094" w14:textId="1C2E9D71" w:rsidR="00B8348C" w:rsidRPr="00F52884" w:rsidRDefault="008A11B2" w:rsidP="00C60FB9">
            <w:pPr>
              <w:spacing w:before="60" w:after="60"/>
              <w:rPr>
                <w:rFonts w:cstheme="minorHAnsi"/>
                <w:szCs w:val="23"/>
                <w:lang w:val="fr-CA"/>
              </w:rPr>
            </w:pPr>
            <w:r w:rsidRPr="00F52884">
              <w:rPr>
                <w:rFonts w:cstheme="minorHAnsi"/>
                <w:szCs w:val="23"/>
                <w:lang w:val="fr-CA"/>
              </w:rPr>
              <w:t>Sylviculture et produits de l'exploitation forestière, ouvrages en bois, en liège, ouvrages de vannerie et de sparterie, pâte de bois, papier et ouvrages en papier; imprimés et articles apparentés, Services annexes à la sylviculture et à l'exploitation forestière</w:t>
            </w:r>
          </w:p>
        </w:tc>
      </w:tr>
      <w:tr w:rsidR="00B8348C" w:rsidRPr="00F52884" w14:paraId="551CD6DD"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CF449AA" w14:textId="3389D94E"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02BAD8D3" w14:textId="72DB09B0" w:rsidR="00B8348C" w:rsidRPr="00F52884" w:rsidRDefault="008A11B2" w:rsidP="00C60FB9">
            <w:pPr>
              <w:spacing w:before="60" w:after="60"/>
              <w:ind w:left="4"/>
              <w:rPr>
                <w:rFonts w:cstheme="minorHAnsi"/>
                <w:szCs w:val="23"/>
                <w:lang w:val="fr-CA"/>
              </w:rPr>
            </w:pPr>
            <w:r w:rsidRPr="00F52884">
              <w:rPr>
                <w:rFonts w:cstheme="minorHAnsi"/>
                <w:szCs w:val="23"/>
                <w:lang w:val="fr-CA"/>
              </w:rPr>
              <w:t>CPC 031, 31, 32, 8814</w:t>
            </w:r>
          </w:p>
        </w:tc>
      </w:tr>
      <w:tr w:rsidR="008A11B2" w:rsidRPr="00D315AF" w14:paraId="190B0634"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1347A675"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4E6BCFAD" w14:textId="12B709C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313 (Prescription de résultats)</w:t>
            </w:r>
          </w:p>
        </w:tc>
      </w:tr>
      <w:tr w:rsidR="00B8348C" w:rsidRPr="00F52884" w14:paraId="44089BCD" w14:textId="77777777" w:rsidTr="00DF62A7">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6F9B103" w14:textId="77777777" w:rsidR="00B8348C" w:rsidRPr="00F52884" w:rsidRDefault="00B8348C" w:rsidP="00D1446B">
            <w:pPr>
              <w:spacing w:before="60" w:after="60"/>
              <w:rPr>
                <w:b/>
                <w:lang w:val="fr-CA"/>
              </w:rPr>
            </w:pPr>
            <w:r w:rsidRPr="00F52884">
              <w:rPr>
                <w:b/>
                <w:lang w:val="fr-CA"/>
              </w:rPr>
              <w:t>Mesure(s) :</w:t>
            </w:r>
          </w:p>
        </w:tc>
      </w:tr>
      <w:tr w:rsidR="00B8348C" w:rsidRPr="00D315AF" w14:paraId="3C380251" w14:textId="77777777" w:rsidTr="00DF62A7">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194DEDE7" w14:textId="5276A798" w:rsidR="00B8348C" w:rsidRPr="00F52884" w:rsidRDefault="00B8348C" w:rsidP="00C60FB9">
            <w:pPr>
              <w:spacing w:before="60" w:after="60"/>
              <w:jc w:val="both"/>
              <w:rPr>
                <w:rFonts w:cstheme="minorHAnsi"/>
                <w:szCs w:val="23"/>
                <w:lang w:val="fr-CA"/>
              </w:rPr>
            </w:pPr>
            <w:r w:rsidRPr="00F52884">
              <w:rPr>
                <w:rFonts w:cstheme="minorHAnsi"/>
                <w:i/>
                <w:szCs w:val="23"/>
                <w:lang w:val="fr-CA"/>
              </w:rPr>
              <w:t xml:space="preserve">Loi sur le </w:t>
            </w:r>
            <w:proofErr w:type="gramStart"/>
            <w:r w:rsidRPr="00F52884">
              <w:rPr>
                <w:rFonts w:cstheme="minorHAnsi"/>
                <w:i/>
                <w:szCs w:val="23"/>
                <w:lang w:val="fr-CA"/>
              </w:rPr>
              <w:t>Ministère</w:t>
            </w:r>
            <w:proofErr w:type="gramEnd"/>
            <w:r w:rsidRPr="00F52884">
              <w:rPr>
                <w:rFonts w:cstheme="minorHAnsi"/>
                <w:i/>
                <w:szCs w:val="23"/>
                <w:lang w:val="fr-CA"/>
              </w:rPr>
              <w:t xml:space="preserve"> des Ressources naturelles et de la Faune</w:t>
            </w:r>
            <w:r w:rsidRPr="00F52884">
              <w:rPr>
                <w:rFonts w:cstheme="minorHAnsi"/>
                <w:szCs w:val="23"/>
                <w:lang w:val="fr-CA"/>
              </w:rPr>
              <w:t>, RLRQ</w:t>
            </w:r>
            <w:r w:rsidRPr="00F52884">
              <w:rPr>
                <w:rFonts w:cstheme="minorHAnsi"/>
                <w:bCs/>
                <w:szCs w:val="23"/>
                <w:lang w:val="fr-CA"/>
              </w:rPr>
              <w:t xml:space="preserve"> c </w:t>
            </w:r>
            <w:r w:rsidRPr="00F52884">
              <w:rPr>
                <w:rFonts w:cstheme="minorHAnsi"/>
                <w:szCs w:val="23"/>
                <w:lang w:val="fr-CA"/>
              </w:rPr>
              <w:t>M-25.2</w:t>
            </w:r>
          </w:p>
          <w:p w14:paraId="5DAC7602" w14:textId="31D952F1" w:rsidR="00B8348C" w:rsidRPr="00F52884" w:rsidRDefault="00B8348C" w:rsidP="00C60FB9">
            <w:pPr>
              <w:autoSpaceDE w:val="0"/>
              <w:autoSpaceDN w:val="0"/>
              <w:adjustRightInd w:val="0"/>
              <w:spacing w:before="60" w:after="60"/>
              <w:jc w:val="both"/>
              <w:rPr>
                <w:rFonts w:cstheme="minorHAnsi"/>
                <w:szCs w:val="23"/>
                <w:lang w:val="fr-CA"/>
              </w:rPr>
            </w:pPr>
            <w:r w:rsidRPr="00F52884">
              <w:rPr>
                <w:rFonts w:cstheme="minorHAnsi"/>
                <w:i/>
                <w:szCs w:val="23"/>
                <w:lang w:val="fr-CA"/>
              </w:rPr>
              <w:t xml:space="preserve">Loi sur l’aménagement durable du territoire forestier, </w:t>
            </w:r>
            <w:r w:rsidRPr="00F52884">
              <w:rPr>
                <w:rFonts w:cstheme="minorHAnsi"/>
                <w:szCs w:val="23"/>
                <w:lang w:val="fr-CA"/>
              </w:rPr>
              <w:t>RLRQ</w:t>
            </w:r>
            <w:r w:rsidRPr="00F52884">
              <w:rPr>
                <w:rFonts w:cstheme="minorHAnsi"/>
                <w:bCs/>
                <w:szCs w:val="23"/>
                <w:lang w:val="fr-CA"/>
              </w:rPr>
              <w:t xml:space="preserve"> c A-18.1</w:t>
            </w:r>
          </w:p>
        </w:tc>
      </w:tr>
      <w:tr w:rsidR="00B8348C" w:rsidRPr="00F52884" w14:paraId="4A1DC700" w14:textId="77777777" w:rsidTr="00DF62A7">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BBDC43A" w14:textId="77777777" w:rsidR="00B8348C" w:rsidRPr="00F52884" w:rsidRDefault="00B8348C" w:rsidP="00D1446B">
            <w:pPr>
              <w:spacing w:before="60" w:after="60"/>
              <w:rPr>
                <w:b/>
                <w:lang w:val="fr-CA"/>
              </w:rPr>
            </w:pPr>
            <w:r w:rsidRPr="00F52884">
              <w:rPr>
                <w:b/>
                <w:lang w:val="fr-CA"/>
              </w:rPr>
              <w:t>Description :</w:t>
            </w:r>
          </w:p>
        </w:tc>
      </w:tr>
      <w:tr w:rsidR="00B8348C" w:rsidRPr="00D315AF" w14:paraId="3024D420" w14:textId="77777777" w:rsidTr="00DF62A7">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73683459"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Tous les bois récoltés dans les forêts du domaine de l'État, incluant la biomasse, doivent être entièrement ouvrés au Québec. Cependant, le gouvernement peut, aux conditions qu'il détermine, autoriser l'expédition hors Québec de bois non entièrement ouvré provenant des forêts du domaine de l'État, s'il paraît contraire à l'intérêt public d'en disposer autrement.</w:t>
            </w:r>
          </w:p>
          <w:p w14:paraId="7FAD2301"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Le ministre peut prendre des mesures pour la mise en valeur des terres ou des ressources forestières du domaine de l’État qui sont sous son autorité aux fins d’encourager le développement régional ou de mettre en œuvre toute autre politique gouvernementale.</w:t>
            </w:r>
          </w:p>
        </w:tc>
      </w:tr>
    </w:tbl>
    <w:p w14:paraId="0FEAA5B9" w14:textId="77777777" w:rsidR="00B8348C" w:rsidRPr="00F52884" w:rsidRDefault="00B8348C" w:rsidP="00610CDD">
      <w:pPr>
        <w:pStyle w:val="ListParagraph"/>
        <w:ind w:left="-142"/>
        <w:rPr>
          <w:rFonts w:cstheme="minorHAnsi"/>
          <w:szCs w:val="23"/>
          <w:lang w:val="fr-CA"/>
        </w:rPr>
      </w:pPr>
    </w:p>
    <w:p w14:paraId="37E4525F" w14:textId="77777777" w:rsidR="00B8348C" w:rsidRPr="00F52884" w:rsidRDefault="00B8348C" w:rsidP="00610CDD">
      <w:pPr>
        <w:rPr>
          <w:rFonts w:cstheme="minorHAnsi"/>
          <w:b/>
          <w:szCs w:val="23"/>
          <w:lang w:val="fr-CA"/>
        </w:rPr>
      </w:pPr>
    </w:p>
    <w:p w14:paraId="4D38C7C6" w14:textId="77C07D61" w:rsidR="00B8348C" w:rsidRPr="00F52884" w:rsidRDefault="00744339" w:rsidP="00C60FB9">
      <w:pPr>
        <w:pStyle w:val="ListParagraph"/>
        <w:spacing w:before="60" w:after="60"/>
        <w:ind w:left="-360"/>
        <w:rPr>
          <w:rFonts w:cstheme="minorHAnsi"/>
          <w:b/>
          <w:szCs w:val="23"/>
        </w:rPr>
      </w:pPr>
      <w:r w:rsidRPr="00F52884">
        <w:rPr>
          <w:rFonts w:cstheme="minorHAnsi"/>
          <w:b/>
          <w:szCs w:val="23"/>
        </w:rPr>
        <w:t xml:space="preserve">11.  </w:t>
      </w:r>
      <w:r w:rsidR="00B8348C" w:rsidRPr="00F52884">
        <w:rPr>
          <w:rFonts w:cstheme="minorHAnsi"/>
          <w:b/>
          <w:szCs w:val="23"/>
        </w:rPr>
        <w:t>QUÉBEC</w:t>
      </w:r>
    </w:p>
    <w:tbl>
      <w:tblPr>
        <w:tblW w:w="10207" w:type="dxa"/>
        <w:jc w:val="center"/>
        <w:tblCellMar>
          <w:top w:w="14" w:type="dxa"/>
          <w:left w:w="86" w:type="dxa"/>
          <w:bottom w:w="14" w:type="dxa"/>
          <w:right w:w="86" w:type="dxa"/>
        </w:tblCellMar>
        <w:tblLook w:val="0000" w:firstRow="0" w:lastRow="0" w:firstColumn="0" w:lastColumn="0" w:noHBand="0" w:noVBand="0"/>
      </w:tblPr>
      <w:tblGrid>
        <w:gridCol w:w="2250"/>
        <w:gridCol w:w="7870"/>
        <w:gridCol w:w="87"/>
      </w:tblGrid>
      <w:tr w:rsidR="00B8348C" w:rsidRPr="00F52884" w14:paraId="2FF72ADA"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654D8CA" w14:textId="42AC8987" w:rsidR="00B8348C" w:rsidRPr="00F52884" w:rsidRDefault="00B8348C" w:rsidP="00C60FB9">
            <w:pPr>
              <w:spacing w:before="60" w:after="60"/>
              <w:rPr>
                <w:rFonts w:cstheme="minorHAnsi"/>
                <w:b/>
                <w:szCs w:val="23"/>
              </w:rPr>
            </w:pPr>
            <w:r w:rsidRPr="00F52884">
              <w:rPr>
                <w:rFonts w:cstheme="minorHAnsi"/>
                <w:b/>
                <w:szCs w:val="23"/>
              </w:rPr>
              <w:br w:type="page"/>
            </w:r>
            <w:proofErr w:type="spellStart"/>
            <w:proofErr w:type="gramStart"/>
            <w:r w:rsidRPr="00F52884">
              <w:rPr>
                <w:rFonts w:cstheme="minorHAnsi"/>
                <w:b/>
                <w:szCs w:val="23"/>
              </w:rPr>
              <w:t>Secteur</w:t>
            </w:r>
            <w:proofErr w:type="spellEnd"/>
            <w:r w:rsidRPr="00F52884">
              <w:rPr>
                <w:rFonts w:cstheme="minorHAnsi"/>
                <w:b/>
                <w:szCs w:val="23"/>
              </w:rPr>
              <w:t xml:space="preserve"> :</w:t>
            </w:r>
            <w:proofErr w:type="gramEnd"/>
            <w:r w:rsidRPr="00F52884">
              <w:rPr>
                <w:rFonts w:cstheme="minorHAnsi"/>
                <w:b/>
                <w:szCs w:val="23"/>
              </w:rPr>
              <w:t xml:space="preserve"> </w:t>
            </w:r>
          </w:p>
        </w:tc>
        <w:tc>
          <w:tcPr>
            <w:tcW w:w="7957" w:type="dxa"/>
            <w:gridSpan w:val="2"/>
            <w:tcBorders>
              <w:top w:val="single" w:sz="4" w:space="0" w:color="C0C0C0"/>
              <w:left w:val="single" w:sz="4" w:space="0" w:color="FFFFFF"/>
              <w:bottom w:val="single" w:sz="4" w:space="0" w:color="C0C0C0"/>
              <w:right w:val="nil"/>
            </w:tcBorders>
            <w:vAlign w:val="center"/>
          </w:tcPr>
          <w:p w14:paraId="500D7966" w14:textId="73735DEB" w:rsidR="00B8348C" w:rsidRPr="00F52884" w:rsidRDefault="008A11B2" w:rsidP="00C60FB9">
            <w:pPr>
              <w:spacing w:before="60" w:after="60"/>
              <w:rPr>
                <w:rFonts w:cstheme="minorHAnsi"/>
                <w:szCs w:val="23"/>
              </w:rPr>
            </w:pPr>
            <w:proofErr w:type="spellStart"/>
            <w:r w:rsidRPr="00F52884">
              <w:rPr>
                <w:rFonts w:cstheme="minorHAnsi"/>
                <w:szCs w:val="23"/>
              </w:rPr>
              <w:t>Boissons</w:t>
            </w:r>
            <w:proofErr w:type="spellEnd"/>
            <w:r w:rsidRPr="00F52884">
              <w:rPr>
                <w:rFonts w:cstheme="minorHAnsi"/>
                <w:szCs w:val="23"/>
              </w:rPr>
              <w:t xml:space="preserve"> </w:t>
            </w:r>
            <w:proofErr w:type="spellStart"/>
            <w:r w:rsidRPr="00F52884">
              <w:rPr>
                <w:rFonts w:cstheme="minorHAnsi"/>
                <w:szCs w:val="23"/>
              </w:rPr>
              <w:t>alcooliques</w:t>
            </w:r>
            <w:proofErr w:type="spellEnd"/>
          </w:p>
        </w:tc>
      </w:tr>
      <w:tr w:rsidR="00B8348C" w:rsidRPr="00D315AF" w14:paraId="00D5DE60"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3833BD25" w14:textId="02473100" w:rsidR="00B8348C" w:rsidRPr="00F52884" w:rsidRDefault="00B8348C" w:rsidP="00C60FB9">
            <w:pPr>
              <w:spacing w:before="60" w:after="60"/>
              <w:rPr>
                <w:rFonts w:cstheme="minorHAnsi"/>
                <w:b/>
                <w:szCs w:val="23"/>
                <w:lang w:val="fr-CA"/>
              </w:rPr>
            </w:pPr>
            <w:r w:rsidRPr="00F52884">
              <w:rPr>
                <w:rFonts w:cstheme="minorHAnsi"/>
                <w:b/>
                <w:szCs w:val="23"/>
                <w:lang w:val="fr-CA"/>
              </w:rPr>
              <w:t xml:space="preserve">Sous-secteur : </w:t>
            </w:r>
          </w:p>
        </w:tc>
        <w:tc>
          <w:tcPr>
            <w:tcW w:w="7957" w:type="dxa"/>
            <w:gridSpan w:val="2"/>
            <w:tcBorders>
              <w:top w:val="single" w:sz="4" w:space="0" w:color="C0C0C0"/>
              <w:left w:val="single" w:sz="4" w:space="0" w:color="FFFFFF"/>
              <w:bottom w:val="single" w:sz="4" w:space="0" w:color="C0C0C0"/>
              <w:right w:val="nil"/>
            </w:tcBorders>
            <w:vAlign w:val="center"/>
          </w:tcPr>
          <w:p w14:paraId="33EC0703" w14:textId="5E9440BD" w:rsidR="00B8348C" w:rsidRPr="00F52884" w:rsidRDefault="008A11B2" w:rsidP="00C60FB9">
            <w:pPr>
              <w:spacing w:before="60" w:after="60"/>
              <w:rPr>
                <w:rFonts w:cstheme="minorHAnsi"/>
                <w:szCs w:val="23"/>
                <w:lang w:val="fr-CA"/>
              </w:rPr>
            </w:pPr>
            <w:r w:rsidRPr="00F52884">
              <w:rPr>
                <w:rFonts w:cstheme="minorHAnsi"/>
                <w:szCs w:val="23"/>
                <w:lang w:val="fr-CA"/>
              </w:rPr>
              <w:t>Boissons, services de courtage, services de commerce de gros, services de commerce de détail, services d’hôtellerie et autres services d’hébergement, services de restauration, services de vente de boissons à consommer sur place</w:t>
            </w:r>
          </w:p>
        </w:tc>
      </w:tr>
      <w:tr w:rsidR="00B8348C" w:rsidRPr="00F52884" w14:paraId="27D96031" w14:textId="77777777" w:rsidTr="008A11B2">
        <w:trPr>
          <w:gridAfter w:val="1"/>
          <w:wAfter w:w="87"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27C0CC03" w14:textId="585E6EC2" w:rsidR="00B8348C" w:rsidRPr="00F52884" w:rsidRDefault="00B8348C" w:rsidP="00C60FB9">
            <w:pPr>
              <w:spacing w:before="60" w:after="60"/>
              <w:rPr>
                <w:rFonts w:cstheme="minorHAnsi"/>
                <w:szCs w:val="23"/>
              </w:rPr>
            </w:pPr>
            <w:r w:rsidRPr="00F52884">
              <w:rPr>
                <w:rFonts w:cstheme="minorHAnsi"/>
                <w:b/>
                <w:szCs w:val="23"/>
              </w:rPr>
              <w:t xml:space="preserve">Classification de </w:t>
            </w:r>
            <w:proofErr w:type="spellStart"/>
            <w:proofErr w:type="gramStart"/>
            <w:r w:rsidRPr="00F52884">
              <w:rPr>
                <w:rFonts w:cstheme="minorHAnsi"/>
                <w:b/>
                <w:szCs w:val="23"/>
              </w:rPr>
              <w:t>l’industrie</w:t>
            </w:r>
            <w:proofErr w:type="spellEnd"/>
            <w:r w:rsidRPr="00F52884">
              <w:rPr>
                <w:rFonts w:cstheme="minorHAnsi"/>
                <w:b/>
                <w:szCs w:val="23"/>
              </w:rPr>
              <w:t xml:space="preserve"> :</w:t>
            </w:r>
            <w:proofErr w:type="gramEnd"/>
            <w:r w:rsidRPr="00F52884">
              <w:rPr>
                <w:rFonts w:cstheme="minorHAnsi"/>
                <w:b/>
                <w:szCs w:val="23"/>
              </w:rPr>
              <w:t xml:space="preserve"> </w:t>
            </w:r>
          </w:p>
        </w:tc>
        <w:tc>
          <w:tcPr>
            <w:tcW w:w="7870" w:type="dxa"/>
            <w:tcBorders>
              <w:top w:val="single" w:sz="4" w:space="0" w:color="C0C0C0"/>
              <w:left w:val="single" w:sz="4" w:space="0" w:color="FFFFFF"/>
              <w:bottom w:val="single" w:sz="4" w:space="0" w:color="C0C0C0"/>
              <w:right w:val="nil"/>
            </w:tcBorders>
            <w:vAlign w:val="center"/>
          </w:tcPr>
          <w:p w14:paraId="2A5F5F57" w14:textId="684302FA" w:rsidR="00B8348C" w:rsidRPr="00F52884" w:rsidRDefault="008A11B2" w:rsidP="00C60FB9">
            <w:pPr>
              <w:spacing w:before="60" w:after="60"/>
              <w:ind w:left="4"/>
              <w:rPr>
                <w:rFonts w:cstheme="minorHAnsi"/>
                <w:szCs w:val="23"/>
              </w:rPr>
            </w:pPr>
            <w:r w:rsidRPr="00F52884">
              <w:rPr>
                <w:rFonts w:cstheme="minorHAnsi"/>
                <w:szCs w:val="23"/>
              </w:rPr>
              <w:t>CPC 241, 242, 243, 62112, 62226, 63107, 641, 642, 643</w:t>
            </w:r>
          </w:p>
        </w:tc>
      </w:tr>
      <w:tr w:rsidR="008A11B2" w:rsidRPr="00D315AF" w14:paraId="513E9C83"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49D61C8E"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57" w:type="dxa"/>
            <w:gridSpan w:val="2"/>
            <w:tcBorders>
              <w:top w:val="single" w:sz="4" w:space="0" w:color="C0C0C0"/>
              <w:left w:val="single" w:sz="4" w:space="0" w:color="FFFFFF" w:themeColor="background1"/>
              <w:bottom w:val="single" w:sz="4" w:space="0" w:color="C0C0C0"/>
              <w:right w:val="single" w:sz="4" w:space="0" w:color="C0C0C0"/>
            </w:tcBorders>
          </w:tcPr>
          <w:p w14:paraId="594BEFE2" w14:textId="3F18B1A9"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301 (Droit d’entrée et de sortie), article 307 (Accès au marché – Services), article 312 (Accès au marché – Investissement), article 313 (Prescriptions de résultats)</w:t>
            </w:r>
          </w:p>
        </w:tc>
      </w:tr>
      <w:tr w:rsidR="00B8348C" w:rsidRPr="00F52884" w14:paraId="2ED12086" w14:textId="77777777" w:rsidTr="00DF62A7">
        <w:trPr>
          <w:trHeight w:val="42"/>
          <w:jc w:val="center"/>
        </w:trPr>
        <w:tc>
          <w:tcPr>
            <w:tcW w:w="1020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A0722DB" w14:textId="77777777" w:rsidR="00B8348C" w:rsidRPr="00F52884" w:rsidRDefault="00B8348C" w:rsidP="00D1446B">
            <w:pPr>
              <w:spacing w:before="60" w:after="60"/>
              <w:rPr>
                <w:b/>
              </w:rPr>
            </w:pPr>
            <w:proofErr w:type="spellStart"/>
            <w:r w:rsidRPr="00F52884">
              <w:rPr>
                <w:b/>
              </w:rPr>
              <w:lastRenderedPageBreak/>
              <w:t>Mesure</w:t>
            </w:r>
            <w:proofErr w:type="spellEnd"/>
            <w:r w:rsidRPr="00F52884">
              <w:rPr>
                <w:b/>
              </w:rPr>
              <w:t>(s</w:t>
            </w:r>
            <w:proofErr w:type="gramStart"/>
            <w:r w:rsidRPr="00F52884">
              <w:rPr>
                <w:b/>
              </w:rPr>
              <w:t>) :</w:t>
            </w:r>
            <w:proofErr w:type="gramEnd"/>
            <w:r w:rsidRPr="00F52884">
              <w:rPr>
                <w:b/>
              </w:rPr>
              <w:t xml:space="preserve"> </w:t>
            </w:r>
          </w:p>
        </w:tc>
      </w:tr>
      <w:tr w:rsidR="00B8348C" w:rsidRPr="00D315AF" w14:paraId="41564C8C" w14:textId="77777777" w:rsidTr="00DF62A7">
        <w:trPr>
          <w:trHeight w:val="273"/>
          <w:jc w:val="center"/>
        </w:trPr>
        <w:tc>
          <w:tcPr>
            <w:tcW w:w="10207" w:type="dxa"/>
            <w:gridSpan w:val="3"/>
            <w:tcBorders>
              <w:top w:val="single" w:sz="4" w:space="0" w:color="C0C0C0"/>
              <w:left w:val="single" w:sz="4" w:space="0" w:color="C0C0C0"/>
              <w:bottom w:val="single" w:sz="4" w:space="0" w:color="C0C0C0"/>
              <w:right w:val="single" w:sz="4" w:space="0" w:color="C0C0C0"/>
            </w:tcBorders>
          </w:tcPr>
          <w:p w14:paraId="27D97CEA" w14:textId="7408E01E" w:rsidR="00B8348C" w:rsidRPr="00F52884" w:rsidRDefault="002B7C66" w:rsidP="00C60FB9">
            <w:pPr>
              <w:autoSpaceDE w:val="0"/>
              <w:autoSpaceDN w:val="0"/>
              <w:adjustRightInd w:val="0"/>
              <w:spacing w:before="60" w:after="60"/>
              <w:jc w:val="both"/>
              <w:rPr>
                <w:rFonts w:cstheme="minorHAnsi"/>
                <w:bCs/>
                <w:iCs/>
                <w:szCs w:val="23"/>
                <w:lang w:val="fr-CA"/>
              </w:rPr>
            </w:pPr>
            <w:hyperlink r:id="rId18" w:tgtFrame="_blank" w:history="1">
              <w:r w:rsidR="00B8348C" w:rsidRPr="00F52884">
                <w:rPr>
                  <w:rFonts w:cstheme="minorHAnsi"/>
                  <w:bCs/>
                  <w:i/>
                  <w:iCs/>
                  <w:szCs w:val="23"/>
                  <w:lang w:val="fr-CA"/>
                </w:rPr>
                <w:t>Loi sur la Société des alcools du Québec</w:t>
              </w:r>
            </w:hyperlink>
            <w:r w:rsidR="00B8348C" w:rsidRPr="00F52884">
              <w:rPr>
                <w:rFonts w:cstheme="minorHAnsi"/>
                <w:bCs/>
                <w:iCs/>
                <w:szCs w:val="23"/>
                <w:lang w:val="fr-CA"/>
              </w:rPr>
              <w:t>, RLRQ c S-13</w:t>
            </w:r>
          </w:p>
          <w:p w14:paraId="5D99D461" w14:textId="4E703EB7" w:rsidR="00B8348C" w:rsidRPr="00F52884" w:rsidRDefault="00B8348C" w:rsidP="00C60FB9">
            <w:pPr>
              <w:autoSpaceDE w:val="0"/>
              <w:autoSpaceDN w:val="0"/>
              <w:adjustRightInd w:val="0"/>
              <w:spacing w:before="60" w:after="60"/>
              <w:jc w:val="both"/>
              <w:rPr>
                <w:rFonts w:cstheme="minorHAnsi"/>
                <w:bCs/>
                <w:iCs/>
                <w:szCs w:val="23"/>
                <w:lang w:val="fr-CA"/>
              </w:rPr>
            </w:pPr>
            <w:r w:rsidRPr="00F52884">
              <w:rPr>
                <w:rFonts w:cstheme="minorHAnsi"/>
                <w:bCs/>
                <w:i/>
                <w:iCs/>
                <w:szCs w:val="23"/>
                <w:lang w:val="fr-CA"/>
              </w:rPr>
              <w:t>Loi sur les infractions en matière de boissons alcooliques</w:t>
            </w:r>
            <w:r w:rsidRPr="00F52884">
              <w:rPr>
                <w:rFonts w:cstheme="minorHAnsi"/>
                <w:bCs/>
                <w:iCs/>
                <w:szCs w:val="23"/>
                <w:lang w:val="fr-CA"/>
              </w:rPr>
              <w:t xml:space="preserve">, </w:t>
            </w:r>
            <w:proofErr w:type="gramStart"/>
            <w:r w:rsidRPr="00F52884">
              <w:rPr>
                <w:rFonts w:cstheme="minorHAnsi"/>
                <w:bCs/>
                <w:iCs/>
                <w:szCs w:val="23"/>
                <w:lang w:val="fr-CA"/>
              </w:rPr>
              <w:t>RLRQ  c</w:t>
            </w:r>
            <w:proofErr w:type="gramEnd"/>
            <w:r w:rsidRPr="00F52884">
              <w:rPr>
                <w:rFonts w:cstheme="minorHAnsi"/>
                <w:bCs/>
                <w:iCs/>
                <w:szCs w:val="23"/>
                <w:lang w:val="fr-CA"/>
              </w:rPr>
              <w:t xml:space="preserve"> I-8.1</w:t>
            </w:r>
          </w:p>
          <w:p w14:paraId="71756FFE" w14:textId="2B413DBA" w:rsidR="00B8348C" w:rsidRPr="00F52884" w:rsidRDefault="00B8348C" w:rsidP="00C60FB9">
            <w:pPr>
              <w:autoSpaceDE w:val="0"/>
              <w:autoSpaceDN w:val="0"/>
              <w:adjustRightInd w:val="0"/>
              <w:spacing w:before="60" w:after="60"/>
              <w:jc w:val="both"/>
              <w:rPr>
                <w:rFonts w:cstheme="minorHAnsi"/>
                <w:szCs w:val="23"/>
                <w:lang w:val="fr-CA"/>
              </w:rPr>
            </w:pPr>
            <w:r w:rsidRPr="00F52884">
              <w:rPr>
                <w:rFonts w:cstheme="minorHAnsi"/>
                <w:bCs/>
                <w:i/>
                <w:iCs/>
                <w:szCs w:val="23"/>
                <w:lang w:val="fr-CA"/>
              </w:rPr>
              <w:t>Loi sur les permis d'alcool</w:t>
            </w:r>
            <w:r w:rsidRPr="00F52884">
              <w:rPr>
                <w:rFonts w:cstheme="minorHAnsi"/>
                <w:bCs/>
                <w:iCs/>
                <w:szCs w:val="23"/>
                <w:lang w:val="fr-CA"/>
              </w:rPr>
              <w:t>, RLRQ c P-9.1</w:t>
            </w:r>
          </w:p>
        </w:tc>
      </w:tr>
      <w:tr w:rsidR="00B8348C" w:rsidRPr="00F52884" w14:paraId="33F806FE" w14:textId="77777777" w:rsidTr="00DF62A7">
        <w:trPr>
          <w:trHeight w:val="49"/>
          <w:jc w:val="center"/>
        </w:trPr>
        <w:tc>
          <w:tcPr>
            <w:tcW w:w="1020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6C378A5" w14:textId="77777777" w:rsidR="00B8348C" w:rsidRPr="00F52884" w:rsidRDefault="00B8348C" w:rsidP="00D1446B">
            <w:pPr>
              <w:spacing w:before="60" w:after="60"/>
              <w:rPr>
                <w:b/>
                <w:lang w:val="fr-CA"/>
              </w:rPr>
            </w:pPr>
            <w:r w:rsidRPr="00F52884">
              <w:rPr>
                <w:b/>
                <w:lang w:val="fr-CA"/>
              </w:rPr>
              <w:t>Description :</w:t>
            </w:r>
          </w:p>
        </w:tc>
      </w:tr>
      <w:tr w:rsidR="00B8348C" w:rsidRPr="00D315AF" w14:paraId="6D2C7C96" w14:textId="77777777" w:rsidTr="00DF62A7">
        <w:trPr>
          <w:trHeight w:val="66"/>
          <w:jc w:val="center"/>
        </w:trPr>
        <w:tc>
          <w:tcPr>
            <w:tcW w:w="10207" w:type="dxa"/>
            <w:gridSpan w:val="3"/>
            <w:tcBorders>
              <w:top w:val="single" w:sz="4" w:space="0" w:color="C0C0C0"/>
              <w:left w:val="single" w:sz="4" w:space="0" w:color="C0C0C0"/>
              <w:bottom w:val="single" w:sz="4" w:space="0" w:color="C0C0C0"/>
              <w:right w:val="single" w:sz="4" w:space="0" w:color="C0C0C0"/>
            </w:tcBorders>
          </w:tcPr>
          <w:p w14:paraId="4D3108D4" w14:textId="77777777" w:rsidR="00B8348C" w:rsidRPr="00F52884" w:rsidRDefault="00B8348C" w:rsidP="00C60FB9">
            <w:pPr>
              <w:spacing w:before="60" w:after="60"/>
              <w:rPr>
                <w:rFonts w:cstheme="minorHAnsi"/>
                <w:szCs w:val="23"/>
                <w:lang w:val="fr-CA"/>
              </w:rPr>
            </w:pPr>
            <w:r w:rsidRPr="00F52884">
              <w:rPr>
                <w:rFonts w:cstheme="minorHAnsi"/>
                <w:szCs w:val="23"/>
                <w:lang w:val="fr-CA"/>
              </w:rPr>
              <w:t>Le Québec régit et autorise l’importation, la distribution, l’approvisionnement, le transport, la vente et la commercialisation des boissons alcooliques et réalise ces activités y compris par l’intermédiaire de son monopole provincial, la Société des alcools du Québec.</w:t>
            </w:r>
          </w:p>
        </w:tc>
      </w:tr>
    </w:tbl>
    <w:p w14:paraId="5EB482F2" w14:textId="77777777" w:rsidR="00B8348C" w:rsidRPr="00F52884" w:rsidRDefault="00B8348C" w:rsidP="00610CDD">
      <w:pPr>
        <w:rPr>
          <w:rFonts w:cstheme="minorHAnsi"/>
          <w:b/>
          <w:szCs w:val="23"/>
          <w:lang w:val="fr-CA"/>
        </w:rPr>
      </w:pPr>
    </w:p>
    <w:p w14:paraId="4E1072E0" w14:textId="77777777" w:rsidR="00B8348C" w:rsidRPr="00F52884" w:rsidRDefault="00B8348C" w:rsidP="00610CDD">
      <w:pPr>
        <w:rPr>
          <w:rFonts w:cstheme="minorHAnsi"/>
          <w:b/>
          <w:szCs w:val="23"/>
          <w:lang w:val="fr-CA"/>
        </w:rPr>
      </w:pPr>
    </w:p>
    <w:p w14:paraId="6813E9F8" w14:textId="00E9D381" w:rsidR="00B8348C" w:rsidRPr="00F52884" w:rsidRDefault="00744339" w:rsidP="00C60FB9">
      <w:pPr>
        <w:pStyle w:val="ListParagraph"/>
        <w:spacing w:before="60" w:after="60"/>
        <w:ind w:left="-360"/>
        <w:rPr>
          <w:rFonts w:cstheme="minorHAnsi"/>
          <w:b/>
          <w:szCs w:val="23"/>
        </w:rPr>
      </w:pPr>
      <w:r w:rsidRPr="00F52884">
        <w:rPr>
          <w:rFonts w:cstheme="minorHAnsi"/>
          <w:b/>
          <w:szCs w:val="23"/>
          <w:lang w:val="fr-CA"/>
        </w:rPr>
        <w:t>12.</w:t>
      </w:r>
      <w:r w:rsidRPr="00F52884">
        <w:rPr>
          <w:rFonts w:cstheme="minorHAnsi"/>
          <w:szCs w:val="23"/>
          <w:lang w:val="fr-CA"/>
        </w:rPr>
        <w:t xml:space="preserve">  </w:t>
      </w:r>
      <w:r w:rsidR="00B8348C" w:rsidRPr="00F52884">
        <w:rPr>
          <w:rFonts w:cstheme="minorHAnsi"/>
          <w:b/>
          <w:szCs w:val="23"/>
        </w:rPr>
        <w:t>QUÉBEC</w:t>
      </w:r>
    </w:p>
    <w:tbl>
      <w:tblPr>
        <w:tblW w:w="10350" w:type="dxa"/>
        <w:jc w:val="center"/>
        <w:tblCellMar>
          <w:top w:w="14" w:type="dxa"/>
          <w:left w:w="86" w:type="dxa"/>
          <w:bottom w:w="14" w:type="dxa"/>
          <w:right w:w="86" w:type="dxa"/>
        </w:tblCellMar>
        <w:tblLook w:val="0000" w:firstRow="0" w:lastRow="0" w:firstColumn="0" w:lastColumn="0" w:noHBand="0" w:noVBand="0"/>
      </w:tblPr>
      <w:tblGrid>
        <w:gridCol w:w="2250"/>
        <w:gridCol w:w="7870"/>
        <w:gridCol w:w="230"/>
      </w:tblGrid>
      <w:tr w:rsidR="00B8348C" w:rsidRPr="00F52884" w14:paraId="3F0B25D7" w14:textId="77777777" w:rsidTr="00F3277E">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F03ACD4" w14:textId="5EF2FEF4" w:rsidR="00B8348C" w:rsidRPr="00F52884" w:rsidRDefault="00B8348C" w:rsidP="00C60FB9">
            <w:pPr>
              <w:spacing w:before="60" w:after="60"/>
              <w:rPr>
                <w:rFonts w:cstheme="minorHAnsi"/>
                <w:b/>
                <w:szCs w:val="23"/>
              </w:rPr>
            </w:pPr>
            <w:r w:rsidRPr="00F52884">
              <w:rPr>
                <w:rFonts w:cstheme="minorHAnsi"/>
                <w:b/>
                <w:szCs w:val="23"/>
              </w:rPr>
              <w:br w:type="page"/>
            </w:r>
            <w:proofErr w:type="spellStart"/>
            <w:proofErr w:type="gramStart"/>
            <w:r w:rsidRPr="00F52884">
              <w:rPr>
                <w:rFonts w:cstheme="minorHAnsi"/>
                <w:b/>
                <w:szCs w:val="23"/>
              </w:rPr>
              <w:t>Secteur</w:t>
            </w:r>
            <w:proofErr w:type="spellEnd"/>
            <w:r w:rsidRPr="00F52884">
              <w:rPr>
                <w:rFonts w:cstheme="minorHAnsi"/>
                <w:b/>
                <w:szCs w:val="23"/>
              </w:rPr>
              <w:t xml:space="preserve"> :</w:t>
            </w:r>
            <w:proofErr w:type="gramEnd"/>
            <w:r w:rsidRPr="00F52884">
              <w:rPr>
                <w:rFonts w:cstheme="minorHAnsi"/>
                <w:b/>
                <w:szCs w:val="23"/>
              </w:rPr>
              <w:t xml:space="preserve"> </w:t>
            </w:r>
          </w:p>
        </w:tc>
        <w:tc>
          <w:tcPr>
            <w:tcW w:w="8100" w:type="dxa"/>
            <w:gridSpan w:val="2"/>
            <w:tcBorders>
              <w:top w:val="single" w:sz="4" w:space="0" w:color="C0C0C0"/>
              <w:left w:val="single" w:sz="4" w:space="0" w:color="FFFFFF"/>
              <w:bottom w:val="single" w:sz="4" w:space="0" w:color="C0C0C0"/>
              <w:right w:val="nil"/>
            </w:tcBorders>
            <w:vAlign w:val="center"/>
          </w:tcPr>
          <w:p w14:paraId="2B0A23C6" w14:textId="36D6D1DD" w:rsidR="00B8348C" w:rsidRPr="00F52884" w:rsidRDefault="008A11B2" w:rsidP="00C60FB9">
            <w:pPr>
              <w:spacing w:before="60" w:after="60"/>
              <w:rPr>
                <w:rFonts w:cstheme="minorHAnsi"/>
                <w:szCs w:val="23"/>
              </w:rPr>
            </w:pPr>
            <w:proofErr w:type="spellStart"/>
            <w:r w:rsidRPr="00F52884">
              <w:rPr>
                <w:rFonts w:cstheme="minorHAnsi"/>
                <w:szCs w:val="23"/>
              </w:rPr>
              <w:t>Boissons</w:t>
            </w:r>
            <w:proofErr w:type="spellEnd"/>
            <w:r w:rsidRPr="00F52884">
              <w:rPr>
                <w:rFonts w:cstheme="minorHAnsi"/>
                <w:szCs w:val="23"/>
              </w:rPr>
              <w:t xml:space="preserve"> </w:t>
            </w:r>
            <w:proofErr w:type="spellStart"/>
            <w:r w:rsidRPr="00F52884">
              <w:rPr>
                <w:rFonts w:cstheme="minorHAnsi"/>
                <w:szCs w:val="23"/>
              </w:rPr>
              <w:t>alcooliques</w:t>
            </w:r>
            <w:proofErr w:type="spellEnd"/>
          </w:p>
        </w:tc>
      </w:tr>
      <w:tr w:rsidR="00B8348C" w:rsidRPr="00D315AF" w14:paraId="3A067567" w14:textId="77777777" w:rsidTr="00F3277E">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29B78AD0" w14:textId="368E446C" w:rsidR="00B8348C" w:rsidRPr="00F52884" w:rsidRDefault="00B8348C" w:rsidP="00C60FB9">
            <w:pPr>
              <w:spacing w:before="60" w:after="60"/>
              <w:rPr>
                <w:rFonts w:cstheme="minorHAnsi"/>
                <w:b/>
                <w:szCs w:val="23"/>
                <w:lang w:val="fr-CA"/>
              </w:rPr>
            </w:pPr>
            <w:r w:rsidRPr="00F52884">
              <w:rPr>
                <w:rFonts w:cstheme="minorHAnsi"/>
                <w:b/>
                <w:szCs w:val="23"/>
                <w:lang w:val="fr-CA"/>
              </w:rPr>
              <w:t xml:space="preserve">Sous-secteur : </w:t>
            </w:r>
          </w:p>
        </w:tc>
        <w:tc>
          <w:tcPr>
            <w:tcW w:w="8100" w:type="dxa"/>
            <w:gridSpan w:val="2"/>
            <w:tcBorders>
              <w:top w:val="single" w:sz="4" w:space="0" w:color="C0C0C0"/>
              <w:left w:val="single" w:sz="4" w:space="0" w:color="FFFFFF"/>
              <w:bottom w:val="single" w:sz="4" w:space="0" w:color="C0C0C0"/>
              <w:right w:val="nil"/>
            </w:tcBorders>
            <w:vAlign w:val="center"/>
          </w:tcPr>
          <w:p w14:paraId="01552203" w14:textId="49B6CBB9" w:rsidR="00B8348C" w:rsidRPr="00F52884" w:rsidRDefault="008A11B2" w:rsidP="00C60FB9">
            <w:pPr>
              <w:spacing w:before="60" w:after="60"/>
              <w:rPr>
                <w:rFonts w:cstheme="minorHAnsi"/>
                <w:szCs w:val="23"/>
                <w:lang w:val="fr-CA"/>
              </w:rPr>
            </w:pPr>
            <w:r w:rsidRPr="00F52884">
              <w:rPr>
                <w:rFonts w:cstheme="minorHAnsi"/>
                <w:szCs w:val="23"/>
                <w:lang w:val="fr-CA"/>
              </w:rPr>
              <w:t>Boissons, services de courtage, services de commerce de gros, services de commerce de détail, services d’hôtellerie et autres services d’hébergement, services de restauration, services de vente de boissons à consommer sur place</w:t>
            </w:r>
          </w:p>
        </w:tc>
      </w:tr>
      <w:tr w:rsidR="00B8348C" w:rsidRPr="00F52884" w14:paraId="668F246E" w14:textId="77777777" w:rsidTr="00F3277E">
        <w:trPr>
          <w:gridAfter w:val="1"/>
          <w:wAfter w:w="230"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24D2BF9F" w14:textId="12DDBAAA" w:rsidR="00B8348C" w:rsidRPr="00F52884" w:rsidRDefault="00B8348C" w:rsidP="00C60FB9">
            <w:pPr>
              <w:spacing w:before="60" w:after="60"/>
              <w:rPr>
                <w:rFonts w:cstheme="minorHAnsi"/>
                <w:szCs w:val="23"/>
              </w:rPr>
            </w:pPr>
            <w:r w:rsidRPr="00F52884">
              <w:rPr>
                <w:rFonts w:cstheme="minorHAnsi"/>
                <w:b/>
                <w:szCs w:val="23"/>
              </w:rPr>
              <w:t xml:space="preserve">Classification de </w:t>
            </w:r>
            <w:proofErr w:type="spellStart"/>
            <w:proofErr w:type="gramStart"/>
            <w:r w:rsidRPr="00F52884">
              <w:rPr>
                <w:rFonts w:cstheme="minorHAnsi"/>
                <w:b/>
                <w:szCs w:val="23"/>
              </w:rPr>
              <w:t>l’industrie</w:t>
            </w:r>
            <w:proofErr w:type="spellEnd"/>
            <w:r w:rsidRPr="00F52884">
              <w:rPr>
                <w:rFonts w:cstheme="minorHAnsi"/>
                <w:b/>
                <w:szCs w:val="23"/>
              </w:rPr>
              <w:t xml:space="preserve"> :</w:t>
            </w:r>
            <w:proofErr w:type="gramEnd"/>
            <w:r w:rsidRPr="00F52884">
              <w:rPr>
                <w:rFonts w:cstheme="minorHAnsi"/>
                <w:b/>
                <w:szCs w:val="23"/>
              </w:rPr>
              <w:t xml:space="preserve"> </w:t>
            </w:r>
          </w:p>
        </w:tc>
        <w:tc>
          <w:tcPr>
            <w:tcW w:w="7870" w:type="dxa"/>
            <w:tcBorders>
              <w:top w:val="single" w:sz="4" w:space="0" w:color="C0C0C0"/>
              <w:left w:val="single" w:sz="4" w:space="0" w:color="FFFFFF"/>
              <w:bottom w:val="single" w:sz="4" w:space="0" w:color="C0C0C0"/>
              <w:right w:val="nil"/>
            </w:tcBorders>
            <w:vAlign w:val="center"/>
          </w:tcPr>
          <w:p w14:paraId="440DF57A" w14:textId="1E282B2F" w:rsidR="00B8348C" w:rsidRPr="00F52884" w:rsidRDefault="008A11B2" w:rsidP="00C60FB9">
            <w:pPr>
              <w:spacing w:before="60" w:after="60"/>
              <w:ind w:left="4"/>
              <w:rPr>
                <w:rFonts w:cstheme="minorHAnsi"/>
                <w:szCs w:val="23"/>
              </w:rPr>
            </w:pPr>
            <w:r w:rsidRPr="00F52884">
              <w:rPr>
                <w:rFonts w:cstheme="minorHAnsi"/>
                <w:szCs w:val="23"/>
              </w:rPr>
              <w:t>CPC 241, 242, 243, 62112, 62226, 63107, 641, 642, 643</w:t>
            </w:r>
          </w:p>
        </w:tc>
      </w:tr>
      <w:tr w:rsidR="008A11B2" w:rsidRPr="00D315AF" w14:paraId="64707534" w14:textId="77777777" w:rsidTr="00F3277E">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26D37E8C"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8100" w:type="dxa"/>
            <w:gridSpan w:val="2"/>
            <w:tcBorders>
              <w:top w:val="single" w:sz="4" w:space="0" w:color="C0C0C0"/>
              <w:left w:val="single" w:sz="4" w:space="0" w:color="FFFFFF" w:themeColor="background1"/>
              <w:bottom w:val="single" w:sz="4" w:space="0" w:color="C0C0C0"/>
              <w:right w:val="single" w:sz="4" w:space="0" w:color="C0C0C0"/>
            </w:tcBorders>
          </w:tcPr>
          <w:p w14:paraId="1C758B5F" w14:textId="15AC0DF5"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301 (Droit d’entrée et de sortie), article 307 (Accès au marché – Services); article 312 (Accès au marché – Investissement), article 313 (Prescriptions de résultats)</w:t>
            </w:r>
          </w:p>
        </w:tc>
      </w:tr>
      <w:tr w:rsidR="00B8348C" w:rsidRPr="00F52884" w14:paraId="34A3CF72" w14:textId="77777777" w:rsidTr="00F3277E">
        <w:trPr>
          <w:trHeight w:val="42"/>
          <w:jc w:val="center"/>
        </w:trPr>
        <w:tc>
          <w:tcPr>
            <w:tcW w:w="1035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94D46D9" w14:textId="77777777" w:rsidR="00B8348C" w:rsidRPr="00F52884" w:rsidRDefault="00B8348C" w:rsidP="00D1446B">
            <w:pPr>
              <w:spacing w:before="60" w:after="60"/>
              <w:rPr>
                <w:b/>
              </w:rPr>
            </w:pPr>
            <w:proofErr w:type="spellStart"/>
            <w:r w:rsidRPr="00F52884">
              <w:rPr>
                <w:b/>
              </w:rPr>
              <w:t>Mesure</w:t>
            </w:r>
            <w:proofErr w:type="spellEnd"/>
            <w:r w:rsidRPr="00F52884">
              <w:rPr>
                <w:b/>
              </w:rPr>
              <w:t>(s</w:t>
            </w:r>
            <w:proofErr w:type="gramStart"/>
            <w:r w:rsidRPr="00F52884">
              <w:rPr>
                <w:b/>
              </w:rPr>
              <w:t>) :</w:t>
            </w:r>
            <w:proofErr w:type="gramEnd"/>
          </w:p>
        </w:tc>
      </w:tr>
      <w:tr w:rsidR="00B8348C" w:rsidRPr="00D315AF" w14:paraId="0226BBC7" w14:textId="77777777" w:rsidTr="00F3277E">
        <w:trPr>
          <w:trHeight w:val="273"/>
          <w:jc w:val="center"/>
        </w:trPr>
        <w:tc>
          <w:tcPr>
            <w:tcW w:w="10350" w:type="dxa"/>
            <w:gridSpan w:val="3"/>
            <w:tcBorders>
              <w:top w:val="single" w:sz="4" w:space="0" w:color="C0C0C0"/>
              <w:left w:val="single" w:sz="4" w:space="0" w:color="C0C0C0"/>
              <w:bottom w:val="single" w:sz="4" w:space="0" w:color="C0C0C0"/>
              <w:right w:val="single" w:sz="4" w:space="0" w:color="C0C0C0"/>
            </w:tcBorders>
          </w:tcPr>
          <w:p w14:paraId="0B5A0F60" w14:textId="6885B65B" w:rsidR="00B8348C" w:rsidRPr="00F52884" w:rsidRDefault="002B7C66" w:rsidP="00C60FB9">
            <w:pPr>
              <w:autoSpaceDE w:val="0"/>
              <w:autoSpaceDN w:val="0"/>
              <w:adjustRightInd w:val="0"/>
              <w:spacing w:before="60" w:after="60"/>
              <w:jc w:val="both"/>
              <w:rPr>
                <w:rFonts w:cstheme="minorHAnsi"/>
                <w:bCs/>
                <w:iCs/>
                <w:szCs w:val="23"/>
                <w:lang w:val="fr-CA"/>
              </w:rPr>
            </w:pPr>
            <w:hyperlink r:id="rId19" w:tgtFrame="_blank" w:history="1">
              <w:r w:rsidR="00B8348C" w:rsidRPr="00F52884">
                <w:rPr>
                  <w:rFonts w:cstheme="minorHAnsi"/>
                  <w:bCs/>
                  <w:i/>
                  <w:iCs/>
                  <w:szCs w:val="23"/>
                  <w:lang w:val="fr-CA"/>
                </w:rPr>
                <w:t>Loi sur la Société des alcools du Québec</w:t>
              </w:r>
            </w:hyperlink>
            <w:r w:rsidR="00B8348C" w:rsidRPr="00F52884">
              <w:rPr>
                <w:rFonts w:cstheme="minorHAnsi"/>
                <w:bCs/>
                <w:iCs/>
                <w:szCs w:val="23"/>
                <w:lang w:val="fr-CA"/>
              </w:rPr>
              <w:t>, RLRQ c S-13</w:t>
            </w:r>
          </w:p>
          <w:p w14:paraId="190C89E1" w14:textId="24CBFBC0" w:rsidR="00B8348C" w:rsidRPr="00F52884" w:rsidRDefault="00B8348C" w:rsidP="00C60FB9">
            <w:pPr>
              <w:autoSpaceDE w:val="0"/>
              <w:autoSpaceDN w:val="0"/>
              <w:adjustRightInd w:val="0"/>
              <w:spacing w:before="60" w:after="60"/>
              <w:jc w:val="both"/>
              <w:rPr>
                <w:rFonts w:cstheme="minorHAnsi"/>
                <w:bCs/>
                <w:i/>
                <w:iCs/>
                <w:szCs w:val="23"/>
                <w:lang w:val="fr-CA"/>
              </w:rPr>
            </w:pPr>
            <w:r w:rsidRPr="00F52884">
              <w:rPr>
                <w:rFonts w:cstheme="minorHAnsi"/>
                <w:bCs/>
                <w:i/>
                <w:iCs/>
                <w:szCs w:val="23"/>
                <w:lang w:val="fr-CA"/>
              </w:rPr>
              <w:t xml:space="preserve">Loi sur les infractions en matière de boissons alcooliques, </w:t>
            </w:r>
            <w:r w:rsidRPr="00F52884">
              <w:rPr>
                <w:rFonts w:cstheme="minorHAnsi"/>
                <w:bCs/>
                <w:iCs/>
                <w:szCs w:val="23"/>
                <w:lang w:val="fr-CA"/>
              </w:rPr>
              <w:t>RLRQ c I-8.1</w:t>
            </w:r>
          </w:p>
          <w:p w14:paraId="11123277" w14:textId="6431781E" w:rsidR="00B8348C" w:rsidRPr="00F52884" w:rsidRDefault="00B8348C" w:rsidP="00C60FB9">
            <w:pPr>
              <w:autoSpaceDE w:val="0"/>
              <w:autoSpaceDN w:val="0"/>
              <w:adjustRightInd w:val="0"/>
              <w:spacing w:before="60" w:after="60"/>
              <w:jc w:val="both"/>
              <w:rPr>
                <w:rFonts w:cstheme="minorHAnsi"/>
                <w:szCs w:val="23"/>
                <w:lang w:val="fr-CA"/>
              </w:rPr>
            </w:pPr>
            <w:r w:rsidRPr="00F52884">
              <w:rPr>
                <w:rFonts w:cstheme="minorHAnsi"/>
                <w:bCs/>
                <w:i/>
                <w:iCs/>
                <w:szCs w:val="23"/>
                <w:lang w:val="fr-CA"/>
              </w:rPr>
              <w:t xml:space="preserve">Loi sur les permis d'alcool, </w:t>
            </w:r>
            <w:r w:rsidRPr="00F52884">
              <w:rPr>
                <w:rFonts w:cstheme="minorHAnsi"/>
                <w:bCs/>
                <w:iCs/>
                <w:szCs w:val="23"/>
                <w:lang w:val="fr-CA"/>
              </w:rPr>
              <w:t>RLRQ c P-9.1</w:t>
            </w:r>
          </w:p>
        </w:tc>
      </w:tr>
      <w:tr w:rsidR="00B8348C" w:rsidRPr="00F52884" w14:paraId="15798AC3" w14:textId="77777777" w:rsidTr="00F3277E">
        <w:trPr>
          <w:trHeight w:val="49"/>
          <w:jc w:val="center"/>
        </w:trPr>
        <w:tc>
          <w:tcPr>
            <w:tcW w:w="1035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2FE6BC8" w14:textId="77777777" w:rsidR="00B8348C" w:rsidRPr="00F52884" w:rsidRDefault="00B8348C" w:rsidP="00D1446B">
            <w:pPr>
              <w:spacing w:before="60" w:after="60"/>
              <w:rPr>
                <w:b/>
                <w:lang w:val="fr-CA"/>
              </w:rPr>
            </w:pPr>
            <w:r w:rsidRPr="00F52884">
              <w:rPr>
                <w:b/>
                <w:lang w:val="fr-CA"/>
              </w:rPr>
              <w:t>Description :</w:t>
            </w:r>
          </w:p>
        </w:tc>
      </w:tr>
      <w:tr w:rsidR="00B8348C" w:rsidRPr="00D315AF" w14:paraId="4B0CFB5E" w14:textId="77777777" w:rsidTr="00F3277E">
        <w:trPr>
          <w:trHeight w:val="66"/>
          <w:jc w:val="center"/>
        </w:trPr>
        <w:tc>
          <w:tcPr>
            <w:tcW w:w="10350" w:type="dxa"/>
            <w:gridSpan w:val="3"/>
            <w:tcBorders>
              <w:top w:val="single" w:sz="4" w:space="0" w:color="C0C0C0"/>
              <w:left w:val="single" w:sz="4" w:space="0" w:color="C0C0C0"/>
              <w:bottom w:val="single" w:sz="4" w:space="0" w:color="C0C0C0"/>
              <w:right w:val="single" w:sz="4" w:space="0" w:color="C0C0C0"/>
            </w:tcBorders>
          </w:tcPr>
          <w:p w14:paraId="72CD20AC"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L’obtention d’un permis est obligatoire pour toute activité commerciale reliée aux boissons alcooliques notamment pour la fabrication et la vente.</w:t>
            </w:r>
          </w:p>
          <w:p w14:paraId="426B4B6A"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 xml:space="preserve">Pour certaines catégories de boissons alcooliques, la commercialisation est effectuée par les titulaires d’un permis d’épicerie. Les épiciers doivent acheter des boissons alcooliques autorisées notamment d’un distributeur autorisé ou d’un titulaire de permis de fabrication de boissons alcooliques autorisé à cette fin. Le </w:t>
            </w:r>
            <w:proofErr w:type="gramStart"/>
            <w:r w:rsidRPr="00F52884">
              <w:rPr>
                <w:rFonts w:cstheme="minorHAnsi"/>
                <w:szCs w:val="23"/>
                <w:lang w:val="fr-CA"/>
              </w:rPr>
              <w:t>Québec  peut</w:t>
            </w:r>
            <w:proofErr w:type="gramEnd"/>
            <w:r w:rsidRPr="00F52884">
              <w:rPr>
                <w:rFonts w:cstheme="minorHAnsi"/>
                <w:szCs w:val="23"/>
                <w:lang w:val="fr-CA"/>
              </w:rPr>
              <w:t xml:space="preserve"> exiger que les produits vendus par les titulaires de permis d’épicerie soient embouteillés au Québec. </w:t>
            </w:r>
          </w:p>
          <w:p w14:paraId="2938EEC3"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 xml:space="preserve">Sans restreindre la portée générale de ce qui précède, le Québec </w:t>
            </w:r>
            <w:proofErr w:type="spellStart"/>
            <w:r w:rsidRPr="00F52884">
              <w:rPr>
                <w:rFonts w:cstheme="minorHAnsi"/>
                <w:szCs w:val="23"/>
                <w:lang w:val="fr-CA"/>
              </w:rPr>
              <w:t>maintient</w:t>
            </w:r>
            <w:proofErr w:type="spellEnd"/>
            <w:r w:rsidRPr="00F52884">
              <w:rPr>
                <w:rFonts w:cstheme="minorHAnsi"/>
                <w:szCs w:val="23"/>
                <w:lang w:val="fr-CA"/>
              </w:rPr>
              <w:t xml:space="preserve"> des mesures visant à :</w:t>
            </w:r>
          </w:p>
          <w:p w14:paraId="082C6CBC" w14:textId="77777777" w:rsidR="00B8348C" w:rsidRPr="00F52884" w:rsidRDefault="00B8348C" w:rsidP="00C60FB9">
            <w:pPr>
              <w:pStyle w:val="ListParagraph"/>
              <w:numPr>
                <w:ilvl w:val="0"/>
                <w:numId w:val="302"/>
              </w:numPr>
              <w:spacing w:before="120" w:after="120"/>
              <w:rPr>
                <w:rFonts w:cstheme="minorHAnsi"/>
                <w:szCs w:val="23"/>
                <w:lang w:val="fr-CA"/>
              </w:rPr>
            </w:pPr>
            <w:r w:rsidRPr="00F52884">
              <w:rPr>
                <w:rFonts w:cstheme="minorHAnsi"/>
                <w:szCs w:val="23"/>
                <w:lang w:val="fr-CA"/>
              </w:rPr>
              <w:t xml:space="preserve">Limiter la vente et la distribution de certaines catégories de boissons alcooliques à certains lieux; par exemple, dans les marchés d’alimentation ou sur les lieux de productions. </w:t>
            </w:r>
          </w:p>
          <w:p w14:paraId="2B541D1F" w14:textId="77777777" w:rsidR="00B8348C" w:rsidRPr="00F52884" w:rsidRDefault="00B8348C" w:rsidP="00C60FB9">
            <w:pPr>
              <w:pStyle w:val="ListParagraph"/>
              <w:numPr>
                <w:ilvl w:val="0"/>
                <w:numId w:val="302"/>
              </w:numPr>
              <w:spacing w:before="120" w:after="120"/>
              <w:rPr>
                <w:rFonts w:cstheme="minorHAnsi"/>
                <w:szCs w:val="23"/>
                <w:lang w:val="fr-CA"/>
              </w:rPr>
            </w:pPr>
            <w:r w:rsidRPr="00F52884">
              <w:rPr>
                <w:rFonts w:cstheme="minorHAnsi"/>
                <w:szCs w:val="23"/>
                <w:lang w:val="fr-CA"/>
              </w:rPr>
              <w:lastRenderedPageBreak/>
              <w:t>Limiter la vente des boissons alcooliques produites ou embouteillées par les titulaires de permis de distillateur de vendre uniquement à la Société des alcools du Québec, à moins qu’ils expédient ces produits hors du Québec.</w:t>
            </w:r>
          </w:p>
          <w:p w14:paraId="54EE0A46"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Nul ne peut faire partie du conseil d’administration de la Société des alcools du Québec s’il n’est domicilié au Québec.</w:t>
            </w:r>
          </w:p>
        </w:tc>
      </w:tr>
    </w:tbl>
    <w:p w14:paraId="4C141A1E" w14:textId="77777777" w:rsidR="00B8348C" w:rsidRPr="00F52884" w:rsidRDefault="00B8348C" w:rsidP="00610CDD">
      <w:pPr>
        <w:rPr>
          <w:rFonts w:cstheme="minorHAnsi"/>
          <w:b/>
          <w:szCs w:val="23"/>
          <w:lang w:val="fr-CA"/>
        </w:rPr>
      </w:pPr>
    </w:p>
    <w:p w14:paraId="3A3AC9FD" w14:textId="77777777" w:rsidR="00B8348C" w:rsidRPr="00F52884" w:rsidRDefault="00B8348C" w:rsidP="00610CDD">
      <w:pPr>
        <w:pStyle w:val="ListParagraph"/>
        <w:ind w:left="-142"/>
        <w:rPr>
          <w:rFonts w:cstheme="minorHAnsi"/>
          <w:szCs w:val="23"/>
          <w:lang w:val="fr-CA"/>
        </w:rPr>
      </w:pPr>
    </w:p>
    <w:p w14:paraId="7C63C79F" w14:textId="666BF592"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13.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7DC0542D"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AEE215D" w14:textId="70C887DC"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3C82B757" w14:textId="12C45269" w:rsidR="00B8348C" w:rsidRPr="00F52884" w:rsidRDefault="008A11B2" w:rsidP="00C60FB9">
            <w:pPr>
              <w:spacing w:before="60" w:after="60"/>
              <w:rPr>
                <w:rFonts w:cstheme="minorHAnsi"/>
                <w:szCs w:val="23"/>
                <w:lang w:val="fr-CA"/>
              </w:rPr>
            </w:pPr>
            <w:r w:rsidRPr="00F52884">
              <w:rPr>
                <w:rFonts w:cstheme="minorHAnsi"/>
                <w:szCs w:val="23"/>
                <w:lang w:val="fr-CA"/>
              </w:rPr>
              <w:t>Produits chimiques</w:t>
            </w:r>
          </w:p>
        </w:tc>
      </w:tr>
      <w:tr w:rsidR="00B8348C" w:rsidRPr="00D315AF" w14:paraId="00DA17EC"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566A3ECD" w14:textId="455AD59A"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44F83370" w14:textId="09DE337E" w:rsidR="00B8348C" w:rsidRPr="00F52884" w:rsidRDefault="008A11B2" w:rsidP="00C60FB9">
            <w:pPr>
              <w:spacing w:before="60" w:after="60"/>
              <w:rPr>
                <w:rFonts w:cstheme="minorHAnsi"/>
                <w:szCs w:val="23"/>
                <w:lang w:val="fr-CA"/>
              </w:rPr>
            </w:pPr>
            <w:r w:rsidRPr="00F52884">
              <w:rPr>
                <w:rFonts w:cstheme="minorHAnsi"/>
                <w:szCs w:val="23"/>
                <w:lang w:val="fr-CA"/>
              </w:rPr>
              <w:t>Poudres et</w:t>
            </w:r>
            <w:r w:rsidRPr="00F52884">
              <w:rPr>
                <w:rFonts w:cstheme="minorHAnsi"/>
                <w:b/>
                <w:szCs w:val="23"/>
                <w:lang w:val="fr-CA"/>
              </w:rPr>
              <w:t xml:space="preserve"> </w:t>
            </w:r>
            <w:r w:rsidRPr="00F52884">
              <w:rPr>
                <w:rFonts w:cstheme="minorHAnsi"/>
                <w:szCs w:val="23"/>
                <w:lang w:val="fr-CA"/>
              </w:rPr>
              <w:t>explosifs, articles de pyrotechnie, matières inflammables</w:t>
            </w:r>
          </w:p>
        </w:tc>
      </w:tr>
      <w:tr w:rsidR="00B8348C" w:rsidRPr="00F52884" w14:paraId="5218EF0D"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49D4701B" w14:textId="264CB219"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75DD9E90" w14:textId="5DD74B3B" w:rsidR="00B8348C" w:rsidRPr="00F52884" w:rsidRDefault="008A11B2" w:rsidP="00C60FB9">
            <w:pPr>
              <w:spacing w:before="60" w:after="60"/>
              <w:ind w:left="4"/>
              <w:rPr>
                <w:rFonts w:cstheme="minorHAnsi"/>
                <w:szCs w:val="23"/>
                <w:lang w:val="fr-CA"/>
              </w:rPr>
            </w:pPr>
            <w:r w:rsidRPr="00F52884">
              <w:rPr>
                <w:rFonts w:cstheme="minorHAnsi"/>
                <w:szCs w:val="23"/>
                <w:lang w:val="fr-CA"/>
              </w:rPr>
              <w:t>CPC 3544, 3545, 3546, 3549, 71239</w:t>
            </w:r>
          </w:p>
        </w:tc>
      </w:tr>
      <w:tr w:rsidR="008A11B2" w:rsidRPr="00D315AF" w14:paraId="50D128FC"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40D32BDB"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21979F90" w14:textId="5C333A94"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301 (Droit d’entrée et de sortie)</w:t>
            </w:r>
          </w:p>
        </w:tc>
      </w:tr>
      <w:tr w:rsidR="00B8348C" w:rsidRPr="00F52884" w14:paraId="367BD96A" w14:textId="77777777" w:rsidTr="00DF62A7">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31E24F1" w14:textId="77777777" w:rsidR="00B8348C" w:rsidRPr="00F52884" w:rsidRDefault="00B8348C" w:rsidP="00D1446B">
            <w:pPr>
              <w:spacing w:before="60" w:after="60"/>
              <w:rPr>
                <w:b/>
                <w:lang w:val="fr-CA"/>
              </w:rPr>
            </w:pPr>
            <w:r w:rsidRPr="00F52884">
              <w:rPr>
                <w:b/>
                <w:lang w:val="fr-CA"/>
              </w:rPr>
              <w:t>Mesure(s) :</w:t>
            </w:r>
          </w:p>
        </w:tc>
      </w:tr>
      <w:tr w:rsidR="00B8348C" w:rsidRPr="00D315AF" w14:paraId="53C88452" w14:textId="77777777" w:rsidTr="00DF62A7">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48508343" w14:textId="3EF1F1EF" w:rsidR="00B8348C" w:rsidRPr="00F52884" w:rsidRDefault="00B8348C" w:rsidP="00C60FB9">
            <w:pPr>
              <w:spacing w:before="60" w:after="60"/>
              <w:rPr>
                <w:rFonts w:cstheme="minorHAnsi"/>
                <w:szCs w:val="23"/>
                <w:lang w:val="fr-CA"/>
              </w:rPr>
            </w:pPr>
            <w:r w:rsidRPr="00F52884">
              <w:rPr>
                <w:rFonts w:cstheme="minorHAnsi"/>
                <w:i/>
                <w:szCs w:val="23"/>
                <w:lang w:val="fr-CA"/>
              </w:rPr>
              <w:t>Loi sur les explosifs</w:t>
            </w:r>
            <w:r w:rsidRPr="00F52884">
              <w:rPr>
                <w:rFonts w:cstheme="minorHAnsi"/>
                <w:szCs w:val="23"/>
                <w:lang w:val="fr-CA"/>
              </w:rPr>
              <w:t>, RLRQ c E-22</w:t>
            </w:r>
          </w:p>
        </w:tc>
      </w:tr>
      <w:tr w:rsidR="00B8348C" w:rsidRPr="00F52884" w14:paraId="7C0EB0A6" w14:textId="77777777" w:rsidTr="00DF62A7">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E89159B" w14:textId="77777777" w:rsidR="00B8348C" w:rsidRPr="00F52884" w:rsidRDefault="00B8348C" w:rsidP="00D1446B">
            <w:pPr>
              <w:spacing w:before="60" w:after="60"/>
              <w:rPr>
                <w:b/>
                <w:lang w:val="fr-CA"/>
              </w:rPr>
            </w:pPr>
            <w:r w:rsidRPr="00F52884">
              <w:rPr>
                <w:b/>
                <w:lang w:val="fr-CA"/>
              </w:rPr>
              <w:t>Description :</w:t>
            </w:r>
          </w:p>
        </w:tc>
      </w:tr>
      <w:tr w:rsidR="00B8348C" w:rsidRPr="00D315AF" w14:paraId="25F7046C" w14:textId="77777777" w:rsidTr="00DF62A7">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5A9BCC3C" w14:textId="77777777" w:rsidR="00B8348C" w:rsidRPr="00F52884" w:rsidRDefault="00B8348C" w:rsidP="00C60FB9">
            <w:pPr>
              <w:spacing w:before="60" w:after="60"/>
              <w:rPr>
                <w:rFonts w:cstheme="minorHAnsi"/>
                <w:szCs w:val="23"/>
                <w:lang w:val="fr-CA"/>
              </w:rPr>
            </w:pPr>
            <w:r w:rsidRPr="00F52884">
              <w:rPr>
                <w:rFonts w:cstheme="minorHAnsi"/>
                <w:szCs w:val="23"/>
                <w:lang w:val="fr-CA"/>
              </w:rPr>
              <w:t>Le Québec fixe des paramètres pour l’usage, la vente, le transport, la livraison, la conservation et la destruction d’explosifs.</w:t>
            </w:r>
          </w:p>
        </w:tc>
      </w:tr>
    </w:tbl>
    <w:p w14:paraId="107168EC" w14:textId="77777777" w:rsidR="00B8348C" w:rsidRPr="00F52884" w:rsidRDefault="00B8348C" w:rsidP="00610CDD">
      <w:pPr>
        <w:rPr>
          <w:rFonts w:cstheme="minorHAnsi"/>
          <w:b/>
          <w:szCs w:val="23"/>
          <w:lang w:val="fr-CA"/>
        </w:rPr>
      </w:pPr>
    </w:p>
    <w:p w14:paraId="69D2D65C" w14:textId="77777777" w:rsidR="00B8348C" w:rsidRPr="00F52884" w:rsidRDefault="00B8348C" w:rsidP="00610CDD">
      <w:pPr>
        <w:rPr>
          <w:rFonts w:cstheme="minorHAnsi"/>
          <w:b/>
          <w:szCs w:val="23"/>
          <w:lang w:val="fr-CA"/>
        </w:rPr>
      </w:pPr>
    </w:p>
    <w:p w14:paraId="58768334" w14:textId="1A6FABFB"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14.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30BC65C3"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5943E6D" w14:textId="7B67D819"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332BC1F3" w14:textId="2234446D" w:rsidR="00B8348C" w:rsidRPr="00F52884" w:rsidRDefault="008A11B2" w:rsidP="00C60FB9">
            <w:pPr>
              <w:spacing w:before="60" w:after="60"/>
              <w:rPr>
                <w:rFonts w:cstheme="minorHAnsi"/>
                <w:szCs w:val="23"/>
                <w:lang w:val="fr-CA"/>
              </w:rPr>
            </w:pPr>
            <w:r w:rsidRPr="00F52884">
              <w:rPr>
                <w:rFonts w:cstheme="minorHAnsi"/>
                <w:szCs w:val="23"/>
                <w:lang w:val="fr-CA"/>
              </w:rPr>
              <w:t>Services sociaux</w:t>
            </w:r>
          </w:p>
        </w:tc>
      </w:tr>
      <w:tr w:rsidR="00B8348C" w:rsidRPr="00F52884" w14:paraId="35EFFDC2"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4698C58D" w14:textId="77777777"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6DDF98A6" w14:textId="77777777" w:rsidR="00B8348C" w:rsidRPr="00F52884" w:rsidRDefault="00B8348C" w:rsidP="00C60FB9">
            <w:pPr>
              <w:spacing w:before="60" w:after="60"/>
              <w:rPr>
                <w:rFonts w:cstheme="minorHAnsi"/>
                <w:szCs w:val="23"/>
                <w:lang w:val="fr-CA"/>
              </w:rPr>
            </w:pPr>
          </w:p>
        </w:tc>
      </w:tr>
      <w:tr w:rsidR="00B8348C" w:rsidRPr="00F52884" w14:paraId="054A4189"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52E6D337" w14:textId="77777777"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7C41D9B7" w14:textId="77777777" w:rsidR="00B8348C" w:rsidRPr="00F52884" w:rsidRDefault="00B8348C" w:rsidP="00C60FB9">
            <w:pPr>
              <w:spacing w:before="60" w:after="60"/>
              <w:ind w:left="4"/>
              <w:rPr>
                <w:rFonts w:cstheme="minorHAnsi"/>
                <w:szCs w:val="23"/>
                <w:lang w:val="fr-CA"/>
              </w:rPr>
            </w:pPr>
          </w:p>
        </w:tc>
      </w:tr>
      <w:tr w:rsidR="008A11B2" w:rsidRPr="00D315AF" w14:paraId="5FA75E5D"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427E4FFE" w14:textId="62DB212F"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0CC0E895" w14:textId="7E75C3C9"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313 (Prescription de résultats)</w:t>
            </w:r>
          </w:p>
        </w:tc>
      </w:tr>
      <w:tr w:rsidR="00B8348C" w:rsidRPr="00F52884" w14:paraId="3DCBF909" w14:textId="77777777" w:rsidTr="00DF62A7">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2DC0581" w14:textId="77777777" w:rsidR="00B8348C" w:rsidRPr="00F52884" w:rsidRDefault="00B8348C" w:rsidP="00D1446B">
            <w:pPr>
              <w:spacing w:before="60" w:after="60"/>
              <w:rPr>
                <w:b/>
                <w:lang w:val="fr-CA"/>
              </w:rPr>
            </w:pPr>
            <w:r w:rsidRPr="00F52884">
              <w:rPr>
                <w:b/>
                <w:lang w:val="fr-CA"/>
              </w:rPr>
              <w:t>Mesure(s) :</w:t>
            </w:r>
          </w:p>
        </w:tc>
      </w:tr>
      <w:tr w:rsidR="00B8348C" w:rsidRPr="00F52884" w14:paraId="6B9964EE" w14:textId="77777777" w:rsidTr="00DF62A7">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551D9992" w14:textId="77777777" w:rsidR="00B8348C" w:rsidRPr="00F52884" w:rsidRDefault="00B8348C" w:rsidP="00C60FB9">
            <w:pPr>
              <w:spacing w:before="60" w:after="60"/>
              <w:rPr>
                <w:rFonts w:cstheme="minorHAnsi"/>
                <w:szCs w:val="23"/>
                <w:lang w:val="fr-CA"/>
              </w:rPr>
            </w:pPr>
          </w:p>
        </w:tc>
      </w:tr>
      <w:tr w:rsidR="00B8348C" w:rsidRPr="00F52884" w14:paraId="0A569CE4" w14:textId="77777777" w:rsidTr="00DF62A7">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6C1F811" w14:textId="77777777" w:rsidR="00B8348C" w:rsidRPr="00F52884" w:rsidRDefault="00B8348C" w:rsidP="00D1446B">
            <w:pPr>
              <w:spacing w:before="60" w:after="60"/>
              <w:rPr>
                <w:b/>
                <w:lang w:val="fr-CA"/>
              </w:rPr>
            </w:pPr>
            <w:r w:rsidRPr="00F52884">
              <w:rPr>
                <w:b/>
                <w:lang w:val="fr-CA"/>
              </w:rPr>
              <w:t>Description :</w:t>
            </w:r>
          </w:p>
        </w:tc>
      </w:tr>
      <w:tr w:rsidR="00B8348C" w:rsidRPr="00D315AF" w14:paraId="6117BCD6" w14:textId="77777777" w:rsidTr="00DF62A7">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37CD7BEB" w14:textId="77777777" w:rsidR="00B8348C" w:rsidRPr="00F52884" w:rsidRDefault="00B8348C" w:rsidP="00C60FB9">
            <w:pPr>
              <w:spacing w:before="60" w:after="60"/>
              <w:rPr>
                <w:rFonts w:cstheme="minorHAnsi"/>
                <w:szCs w:val="23"/>
                <w:lang w:val="fr-CA"/>
              </w:rPr>
            </w:pPr>
            <w:r w:rsidRPr="00F52884">
              <w:rPr>
                <w:rFonts w:cstheme="minorHAnsi"/>
                <w:szCs w:val="23"/>
                <w:lang w:val="fr-CA"/>
              </w:rPr>
              <w:t xml:space="preserve">Le Québec se réserve le droit de maintenir toutes mesures se rapportant à la prestation de services sociaux non autrement visés par l’article 805 (Services sociaux). </w:t>
            </w:r>
          </w:p>
        </w:tc>
      </w:tr>
    </w:tbl>
    <w:p w14:paraId="66B44F1B" w14:textId="77777777" w:rsidR="00B8348C" w:rsidRPr="00F52884" w:rsidRDefault="00B8348C" w:rsidP="00610CDD">
      <w:pPr>
        <w:rPr>
          <w:rFonts w:cstheme="minorHAnsi"/>
          <w:b/>
          <w:szCs w:val="23"/>
          <w:lang w:val="fr-CA"/>
        </w:rPr>
      </w:pPr>
    </w:p>
    <w:p w14:paraId="2E4BB832" w14:textId="77777777" w:rsidR="00B8348C" w:rsidRPr="00F52884" w:rsidRDefault="00B8348C" w:rsidP="00610CDD">
      <w:pPr>
        <w:rPr>
          <w:rFonts w:cstheme="minorHAnsi"/>
          <w:b/>
          <w:szCs w:val="23"/>
          <w:lang w:val="fr-CA"/>
        </w:rPr>
      </w:pPr>
    </w:p>
    <w:p w14:paraId="29E61388" w14:textId="3E3E2B58" w:rsidR="00B8348C" w:rsidRPr="00F52884" w:rsidRDefault="00744339" w:rsidP="00C60FB9">
      <w:pPr>
        <w:spacing w:before="60" w:after="60"/>
        <w:ind w:left="-360"/>
        <w:rPr>
          <w:rFonts w:cstheme="minorHAnsi"/>
          <w:b/>
          <w:szCs w:val="23"/>
          <w:lang w:val="fr-CA"/>
        </w:rPr>
      </w:pPr>
      <w:r w:rsidRPr="00F52884">
        <w:rPr>
          <w:rFonts w:cstheme="minorHAnsi"/>
          <w:b/>
          <w:szCs w:val="23"/>
          <w:lang w:val="fr-CA"/>
        </w:rPr>
        <w:t xml:space="preserve">15.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34B8E6A5"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A88192D" w14:textId="5EF0F96A"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523ACC35" w14:textId="32D0B6B5" w:rsidR="00B8348C" w:rsidRPr="00F52884" w:rsidRDefault="008A11B2" w:rsidP="00C60FB9">
            <w:pPr>
              <w:spacing w:before="60" w:after="60"/>
              <w:rPr>
                <w:rFonts w:cstheme="minorHAnsi"/>
                <w:szCs w:val="23"/>
                <w:lang w:val="fr-CA"/>
              </w:rPr>
            </w:pPr>
            <w:r w:rsidRPr="00F52884">
              <w:rPr>
                <w:rFonts w:cstheme="minorHAnsi"/>
                <w:szCs w:val="23"/>
                <w:lang w:val="fr-CA"/>
              </w:rPr>
              <w:t>Énergie</w:t>
            </w:r>
          </w:p>
        </w:tc>
      </w:tr>
      <w:tr w:rsidR="00B8348C" w:rsidRPr="00D315AF" w14:paraId="57529DDA"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3475162B" w14:textId="4438E071" w:rsidR="00B8348C" w:rsidRPr="00F52884" w:rsidRDefault="00B8348C" w:rsidP="00C60FB9">
            <w:pPr>
              <w:spacing w:before="60" w:after="60"/>
              <w:rPr>
                <w:rFonts w:cstheme="minorHAnsi"/>
                <w:b/>
                <w:szCs w:val="23"/>
                <w:lang w:val="fr-CA"/>
              </w:rPr>
            </w:pPr>
            <w:r w:rsidRPr="00F52884">
              <w:rPr>
                <w:rFonts w:cstheme="minorHAnsi"/>
                <w:b/>
                <w:szCs w:val="23"/>
                <w:lang w:val="fr-CA"/>
              </w:rPr>
              <w:lastRenderedPageBreak/>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0AE03B61" w14:textId="4038DB0B" w:rsidR="00B8348C" w:rsidRPr="00F52884" w:rsidRDefault="008A11B2" w:rsidP="00C60FB9">
            <w:pPr>
              <w:spacing w:before="60" w:after="60"/>
              <w:rPr>
                <w:rFonts w:cstheme="minorHAnsi"/>
                <w:szCs w:val="23"/>
                <w:lang w:val="fr-CA"/>
              </w:rPr>
            </w:pPr>
            <w:r w:rsidRPr="00F52884">
              <w:rPr>
                <w:rFonts w:cstheme="minorHAnsi"/>
                <w:szCs w:val="23"/>
                <w:lang w:val="fr-CA"/>
              </w:rPr>
              <w:t>Électricité et tous les services</w:t>
            </w:r>
          </w:p>
        </w:tc>
      </w:tr>
      <w:tr w:rsidR="00B8348C" w:rsidRPr="00F52884" w14:paraId="5AA098A9"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177E9515" w14:textId="6604E825"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6E29F4C8" w14:textId="5790F456" w:rsidR="00B8348C" w:rsidRPr="00F52884" w:rsidRDefault="008A11B2" w:rsidP="00C60FB9">
            <w:pPr>
              <w:spacing w:before="60" w:after="60"/>
              <w:ind w:left="4"/>
              <w:rPr>
                <w:rFonts w:cstheme="minorHAnsi"/>
                <w:szCs w:val="23"/>
                <w:lang w:val="fr-CA"/>
              </w:rPr>
            </w:pPr>
            <w:r w:rsidRPr="00F52884">
              <w:rPr>
                <w:rFonts w:cstheme="minorHAnsi"/>
                <w:szCs w:val="23"/>
                <w:lang w:val="fr-CA"/>
              </w:rPr>
              <w:t>CPC 171, 887</w:t>
            </w:r>
          </w:p>
        </w:tc>
      </w:tr>
      <w:tr w:rsidR="008A11B2" w:rsidRPr="00D315AF" w14:paraId="467DD79A"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784E839D"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5E0D7CE9" w14:textId="50A9BEC5"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313 (Prescription de résultats)</w:t>
            </w:r>
          </w:p>
        </w:tc>
      </w:tr>
      <w:tr w:rsidR="00B8348C" w:rsidRPr="00F52884" w14:paraId="762E15D8" w14:textId="77777777" w:rsidTr="00744339">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4C50A6E" w14:textId="77777777" w:rsidR="00B8348C" w:rsidRPr="00F52884" w:rsidRDefault="00B8348C" w:rsidP="00D1446B">
            <w:pPr>
              <w:spacing w:before="60" w:after="60"/>
              <w:rPr>
                <w:b/>
                <w:lang w:val="fr-CA"/>
              </w:rPr>
            </w:pPr>
            <w:r w:rsidRPr="00F52884">
              <w:rPr>
                <w:b/>
                <w:lang w:val="fr-CA"/>
              </w:rPr>
              <w:t>Mesure(s) :</w:t>
            </w:r>
          </w:p>
        </w:tc>
      </w:tr>
      <w:tr w:rsidR="00B8348C" w:rsidRPr="00D315AF" w14:paraId="132EBBCA" w14:textId="77777777" w:rsidTr="00744339">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6108F148" w14:textId="2E68DE76" w:rsidR="00B8348C" w:rsidRPr="00F52884" w:rsidRDefault="00B8348C" w:rsidP="00C60FB9">
            <w:pPr>
              <w:spacing w:before="60" w:after="60"/>
              <w:rPr>
                <w:rFonts w:cstheme="minorHAnsi"/>
                <w:szCs w:val="23"/>
                <w:lang w:val="fr-CA"/>
              </w:rPr>
            </w:pPr>
            <w:r w:rsidRPr="00F52884">
              <w:rPr>
                <w:rFonts w:cstheme="minorHAnsi"/>
                <w:i/>
                <w:szCs w:val="23"/>
                <w:lang w:val="fr-CA"/>
              </w:rPr>
              <w:t>Loi sur la Régie de l’énergie,</w:t>
            </w:r>
            <w:r w:rsidRPr="00F52884">
              <w:rPr>
                <w:rFonts w:cstheme="minorHAnsi"/>
                <w:szCs w:val="23"/>
                <w:lang w:val="fr-CA"/>
              </w:rPr>
              <w:t xml:space="preserve"> RLRQ c R</w:t>
            </w:r>
            <w:r w:rsidRPr="00F52884">
              <w:rPr>
                <w:rFonts w:cstheme="minorHAnsi"/>
                <w:szCs w:val="23"/>
                <w:lang w:val="fr-CA"/>
              </w:rPr>
              <w:noBreakHyphen/>
              <w:t>6.01</w:t>
            </w:r>
          </w:p>
          <w:p w14:paraId="2F1D5410" w14:textId="78336F62" w:rsidR="00B8348C" w:rsidRPr="00F52884" w:rsidRDefault="00B8348C" w:rsidP="00C60FB9">
            <w:pPr>
              <w:spacing w:before="60" w:after="60"/>
              <w:rPr>
                <w:rFonts w:cstheme="minorHAnsi"/>
                <w:szCs w:val="23"/>
                <w:lang w:val="fr-CA"/>
              </w:rPr>
            </w:pPr>
            <w:r w:rsidRPr="00F52884">
              <w:rPr>
                <w:rFonts w:cstheme="minorHAnsi"/>
                <w:i/>
                <w:szCs w:val="23"/>
                <w:lang w:val="fr-CA"/>
              </w:rPr>
              <w:t>Loi sur Hydro-Québec,</w:t>
            </w:r>
            <w:r w:rsidRPr="00F52884">
              <w:rPr>
                <w:rFonts w:cstheme="minorHAnsi"/>
                <w:szCs w:val="23"/>
                <w:lang w:val="fr-CA"/>
              </w:rPr>
              <w:t xml:space="preserve"> RLRQ c H-5</w:t>
            </w:r>
          </w:p>
        </w:tc>
      </w:tr>
      <w:tr w:rsidR="00B8348C" w:rsidRPr="00F52884" w14:paraId="6DB60779" w14:textId="77777777" w:rsidTr="00744339">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E6DCEC" w14:textId="77777777" w:rsidR="00B8348C" w:rsidRPr="00F52884" w:rsidRDefault="00B8348C" w:rsidP="00D1446B">
            <w:pPr>
              <w:spacing w:before="60" w:after="60"/>
              <w:rPr>
                <w:b/>
                <w:lang w:val="fr-CA"/>
              </w:rPr>
            </w:pPr>
            <w:r w:rsidRPr="00F52884">
              <w:rPr>
                <w:b/>
                <w:lang w:val="fr-CA"/>
              </w:rPr>
              <w:t>Description :</w:t>
            </w:r>
          </w:p>
        </w:tc>
      </w:tr>
      <w:tr w:rsidR="00B8348C" w:rsidRPr="00D315AF" w14:paraId="2B58C1CF" w14:textId="77777777" w:rsidTr="00744339">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7B49A092"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 xml:space="preserve">Le Québec (incluant la Régie de l’énergie et Hydro-Québec) peut fixer, déterminer et modifier, les tarifs et les prix et les conditions en ce qui concerne la production, l’achat, le transport, la transmission, la fourniture, la distribution et la vente d’électricité. </w:t>
            </w:r>
          </w:p>
          <w:p w14:paraId="52A1FC4C" w14:textId="684509C5" w:rsidR="00B8348C" w:rsidRPr="00F52884" w:rsidRDefault="00B8348C" w:rsidP="00C60FB9">
            <w:pPr>
              <w:spacing w:before="120" w:after="120"/>
              <w:rPr>
                <w:rFonts w:cstheme="minorHAnsi"/>
                <w:szCs w:val="23"/>
                <w:lang w:val="fr-CA"/>
              </w:rPr>
            </w:pPr>
            <w:r w:rsidRPr="00F52884">
              <w:rPr>
                <w:rFonts w:cstheme="minorHAnsi"/>
                <w:szCs w:val="23"/>
                <w:lang w:val="fr-CA"/>
              </w:rPr>
              <w:t>Sans restreindre la généralité de ce qui précède, ces mesures peuvent impliquer des décisions discrétionnaires basées sur différents facteurs, l’imposition de prescriptions de résultats et/ou des discriminations en faveur des résidents du Québec et/ou d’entités établies en conformité avec la législation du Canada ou d’une province ou d’un territoire et ayant une place d’affaires et/ou d’importantes activités commerciales au Québec.</w:t>
            </w:r>
          </w:p>
        </w:tc>
      </w:tr>
    </w:tbl>
    <w:p w14:paraId="070FDFA5" w14:textId="77777777" w:rsidR="00B8348C" w:rsidRPr="00F52884" w:rsidRDefault="00B8348C" w:rsidP="00610CDD">
      <w:pPr>
        <w:rPr>
          <w:rFonts w:cstheme="minorHAnsi"/>
          <w:b/>
          <w:szCs w:val="23"/>
          <w:lang w:val="fr-CA"/>
        </w:rPr>
      </w:pPr>
    </w:p>
    <w:p w14:paraId="07036E53" w14:textId="77777777" w:rsidR="00B8348C" w:rsidRPr="00F52884" w:rsidRDefault="00B8348C" w:rsidP="00610CDD">
      <w:pPr>
        <w:rPr>
          <w:rFonts w:cstheme="minorHAnsi"/>
          <w:b/>
          <w:szCs w:val="23"/>
          <w:lang w:val="fr-CA"/>
        </w:rPr>
      </w:pPr>
    </w:p>
    <w:p w14:paraId="29AC0E2A" w14:textId="1FA8CAC0"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16.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4DA694B9"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8A83AF2" w14:textId="7767BBC1"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78EA4002" w14:textId="01028543" w:rsidR="00B8348C" w:rsidRPr="00F52884" w:rsidRDefault="008A11B2" w:rsidP="00C60FB9">
            <w:pPr>
              <w:spacing w:before="60" w:after="60"/>
              <w:rPr>
                <w:rFonts w:cstheme="minorHAnsi"/>
                <w:szCs w:val="23"/>
                <w:lang w:val="fr-CA"/>
              </w:rPr>
            </w:pPr>
            <w:r w:rsidRPr="00F52884">
              <w:rPr>
                <w:rFonts w:cstheme="minorHAnsi"/>
                <w:szCs w:val="23"/>
                <w:lang w:val="fr-CA"/>
              </w:rPr>
              <w:t>Énergie</w:t>
            </w:r>
          </w:p>
        </w:tc>
      </w:tr>
      <w:tr w:rsidR="00B8348C" w:rsidRPr="00D315AF" w14:paraId="0DF8EB3B"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0AA44AC3" w14:textId="46DF2002"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5BD4CE3D" w14:textId="421B3F61" w:rsidR="00B8348C" w:rsidRPr="00F52884" w:rsidRDefault="008A11B2" w:rsidP="00C60FB9">
            <w:pPr>
              <w:spacing w:before="60" w:after="60"/>
              <w:rPr>
                <w:rFonts w:cstheme="minorHAnsi"/>
                <w:szCs w:val="23"/>
                <w:lang w:val="fr-CA"/>
              </w:rPr>
            </w:pPr>
            <w:r w:rsidRPr="00F52884">
              <w:rPr>
                <w:rFonts w:cstheme="minorHAnsi"/>
                <w:szCs w:val="23"/>
                <w:lang w:val="fr-CA"/>
              </w:rPr>
              <w:t>Électricité et tous les services</w:t>
            </w:r>
          </w:p>
        </w:tc>
      </w:tr>
      <w:tr w:rsidR="00B8348C" w:rsidRPr="00F52884" w14:paraId="3C127E75"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2164ED95" w14:textId="65538E8D"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37FB3AFB" w14:textId="222DC05B" w:rsidR="00B8348C" w:rsidRPr="00F52884" w:rsidRDefault="008A11B2" w:rsidP="00C60FB9">
            <w:pPr>
              <w:spacing w:before="60" w:after="60"/>
              <w:ind w:left="4"/>
              <w:rPr>
                <w:rFonts w:cstheme="minorHAnsi"/>
                <w:szCs w:val="23"/>
                <w:lang w:val="fr-CA"/>
              </w:rPr>
            </w:pPr>
            <w:r w:rsidRPr="00F52884">
              <w:rPr>
                <w:rFonts w:cstheme="minorHAnsi"/>
                <w:szCs w:val="23"/>
                <w:lang w:val="fr-CA"/>
              </w:rPr>
              <w:t>CPC 171, 887</w:t>
            </w:r>
          </w:p>
        </w:tc>
      </w:tr>
      <w:tr w:rsidR="008A11B2" w:rsidRPr="00D315AF" w14:paraId="4C3D3E00"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7DA99B48"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2C8A2F17" w14:textId="7DFAB831"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 article 313 (Prescription de résultats)</w:t>
            </w:r>
          </w:p>
        </w:tc>
      </w:tr>
      <w:tr w:rsidR="00B8348C" w:rsidRPr="00F52884" w14:paraId="2DC0F792" w14:textId="77777777" w:rsidTr="00744339">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4806C20" w14:textId="77777777" w:rsidR="00B8348C" w:rsidRPr="00F52884" w:rsidRDefault="00B8348C" w:rsidP="00D1446B">
            <w:pPr>
              <w:spacing w:before="60" w:after="60"/>
              <w:rPr>
                <w:b/>
                <w:lang w:val="fr-CA"/>
              </w:rPr>
            </w:pPr>
            <w:r w:rsidRPr="00F52884">
              <w:rPr>
                <w:b/>
                <w:lang w:val="fr-CA"/>
              </w:rPr>
              <w:t>Mesure(s) :</w:t>
            </w:r>
          </w:p>
        </w:tc>
      </w:tr>
      <w:tr w:rsidR="00B8348C" w:rsidRPr="00D315AF" w14:paraId="211C06BE" w14:textId="77777777" w:rsidTr="00744339">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5EE65DC0" w14:textId="40677CCD" w:rsidR="00B8348C" w:rsidRPr="00F52884" w:rsidRDefault="00B8348C" w:rsidP="00C60FB9">
            <w:pPr>
              <w:spacing w:before="60" w:after="60"/>
              <w:rPr>
                <w:rFonts w:cstheme="minorHAnsi"/>
                <w:szCs w:val="23"/>
                <w:lang w:val="fr-CA"/>
              </w:rPr>
            </w:pPr>
            <w:r w:rsidRPr="00F52884">
              <w:rPr>
                <w:rFonts w:cstheme="minorHAnsi"/>
                <w:i/>
                <w:szCs w:val="23"/>
                <w:lang w:val="fr-CA"/>
              </w:rPr>
              <w:t xml:space="preserve">Loi sur la Régie de l’énergie, </w:t>
            </w:r>
            <w:r w:rsidRPr="00F52884">
              <w:rPr>
                <w:rFonts w:cstheme="minorHAnsi"/>
                <w:szCs w:val="23"/>
                <w:lang w:val="fr-CA"/>
              </w:rPr>
              <w:t>RLRQ</w:t>
            </w:r>
            <w:r w:rsidRPr="00F52884">
              <w:rPr>
                <w:rFonts w:cstheme="minorHAnsi"/>
                <w:bCs/>
                <w:szCs w:val="23"/>
                <w:lang w:val="fr-CA"/>
              </w:rPr>
              <w:t xml:space="preserve"> c </w:t>
            </w:r>
            <w:r w:rsidRPr="00F52884">
              <w:rPr>
                <w:rFonts w:cstheme="minorHAnsi"/>
                <w:szCs w:val="23"/>
                <w:lang w:val="fr-CA"/>
              </w:rPr>
              <w:t>R</w:t>
            </w:r>
            <w:r w:rsidRPr="00F52884">
              <w:rPr>
                <w:rFonts w:cstheme="minorHAnsi"/>
                <w:szCs w:val="23"/>
                <w:lang w:val="fr-CA"/>
              </w:rPr>
              <w:noBreakHyphen/>
              <w:t>6.01</w:t>
            </w:r>
          </w:p>
          <w:p w14:paraId="46A7740E" w14:textId="6F733D11" w:rsidR="00B8348C" w:rsidRPr="00F52884" w:rsidRDefault="00B8348C" w:rsidP="00C60FB9">
            <w:pPr>
              <w:spacing w:before="60" w:after="60"/>
              <w:rPr>
                <w:rFonts w:cstheme="minorHAnsi"/>
                <w:szCs w:val="23"/>
                <w:lang w:val="fr-CA"/>
              </w:rPr>
            </w:pPr>
            <w:r w:rsidRPr="00F52884">
              <w:rPr>
                <w:rFonts w:cstheme="minorHAnsi"/>
                <w:i/>
                <w:szCs w:val="23"/>
                <w:lang w:val="fr-CA"/>
              </w:rPr>
              <w:t>Loi sur l’exportation de l’électricité</w:t>
            </w:r>
            <w:r w:rsidRPr="00F52884">
              <w:rPr>
                <w:rFonts w:cstheme="minorHAnsi"/>
                <w:szCs w:val="23"/>
                <w:lang w:val="fr-CA"/>
              </w:rPr>
              <w:t>, RLRQ c E-23</w:t>
            </w:r>
          </w:p>
        </w:tc>
      </w:tr>
      <w:tr w:rsidR="00B8348C" w:rsidRPr="00F52884" w14:paraId="42392D93" w14:textId="77777777" w:rsidTr="00744339">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B3B6FB4" w14:textId="77777777" w:rsidR="00B8348C" w:rsidRPr="00F52884" w:rsidRDefault="00B8348C" w:rsidP="00D1446B">
            <w:pPr>
              <w:spacing w:before="60" w:after="60"/>
              <w:rPr>
                <w:b/>
                <w:lang w:val="fr-CA"/>
              </w:rPr>
            </w:pPr>
            <w:r w:rsidRPr="00F52884">
              <w:rPr>
                <w:b/>
                <w:lang w:val="fr-CA"/>
              </w:rPr>
              <w:t>Description :</w:t>
            </w:r>
          </w:p>
        </w:tc>
      </w:tr>
      <w:tr w:rsidR="00B8348C" w:rsidRPr="00D315AF" w14:paraId="25D0B407" w14:textId="77777777" w:rsidTr="00744339">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26962A6F"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Hydro-Québec, les réseaux municipaux d’électricité, la Coopérative régionale d’électricité de Saint-Jean-Baptiste de Rouville et les réseaux privés d’électricité sont titulaires d'un droit exclusif de distribution d'électricité.</w:t>
            </w:r>
          </w:p>
          <w:p w14:paraId="69E6A97B" w14:textId="77777777" w:rsidR="00B8348C" w:rsidRPr="00F52884" w:rsidRDefault="00B8348C" w:rsidP="00C60FB9">
            <w:pPr>
              <w:spacing w:before="120" w:after="120"/>
              <w:rPr>
                <w:rFonts w:cstheme="minorHAnsi"/>
                <w:szCs w:val="23"/>
                <w:lang w:val="fr-CA"/>
              </w:rPr>
            </w:pPr>
            <w:r w:rsidRPr="00F52884">
              <w:rPr>
                <w:rFonts w:cstheme="minorHAnsi"/>
                <w:szCs w:val="23"/>
                <w:lang w:val="fr-CA"/>
              </w:rPr>
              <w:t>L’exportation d’électricité hors Québec est interdite. Le gouvernement du Québec peut, néanmoins, autoriser, par décret, aux conditions et dans les cas qu’il détermine, tout contrat d'exportation d'électricité hors Québec.</w:t>
            </w:r>
          </w:p>
          <w:p w14:paraId="5100C69F" w14:textId="77777777" w:rsidR="00B8348C" w:rsidRPr="00F52884" w:rsidRDefault="00B8348C" w:rsidP="00C60FB9">
            <w:pPr>
              <w:spacing w:before="120" w:after="120"/>
              <w:rPr>
                <w:rFonts w:cstheme="minorHAnsi"/>
                <w:szCs w:val="23"/>
                <w:lang w:val="fr-CA"/>
              </w:rPr>
            </w:pPr>
            <w:r w:rsidRPr="00F52884">
              <w:rPr>
                <w:rFonts w:cstheme="minorHAnsi"/>
                <w:szCs w:val="23"/>
                <w:lang w:val="fr-CA"/>
              </w:rPr>
              <w:lastRenderedPageBreak/>
              <w:t>Les contrats relatifs à l’exportation d’électricité par Hydro-Québec, incluant le transit en vertu d’une entente de services de transport, doivent être soumis à l’autorisation du gouvernement dans les cas et aux conditions que ce dernier peut alors déterminer.</w:t>
            </w:r>
          </w:p>
        </w:tc>
      </w:tr>
    </w:tbl>
    <w:p w14:paraId="52974A75" w14:textId="77777777" w:rsidR="00B8348C" w:rsidRPr="00F52884" w:rsidRDefault="00B8348C" w:rsidP="00610CDD">
      <w:pPr>
        <w:rPr>
          <w:rFonts w:cstheme="minorHAnsi"/>
          <w:b/>
          <w:szCs w:val="23"/>
          <w:lang w:val="fr-CA"/>
        </w:rPr>
      </w:pPr>
    </w:p>
    <w:p w14:paraId="11104326" w14:textId="77777777" w:rsidR="00B8348C" w:rsidRPr="00F52884" w:rsidRDefault="00B8348C" w:rsidP="00610CDD">
      <w:pPr>
        <w:rPr>
          <w:rFonts w:cstheme="minorHAnsi"/>
          <w:b/>
          <w:szCs w:val="23"/>
          <w:lang w:val="fr-CA"/>
        </w:rPr>
      </w:pPr>
    </w:p>
    <w:p w14:paraId="37ECB7B6" w14:textId="665C4241"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17.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D315AF" w14:paraId="270E0CA4"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0F508FB8" w14:textId="47B052FB" w:rsidR="00B8348C" w:rsidRPr="00F52884" w:rsidRDefault="00B8348C" w:rsidP="00C60FB9">
            <w:pPr>
              <w:spacing w:before="60" w:after="60"/>
              <w:rPr>
                <w:rFonts w:cstheme="minorHAnsi"/>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20A64E14" w14:textId="661C986E" w:rsidR="00B8348C" w:rsidRPr="00F52884" w:rsidRDefault="008A11B2" w:rsidP="00C60FB9">
            <w:pPr>
              <w:spacing w:before="60" w:after="60"/>
              <w:rPr>
                <w:rFonts w:cstheme="minorHAnsi"/>
                <w:szCs w:val="23"/>
                <w:lang w:val="fr-CA"/>
              </w:rPr>
            </w:pPr>
            <w:r w:rsidRPr="00F52884">
              <w:rPr>
                <w:rFonts w:cstheme="minorHAnsi"/>
                <w:szCs w:val="23"/>
                <w:lang w:val="fr-CA"/>
              </w:rPr>
              <w:t>Services d'agences de voyages et d'organisateurs et guides touristiques</w:t>
            </w:r>
          </w:p>
        </w:tc>
      </w:tr>
      <w:tr w:rsidR="00B8348C" w:rsidRPr="00D315AF" w14:paraId="586221DB"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6107ABF8" w14:textId="48270622"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7E5D325D" w14:textId="686F29FB" w:rsidR="00B8348C" w:rsidRPr="00F52884" w:rsidRDefault="008A11B2" w:rsidP="00C60FB9">
            <w:pPr>
              <w:spacing w:before="60" w:after="60"/>
              <w:rPr>
                <w:rFonts w:cstheme="minorHAnsi"/>
                <w:szCs w:val="23"/>
                <w:lang w:val="fr-CA"/>
              </w:rPr>
            </w:pPr>
            <w:r w:rsidRPr="00F52884">
              <w:rPr>
                <w:rFonts w:cstheme="minorHAnsi"/>
                <w:szCs w:val="23"/>
                <w:lang w:val="fr-CA"/>
              </w:rPr>
              <w:t>Services d’agences de voyages et d’organisateurs touristiques</w:t>
            </w:r>
          </w:p>
        </w:tc>
      </w:tr>
      <w:tr w:rsidR="00B8348C" w:rsidRPr="00F52884" w14:paraId="56394AD5"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47B9A301" w14:textId="42DEBE12"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37AF2C0A" w14:textId="66127234" w:rsidR="00B8348C" w:rsidRPr="00F52884" w:rsidRDefault="008A11B2" w:rsidP="00C60FB9">
            <w:pPr>
              <w:spacing w:before="60" w:after="60"/>
              <w:ind w:left="4"/>
              <w:rPr>
                <w:rFonts w:cstheme="minorHAnsi"/>
                <w:szCs w:val="23"/>
                <w:lang w:val="fr-CA"/>
              </w:rPr>
            </w:pPr>
            <w:r w:rsidRPr="00F52884">
              <w:rPr>
                <w:rFonts w:cstheme="minorHAnsi"/>
                <w:szCs w:val="23"/>
                <w:lang w:val="fr-CA"/>
              </w:rPr>
              <w:t>CPC 7471</w:t>
            </w:r>
          </w:p>
        </w:tc>
      </w:tr>
      <w:tr w:rsidR="008A11B2" w:rsidRPr="00F52884" w14:paraId="542B4167"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00B0B766"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6EF8A6FE" w14:textId="6C9CB289"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2CF22EF5" w14:textId="77777777" w:rsidTr="00744339">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A78F240" w14:textId="77777777" w:rsidR="00B8348C" w:rsidRPr="00F52884" w:rsidRDefault="00B8348C" w:rsidP="00D1446B">
            <w:pPr>
              <w:spacing w:before="60" w:after="60"/>
              <w:rPr>
                <w:b/>
                <w:lang w:val="fr-CA"/>
              </w:rPr>
            </w:pPr>
            <w:r w:rsidRPr="00F52884">
              <w:rPr>
                <w:b/>
                <w:lang w:val="fr-CA"/>
              </w:rPr>
              <w:t>Mesure(s) :</w:t>
            </w:r>
          </w:p>
        </w:tc>
      </w:tr>
      <w:tr w:rsidR="00B8348C" w:rsidRPr="00D315AF" w14:paraId="3E856B55" w14:textId="77777777" w:rsidTr="00744339">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62003F33" w14:textId="311BDA66" w:rsidR="00B8348C" w:rsidRPr="00F52884" w:rsidRDefault="00B8348C" w:rsidP="00C60FB9">
            <w:pPr>
              <w:spacing w:before="60" w:after="60"/>
              <w:jc w:val="both"/>
              <w:rPr>
                <w:rFonts w:cstheme="minorHAnsi"/>
                <w:szCs w:val="23"/>
                <w:lang w:val="fr-CA"/>
              </w:rPr>
            </w:pPr>
            <w:r w:rsidRPr="00F52884">
              <w:rPr>
                <w:rFonts w:cstheme="minorHAnsi"/>
                <w:i/>
                <w:szCs w:val="23"/>
                <w:lang w:val="fr-CA"/>
              </w:rPr>
              <w:t>Loi sur les agents de voyages</w:t>
            </w:r>
            <w:r w:rsidRPr="00F52884">
              <w:rPr>
                <w:rFonts w:cstheme="minorHAnsi"/>
                <w:szCs w:val="23"/>
                <w:lang w:val="fr-CA"/>
              </w:rPr>
              <w:t>, RLRQ c A-10</w:t>
            </w:r>
          </w:p>
        </w:tc>
      </w:tr>
      <w:tr w:rsidR="00B8348C" w:rsidRPr="00F52884" w14:paraId="2B276923" w14:textId="77777777" w:rsidTr="00744339">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F73739F" w14:textId="77777777" w:rsidR="00B8348C" w:rsidRPr="00F52884" w:rsidRDefault="00B8348C" w:rsidP="00D1446B">
            <w:pPr>
              <w:spacing w:before="60" w:after="60"/>
              <w:rPr>
                <w:b/>
                <w:lang w:val="fr-CA"/>
              </w:rPr>
            </w:pPr>
            <w:r w:rsidRPr="00F52884">
              <w:rPr>
                <w:b/>
                <w:lang w:val="fr-CA"/>
              </w:rPr>
              <w:t>Description :</w:t>
            </w:r>
          </w:p>
        </w:tc>
      </w:tr>
      <w:tr w:rsidR="00B8348C" w:rsidRPr="00D315AF" w14:paraId="71B58284" w14:textId="77777777" w:rsidTr="00744339">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21F93D68" w14:textId="77777777" w:rsidR="00B8348C" w:rsidRPr="00F52884" w:rsidRDefault="00B8348C" w:rsidP="00C60FB9">
            <w:pPr>
              <w:spacing w:before="60" w:after="60"/>
              <w:rPr>
                <w:rFonts w:cstheme="minorHAnsi"/>
                <w:szCs w:val="23"/>
                <w:lang w:val="fr-CA"/>
              </w:rPr>
            </w:pPr>
            <w:r w:rsidRPr="00F52884">
              <w:rPr>
                <w:rFonts w:cstheme="minorHAnsi"/>
                <w:szCs w:val="23"/>
                <w:lang w:val="fr-CA"/>
              </w:rPr>
              <w:t>Une personne physique qui demande un permis d’agent de voyages pour son compte doit établir et maintenir un établissement principal au Québec. L'association, la société ou la personne au bénéfice de laquelle un permis est demandé doit elle-même établir et maintenir un établissement principal au Québec. Un établissement principal est un local d’entreprise distinct de tout autre, équipé d’installations autonomes, dans lequel le titulaire du permis effectue principalement ses opérations.</w:t>
            </w:r>
          </w:p>
        </w:tc>
      </w:tr>
    </w:tbl>
    <w:p w14:paraId="5B5CE395" w14:textId="77777777" w:rsidR="00B8348C" w:rsidRPr="00F52884" w:rsidRDefault="00B8348C" w:rsidP="00610CDD">
      <w:pPr>
        <w:rPr>
          <w:rFonts w:cstheme="minorHAnsi"/>
          <w:b/>
          <w:szCs w:val="23"/>
          <w:lang w:val="fr-CA"/>
        </w:rPr>
      </w:pPr>
    </w:p>
    <w:p w14:paraId="1593BF0C" w14:textId="77777777" w:rsidR="00B8348C" w:rsidRPr="00F52884" w:rsidRDefault="00B8348C" w:rsidP="00610CDD">
      <w:pPr>
        <w:rPr>
          <w:rFonts w:cstheme="minorHAnsi"/>
          <w:b/>
          <w:szCs w:val="23"/>
          <w:lang w:val="fr-CA"/>
        </w:rPr>
      </w:pPr>
    </w:p>
    <w:p w14:paraId="6014E2C2" w14:textId="3DFF8381"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18.  </w:t>
      </w:r>
      <w:r w:rsidR="00B8348C" w:rsidRPr="00F52884">
        <w:rPr>
          <w:rFonts w:cstheme="minorHAnsi"/>
          <w:b/>
          <w:szCs w:val="23"/>
          <w:lang w:val="fr-CA"/>
        </w:rPr>
        <w:t>QUÉBEC</w:t>
      </w:r>
    </w:p>
    <w:tbl>
      <w:tblPr>
        <w:tblW w:w="10215" w:type="dxa"/>
        <w:jc w:val="center"/>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02E28995"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C4C1D8C" w14:textId="0336E433"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2F163B02" w14:textId="62508978" w:rsidR="00B8348C" w:rsidRPr="00F52884" w:rsidRDefault="008A11B2" w:rsidP="00C60FB9">
            <w:pPr>
              <w:spacing w:before="60" w:after="60"/>
              <w:rPr>
                <w:rFonts w:cstheme="minorHAnsi"/>
                <w:szCs w:val="23"/>
                <w:lang w:val="fr-CA"/>
              </w:rPr>
            </w:pPr>
            <w:r w:rsidRPr="00F52884">
              <w:rPr>
                <w:rFonts w:cstheme="minorHAnsi"/>
                <w:szCs w:val="23"/>
                <w:lang w:val="fr-CA"/>
              </w:rPr>
              <w:t>Tous</w:t>
            </w:r>
          </w:p>
        </w:tc>
      </w:tr>
      <w:tr w:rsidR="00B8348C" w:rsidRPr="00F52884" w14:paraId="6C4465FD"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47C4C20A" w14:textId="77777777"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6254DA37" w14:textId="77777777" w:rsidR="00B8348C" w:rsidRPr="00F52884" w:rsidRDefault="00B8348C" w:rsidP="00C60FB9">
            <w:pPr>
              <w:spacing w:before="60" w:after="60"/>
              <w:rPr>
                <w:rFonts w:cstheme="minorHAnsi"/>
                <w:szCs w:val="23"/>
                <w:lang w:val="fr-CA"/>
              </w:rPr>
            </w:pPr>
          </w:p>
        </w:tc>
      </w:tr>
      <w:tr w:rsidR="00B8348C" w:rsidRPr="00F52884" w14:paraId="556048AF"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17099E56" w14:textId="77777777"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670C13CB" w14:textId="77777777" w:rsidR="00B8348C" w:rsidRPr="00F52884" w:rsidRDefault="00B8348C" w:rsidP="00C60FB9">
            <w:pPr>
              <w:spacing w:before="60" w:after="60"/>
              <w:ind w:left="4"/>
              <w:rPr>
                <w:rFonts w:cstheme="minorHAnsi"/>
                <w:szCs w:val="23"/>
                <w:lang w:val="fr-CA"/>
              </w:rPr>
            </w:pPr>
          </w:p>
        </w:tc>
      </w:tr>
      <w:tr w:rsidR="008A11B2" w:rsidRPr="00F52884" w14:paraId="1A5169A6"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0153EEBA" w14:textId="77777777"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b/>
                <w:sz w:val="23"/>
                <w:szCs w:val="23"/>
                <w:lang w:val="fr-CA"/>
              </w:rPr>
              <w:t>Type d’exception :</w:t>
            </w:r>
            <w:r w:rsidRPr="00F52884">
              <w:rPr>
                <w:rFonts w:asciiTheme="minorHAnsi" w:hAnsiTheme="minorHAnsi" w:cstheme="minorHAnsi"/>
                <w:sz w:val="23"/>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69D137AA" w14:textId="11459CF2" w:rsidR="008A11B2" w:rsidRPr="00F52884" w:rsidRDefault="008A11B2" w:rsidP="00C60FB9">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Article 201 (Traitement non discriminatoire)</w:t>
            </w:r>
          </w:p>
        </w:tc>
      </w:tr>
      <w:tr w:rsidR="00B8348C" w:rsidRPr="00F52884" w14:paraId="29248A89" w14:textId="77777777" w:rsidTr="00744339">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04EC691" w14:textId="77777777" w:rsidR="00B8348C" w:rsidRPr="00F52884" w:rsidRDefault="00B8348C" w:rsidP="00D1446B">
            <w:pPr>
              <w:spacing w:before="60" w:after="60"/>
              <w:rPr>
                <w:b/>
                <w:lang w:val="fr-CA"/>
              </w:rPr>
            </w:pPr>
            <w:r w:rsidRPr="00F52884">
              <w:rPr>
                <w:b/>
                <w:lang w:val="fr-CA"/>
              </w:rPr>
              <w:t>Mesure(s) :</w:t>
            </w:r>
          </w:p>
        </w:tc>
      </w:tr>
      <w:tr w:rsidR="00B8348C" w:rsidRPr="00D315AF" w14:paraId="4077B032" w14:textId="77777777" w:rsidTr="00744339">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79E365C9" w14:textId="180CC8E2" w:rsidR="00B8348C" w:rsidRPr="00F52884" w:rsidRDefault="00B8348C" w:rsidP="00C60FB9">
            <w:pPr>
              <w:spacing w:before="60" w:after="60"/>
              <w:jc w:val="both"/>
              <w:rPr>
                <w:rFonts w:cstheme="minorHAnsi"/>
                <w:szCs w:val="23"/>
                <w:lang w:val="fr-CA"/>
              </w:rPr>
            </w:pPr>
            <w:r w:rsidRPr="00F52884">
              <w:rPr>
                <w:rFonts w:cstheme="minorHAnsi"/>
                <w:i/>
                <w:szCs w:val="23"/>
                <w:lang w:val="fr-CA"/>
              </w:rPr>
              <w:t>Loi sur le recouvrement de certaines créances</w:t>
            </w:r>
            <w:r w:rsidRPr="00F52884">
              <w:rPr>
                <w:rFonts w:cstheme="minorHAnsi"/>
                <w:szCs w:val="23"/>
                <w:lang w:val="fr-CA"/>
              </w:rPr>
              <w:t>, RLRQ c R-2.2</w:t>
            </w:r>
          </w:p>
          <w:p w14:paraId="23C4BCD1" w14:textId="6F7B2678" w:rsidR="00B8348C" w:rsidRPr="00F52884" w:rsidRDefault="00B8348C" w:rsidP="00C60FB9">
            <w:pPr>
              <w:spacing w:before="60" w:after="60"/>
              <w:jc w:val="both"/>
              <w:rPr>
                <w:rFonts w:cstheme="minorHAnsi"/>
                <w:szCs w:val="23"/>
                <w:lang w:val="fr-CA"/>
              </w:rPr>
            </w:pPr>
            <w:r w:rsidRPr="00F52884">
              <w:rPr>
                <w:rFonts w:cstheme="minorHAnsi"/>
                <w:i/>
                <w:szCs w:val="23"/>
                <w:lang w:val="fr-CA"/>
              </w:rPr>
              <w:t xml:space="preserve">Loi sur la protection du consommateur, </w:t>
            </w:r>
            <w:r w:rsidRPr="00F52884">
              <w:rPr>
                <w:rFonts w:cstheme="minorHAnsi"/>
                <w:szCs w:val="23"/>
                <w:lang w:val="fr-CA"/>
              </w:rPr>
              <w:t>RLRQ c P-40.1</w:t>
            </w:r>
          </w:p>
          <w:p w14:paraId="4D8C6DE0" w14:textId="57E6D177" w:rsidR="00B8348C" w:rsidRPr="00F52884" w:rsidRDefault="00B8348C" w:rsidP="00C60FB9">
            <w:pPr>
              <w:spacing w:before="60" w:after="60"/>
              <w:jc w:val="both"/>
              <w:rPr>
                <w:rFonts w:cstheme="minorHAnsi"/>
                <w:szCs w:val="23"/>
                <w:lang w:val="fr-CA"/>
              </w:rPr>
            </w:pPr>
            <w:r w:rsidRPr="00F52884">
              <w:rPr>
                <w:rFonts w:cstheme="minorHAnsi"/>
                <w:i/>
                <w:szCs w:val="23"/>
                <w:lang w:val="fr-CA"/>
              </w:rPr>
              <w:t>Loi sur la sécurité civile,</w:t>
            </w:r>
            <w:r w:rsidRPr="00F52884">
              <w:rPr>
                <w:rFonts w:cstheme="minorHAnsi"/>
                <w:szCs w:val="23"/>
                <w:lang w:val="fr-CA"/>
              </w:rPr>
              <w:t xml:space="preserve"> RLRQ c S-2.3</w:t>
            </w:r>
          </w:p>
          <w:p w14:paraId="1F5FFCF3" w14:textId="5E2396CE" w:rsidR="00B8348C" w:rsidRPr="00F52884" w:rsidRDefault="00B8348C" w:rsidP="00C60FB9">
            <w:pPr>
              <w:spacing w:before="60" w:after="60"/>
              <w:jc w:val="both"/>
              <w:rPr>
                <w:rFonts w:cstheme="minorHAnsi"/>
                <w:szCs w:val="23"/>
                <w:lang w:val="fr-CA"/>
              </w:rPr>
            </w:pPr>
            <w:r w:rsidRPr="00F52884">
              <w:rPr>
                <w:rFonts w:cstheme="minorHAnsi"/>
                <w:i/>
                <w:szCs w:val="23"/>
                <w:lang w:val="fr-CA"/>
              </w:rPr>
              <w:t>Loi sur la sécurité privée,</w:t>
            </w:r>
            <w:r w:rsidRPr="00F52884">
              <w:rPr>
                <w:rFonts w:cstheme="minorHAnsi"/>
                <w:szCs w:val="23"/>
                <w:lang w:val="fr-CA"/>
              </w:rPr>
              <w:t xml:space="preserve"> RLRQ c S-3.5</w:t>
            </w:r>
          </w:p>
        </w:tc>
      </w:tr>
      <w:tr w:rsidR="00B8348C" w:rsidRPr="00F52884" w14:paraId="43C2E502" w14:textId="77777777" w:rsidTr="00744339">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AAF57AA" w14:textId="77777777" w:rsidR="00B8348C" w:rsidRPr="00F52884" w:rsidRDefault="00B8348C" w:rsidP="00D1446B">
            <w:pPr>
              <w:spacing w:before="60" w:after="60"/>
              <w:rPr>
                <w:b/>
                <w:lang w:val="fr-CA"/>
              </w:rPr>
            </w:pPr>
            <w:r w:rsidRPr="00F52884">
              <w:rPr>
                <w:b/>
                <w:lang w:val="fr-CA"/>
              </w:rPr>
              <w:t>Description :</w:t>
            </w:r>
          </w:p>
        </w:tc>
      </w:tr>
      <w:tr w:rsidR="00B8348C" w:rsidRPr="00D315AF" w14:paraId="51FAE5FF" w14:textId="77777777" w:rsidTr="00744339">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26D845CF" w14:textId="77777777" w:rsidR="00B8348C" w:rsidRPr="00F52884" w:rsidRDefault="00B8348C" w:rsidP="00C60FB9">
            <w:pPr>
              <w:spacing w:before="60" w:after="60"/>
              <w:rPr>
                <w:rFonts w:cstheme="minorHAnsi"/>
                <w:szCs w:val="23"/>
                <w:lang w:val="fr-CA"/>
              </w:rPr>
            </w:pPr>
            <w:r w:rsidRPr="00F52884">
              <w:rPr>
                <w:rFonts w:cstheme="minorHAnsi"/>
                <w:szCs w:val="23"/>
                <w:lang w:val="fr-CA"/>
              </w:rPr>
              <w:t xml:space="preserve">Le Québec oblige les demandeurs et les titulaires de permis ou d’un certificat de conformité de posséder un établissement sur son territoire afin de permettre aux autorités de surveillance de surveiller les activités des titulaires et d’exercer leurs pouvoirs de sanction. Cet établissement peut </w:t>
            </w:r>
            <w:r w:rsidRPr="00F52884">
              <w:rPr>
                <w:rFonts w:cstheme="minorHAnsi"/>
                <w:szCs w:val="23"/>
                <w:lang w:val="fr-CA"/>
              </w:rPr>
              <w:lastRenderedPageBreak/>
              <w:t>devoir être situé dans un immeuble ou une partie d’immeuble dans lequel le titulaire fait des affaires.</w:t>
            </w:r>
          </w:p>
        </w:tc>
      </w:tr>
    </w:tbl>
    <w:p w14:paraId="215652A3" w14:textId="77777777" w:rsidR="00B8348C" w:rsidRPr="00F52884" w:rsidRDefault="00B8348C" w:rsidP="00610CDD">
      <w:pPr>
        <w:rPr>
          <w:rFonts w:cstheme="minorHAnsi"/>
          <w:b/>
          <w:szCs w:val="23"/>
          <w:lang w:val="fr-CA"/>
        </w:rPr>
      </w:pPr>
    </w:p>
    <w:p w14:paraId="07ACF961" w14:textId="77777777" w:rsidR="00B8348C" w:rsidRPr="00F52884" w:rsidRDefault="00B8348C" w:rsidP="00610CDD">
      <w:pPr>
        <w:rPr>
          <w:rFonts w:cstheme="minorHAnsi"/>
          <w:b/>
          <w:szCs w:val="23"/>
          <w:lang w:val="fr-CA"/>
        </w:rPr>
      </w:pPr>
    </w:p>
    <w:p w14:paraId="11E7C0A1" w14:textId="1CB25889" w:rsidR="00B8348C" w:rsidRPr="00F52884" w:rsidRDefault="00744339" w:rsidP="00C60FB9">
      <w:pPr>
        <w:pStyle w:val="ListParagraph"/>
        <w:spacing w:before="60" w:after="60"/>
        <w:ind w:left="-360"/>
        <w:rPr>
          <w:rFonts w:cstheme="minorHAnsi"/>
          <w:b/>
          <w:szCs w:val="23"/>
          <w:lang w:val="fr-CA"/>
        </w:rPr>
      </w:pPr>
      <w:r w:rsidRPr="00F52884">
        <w:rPr>
          <w:rFonts w:cstheme="minorHAnsi"/>
          <w:b/>
          <w:szCs w:val="23"/>
          <w:lang w:val="fr-CA"/>
        </w:rPr>
        <w:t xml:space="preserve">19.  </w:t>
      </w:r>
      <w:r w:rsidR="00B8348C" w:rsidRPr="00F52884">
        <w:rPr>
          <w:rFonts w:cstheme="minorHAnsi"/>
          <w:b/>
          <w:szCs w:val="23"/>
          <w:lang w:val="fr-CA"/>
        </w:rPr>
        <w:t xml:space="preserve">QUÉBEC </w:t>
      </w:r>
    </w:p>
    <w:tbl>
      <w:tblPr>
        <w:tblW w:w="10215" w:type="dxa"/>
        <w:jc w:val="center"/>
        <w:tblLayout w:type="fixed"/>
        <w:tblCellMar>
          <w:top w:w="14" w:type="dxa"/>
          <w:left w:w="86" w:type="dxa"/>
          <w:bottom w:w="14" w:type="dxa"/>
          <w:right w:w="86" w:type="dxa"/>
        </w:tblCellMar>
        <w:tblLook w:val="0000" w:firstRow="0" w:lastRow="0" w:firstColumn="0" w:lastColumn="0" w:noHBand="0" w:noVBand="0"/>
      </w:tblPr>
      <w:tblGrid>
        <w:gridCol w:w="2250"/>
        <w:gridCol w:w="7586"/>
        <w:gridCol w:w="379"/>
      </w:tblGrid>
      <w:tr w:rsidR="00B8348C" w:rsidRPr="00F52884" w14:paraId="50B20487" w14:textId="77777777" w:rsidTr="008A11B2">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02D5916C" w14:textId="41B46751" w:rsidR="00B8348C" w:rsidRPr="00F52884" w:rsidRDefault="00B8348C" w:rsidP="00C60FB9">
            <w:pPr>
              <w:spacing w:before="60" w:after="60"/>
              <w:rPr>
                <w:rFonts w:cstheme="minorHAnsi"/>
                <w:b/>
                <w:szCs w:val="23"/>
                <w:lang w:val="fr-CA"/>
              </w:rPr>
            </w:pPr>
            <w:r w:rsidRPr="00F52884">
              <w:rPr>
                <w:rFonts w:cstheme="minorHAnsi"/>
                <w:b/>
                <w:szCs w:val="23"/>
                <w:lang w:val="fr-CA"/>
              </w:rPr>
              <w:br w:type="page"/>
              <w:t xml:space="preserve">Secteur : </w:t>
            </w:r>
          </w:p>
        </w:tc>
        <w:tc>
          <w:tcPr>
            <w:tcW w:w="7965" w:type="dxa"/>
            <w:gridSpan w:val="2"/>
            <w:tcBorders>
              <w:top w:val="single" w:sz="4" w:space="0" w:color="C0C0C0"/>
              <w:left w:val="single" w:sz="4" w:space="0" w:color="FFFFFF"/>
              <w:bottom w:val="single" w:sz="4" w:space="0" w:color="C0C0C0"/>
              <w:right w:val="nil"/>
            </w:tcBorders>
            <w:vAlign w:val="center"/>
          </w:tcPr>
          <w:p w14:paraId="563880CC" w14:textId="4A28A31D" w:rsidR="00B8348C" w:rsidRPr="00F52884" w:rsidRDefault="008A11B2" w:rsidP="00C60FB9">
            <w:pPr>
              <w:spacing w:before="60" w:after="60"/>
              <w:rPr>
                <w:rFonts w:cstheme="minorHAnsi"/>
                <w:szCs w:val="23"/>
                <w:lang w:val="fr-CA"/>
              </w:rPr>
            </w:pPr>
            <w:r w:rsidRPr="00F52884">
              <w:rPr>
                <w:rFonts w:cstheme="minorHAnsi"/>
                <w:szCs w:val="23"/>
                <w:lang w:val="fr-CA"/>
              </w:rPr>
              <w:t>Finance gouvernementale</w:t>
            </w:r>
          </w:p>
        </w:tc>
      </w:tr>
      <w:tr w:rsidR="00B8348C" w:rsidRPr="00F52884" w14:paraId="3F7D6E4A" w14:textId="77777777" w:rsidTr="008A11B2">
        <w:trPr>
          <w:trHeight w:val="246"/>
          <w:jc w:val="center"/>
        </w:trPr>
        <w:tc>
          <w:tcPr>
            <w:tcW w:w="2250" w:type="dxa"/>
            <w:tcBorders>
              <w:top w:val="single" w:sz="4" w:space="0" w:color="C0C0C0"/>
              <w:left w:val="nil"/>
              <w:bottom w:val="single" w:sz="4" w:space="0" w:color="C0C0C0"/>
              <w:right w:val="single" w:sz="4" w:space="0" w:color="FFFFFF"/>
            </w:tcBorders>
            <w:vAlign w:val="center"/>
          </w:tcPr>
          <w:p w14:paraId="58648788" w14:textId="4BAC2D9B" w:rsidR="00B8348C" w:rsidRPr="00F52884" w:rsidRDefault="00B8348C" w:rsidP="00C60FB9">
            <w:pPr>
              <w:spacing w:before="60" w:after="60"/>
              <w:rPr>
                <w:rFonts w:cstheme="minorHAnsi"/>
                <w:b/>
                <w:szCs w:val="23"/>
                <w:lang w:val="fr-CA"/>
              </w:rPr>
            </w:pPr>
            <w:r w:rsidRPr="00F52884">
              <w:rPr>
                <w:rFonts w:cstheme="minorHAnsi"/>
                <w:b/>
                <w:szCs w:val="23"/>
                <w:lang w:val="fr-CA"/>
              </w:rPr>
              <w:t>Sous-secteur :</w:t>
            </w:r>
            <w:r w:rsidRPr="00F52884">
              <w:rPr>
                <w:rFonts w:cstheme="minorHAnsi"/>
                <w:szCs w:val="23"/>
                <w:lang w:val="fr-CA"/>
              </w:rPr>
              <w:t xml:space="preserve"> </w:t>
            </w:r>
          </w:p>
        </w:tc>
        <w:tc>
          <w:tcPr>
            <w:tcW w:w="7965" w:type="dxa"/>
            <w:gridSpan w:val="2"/>
            <w:tcBorders>
              <w:top w:val="single" w:sz="4" w:space="0" w:color="C0C0C0"/>
              <w:left w:val="single" w:sz="4" w:space="0" w:color="FFFFFF"/>
              <w:bottom w:val="single" w:sz="4" w:space="0" w:color="C0C0C0"/>
              <w:right w:val="nil"/>
            </w:tcBorders>
            <w:vAlign w:val="center"/>
          </w:tcPr>
          <w:p w14:paraId="23B05A1A" w14:textId="0CD2BF06" w:rsidR="00B8348C" w:rsidRPr="00F52884" w:rsidRDefault="008A11B2" w:rsidP="00C60FB9">
            <w:pPr>
              <w:spacing w:before="60" w:after="60"/>
              <w:rPr>
                <w:rFonts w:cstheme="minorHAnsi"/>
                <w:szCs w:val="23"/>
                <w:lang w:val="fr-CA"/>
              </w:rPr>
            </w:pPr>
            <w:r w:rsidRPr="00F52884">
              <w:rPr>
                <w:rFonts w:cstheme="minorHAnsi"/>
                <w:szCs w:val="23"/>
                <w:lang w:val="fr-CA"/>
              </w:rPr>
              <w:t>Valeurs mobilières</w:t>
            </w:r>
          </w:p>
        </w:tc>
      </w:tr>
      <w:tr w:rsidR="00B8348C" w:rsidRPr="00F52884" w14:paraId="5B5FF1EA" w14:textId="77777777" w:rsidTr="008A11B2">
        <w:trPr>
          <w:gridAfter w:val="1"/>
          <w:wAfter w:w="379"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49FCD45D" w14:textId="77777777" w:rsidR="00B8348C" w:rsidRPr="00F52884" w:rsidRDefault="00B8348C" w:rsidP="00C60FB9">
            <w:pPr>
              <w:spacing w:before="60" w:after="60"/>
              <w:rPr>
                <w:rFonts w:cstheme="minorHAnsi"/>
                <w:szCs w:val="23"/>
                <w:lang w:val="fr-CA"/>
              </w:rPr>
            </w:pPr>
            <w:r w:rsidRPr="00F52884">
              <w:rPr>
                <w:rFonts w:cstheme="minorHAnsi"/>
                <w:b/>
                <w:szCs w:val="23"/>
                <w:lang w:val="fr-CA"/>
              </w:rPr>
              <w:t xml:space="preserve">Classification de l’industrie : </w:t>
            </w:r>
          </w:p>
        </w:tc>
        <w:tc>
          <w:tcPr>
            <w:tcW w:w="7586" w:type="dxa"/>
            <w:tcBorders>
              <w:top w:val="single" w:sz="4" w:space="0" w:color="C0C0C0"/>
              <w:left w:val="single" w:sz="4" w:space="0" w:color="FFFFFF"/>
              <w:bottom w:val="single" w:sz="4" w:space="0" w:color="C0C0C0"/>
              <w:right w:val="nil"/>
            </w:tcBorders>
            <w:vAlign w:val="center"/>
          </w:tcPr>
          <w:p w14:paraId="036BD891" w14:textId="77777777" w:rsidR="00B8348C" w:rsidRPr="00F52884" w:rsidRDefault="00B8348C" w:rsidP="00C60FB9">
            <w:pPr>
              <w:spacing w:before="60" w:after="60"/>
              <w:ind w:left="4"/>
              <w:rPr>
                <w:rFonts w:cstheme="minorHAnsi"/>
                <w:szCs w:val="23"/>
                <w:lang w:val="fr-CA"/>
              </w:rPr>
            </w:pPr>
          </w:p>
        </w:tc>
      </w:tr>
      <w:tr w:rsidR="00744339" w:rsidRPr="00F52884" w14:paraId="7C52FD53" w14:textId="77777777" w:rsidTr="008A11B2">
        <w:trPr>
          <w:trHeight w:val="42"/>
          <w:jc w:val="center"/>
        </w:trPr>
        <w:tc>
          <w:tcPr>
            <w:tcW w:w="2250" w:type="dxa"/>
            <w:tcBorders>
              <w:top w:val="single" w:sz="4" w:space="0" w:color="C0C0C0"/>
              <w:left w:val="nil"/>
              <w:bottom w:val="single" w:sz="4" w:space="0" w:color="C0C0C0"/>
              <w:right w:val="single" w:sz="4" w:space="0" w:color="FFFFFF" w:themeColor="background1"/>
            </w:tcBorders>
          </w:tcPr>
          <w:p w14:paraId="057C92D4" w14:textId="33DD15CE" w:rsidR="00744339" w:rsidRPr="00F52884" w:rsidRDefault="00744339" w:rsidP="00C60FB9">
            <w:pPr>
              <w:spacing w:before="60" w:after="60"/>
              <w:rPr>
                <w:rFonts w:cstheme="minorHAnsi"/>
                <w:szCs w:val="23"/>
                <w:lang w:val="fr-CA"/>
              </w:rPr>
            </w:pPr>
            <w:r w:rsidRPr="00F52884">
              <w:rPr>
                <w:rFonts w:cstheme="minorHAnsi"/>
                <w:b/>
                <w:szCs w:val="23"/>
                <w:lang w:val="fr-CA"/>
              </w:rPr>
              <w:t>Type d’exception :</w:t>
            </w:r>
            <w:r w:rsidRPr="00F52884">
              <w:rPr>
                <w:rFonts w:cstheme="minorHAnsi"/>
                <w:szCs w:val="23"/>
                <w:lang w:val="fr-CA"/>
              </w:rPr>
              <w:t xml:space="preserve"> </w:t>
            </w:r>
          </w:p>
        </w:tc>
        <w:tc>
          <w:tcPr>
            <w:tcW w:w="7965" w:type="dxa"/>
            <w:gridSpan w:val="2"/>
            <w:tcBorders>
              <w:top w:val="single" w:sz="4" w:space="0" w:color="C0C0C0"/>
              <w:left w:val="single" w:sz="4" w:space="0" w:color="FFFFFF" w:themeColor="background1"/>
              <w:bottom w:val="single" w:sz="4" w:space="0" w:color="C0C0C0"/>
              <w:right w:val="single" w:sz="4" w:space="0" w:color="C0C0C0"/>
            </w:tcBorders>
          </w:tcPr>
          <w:p w14:paraId="0AD0838A" w14:textId="0E73883C" w:rsidR="00744339" w:rsidRPr="00F52884" w:rsidRDefault="00744339" w:rsidP="00C60FB9">
            <w:pPr>
              <w:spacing w:before="60" w:after="60"/>
              <w:rPr>
                <w:rFonts w:cstheme="minorHAnsi"/>
                <w:szCs w:val="23"/>
                <w:lang w:val="fr-CA"/>
              </w:rPr>
            </w:pPr>
            <w:r w:rsidRPr="00F52884">
              <w:rPr>
                <w:rFonts w:cstheme="minorHAnsi"/>
                <w:szCs w:val="23"/>
                <w:lang w:val="fr-CA"/>
              </w:rPr>
              <w:t>Article 201 (Traitement non discriminatoire)</w:t>
            </w:r>
          </w:p>
        </w:tc>
      </w:tr>
      <w:tr w:rsidR="00B8348C" w:rsidRPr="00F52884" w14:paraId="603CFA8B" w14:textId="77777777" w:rsidTr="008A11B2">
        <w:trPr>
          <w:trHeight w:val="42"/>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6CD6233" w14:textId="77777777" w:rsidR="00B8348C" w:rsidRPr="00F52884" w:rsidRDefault="00B8348C" w:rsidP="00D1446B">
            <w:pPr>
              <w:spacing w:before="60" w:after="60"/>
              <w:rPr>
                <w:b/>
                <w:lang w:val="fr-CA"/>
              </w:rPr>
            </w:pPr>
            <w:r w:rsidRPr="00F52884">
              <w:rPr>
                <w:b/>
                <w:lang w:val="fr-CA"/>
              </w:rPr>
              <w:t>Mesure(s) :</w:t>
            </w:r>
          </w:p>
        </w:tc>
      </w:tr>
      <w:tr w:rsidR="00B8348C" w:rsidRPr="00D315AF" w14:paraId="4F3D74BC" w14:textId="77777777" w:rsidTr="008A11B2">
        <w:trPr>
          <w:trHeight w:val="273"/>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1E64934B" w14:textId="129A5D18" w:rsidR="00B8348C" w:rsidRPr="00F52884" w:rsidRDefault="00B8348C" w:rsidP="00C60FB9">
            <w:pPr>
              <w:shd w:val="clear" w:color="auto" w:fill="FFFFFF"/>
              <w:spacing w:before="60" w:after="60"/>
              <w:jc w:val="both"/>
              <w:rPr>
                <w:rFonts w:cstheme="minorHAnsi"/>
                <w:szCs w:val="23"/>
                <w:lang w:val="fr-CA"/>
              </w:rPr>
            </w:pPr>
            <w:r w:rsidRPr="00F52884">
              <w:rPr>
                <w:rFonts w:cstheme="minorHAnsi"/>
                <w:bCs/>
                <w:i/>
                <w:szCs w:val="23"/>
                <w:lang w:val="fr-CA"/>
              </w:rPr>
              <w:t>Loi sur l’administration financière</w:t>
            </w:r>
            <w:r w:rsidRPr="00F52884">
              <w:rPr>
                <w:rFonts w:cstheme="minorHAnsi"/>
                <w:bCs/>
                <w:szCs w:val="23"/>
                <w:lang w:val="fr-CA"/>
              </w:rPr>
              <w:t>,</w:t>
            </w:r>
            <w:r w:rsidRPr="00F52884">
              <w:rPr>
                <w:rFonts w:cstheme="minorHAnsi"/>
                <w:b/>
                <w:bCs/>
                <w:szCs w:val="23"/>
                <w:lang w:val="fr-CA"/>
              </w:rPr>
              <w:t xml:space="preserve"> </w:t>
            </w:r>
            <w:r w:rsidRPr="00F52884">
              <w:rPr>
                <w:rFonts w:cstheme="minorHAnsi"/>
                <w:bCs/>
                <w:szCs w:val="23"/>
                <w:lang w:val="fr-CA"/>
              </w:rPr>
              <w:t xml:space="preserve">RLRQ </w:t>
            </w:r>
            <w:r w:rsidRPr="00F52884">
              <w:rPr>
                <w:rFonts w:cstheme="minorHAnsi"/>
                <w:szCs w:val="23"/>
                <w:lang w:val="fr-CA"/>
              </w:rPr>
              <w:t>c A-6.001, art 73</w:t>
            </w:r>
          </w:p>
          <w:p w14:paraId="13737433" w14:textId="4FC7F4F9" w:rsidR="00B8348C" w:rsidRPr="00F52884" w:rsidRDefault="00B8348C" w:rsidP="00C60FB9">
            <w:pPr>
              <w:shd w:val="clear" w:color="auto" w:fill="FFFFFF"/>
              <w:spacing w:before="60" w:after="60"/>
              <w:rPr>
                <w:rFonts w:cstheme="minorHAnsi"/>
                <w:szCs w:val="23"/>
                <w:lang w:val="fr-CA"/>
              </w:rPr>
            </w:pPr>
            <w:r w:rsidRPr="00F52884">
              <w:rPr>
                <w:rFonts w:cstheme="minorHAnsi"/>
                <w:bCs/>
                <w:i/>
                <w:szCs w:val="23"/>
                <w:lang w:val="fr-CA"/>
              </w:rPr>
              <w:t>Règlement sur les produits d’épargne</w:t>
            </w:r>
            <w:r w:rsidRPr="00F52884">
              <w:rPr>
                <w:rFonts w:cstheme="minorHAnsi"/>
                <w:bCs/>
                <w:szCs w:val="23"/>
                <w:lang w:val="fr-CA"/>
              </w:rPr>
              <w:t>,</w:t>
            </w:r>
            <w:r w:rsidRPr="00F52884">
              <w:rPr>
                <w:rFonts w:cstheme="minorHAnsi"/>
                <w:szCs w:val="23"/>
                <w:lang w:val="fr-CA"/>
              </w:rPr>
              <w:t xml:space="preserve"> RLRQ c A-6.001, r 9</w:t>
            </w:r>
          </w:p>
        </w:tc>
      </w:tr>
      <w:tr w:rsidR="00B8348C" w:rsidRPr="00F52884" w14:paraId="32B88744" w14:textId="77777777" w:rsidTr="008A11B2">
        <w:trPr>
          <w:trHeight w:val="49"/>
          <w:jc w:val="center"/>
        </w:trPr>
        <w:tc>
          <w:tcPr>
            <w:tcW w:w="10215"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3B43095" w14:textId="77777777" w:rsidR="00B8348C" w:rsidRPr="00F52884" w:rsidRDefault="00B8348C" w:rsidP="00D1446B">
            <w:pPr>
              <w:spacing w:before="60" w:after="60"/>
              <w:rPr>
                <w:b/>
                <w:lang w:val="fr-CA"/>
              </w:rPr>
            </w:pPr>
            <w:r w:rsidRPr="00F52884">
              <w:rPr>
                <w:b/>
                <w:lang w:val="fr-CA"/>
              </w:rPr>
              <w:t>Description :</w:t>
            </w:r>
          </w:p>
        </w:tc>
      </w:tr>
      <w:tr w:rsidR="00B8348C" w:rsidRPr="00D315AF" w14:paraId="241957B9" w14:textId="77777777" w:rsidTr="008A11B2">
        <w:trPr>
          <w:trHeight w:val="66"/>
          <w:jc w:val="center"/>
        </w:trPr>
        <w:tc>
          <w:tcPr>
            <w:tcW w:w="10215" w:type="dxa"/>
            <w:gridSpan w:val="3"/>
            <w:tcBorders>
              <w:top w:val="single" w:sz="4" w:space="0" w:color="C0C0C0"/>
              <w:left w:val="single" w:sz="4" w:space="0" w:color="C0C0C0"/>
              <w:bottom w:val="single" w:sz="4" w:space="0" w:color="C0C0C0"/>
              <w:right w:val="single" w:sz="4" w:space="0" w:color="C0C0C0"/>
            </w:tcBorders>
          </w:tcPr>
          <w:p w14:paraId="6C2A0BF3" w14:textId="77777777" w:rsidR="00B8348C" w:rsidRPr="00F52884" w:rsidRDefault="00B8348C" w:rsidP="00C60FB9">
            <w:pPr>
              <w:spacing w:before="60" w:after="60"/>
              <w:rPr>
                <w:rFonts w:cstheme="minorHAnsi"/>
                <w:szCs w:val="23"/>
                <w:lang w:val="fr-CA"/>
              </w:rPr>
            </w:pPr>
            <w:r w:rsidRPr="00F52884">
              <w:rPr>
                <w:rFonts w:cstheme="minorHAnsi"/>
                <w:szCs w:val="23"/>
                <w:lang w:val="fr-CA"/>
              </w:rPr>
              <w:t xml:space="preserve">Des exigences de domicile peuvent être imposées en lien avec l’achat, la vente ou la cession de produits d’épargne du Québec au sens de la section II du chapitre VII de la </w:t>
            </w:r>
            <w:r w:rsidRPr="00F52884">
              <w:rPr>
                <w:rFonts w:cstheme="minorHAnsi"/>
                <w:i/>
                <w:iCs/>
                <w:szCs w:val="23"/>
                <w:lang w:val="fr-CA"/>
              </w:rPr>
              <w:t>Loi sur l’administration financière</w:t>
            </w:r>
            <w:r w:rsidRPr="00F52884">
              <w:rPr>
                <w:rFonts w:cstheme="minorHAnsi"/>
                <w:szCs w:val="23"/>
                <w:lang w:val="fr-CA"/>
              </w:rPr>
              <w:t>.</w:t>
            </w:r>
          </w:p>
        </w:tc>
      </w:tr>
    </w:tbl>
    <w:p w14:paraId="7B472427" w14:textId="77777777" w:rsidR="00B8348C" w:rsidRPr="00F52884" w:rsidRDefault="00B8348C" w:rsidP="000C25A3">
      <w:pPr>
        <w:rPr>
          <w:rFonts w:cstheme="minorHAnsi"/>
          <w:b/>
          <w:szCs w:val="23"/>
          <w:lang w:val="fr-CA"/>
        </w:rPr>
      </w:pPr>
      <w:r w:rsidRPr="00F52884">
        <w:rPr>
          <w:rFonts w:cstheme="minorHAnsi"/>
          <w:b/>
          <w:bCs/>
          <w:szCs w:val="23"/>
          <w:lang w:val="fr-CA"/>
        </w:rPr>
        <w:br w:type="page"/>
      </w:r>
    </w:p>
    <w:p w14:paraId="7342E519" w14:textId="77777777" w:rsidR="00B8348C" w:rsidRPr="00F52884" w:rsidRDefault="00B8348C" w:rsidP="00F52884">
      <w:pPr>
        <w:pStyle w:val="Heading3"/>
        <w:jc w:val="center"/>
        <w:rPr>
          <w:rFonts w:asciiTheme="minorHAnsi" w:hAnsiTheme="minorHAnsi" w:cstheme="minorHAnsi"/>
          <w:sz w:val="24"/>
          <w:szCs w:val="24"/>
          <w:lang w:val="fr-CA"/>
        </w:rPr>
      </w:pPr>
      <w:bookmarkStart w:id="279" w:name="_Toc156311790"/>
      <w:r w:rsidRPr="00F52884">
        <w:rPr>
          <w:rFonts w:asciiTheme="minorHAnsi" w:hAnsiTheme="minorHAnsi" w:cstheme="minorHAnsi"/>
          <w:sz w:val="24"/>
          <w:szCs w:val="24"/>
          <w:lang w:val="fr-CA"/>
        </w:rPr>
        <w:lastRenderedPageBreak/>
        <w:t>Liste de la Nouvelle-Écosse</w:t>
      </w:r>
      <w:bookmarkEnd w:id="279"/>
    </w:p>
    <w:p w14:paraId="685BF6E0" w14:textId="77777777" w:rsidR="00B8348C" w:rsidRPr="00F52884" w:rsidRDefault="00B8348C" w:rsidP="000C25A3">
      <w:pPr>
        <w:jc w:val="center"/>
        <w:rPr>
          <w:rFonts w:cstheme="minorHAnsi"/>
          <w:b/>
          <w:sz w:val="24"/>
          <w:szCs w:val="24"/>
          <w:lang w:val="fr-CA"/>
        </w:rPr>
      </w:pPr>
    </w:p>
    <w:p w14:paraId="2B1AE6E3" w14:textId="77777777" w:rsidR="00B8348C" w:rsidRPr="00F52884" w:rsidRDefault="00B8348C" w:rsidP="000C25A3">
      <w:pPr>
        <w:jc w:val="center"/>
        <w:rPr>
          <w:rFonts w:cstheme="minorHAnsi"/>
          <w:b/>
          <w:sz w:val="24"/>
          <w:szCs w:val="24"/>
          <w:lang w:val="fr-CA"/>
        </w:rPr>
      </w:pPr>
      <w:r w:rsidRPr="00F52884">
        <w:rPr>
          <w:rFonts w:cstheme="minorHAnsi"/>
          <w:b/>
          <w:bCs/>
          <w:sz w:val="24"/>
          <w:szCs w:val="24"/>
          <w:lang w:val="fr-CA"/>
        </w:rPr>
        <w:t>Annexe I</w:t>
      </w:r>
    </w:p>
    <w:p w14:paraId="42186171" w14:textId="77777777" w:rsidR="00B8348C" w:rsidRPr="00F52884" w:rsidRDefault="00B8348C" w:rsidP="000C25A3">
      <w:pPr>
        <w:rPr>
          <w:rFonts w:cstheme="minorHAnsi"/>
          <w:szCs w:val="23"/>
          <w:lang w:val="fr-CA"/>
        </w:rPr>
      </w:pPr>
    </w:p>
    <w:p w14:paraId="3C5EF0C3" w14:textId="354F2A0D"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1.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822"/>
      </w:tblGrid>
      <w:tr w:rsidR="00F3277E" w:rsidRPr="00F52884" w14:paraId="4354DBB9" w14:textId="77777777" w:rsidTr="00F3277E">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2E66AF82"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822" w:type="dxa"/>
            <w:tcBorders>
              <w:top w:val="single" w:sz="4" w:space="0" w:color="C0C0C0"/>
              <w:left w:val="nil"/>
              <w:bottom w:val="single" w:sz="4" w:space="0" w:color="C0C0C0"/>
              <w:right w:val="single" w:sz="4" w:space="0" w:color="FFFFFF"/>
            </w:tcBorders>
            <w:vAlign w:val="center"/>
          </w:tcPr>
          <w:p w14:paraId="214731F9" w14:textId="3991F2BC"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Transport</w:t>
            </w:r>
          </w:p>
        </w:tc>
      </w:tr>
      <w:tr w:rsidR="00F3277E" w:rsidRPr="00D315AF" w14:paraId="66999BC8" w14:textId="77777777" w:rsidTr="00F3277E">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4D952076"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b/>
                <w:bCs/>
                <w:szCs w:val="23"/>
                <w:lang w:val="fr-CA"/>
              </w:rPr>
              <w:t>Sous-secteur :</w:t>
            </w:r>
            <w:r w:rsidRPr="00F52884">
              <w:rPr>
                <w:rFonts w:eastAsia="Times New Roman" w:cstheme="minorHAnsi"/>
                <w:szCs w:val="23"/>
                <w:lang w:val="fr-CA"/>
              </w:rPr>
              <w:t xml:space="preserve"> </w:t>
            </w:r>
          </w:p>
        </w:tc>
        <w:tc>
          <w:tcPr>
            <w:tcW w:w="7822" w:type="dxa"/>
            <w:tcBorders>
              <w:top w:val="single" w:sz="4" w:space="0" w:color="C0C0C0"/>
              <w:left w:val="nil"/>
              <w:bottom w:val="single" w:sz="4" w:space="0" w:color="C0C0C0"/>
              <w:right w:val="single" w:sz="4" w:space="0" w:color="FFFFFF"/>
            </w:tcBorders>
            <w:vAlign w:val="center"/>
          </w:tcPr>
          <w:p w14:paraId="297E1FE0" w14:textId="2893124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Transports interurbains par autocar et transports réguliers</w:t>
            </w:r>
          </w:p>
        </w:tc>
      </w:tr>
      <w:tr w:rsidR="00F3277E" w:rsidRPr="00F52884" w14:paraId="707C2FF4" w14:textId="77777777" w:rsidTr="00F3277E">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204A5AF"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b/>
                <w:bCs/>
                <w:szCs w:val="23"/>
                <w:lang w:val="fr-CA"/>
              </w:rPr>
              <w:t>Classification de l’industrie </w:t>
            </w:r>
            <w:r w:rsidRPr="00F52884">
              <w:rPr>
                <w:rFonts w:eastAsia="Times New Roman" w:cstheme="minorHAnsi"/>
                <w:b/>
                <w:szCs w:val="23"/>
                <w:lang w:val="fr-CA"/>
              </w:rPr>
              <w:t>:</w:t>
            </w:r>
            <w:r w:rsidRPr="00F52884">
              <w:rPr>
                <w:rFonts w:eastAsia="Times New Roman" w:cstheme="minorHAnsi"/>
                <w:szCs w:val="23"/>
                <w:lang w:val="fr-CA"/>
              </w:rPr>
              <w:t xml:space="preserve"> </w:t>
            </w:r>
          </w:p>
        </w:tc>
        <w:tc>
          <w:tcPr>
            <w:tcW w:w="7822" w:type="dxa"/>
            <w:tcBorders>
              <w:top w:val="single" w:sz="4" w:space="0" w:color="C0C0C0"/>
              <w:left w:val="nil"/>
              <w:bottom w:val="single" w:sz="4" w:space="0" w:color="C0C0C0"/>
              <w:right w:val="single" w:sz="4" w:space="0" w:color="FFFFFF"/>
            </w:tcBorders>
            <w:vAlign w:val="center"/>
          </w:tcPr>
          <w:p w14:paraId="2DFA2578" w14:textId="12469EBE"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CPC 7121</w:t>
            </w:r>
          </w:p>
        </w:tc>
      </w:tr>
      <w:tr w:rsidR="00F3277E" w:rsidRPr="00F52884" w14:paraId="64B4B5FA" w14:textId="77777777" w:rsidTr="00E927A7">
        <w:trPr>
          <w:trHeight w:val="42"/>
          <w:jc w:val="center"/>
        </w:trPr>
        <w:tc>
          <w:tcPr>
            <w:tcW w:w="2430" w:type="dxa"/>
            <w:tcBorders>
              <w:top w:val="single" w:sz="4" w:space="0" w:color="C0C0C0"/>
              <w:left w:val="nil"/>
              <w:bottom w:val="single" w:sz="4" w:space="0" w:color="C0C0C0"/>
              <w:right w:val="single" w:sz="4" w:space="0" w:color="FFFFFF" w:themeColor="background1"/>
            </w:tcBorders>
          </w:tcPr>
          <w:p w14:paraId="0F6969D1"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822" w:type="dxa"/>
            <w:tcBorders>
              <w:top w:val="single" w:sz="4" w:space="0" w:color="C0C0C0"/>
              <w:left w:val="single" w:sz="4" w:space="0" w:color="FFFFFF" w:themeColor="background1"/>
              <w:bottom w:val="single" w:sz="4" w:space="0" w:color="C0C0C0"/>
              <w:right w:val="single" w:sz="4" w:space="0" w:color="C0C0C0"/>
            </w:tcBorders>
          </w:tcPr>
          <w:p w14:paraId="674888CB" w14:textId="7BE74FC4"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313 (Prescriptions de résultats)</w:t>
            </w:r>
          </w:p>
        </w:tc>
      </w:tr>
      <w:tr w:rsidR="00B8348C" w:rsidRPr="00F52884" w14:paraId="7B90E966"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03B616AF" w14:textId="77777777" w:rsidR="00B8348C" w:rsidRPr="00F52884" w:rsidRDefault="00B8348C" w:rsidP="00E927A7">
            <w:pPr>
              <w:spacing w:before="60" w:after="60"/>
              <w:rPr>
                <w:rFonts w:eastAsia="Times New Roman" w:cstheme="minorHAnsi"/>
                <w:b/>
                <w:bCs/>
                <w:szCs w:val="23"/>
                <w:lang w:val="en-GB"/>
              </w:rPr>
            </w:pPr>
            <w:r w:rsidRPr="00F52884">
              <w:rPr>
                <w:rFonts w:eastAsia="Times New Roman" w:cstheme="minorHAnsi"/>
                <w:b/>
                <w:bCs/>
                <w:szCs w:val="23"/>
                <w:lang w:val="fr-CA"/>
              </w:rPr>
              <w:t>Mesure(s) :</w:t>
            </w:r>
          </w:p>
        </w:tc>
      </w:tr>
      <w:tr w:rsidR="00B8348C" w:rsidRPr="00F52884" w14:paraId="7DCB997C"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0156E63E" w14:textId="4311B530" w:rsidR="00B8348C" w:rsidRPr="00F52884" w:rsidRDefault="00B8348C" w:rsidP="00E927A7">
            <w:pPr>
              <w:spacing w:before="60" w:after="60"/>
              <w:rPr>
                <w:rFonts w:eastAsia="Times New Roman" w:cstheme="minorHAnsi"/>
                <w:szCs w:val="23"/>
                <w:lang w:val="en-US"/>
              </w:rPr>
            </w:pPr>
            <w:r w:rsidRPr="00F52884">
              <w:rPr>
                <w:rFonts w:eastAsia="Times New Roman" w:cstheme="minorHAnsi"/>
                <w:i/>
                <w:iCs/>
                <w:szCs w:val="23"/>
                <w:lang w:val="fr-CA"/>
              </w:rPr>
              <w:t xml:space="preserve">Public Utilities </w:t>
            </w:r>
            <w:proofErr w:type="spellStart"/>
            <w:r w:rsidRPr="00F52884">
              <w:rPr>
                <w:rFonts w:eastAsia="Times New Roman" w:cstheme="minorHAnsi"/>
                <w:i/>
                <w:iCs/>
                <w:szCs w:val="23"/>
                <w:lang w:val="fr-CA"/>
              </w:rPr>
              <w:t>Act</w:t>
            </w:r>
            <w:proofErr w:type="spellEnd"/>
            <w:r w:rsidRPr="00F52884">
              <w:rPr>
                <w:rFonts w:eastAsia="Times New Roman" w:cstheme="minorHAnsi"/>
                <w:szCs w:val="23"/>
                <w:lang w:val="fr-CA"/>
              </w:rPr>
              <w:t>, RSNS 1989, c 380</w:t>
            </w:r>
          </w:p>
        </w:tc>
      </w:tr>
      <w:tr w:rsidR="00B8348C" w:rsidRPr="00F52884" w14:paraId="5E83F8BB"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06CC1666" w14:textId="77777777" w:rsidR="00B8348C" w:rsidRPr="00F52884" w:rsidRDefault="00B8348C" w:rsidP="00D1446B">
            <w:pPr>
              <w:spacing w:before="60" w:after="60"/>
              <w:rPr>
                <w:b/>
              </w:rPr>
            </w:pPr>
            <w:r w:rsidRPr="00F52884">
              <w:rPr>
                <w:b/>
                <w:lang w:val="fr-CA"/>
              </w:rPr>
              <w:t>Description :</w:t>
            </w:r>
          </w:p>
        </w:tc>
      </w:tr>
      <w:tr w:rsidR="00B8348C" w:rsidRPr="00F52884" w14:paraId="596BDB64"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3848BC48" w14:textId="68DD2859" w:rsidR="00B8348C" w:rsidRPr="00F52884" w:rsidRDefault="00B8348C" w:rsidP="00E927A7">
            <w:pPr>
              <w:spacing w:before="60" w:after="60"/>
              <w:rPr>
                <w:rFonts w:eastAsia="Times New Roman" w:cstheme="minorHAnsi"/>
                <w:szCs w:val="23"/>
                <w:lang w:val="fr-CA"/>
              </w:rPr>
            </w:pPr>
            <w:r w:rsidRPr="00F52884">
              <w:rPr>
                <w:rFonts w:eastAsia="Times New Roman" w:cstheme="minorHAnsi"/>
                <w:szCs w:val="23"/>
                <w:lang w:val="fr-CA"/>
              </w:rPr>
              <w:t>La délivrance de permis aux nouveaux fournisseurs de ce service est assujettie à un examen de la commodité et de la nécessité publiques qui comprend les critères suivants : l’adéquation des niveaux actuels de service, les conditions du marché justifiant l’élargissement de l’offre de services, l’effet des nouveaux venus sur la commodité publique, y compris la continuité et qualité du service, ainsi que l’aptitude du demandeur et sa volonté et sa capacité de fournir un service adéquat. Des prescriptions de résultats p</w:t>
            </w:r>
            <w:r w:rsidR="00E927A7" w:rsidRPr="00F52884">
              <w:rPr>
                <w:rFonts w:eastAsia="Times New Roman" w:cstheme="minorHAnsi"/>
                <w:szCs w:val="23"/>
                <w:lang w:val="fr-CA"/>
              </w:rPr>
              <w:t xml:space="preserve">euvent être imposées. </w:t>
            </w:r>
          </w:p>
        </w:tc>
      </w:tr>
    </w:tbl>
    <w:p w14:paraId="19CC5EE0" w14:textId="77777777" w:rsidR="00B8348C" w:rsidRPr="00F52884" w:rsidRDefault="00B8348C" w:rsidP="00610CDD">
      <w:pPr>
        <w:rPr>
          <w:rFonts w:eastAsia="Times New Roman" w:cstheme="minorHAnsi"/>
          <w:b/>
          <w:bCs/>
          <w:szCs w:val="23"/>
          <w:lang w:eastAsia="en-CA"/>
        </w:rPr>
      </w:pPr>
    </w:p>
    <w:p w14:paraId="50607F28" w14:textId="77777777" w:rsidR="00B8348C" w:rsidRPr="00F52884" w:rsidRDefault="00B8348C" w:rsidP="00610CDD">
      <w:pPr>
        <w:rPr>
          <w:rFonts w:cstheme="minorHAnsi"/>
          <w:b/>
          <w:szCs w:val="23"/>
        </w:rPr>
      </w:pPr>
    </w:p>
    <w:p w14:paraId="20FAFBD2" w14:textId="3DE6F035"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2.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F3277E" w:rsidRPr="00D315AF" w14:paraId="030088D0"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5489CDEB"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579B7C68" w14:textId="090AAF39"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Services de crédit et de recouvrement</w:t>
            </w:r>
          </w:p>
        </w:tc>
      </w:tr>
      <w:tr w:rsidR="00F3277E" w:rsidRPr="00D315AF" w14:paraId="3383CC79" w14:textId="77777777" w:rsidTr="00F3277E">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072234C0"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b/>
                <w:bCs/>
                <w:szCs w:val="23"/>
                <w:lang w:val="fr-CA"/>
              </w:rPr>
              <w:t xml:space="preserve">Sous-secteur : </w:t>
            </w:r>
          </w:p>
        </w:tc>
        <w:tc>
          <w:tcPr>
            <w:tcW w:w="7912" w:type="dxa"/>
            <w:tcBorders>
              <w:top w:val="single" w:sz="4" w:space="0" w:color="C0C0C0"/>
              <w:left w:val="nil"/>
              <w:bottom w:val="single" w:sz="4" w:space="0" w:color="C0C0C0"/>
              <w:right w:val="single" w:sz="4" w:space="0" w:color="FFFFFF"/>
            </w:tcBorders>
            <w:vAlign w:val="center"/>
          </w:tcPr>
          <w:p w14:paraId="468D3DAC" w14:textId="7CE83200"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 xml:space="preserve">Services d’information en matière de crédit et services d’agences de recouvrement; agences de renseignement sur la consommation  </w:t>
            </w:r>
          </w:p>
        </w:tc>
      </w:tr>
      <w:tr w:rsidR="00F3277E" w:rsidRPr="00F52884" w14:paraId="02DCBDC0"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BCFB437"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b/>
                <w:bCs/>
                <w:szCs w:val="23"/>
                <w:lang w:val="fr-CA"/>
              </w:rPr>
              <w:t>Classification de l’industrie </w:t>
            </w:r>
            <w:r w:rsidRPr="00F52884">
              <w:rPr>
                <w:rFonts w:eastAsia="Times New Roman" w:cstheme="minorHAnsi"/>
                <w:b/>
                <w:szCs w:val="23"/>
                <w:lang w:val="fr-CA"/>
              </w:rPr>
              <w:t>:</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62481865" w14:textId="30F1F29B"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CPC 87901, 87902, 87909</w:t>
            </w:r>
          </w:p>
        </w:tc>
      </w:tr>
      <w:tr w:rsidR="00F3277E" w:rsidRPr="00D315AF" w14:paraId="5BB39435"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511D4AF5"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6968272B" w14:textId="716A477F"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 article 307 (Accès aux marchés – Services), article 312 (Accès aux marchés – Investissement)</w:t>
            </w:r>
          </w:p>
        </w:tc>
      </w:tr>
      <w:tr w:rsidR="00B8348C" w:rsidRPr="00F52884" w14:paraId="0AE05C6B"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1349A234" w14:textId="77777777" w:rsidR="00B8348C" w:rsidRPr="00F52884" w:rsidRDefault="00B8348C" w:rsidP="00E927A7">
            <w:pPr>
              <w:spacing w:before="60" w:after="60"/>
              <w:rPr>
                <w:rFonts w:eastAsia="Times New Roman" w:cstheme="minorHAnsi"/>
                <w:b/>
                <w:bCs/>
                <w:szCs w:val="23"/>
                <w:lang w:val="en-GB"/>
              </w:rPr>
            </w:pPr>
            <w:r w:rsidRPr="00F52884">
              <w:rPr>
                <w:rFonts w:eastAsia="Times New Roman" w:cstheme="minorHAnsi"/>
                <w:b/>
                <w:bCs/>
                <w:szCs w:val="23"/>
                <w:lang w:val="fr-CA"/>
              </w:rPr>
              <w:t>Mesure(s) :</w:t>
            </w:r>
          </w:p>
        </w:tc>
      </w:tr>
      <w:tr w:rsidR="00B8348C" w:rsidRPr="00F52884" w14:paraId="4ABE91C4"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5C4618D6" w14:textId="64DB0D43"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Consumer Creditors’ Conduct Act</w:t>
            </w:r>
            <w:r w:rsidRPr="00F52884">
              <w:rPr>
                <w:rFonts w:eastAsia="Times New Roman" w:cstheme="minorHAnsi"/>
                <w:szCs w:val="23"/>
                <w:lang w:val="en-US" w:bidi="en-US"/>
              </w:rPr>
              <w:t>, RSNS 1989, c 91</w:t>
            </w:r>
          </w:p>
          <w:p w14:paraId="0833AAC7" w14:textId="3BFA3934"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Consumer Protection Act</w:t>
            </w:r>
            <w:r w:rsidRPr="00F52884">
              <w:rPr>
                <w:rFonts w:eastAsia="Times New Roman" w:cstheme="minorHAnsi"/>
                <w:szCs w:val="23"/>
                <w:lang w:val="en-US" w:bidi="en-US"/>
              </w:rPr>
              <w:t>, RSNS 1989, c 92</w:t>
            </w:r>
          </w:p>
          <w:p w14:paraId="412B5063" w14:textId="7F44BC6B"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Consumer Reporting Act</w:t>
            </w:r>
            <w:r w:rsidRPr="00F52884">
              <w:rPr>
                <w:rFonts w:eastAsia="Times New Roman" w:cstheme="minorHAnsi"/>
                <w:szCs w:val="23"/>
                <w:lang w:val="en-US" w:bidi="en-US"/>
              </w:rPr>
              <w:t>, RSNS 1989, c 93</w:t>
            </w:r>
          </w:p>
          <w:p w14:paraId="35B7B35E" w14:textId="418339B8"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Consumer Services Act</w:t>
            </w:r>
            <w:r w:rsidRPr="00F52884">
              <w:rPr>
                <w:rFonts w:eastAsia="Times New Roman" w:cstheme="minorHAnsi"/>
                <w:szCs w:val="23"/>
                <w:lang w:val="en-US" w:bidi="en-US"/>
              </w:rPr>
              <w:t>, RSNS 1989, c 94</w:t>
            </w:r>
          </w:p>
          <w:p w14:paraId="6368E8F9" w14:textId="07D16FEA" w:rsidR="00B8348C" w:rsidRPr="00F52884" w:rsidRDefault="00B8348C" w:rsidP="00E927A7">
            <w:pPr>
              <w:spacing w:before="60" w:after="60"/>
              <w:rPr>
                <w:rFonts w:eastAsia="Times New Roman" w:cstheme="minorHAnsi"/>
                <w:szCs w:val="23"/>
                <w:lang w:val="en-US"/>
              </w:rPr>
            </w:pPr>
            <w:r w:rsidRPr="00F52884">
              <w:rPr>
                <w:rFonts w:eastAsia="Times New Roman" w:cstheme="minorHAnsi"/>
                <w:i/>
                <w:szCs w:val="23"/>
                <w:lang w:val="en-US"/>
              </w:rPr>
              <w:t>Direct Sellers’ Regulation Act</w:t>
            </w:r>
            <w:r w:rsidRPr="00F52884">
              <w:rPr>
                <w:rFonts w:eastAsia="Times New Roman" w:cstheme="minorHAnsi"/>
                <w:szCs w:val="23"/>
                <w:lang w:val="en-US"/>
              </w:rPr>
              <w:t>, RSNS</w:t>
            </w:r>
            <w:r w:rsidRPr="00F52884">
              <w:rPr>
                <w:rFonts w:eastAsia="Times New Roman" w:cstheme="minorHAnsi"/>
                <w:szCs w:val="23"/>
                <w:lang w:val="en-US" w:bidi="en-US"/>
              </w:rPr>
              <w:t xml:space="preserve"> 1989</w:t>
            </w:r>
            <w:r w:rsidRPr="00F52884">
              <w:rPr>
                <w:rFonts w:eastAsia="Times New Roman" w:cstheme="minorHAnsi"/>
                <w:szCs w:val="23"/>
                <w:lang w:val="en-US"/>
              </w:rPr>
              <w:t>, c 129</w:t>
            </w:r>
          </w:p>
        </w:tc>
      </w:tr>
      <w:tr w:rsidR="00B8348C" w:rsidRPr="00F52884" w14:paraId="4DF820A0"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0BEAE8F8" w14:textId="77777777" w:rsidR="00B8348C" w:rsidRPr="00F52884" w:rsidRDefault="00B8348C" w:rsidP="00D1446B">
            <w:pPr>
              <w:spacing w:before="60" w:after="60"/>
              <w:rPr>
                <w:b/>
              </w:rPr>
            </w:pPr>
            <w:r w:rsidRPr="00F52884">
              <w:rPr>
                <w:b/>
                <w:lang w:val="fr-CA"/>
              </w:rPr>
              <w:t>Description :</w:t>
            </w:r>
          </w:p>
        </w:tc>
      </w:tr>
      <w:tr w:rsidR="00B8348C" w:rsidRPr="00D315AF" w14:paraId="14D1328B"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352D89B9" w14:textId="409EA0A7"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lastRenderedPageBreak/>
              <w:t>Qu’il s’agisse de particuliers ou de partenariats, seules les personnes légalement admises et résidant habituellement au Canada peuvent être inscrites à titre d’agences de renseignement sur la consommation. Les sociétés qui présentent une demande doivent être constituées au Canada et autorisées à faire des affaires en Nouvelle-Écosse. Une agence de renseignement sur la consommation, qu’il s’agisse d’un particulier, d’un partenariat ou d’une société, exerce ses activités depuis le lieu d’affaires situé en Nouvelle-Écosse et est accessible au public pendant</w:t>
            </w:r>
            <w:r w:rsidR="00F3277E" w:rsidRPr="00F52884">
              <w:rPr>
                <w:rFonts w:eastAsia="Times New Roman" w:cstheme="minorHAnsi"/>
                <w:szCs w:val="23"/>
                <w:lang w:val="fr-CA"/>
              </w:rPr>
              <w:t xml:space="preserve"> les heures de bureau normales.</w:t>
            </w:r>
          </w:p>
          <w:p w14:paraId="2F095A12" w14:textId="77777777"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Les services d’information en matière de crédit et les services d’agences de recouvrement doivent être fournis au moyen d’une présence commerciale. Une demande de permis requiert une adresse aux fins de la signification de documents en Nouvelle-Écosse, les démarcheurs devant maintenir un lieu d’affaires permanent en Nouvelle Ecosse.</w:t>
            </w:r>
          </w:p>
        </w:tc>
      </w:tr>
    </w:tbl>
    <w:p w14:paraId="388CB558" w14:textId="77777777" w:rsidR="00B8348C" w:rsidRPr="00F52884" w:rsidRDefault="00B8348C" w:rsidP="00610CDD">
      <w:pPr>
        <w:spacing w:after="160" w:line="259" w:lineRule="auto"/>
        <w:rPr>
          <w:rFonts w:cstheme="minorHAnsi"/>
          <w:b/>
          <w:szCs w:val="23"/>
          <w:lang w:val="fr-CA"/>
        </w:rPr>
      </w:pPr>
    </w:p>
    <w:p w14:paraId="23D8BB76" w14:textId="0FBCAC64"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3.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F3277E" w:rsidRPr="00F52884" w14:paraId="24B2A597"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6EAF137E" w14:textId="77777777" w:rsidR="00F3277E" w:rsidRPr="00F52884" w:rsidRDefault="00F3277E" w:rsidP="00E927A7">
            <w:pPr>
              <w:spacing w:before="60" w:after="60"/>
              <w:rPr>
                <w:rFonts w:eastAsia="Times New Roman" w:cstheme="minorHAnsi"/>
                <w:szCs w:val="23"/>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4C9C5696" w14:textId="44658C77" w:rsidR="00F3277E" w:rsidRPr="00F52884" w:rsidRDefault="00F3277E" w:rsidP="00E927A7">
            <w:pPr>
              <w:spacing w:before="60" w:after="60"/>
              <w:rPr>
                <w:rFonts w:eastAsia="Times New Roman" w:cstheme="minorHAnsi"/>
                <w:szCs w:val="23"/>
              </w:rPr>
            </w:pPr>
            <w:r w:rsidRPr="00F52884">
              <w:rPr>
                <w:rFonts w:eastAsia="Times New Roman" w:cstheme="minorHAnsi"/>
                <w:szCs w:val="23"/>
                <w:lang w:val="fr-CA"/>
              </w:rPr>
              <w:t>Boissons alcoolisées</w:t>
            </w:r>
          </w:p>
        </w:tc>
      </w:tr>
      <w:tr w:rsidR="00F3277E" w:rsidRPr="00D315AF" w14:paraId="072D8084" w14:textId="77777777" w:rsidTr="00F3277E">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218981C9"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b/>
                <w:bCs/>
                <w:szCs w:val="23"/>
                <w:lang w:val="fr-CA"/>
              </w:rPr>
              <w:t xml:space="preserve">Sous-secteur : </w:t>
            </w:r>
          </w:p>
        </w:tc>
        <w:tc>
          <w:tcPr>
            <w:tcW w:w="7912" w:type="dxa"/>
            <w:tcBorders>
              <w:top w:val="single" w:sz="4" w:space="0" w:color="C0C0C0"/>
              <w:left w:val="nil"/>
              <w:bottom w:val="single" w:sz="4" w:space="0" w:color="C0C0C0"/>
              <w:right w:val="single" w:sz="4" w:space="0" w:color="FFFFFF"/>
            </w:tcBorders>
            <w:vAlign w:val="center"/>
          </w:tcPr>
          <w:p w14:paraId="74875750" w14:textId="5F1EEFC9"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Services de courtage; services de commerce de gros; services de commerce de détail (liqueur, spiritueux, vin et bière, et autres boissons alcoolisées; magasins de spiritueux, de vin, de bière et d’autres boissons alcoolisées); services de transport; fabrication de boissons alcoolisées</w:t>
            </w:r>
          </w:p>
        </w:tc>
      </w:tr>
      <w:tr w:rsidR="00F3277E" w:rsidRPr="00F52884" w14:paraId="039BEEAB"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0C25F947"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b/>
                <w:bCs/>
                <w:szCs w:val="23"/>
                <w:lang w:val="fr-CA"/>
              </w:rPr>
              <w:t>Classification de l’industrie </w:t>
            </w:r>
            <w:r w:rsidRPr="00F52884">
              <w:rPr>
                <w:rFonts w:eastAsia="Times New Roman" w:cstheme="minorHAnsi"/>
                <w:b/>
                <w:szCs w:val="23"/>
                <w:lang w:val="fr-CA"/>
              </w:rPr>
              <w:t>:</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77A80385" w14:textId="4DDC6F48"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CPC 24, 62112, 62226, 63107, 643, 7123, 751, 88411</w:t>
            </w:r>
          </w:p>
        </w:tc>
      </w:tr>
      <w:tr w:rsidR="00F3277E" w:rsidRPr="00D315AF" w14:paraId="30C4AA64"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080A6BC9"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101FD896" w14:textId="3CBA67AF"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 article 301 (Droit d’entrée et de sortie), article 307 (Accès aux marchés – Services), article 312 (Accès aux marchés – Investissement), article 313 (Prescriptions de résultats)</w:t>
            </w:r>
          </w:p>
        </w:tc>
      </w:tr>
      <w:tr w:rsidR="00B8348C" w:rsidRPr="00F52884" w14:paraId="65055C24"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03C98524" w14:textId="77777777" w:rsidR="00B8348C" w:rsidRPr="00F52884" w:rsidRDefault="00B8348C" w:rsidP="00E927A7">
            <w:pPr>
              <w:spacing w:before="60" w:after="60"/>
              <w:rPr>
                <w:rFonts w:eastAsia="Times New Roman" w:cstheme="minorHAnsi"/>
                <w:b/>
                <w:szCs w:val="23"/>
                <w:lang w:val="en-GB"/>
              </w:rPr>
            </w:pPr>
            <w:r w:rsidRPr="00F52884">
              <w:rPr>
                <w:rFonts w:eastAsia="Times New Roman" w:cstheme="minorHAnsi"/>
                <w:b/>
                <w:szCs w:val="23"/>
                <w:lang w:val="fr-CA"/>
              </w:rPr>
              <w:t>Mesures :</w:t>
            </w:r>
          </w:p>
        </w:tc>
      </w:tr>
      <w:tr w:rsidR="00B8348C" w:rsidRPr="00F52884" w14:paraId="11B838F1"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19ACB569" w14:textId="3D310499" w:rsidR="00B8348C" w:rsidRPr="00F52884" w:rsidRDefault="00B8348C" w:rsidP="00E927A7">
            <w:pPr>
              <w:spacing w:before="60" w:after="60"/>
              <w:rPr>
                <w:rFonts w:eastAsia="Times New Roman" w:cstheme="minorHAnsi"/>
                <w:szCs w:val="23"/>
                <w:lang w:val="en-US"/>
              </w:rPr>
            </w:pPr>
            <w:r w:rsidRPr="00F52884">
              <w:rPr>
                <w:rFonts w:eastAsia="Times New Roman" w:cstheme="minorHAnsi"/>
                <w:i/>
                <w:iCs/>
                <w:szCs w:val="23"/>
                <w:lang w:val="en-US"/>
              </w:rPr>
              <w:t>Liquor Control Act</w:t>
            </w:r>
            <w:r w:rsidRPr="00F52884">
              <w:rPr>
                <w:rFonts w:eastAsia="Times New Roman" w:cstheme="minorHAnsi"/>
                <w:szCs w:val="23"/>
                <w:lang w:val="en-US"/>
              </w:rPr>
              <w:t>, RSNS 1989, c 260</w:t>
            </w:r>
          </w:p>
        </w:tc>
      </w:tr>
      <w:tr w:rsidR="00B8348C" w:rsidRPr="00F52884" w14:paraId="6D810693"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636D2714" w14:textId="77777777" w:rsidR="00B8348C" w:rsidRPr="00F52884" w:rsidRDefault="00B8348C" w:rsidP="00E927A7">
            <w:pPr>
              <w:spacing w:before="60" w:after="60"/>
              <w:rPr>
                <w:rFonts w:eastAsia="Times New Roman" w:cstheme="minorHAnsi"/>
                <w:b/>
                <w:szCs w:val="23"/>
              </w:rPr>
            </w:pPr>
            <w:r w:rsidRPr="00F52884">
              <w:rPr>
                <w:rFonts w:eastAsia="Times New Roman" w:cstheme="minorHAnsi"/>
                <w:b/>
                <w:szCs w:val="23"/>
                <w:lang w:val="fr-CA"/>
              </w:rPr>
              <w:t>Description :</w:t>
            </w:r>
          </w:p>
        </w:tc>
      </w:tr>
      <w:tr w:rsidR="00B8348C" w:rsidRPr="00D315AF" w14:paraId="7BB56610"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5E615B8A" w14:textId="01BA6134" w:rsidR="00B8348C" w:rsidRPr="00F52884" w:rsidRDefault="00B8348C" w:rsidP="00E927A7">
            <w:pPr>
              <w:spacing w:before="120" w:after="120"/>
              <w:rPr>
                <w:rFonts w:eastAsia="Times New Roman" w:cstheme="minorHAnsi"/>
                <w:szCs w:val="23"/>
                <w:lang w:val="fr-CA" w:eastAsia="en-CA" w:bidi="en-US"/>
              </w:rPr>
            </w:pPr>
            <w:r w:rsidRPr="00F52884">
              <w:rPr>
                <w:rFonts w:eastAsia="Times New Roman" w:cstheme="minorHAnsi"/>
                <w:szCs w:val="23"/>
                <w:lang w:val="fr-CA" w:eastAsia="en-CA" w:bidi="en-US"/>
              </w:rPr>
              <w:t xml:space="preserve">Les mesures susmentionnées permettent au gouvernement de la Nouvelle-Écosse, par l’intermédiaire du monopole de la </w:t>
            </w:r>
            <w:r w:rsidRPr="00F52884">
              <w:rPr>
                <w:rFonts w:eastAsia="Times New Roman" w:cstheme="minorHAnsi"/>
                <w:iCs/>
                <w:szCs w:val="23"/>
                <w:lang w:val="fr-CA" w:eastAsia="en-CA" w:bidi="en-US"/>
              </w:rPr>
              <w:t xml:space="preserve">Nova Scotia </w:t>
            </w:r>
            <w:proofErr w:type="spellStart"/>
            <w:r w:rsidRPr="00F52884">
              <w:rPr>
                <w:rFonts w:eastAsia="Times New Roman" w:cstheme="minorHAnsi"/>
                <w:iCs/>
                <w:szCs w:val="23"/>
                <w:lang w:val="fr-CA" w:eastAsia="en-CA" w:bidi="en-US"/>
              </w:rPr>
              <w:t>Liquor</w:t>
            </w:r>
            <w:proofErr w:type="spellEnd"/>
            <w:r w:rsidRPr="00F52884">
              <w:rPr>
                <w:rFonts w:eastAsia="Times New Roman" w:cstheme="minorHAnsi"/>
                <w:iCs/>
                <w:szCs w:val="23"/>
                <w:lang w:val="fr-CA" w:eastAsia="en-CA" w:bidi="en-US"/>
              </w:rPr>
              <w:t xml:space="preserve"> Corporation</w:t>
            </w:r>
            <w:r w:rsidRPr="00F52884">
              <w:rPr>
                <w:rFonts w:eastAsia="Times New Roman" w:cstheme="minorHAnsi"/>
                <w:szCs w:val="23"/>
                <w:lang w:val="fr-CA" w:eastAsia="en-CA" w:bidi="en-US"/>
              </w:rPr>
              <w:t xml:space="preserve">, de réglementer et d’accorder diverses autorisations à l’égard de la circulation, l’achat, l’importation, la possession, la livraison, le transport et la vente </w:t>
            </w:r>
            <w:r w:rsidR="00E927A7" w:rsidRPr="00F52884">
              <w:rPr>
                <w:rFonts w:eastAsia="Times New Roman" w:cstheme="minorHAnsi"/>
                <w:szCs w:val="23"/>
                <w:lang w:val="fr-CA" w:eastAsia="en-CA" w:bidi="en-US"/>
              </w:rPr>
              <w:t>d’alcool et de marchandises.</w:t>
            </w:r>
          </w:p>
          <w:p w14:paraId="5131B2CF" w14:textId="1C8A37D4" w:rsidR="00B8348C" w:rsidRPr="00F52884" w:rsidRDefault="00B8348C" w:rsidP="00E927A7">
            <w:pPr>
              <w:spacing w:before="120" w:after="120"/>
              <w:rPr>
                <w:rFonts w:eastAsia="Times New Roman" w:cstheme="minorHAnsi"/>
                <w:szCs w:val="23"/>
                <w:lang w:val="fr-CA" w:eastAsia="en-CA" w:bidi="en-US"/>
              </w:rPr>
            </w:pPr>
            <w:r w:rsidRPr="00F52884">
              <w:rPr>
                <w:rFonts w:eastAsia="Times New Roman" w:cstheme="minorHAnsi"/>
                <w:szCs w:val="23"/>
                <w:lang w:val="fr-CA" w:eastAsia="en-CA" w:bidi="en-US"/>
              </w:rPr>
              <w:t xml:space="preserve">Sans restreindre la portée générale de ce qui précède, cette mesure peut supposer la prise de décisions discrétionnaires fondées sur divers facteurs, des restrictions quant à l’accès aux marchés, l’imposition de prescriptions de résultats, la discrimination ou le droit d’entrée et de sortie </w:t>
            </w:r>
            <w:r w:rsidRPr="00F52884">
              <w:rPr>
                <w:rFonts w:cstheme="minorHAnsi"/>
                <w:szCs w:val="23"/>
                <w:lang w:val="fr-FR"/>
              </w:rPr>
              <w:t>se rapportant aux services, aux investissements et aux produits fabriqués</w:t>
            </w:r>
            <w:r w:rsidRPr="00F52884">
              <w:rPr>
                <w:rFonts w:eastAsia="Times New Roman" w:cstheme="minorHAnsi"/>
                <w:szCs w:val="23"/>
                <w:lang w:val="fr-CA" w:eastAsia="en-CA" w:bidi="en-US"/>
              </w:rPr>
              <w:t xml:space="preserve"> en Nouvelle-Écosse en faveur de résidents de la Nouvelle-Écosse ou d’entités établies selon la législation du Canada ou d’une province ou d’un territoire du Canada qui ont un lieu d’affaires en Nouvelle-Écosse et y effectuent des opération</w:t>
            </w:r>
            <w:r w:rsidR="00E927A7" w:rsidRPr="00F52884">
              <w:rPr>
                <w:rFonts w:eastAsia="Times New Roman" w:cstheme="minorHAnsi"/>
                <w:szCs w:val="23"/>
                <w:lang w:val="fr-CA" w:eastAsia="en-CA" w:bidi="en-US"/>
              </w:rPr>
              <w:t xml:space="preserve">s commerciales substantielles. </w:t>
            </w:r>
          </w:p>
          <w:p w14:paraId="3B16FB59" w14:textId="777A265E" w:rsidR="00B8348C" w:rsidRPr="00F52884" w:rsidRDefault="00B8348C" w:rsidP="00E927A7">
            <w:pPr>
              <w:spacing w:before="120" w:after="120"/>
              <w:rPr>
                <w:rFonts w:eastAsia="Times New Roman" w:cstheme="minorHAnsi"/>
                <w:szCs w:val="23"/>
                <w:lang w:val="fr-CA" w:eastAsia="en-CA"/>
              </w:rPr>
            </w:pPr>
            <w:r w:rsidRPr="00F52884">
              <w:rPr>
                <w:rFonts w:eastAsia="Times New Roman" w:cstheme="minorHAnsi"/>
                <w:szCs w:val="23"/>
                <w:lang w:val="fr-CA" w:eastAsia="en-CA"/>
              </w:rPr>
              <w:t>L’exception à l’obligation d</w:t>
            </w:r>
            <w:r w:rsidR="00EF61FC" w:rsidRPr="00F52884">
              <w:rPr>
                <w:rFonts w:eastAsia="Times New Roman" w:cstheme="minorHAnsi"/>
                <w:szCs w:val="23"/>
                <w:lang w:val="fr-CA" w:eastAsia="en-CA"/>
              </w:rPr>
              <w:t>u</w:t>
            </w:r>
            <w:r w:rsidRPr="00F52884">
              <w:rPr>
                <w:rFonts w:eastAsia="Times New Roman" w:cstheme="minorHAnsi"/>
                <w:szCs w:val="23"/>
                <w:lang w:val="fr-CA" w:eastAsia="en-CA"/>
              </w:rPr>
              <w:t xml:space="preserve"> droit d’entrée et de sortie (</w:t>
            </w:r>
            <w:r w:rsidR="00EF61FC" w:rsidRPr="00F52884">
              <w:rPr>
                <w:rFonts w:eastAsia="Times New Roman" w:cstheme="minorHAnsi"/>
                <w:szCs w:val="23"/>
                <w:lang w:val="fr-CA" w:eastAsia="en-CA"/>
              </w:rPr>
              <w:t>article </w:t>
            </w:r>
            <w:r w:rsidRPr="00F52884">
              <w:rPr>
                <w:rFonts w:eastAsia="Times New Roman" w:cstheme="minorHAnsi"/>
                <w:szCs w:val="23"/>
                <w:lang w:val="fr-CA" w:eastAsia="en-CA"/>
              </w:rPr>
              <w:t xml:space="preserve">301.2) ne s’applique pas au vin vendu directement, et expédié, par l’intermédiaire des services postaux ou de messagerie, à partir d’un établissement vinicole qui produit du vin dans une Province à l’intention du consommateur </w:t>
            </w:r>
            <w:r w:rsidRPr="00F52884">
              <w:rPr>
                <w:rFonts w:eastAsia="Times New Roman" w:cstheme="minorHAnsi"/>
                <w:szCs w:val="23"/>
                <w:lang w:val="fr-CA" w:eastAsia="en-CA"/>
              </w:rPr>
              <w:lastRenderedPageBreak/>
              <w:t xml:space="preserve">final aux fins de sa propre consommation. Les vins admissibles en vertu du présent paragraphe doivent avoir une teneur en vin de </w:t>
            </w:r>
            <w:proofErr w:type="gramStart"/>
            <w:r w:rsidRPr="00F52884">
              <w:rPr>
                <w:rFonts w:eastAsia="Times New Roman" w:cstheme="minorHAnsi"/>
                <w:szCs w:val="23"/>
                <w:lang w:val="fr-CA" w:eastAsia="en-CA"/>
              </w:rPr>
              <w:t>85  pour</w:t>
            </w:r>
            <w:proofErr w:type="gramEnd"/>
            <w:r w:rsidRPr="00F52884">
              <w:rPr>
                <w:rFonts w:eastAsia="Times New Roman" w:cstheme="minorHAnsi"/>
                <w:szCs w:val="23"/>
                <w:lang w:val="fr-CA" w:eastAsia="en-CA"/>
              </w:rPr>
              <w:t xml:space="preserve"> cent dans la bouteille provenant</w:t>
            </w:r>
            <w:r w:rsidRPr="00F52884">
              <w:rPr>
                <w:rFonts w:eastAsia="Times New Roman" w:cstheme="minorHAnsi"/>
                <w:b/>
                <w:szCs w:val="23"/>
                <w:lang w:val="fr-CA" w:eastAsia="en-CA"/>
              </w:rPr>
              <w:t xml:space="preserve"> </w:t>
            </w:r>
            <w:r w:rsidRPr="00F52884">
              <w:rPr>
                <w:rFonts w:eastAsia="Times New Roman" w:cstheme="minorHAnsi"/>
                <w:szCs w:val="23"/>
                <w:lang w:val="fr-CA" w:eastAsia="en-CA"/>
              </w:rPr>
              <w:t>de fruits ou d’autres produits agricoles cultivés dans la Province où se situe l’établissement vinicole qui a produit le vin, et le reste du contenu de la bouteille doit être dérivé de fruits ou d’autres produit</w:t>
            </w:r>
            <w:r w:rsidR="00E927A7" w:rsidRPr="00F52884">
              <w:rPr>
                <w:rFonts w:eastAsia="Times New Roman" w:cstheme="minorHAnsi"/>
                <w:szCs w:val="23"/>
                <w:lang w:val="fr-CA" w:eastAsia="en-CA"/>
              </w:rPr>
              <w:t>s agricoles cultivés au Canada.</w:t>
            </w:r>
          </w:p>
        </w:tc>
      </w:tr>
    </w:tbl>
    <w:p w14:paraId="791960C1" w14:textId="77777777" w:rsidR="00B8348C" w:rsidRPr="00F52884" w:rsidRDefault="00B8348C" w:rsidP="00610CDD">
      <w:pPr>
        <w:rPr>
          <w:rFonts w:eastAsia="Times New Roman" w:cstheme="minorHAnsi"/>
          <w:bCs/>
          <w:szCs w:val="23"/>
          <w:lang w:val="fr-CA" w:eastAsia="en-CA"/>
        </w:rPr>
      </w:pPr>
    </w:p>
    <w:p w14:paraId="5DA1D083" w14:textId="77777777" w:rsidR="00B8348C" w:rsidRPr="00F52884" w:rsidRDefault="00B8348C" w:rsidP="00610CDD">
      <w:pPr>
        <w:rPr>
          <w:rFonts w:cstheme="minorHAnsi"/>
          <w:b/>
          <w:szCs w:val="23"/>
          <w:lang w:val="fr-CA"/>
        </w:rPr>
      </w:pPr>
    </w:p>
    <w:p w14:paraId="23C909EF" w14:textId="49D00E74"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4.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F3277E" w:rsidRPr="00F52884" w14:paraId="6BB0766D"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5CBF2702" w14:textId="77777777" w:rsidR="00F3277E" w:rsidRPr="00F52884" w:rsidRDefault="00F3277E" w:rsidP="00E927A7">
            <w:pPr>
              <w:spacing w:before="60" w:after="60" w:line="259" w:lineRule="auto"/>
              <w:rPr>
                <w:rFonts w:eastAsia="Calibri" w:cstheme="minorHAnsi"/>
                <w:b/>
                <w:szCs w:val="23"/>
                <w:lang w:val="en-US"/>
              </w:rPr>
            </w:pPr>
            <w:r w:rsidRPr="00F52884">
              <w:rPr>
                <w:rFonts w:eastAsia="Calibri" w:cstheme="minorHAnsi"/>
                <w:szCs w:val="23"/>
                <w:lang w:val="fr-CA"/>
              </w:rPr>
              <w:br w:type="page"/>
            </w:r>
            <w:r w:rsidRPr="00F52884">
              <w:rPr>
                <w:rFonts w:eastAsia="Calibri" w:cstheme="minorHAnsi"/>
                <w:b/>
                <w:bCs/>
                <w:szCs w:val="23"/>
                <w:lang w:val="fr-CA"/>
              </w:rPr>
              <w:t>Secteur</w:t>
            </w:r>
            <w:r w:rsidRPr="00F52884">
              <w:rPr>
                <w:rFonts w:eastAsia="Times New Roman" w:cstheme="minorHAnsi"/>
                <w:szCs w:val="23"/>
                <w:lang w:val="fr-CA"/>
              </w:rPr>
              <w:t xml:space="preserve"> : </w:t>
            </w:r>
          </w:p>
        </w:tc>
        <w:tc>
          <w:tcPr>
            <w:tcW w:w="7912" w:type="dxa"/>
            <w:tcBorders>
              <w:top w:val="single" w:sz="4" w:space="0" w:color="C0C0C0"/>
              <w:left w:val="nil"/>
              <w:bottom w:val="single" w:sz="4" w:space="0" w:color="C0C0C0"/>
              <w:right w:val="single" w:sz="4" w:space="0" w:color="FFFFFF"/>
            </w:tcBorders>
            <w:vAlign w:val="center"/>
          </w:tcPr>
          <w:p w14:paraId="728ECF37" w14:textId="6C756ACE" w:rsidR="00F3277E" w:rsidRPr="00F52884" w:rsidRDefault="00F3277E" w:rsidP="00E927A7">
            <w:pPr>
              <w:spacing w:before="60" w:after="60" w:line="259" w:lineRule="auto"/>
              <w:rPr>
                <w:rFonts w:eastAsia="Calibri" w:cstheme="minorHAnsi"/>
                <w:b/>
                <w:szCs w:val="23"/>
                <w:lang w:val="en-US"/>
              </w:rPr>
            </w:pPr>
            <w:r w:rsidRPr="00F52884">
              <w:rPr>
                <w:rFonts w:eastAsia="Times New Roman" w:cstheme="minorHAnsi"/>
                <w:szCs w:val="23"/>
                <w:lang w:val="fr-CA"/>
              </w:rPr>
              <w:t>Industries extractives</w:t>
            </w:r>
          </w:p>
        </w:tc>
      </w:tr>
      <w:tr w:rsidR="00F3277E" w:rsidRPr="00D315AF" w14:paraId="2B41F212" w14:textId="77777777" w:rsidTr="00F3277E">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2C97744C" w14:textId="77777777" w:rsidR="00F3277E" w:rsidRPr="00F52884" w:rsidRDefault="00F3277E" w:rsidP="00E927A7">
            <w:pPr>
              <w:spacing w:before="60" w:after="60" w:line="259" w:lineRule="auto"/>
              <w:rPr>
                <w:rFonts w:eastAsia="Calibri" w:cstheme="minorHAnsi"/>
                <w:b/>
                <w:szCs w:val="23"/>
                <w:lang w:val="fr-CA"/>
              </w:rPr>
            </w:pPr>
            <w:r w:rsidRPr="00F52884">
              <w:rPr>
                <w:rFonts w:eastAsia="Calibri" w:cstheme="minorHAnsi"/>
                <w:b/>
                <w:bCs/>
                <w:szCs w:val="23"/>
                <w:lang w:val="fr-CA"/>
              </w:rPr>
              <w:t>Sous-secteur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6BBC20C4" w14:textId="241EDE95" w:rsidR="00F3277E" w:rsidRPr="00F52884" w:rsidRDefault="00F3277E" w:rsidP="00E927A7">
            <w:pPr>
              <w:spacing w:before="60" w:after="60" w:line="259" w:lineRule="auto"/>
              <w:rPr>
                <w:rFonts w:eastAsia="Calibri" w:cstheme="minorHAnsi"/>
                <w:b/>
                <w:szCs w:val="23"/>
                <w:lang w:val="fr-CA"/>
              </w:rPr>
            </w:pPr>
            <w:r w:rsidRPr="00F52884">
              <w:rPr>
                <w:rFonts w:eastAsia="Times New Roman" w:cstheme="minorHAnsi"/>
                <w:szCs w:val="23"/>
                <w:lang w:val="fr-CA"/>
              </w:rPr>
              <w:t>Industries des mines; carrières; et puits de pétrole</w:t>
            </w:r>
          </w:p>
        </w:tc>
      </w:tr>
      <w:tr w:rsidR="00F3277E" w:rsidRPr="00F52884" w14:paraId="6FDB1CDC"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60C5CFBE" w14:textId="77777777" w:rsidR="00F3277E" w:rsidRPr="00F52884" w:rsidRDefault="00F3277E" w:rsidP="00E927A7">
            <w:pPr>
              <w:spacing w:before="60" w:after="60" w:line="259" w:lineRule="auto"/>
              <w:rPr>
                <w:rFonts w:eastAsia="Calibri" w:cstheme="minorHAnsi"/>
                <w:b/>
                <w:szCs w:val="23"/>
                <w:lang w:val="fr-CA"/>
              </w:rPr>
            </w:pPr>
            <w:r w:rsidRPr="00F52884">
              <w:rPr>
                <w:rFonts w:eastAsia="Calibri" w:cstheme="minorHAnsi"/>
                <w:b/>
                <w:bCs/>
                <w:szCs w:val="23"/>
                <w:lang w:val="fr-CA"/>
              </w:rPr>
              <w:t>Classification de l’industrie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1BF0618D" w14:textId="2CB9039B" w:rsidR="00F3277E" w:rsidRPr="00F52884" w:rsidRDefault="00F3277E" w:rsidP="00E927A7">
            <w:pPr>
              <w:spacing w:before="60" w:after="60" w:line="259" w:lineRule="auto"/>
              <w:rPr>
                <w:rFonts w:eastAsia="Calibri" w:cstheme="minorHAnsi"/>
                <w:b/>
                <w:szCs w:val="23"/>
                <w:lang w:val="fr-CA"/>
              </w:rPr>
            </w:pPr>
            <w:r w:rsidRPr="00F52884">
              <w:rPr>
                <w:rFonts w:eastAsia="Times New Roman" w:cstheme="minorHAnsi"/>
                <w:szCs w:val="23"/>
                <w:lang w:val="fr-CA"/>
              </w:rPr>
              <w:t>CPC 11 à 16, 883</w:t>
            </w:r>
          </w:p>
        </w:tc>
      </w:tr>
      <w:tr w:rsidR="00F3277E" w:rsidRPr="00F52884" w14:paraId="476F3B33"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21FB80BB"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43EF1E6E" w14:textId="374473E1"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313 (Prescriptions de résultats)</w:t>
            </w:r>
          </w:p>
        </w:tc>
      </w:tr>
      <w:tr w:rsidR="00B8348C" w:rsidRPr="00F52884" w14:paraId="38108AB5"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113EFA2F" w14:textId="77777777" w:rsidR="00B8348C" w:rsidRPr="00F52884" w:rsidRDefault="00B8348C" w:rsidP="00D1446B">
            <w:pPr>
              <w:spacing w:before="60" w:after="60"/>
              <w:rPr>
                <w:b/>
                <w:lang w:val="en-GB"/>
              </w:rPr>
            </w:pPr>
            <w:r w:rsidRPr="00F52884">
              <w:rPr>
                <w:b/>
                <w:lang w:val="fr-CA"/>
              </w:rPr>
              <w:t>Mesure(s) :</w:t>
            </w:r>
          </w:p>
        </w:tc>
      </w:tr>
      <w:tr w:rsidR="00B8348C" w:rsidRPr="00F52884" w14:paraId="164CE11D"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6DA60CFB" w14:textId="3BE4CB3E" w:rsidR="00B8348C" w:rsidRPr="00F52884" w:rsidRDefault="00B8348C" w:rsidP="00E927A7">
            <w:pPr>
              <w:spacing w:before="60" w:after="60"/>
              <w:rPr>
                <w:rFonts w:eastAsia="Times New Roman" w:cstheme="minorHAnsi"/>
                <w:szCs w:val="23"/>
                <w:lang w:val="en-US"/>
              </w:rPr>
            </w:pPr>
            <w:r w:rsidRPr="00F52884">
              <w:rPr>
                <w:rFonts w:eastAsia="Times New Roman" w:cstheme="minorHAnsi"/>
                <w:i/>
                <w:iCs/>
                <w:szCs w:val="23"/>
                <w:lang w:val="en-US"/>
              </w:rPr>
              <w:t>Mineral Resources Act</w:t>
            </w:r>
            <w:r w:rsidRPr="00F52884">
              <w:rPr>
                <w:rFonts w:eastAsia="Times New Roman" w:cstheme="minorHAnsi"/>
                <w:szCs w:val="23"/>
                <w:lang w:val="en-US"/>
              </w:rPr>
              <w:t>, SNS 1990, c 18</w:t>
            </w:r>
          </w:p>
        </w:tc>
      </w:tr>
      <w:tr w:rsidR="00B8348C" w:rsidRPr="00F52884" w14:paraId="1B244DE7"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1E64C69E" w14:textId="77777777" w:rsidR="00B8348C" w:rsidRPr="00F52884" w:rsidRDefault="00B8348C" w:rsidP="00D1446B">
            <w:pPr>
              <w:spacing w:before="60" w:after="60"/>
              <w:rPr>
                <w:b/>
              </w:rPr>
            </w:pPr>
            <w:r w:rsidRPr="00F52884">
              <w:rPr>
                <w:b/>
                <w:lang w:val="fr-CA"/>
              </w:rPr>
              <w:t>Description :</w:t>
            </w:r>
          </w:p>
        </w:tc>
      </w:tr>
      <w:tr w:rsidR="00B8348C" w:rsidRPr="00D315AF" w14:paraId="1341B358"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131E7A2C" w14:textId="37D7C0E8" w:rsidR="00B8348C" w:rsidRPr="00F52884" w:rsidRDefault="00B8348C" w:rsidP="00E927A7">
            <w:pPr>
              <w:spacing w:before="60" w:after="60"/>
              <w:rPr>
                <w:rFonts w:eastAsia="Times New Roman" w:cstheme="minorHAnsi"/>
                <w:szCs w:val="23"/>
                <w:lang w:val="fr-CA"/>
              </w:rPr>
            </w:pPr>
            <w:r w:rsidRPr="00F52884">
              <w:rPr>
                <w:rFonts w:eastAsia="Times New Roman" w:cstheme="minorHAnsi"/>
                <w:szCs w:val="23"/>
                <w:lang w:val="fr-CA"/>
              </w:rPr>
              <w:t>Un régime différent de redevances s’applique aux minéraux extraits en Nouvelle-Écosse, puis transformé</w:t>
            </w:r>
            <w:r w:rsidR="00E927A7" w:rsidRPr="00F52884">
              <w:rPr>
                <w:rFonts w:eastAsia="Times New Roman" w:cstheme="minorHAnsi"/>
                <w:szCs w:val="23"/>
                <w:lang w:val="fr-CA"/>
              </w:rPr>
              <w:t>s à l’extérieur de la province.</w:t>
            </w:r>
          </w:p>
        </w:tc>
      </w:tr>
    </w:tbl>
    <w:p w14:paraId="5A89E3C6" w14:textId="77777777" w:rsidR="00B8348C" w:rsidRPr="00F52884" w:rsidRDefault="00B8348C" w:rsidP="00610CDD">
      <w:pPr>
        <w:rPr>
          <w:rFonts w:eastAsia="Times New Roman" w:cstheme="minorHAnsi"/>
          <w:b/>
          <w:bCs/>
          <w:szCs w:val="23"/>
          <w:lang w:val="fr-CA" w:eastAsia="en-CA"/>
        </w:rPr>
      </w:pPr>
    </w:p>
    <w:p w14:paraId="76F41498" w14:textId="77777777" w:rsidR="00B8348C" w:rsidRPr="00F52884" w:rsidRDefault="00B8348C" w:rsidP="00610CDD">
      <w:pPr>
        <w:rPr>
          <w:rFonts w:eastAsia="Times New Roman" w:cstheme="minorHAnsi"/>
          <w:b/>
          <w:bCs/>
          <w:szCs w:val="23"/>
          <w:lang w:val="fr-CA" w:eastAsia="en-CA"/>
        </w:rPr>
      </w:pPr>
    </w:p>
    <w:p w14:paraId="0CC6FA1E" w14:textId="7BBEA743"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5.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F3277E" w:rsidRPr="00F52884" w14:paraId="7195B3ED"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792B1455" w14:textId="77777777" w:rsidR="00F3277E" w:rsidRPr="00F52884" w:rsidRDefault="00F3277E" w:rsidP="00E927A7">
            <w:pPr>
              <w:spacing w:before="60" w:after="60"/>
              <w:rPr>
                <w:rFonts w:eastAsia="Times New Roman" w:cstheme="minorHAnsi"/>
                <w:szCs w:val="23"/>
                <w:lang w:val="en-US"/>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4875FDC8" w14:textId="561AAADA" w:rsidR="00F3277E" w:rsidRPr="00F52884" w:rsidRDefault="00F3277E" w:rsidP="00E927A7">
            <w:pPr>
              <w:spacing w:before="60" w:after="60"/>
              <w:rPr>
                <w:rFonts w:eastAsia="Times New Roman" w:cstheme="minorHAnsi"/>
                <w:szCs w:val="23"/>
                <w:lang w:val="en-US"/>
              </w:rPr>
            </w:pPr>
            <w:r w:rsidRPr="00F52884">
              <w:rPr>
                <w:rFonts w:eastAsia="Times New Roman" w:cstheme="minorHAnsi"/>
                <w:szCs w:val="23"/>
                <w:lang w:val="fr-CA"/>
              </w:rPr>
              <w:t>Énergie</w:t>
            </w:r>
          </w:p>
        </w:tc>
      </w:tr>
      <w:tr w:rsidR="00F3277E" w:rsidRPr="00D315AF" w14:paraId="6CCABFB4" w14:textId="77777777" w:rsidTr="00F3277E">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241F716C" w14:textId="77777777" w:rsidR="00F3277E" w:rsidRPr="00F52884" w:rsidRDefault="00F3277E" w:rsidP="00E927A7">
            <w:pPr>
              <w:spacing w:before="60" w:after="60"/>
              <w:rPr>
                <w:rFonts w:eastAsia="Times New Roman" w:cstheme="minorHAnsi"/>
                <w:szCs w:val="23"/>
                <w:lang w:val="fr-CA"/>
              </w:rPr>
            </w:pPr>
            <w:r w:rsidRPr="00F52884">
              <w:rPr>
                <w:rFonts w:eastAsia="Times New Roman" w:cstheme="minorHAnsi"/>
                <w:b/>
                <w:bCs/>
                <w:szCs w:val="23"/>
                <w:lang w:val="fr-CA"/>
              </w:rPr>
              <w:t>Sous-secteur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172475E0" w14:textId="48B8E0A6" w:rsidR="00F3277E" w:rsidRPr="00F52884" w:rsidRDefault="00F3277E" w:rsidP="00E927A7">
            <w:pPr>
              <w:spacing w:before="60" w:after="60"/>
              <w:rPr>
                <w:rFonts w:eastAsia="Times New Roman" w:cstheme="minorHAnsi"/>
                <w:szCs w:val="23"/>
                <w:lang w:val="fr-CA"/>
              </w:rPr>
            </w:pPr>
            <w:r w:rsidRPr="00F52884">
              <w:rPr>
                <w:rFonts w:eastAsia="Times New Roman" w:cstheme="minorHAnsi"/>
                <w:szCs w:val="23"/>
                <w:lang w:val="fr-CA"/>
              </w:rPr>
              <w:t>Pétrole brut et gaz naturel</w:t>
            </w:r>
          </w:p>
        </w:tc>
      </w:tr>
      <w:tr w:rsidR="00F3277E" w:rsidRPr="00F52884" w14:paraId="0233EC02"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5B7DF776" w14:textId="77777777" w:rsidR="00F3277E" w:rsidRPr="00F52884" w:rsidRDefault="00F3277E" w:rsidP="00E927A7">
            <w:pPr>
              <w:spacing w:before="60" w:after="60"/>
              <w:rPr>
                <w:rFonts w:eastAsia="Times New Roman" w:cstheme="minorHAnsi"/>
                <w:szCs w:val="23"/>
                <w:lang w:val="en-US"/>
              </w:rPr>
            </w:pPr>
            <w:r w:rsidRPr="00F52884">
              <w:rPr>
                <w:rFonts w:eastAsia="Times New Roman" w:cstheme="minorHAnsi"/>
                <w:b/>
                <w:bCs/>
                <w:szCs w:val="23"/>
                <w:lang w:val="fr-CA"/>
              </w:rPr>
              <w:t>Classification de l’industrie </w:t>
            </w:r>
            <w:r w:rsidRPr="00F52884">
              <w:rPr>
                <w:rFonts w:eastAsia="Times New Roman" w:cstheme="minorHAnsi"/>
                <w:b/>
                <w:szCs w:val="23"/>
                <w:lang w:val="fr-CA"/>
              </w:rPr>
              <w:t>:</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39295879" w14:textId="4958E85C" w:rsidR="00F3277E" w:rsidRPr="00F52884" w:rsidRDefault="00F3277E" w:rsidP="00E927A7">
            <w:pPr>
              <w:spacing w:before="60" w:after="60"/>
              <w:rPr>
                <w:rFonts w:eastAsia="Times New Roman" w:cstheme="minorHAnsi"/>
                <w:szCs w:val="23"/>
                <w:lang w:val="en-US"/>
              </w:rPr>
            </w:pPr>
            <w:r w:rsidRPr="00F52884">
              <w:rPr>
                <w:rFonts w:eastAsia="Times New Roman" w:cstheme="minorHAnsi"/>
                <w:szCs w:val="23"/>
                <w:lang w:val="fr-CA"/>
              </w:rPr>
              <w:t>CPC 120, 7422, 8675, 883, 887</w:t>
            </w:r>
          </w:p>
        </w:tc>
      </w:tr>
      <w:tr w:rsidR="00F3277E" w:rsidRPr="00D315AF" w14:paraId="00358F6C"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3E455A96"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1CF1B83C" w14:textId="2C41384A"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 article 307 (Accès aux marchés - Services (CPC 7422 seulement)), article 312 (Accès aux marchés – Investissement (CPC 7422 seulement)), article 313 (Prescriptions de résultats)</w:t>
            </w:r>
          </w:p>
        </w:tc>
      </w:tr>
      <w:tr w:rsidR="00B8348C" w:rsidRPr="00F52884" w14:paraId="2570662B"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21CBE081" w14:textId="77777777" w:rsidR="00B8348C" w:rsidRPr="00F52884" w:rsidRDefault="00B8348C" w:rsidP="00D1446B">
            <w:pPr>
              <w:spacing w:before="60" w:after="60"/>
              <w:rPr>
                <w:b/>
                <w:lang w:val="en-GB"/>
              </w:rPr>
            </w:pPr>
            <w:r w:rsidRPr="00F52884">
              <w:rPr>
                <w:b/>
                <w:lang w:val="fr-CA"/>
              </w:rPr>
              <w:t>Mesure(s) :</w:t>
            </w:r>
          </w:p>
        </w:tc>
      </w:tr>
      <w:tr w:rsidR="00B8348C" w:rsidRPr="00F52884" w14:paraId="44291AFC"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640C556A" w14:textId="1614F823"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Canada-Nova Scotia Offshore Petroleum Resources Accord Implementation (Nova Scotia) Act</w:t>
            </w:r>
            <w:r w:rsidRPr="00F52884">
              <w:rPr>
                <w:rFonts w:eastAsia="Times New Roman" w:cstheme="minorHAnsi"/>
                <w:szCs w:val="23"/>
                <w:lang w:val="en-US" w:bidi="en-US"/>
              </w:rPr>
              <w:t xml:space="preserve">, SNS </w:t>
            </w:r>
            <w:r w:rsidRPr="00F52884">
              <w:rPr>
                <w:rFonts w:eastAsia="Times New Roman" w:cstheme="minorHAnsi"/>
                <w:i/>
                <w:szCs w:val="23"/>
                <w:lang w:val="en-US" w:bidi="en-US"/>
              </w:rPr>
              <w:t>1987, c 3</w:t>
            </w:r>
          </w:p>
          <w:p w14:paraId="48359C86" w14:textId="1A653DD2"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Crown Lands Act</w:t>
            </w:r>
            <w:r w:rsidRPr="00F52884">
              <w:rPr>
                <w:rFonts w:eastAsia="Times New Roman" w:cstheme="minorHAnsi"/>
                <w:szCs w:val="23"/>
                <w:lang w:val="en-US" w:bidi="en-US"/>
              </w:rPr>
              <w:t>, RSNS 1989, c 114</w:t>
            </w:r>
          </w:p>
          <w:p w14:paraId="4BC2926D" w14:textId="49A2F748"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Gas Distribution Act</w:t>
            </w:r>
            <w:r w:rsidRPr="00F52884">
              <w:rPr>
                <w:rFonts w:eastAsia="Times New Roman" w:cstheme="minorHAnsi"/>
                <w:szCs w:val="23"/>
                <w:lang w:val="en-US" w:bidi="en-US"/>
              </w:rPr>
              <w:t>, SNS 1997, c 4</w:t>
            </w:r>
          </w:p>
          <w:p w14:paraId="02783FF6" w14:textId="3CE2A146"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Offshore Petroleum Royalty Act</w:t>
            </w:r>
            <w:r w:rsidRPr="00F52884">
              <w:rPr>
                <w:rFonts w:eastAsia="Times New Roman" w:cstheme="minorHAnsi"/>
                <w:szCs w:val="23"/>
                <w:lang w:val="en-US" w:bidi="en-US"/>
              </w:rPr>
              <w:t>, SNS 1987, c 9</w:t>
            </w:r>
          </w:p>
          <w:p w14:paraId="5A3A641B" w14:textId="3B23C2FE"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Petroleum Resources Act</w:t>
            </w:r>
            <w:r w:rsidRPr="00F52884">
              <w:rPr>
                <w:rFonts w:eastAsia="Times New Roman" w:cstheme="minorHAnsi"/>
                <w:szCs w:val="23"/>
                <w:lang w:val="en-US" w:bidi="en-US"/>
              </w:rPr>
              <w:t>, RSNS 1989, c 342</w:t>
            </w:r>
          </w:p>
          <w:p w14:paraId="0D1F524E" w14:textId="1688DC2B"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Petroleum Resources Removal Permit Act</w:t>
            </w:r>
            <w:r w:rsidRPr="00F52884">
              <w:rPr>
                <w:rFonts w:eastAsia="Times New Roman" w:cstheme="minorHAnsi"/>
                <w:szCs w:val="23"/>
                <w:lang w:val="en-US" w:bidi="en-US"/>
              </w:rPr>
              <w:t>, SNS 1999, c 7</w:t>
            </w:r>
          </w:p>
          <w:p w14:paraId="05A5336F" w14:textId="3094689C"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lastRenderedPageBreak/>
              <w:t>Pipeline Act</w:t>
            </w:r>
            <w:r w:rsidRPr="00F52884">
              <w:rPr>
                <w:rFonts w:eastAsia="Times New Roman" w:cstheme="minorHAnsi"/>
                <w:szCs w:val="23"/>
                <w:lang w:val="en-US" w:bidi="en-US"/>
              </w:rPr>
              <w:t>, RSNS 1989, c 345</w:t>
            </w:r>
          </w:p>
          <w:p w14:paraId="2DB2EC89" w14:textId="73A8D354" w:rsidR="00B8348C" w:rsidRPr="00F52884" w:rsidRDefault="00B8348C" w:rsidP="00E927A7">
            <w:pPr>
              <w:spacing w:before="60" w:after="60"/>
              <w:rPr>
                <w:rFonts w:eastAsia="Times New Roman" w:cstheme="minorHAnsi"/>
                <w:szCs w:val="23"/>
                <w:lang w:val="en-US"/>
              </w:rPr>
            </w:pPr>
            <w:r w:rsidRPr="00B04E29">
              <w:rPr>
                <w:rFonts w:eastAsia="Times New Roman" w:cstheme="minorHAnsi"/>
                <w:i/>
                <w:szCs w:val="23"/>
              </w:rPr>
              <w:t>Public Utilities Act</w:t>
            </w:r>
            <w:r w:rsidRPr="00B04E29">
              <w:rPr>
                <w:rFonts w:eastAsia="Times New Roman" w:cstheme="minorHAnsi"/>
                <w:szCs w:val="23"/>
              </w:rPr>
              <w:t>, RSNS 1989, c 380</w:t>
            </w:r>
          </w:p>
        </w:tc>
      </w:tr>
      <w:tr w:rsidR="00B8348C" w:rsidRPr="00F52884" w14:paraId="44BC7E2F"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77FD1FDE" w14:textId="77777777" w:rsidR="00B8348C" w:rsidRPr="00F52884" w:rsidRDefault="00B8348C" w:rsidP="00D1446B">
            <w:pPr>
              <w:spacing w:before="60" w:after="60"/>
              <w:rPr>
                <w:b/>
              </w:rPr>
            </w:pPr>
            <w:r w:rsidRPr="00F52884">
              <w:rPr>
                <w:b/>
                <w:lang w:val="fr-CA"/>
              </w:rPr>
              <w:lastRenderedPageBreak/>
              <w:t>Description :</w:t>
            </w:r>
          </w:p>
        </w:tc>
      </w:tr>
      <w:tr w:rsidR="00B8348C" w:rsidRPr="00D315AF" w14:paraId="358FC9A2"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0A578CE3" w14:textId="3A1ED6E8" w:rsidR="00B8348C" w:rsidRPr="00F52884" w:rsidRDefault="00B8348C" w:rsidP="00E927A7">
            <w:pPr>
              <w:spacing w:before="120" w:after="120"/>
              <w:rPr>
                <w:rFonts w:eastAsia="Times New Roman" w:cstheme="minorHAnsi"/>
                <w:szCs w:val="23"/>
                <w:lang w:val="fr-CA" w:eastAsia="en-CA" w:bidi="en-US"/>
              </w:rPr>
            </w:pPr>
            <w:r w:rsidRPr="00F52884">
              <w:rPr>
                <w:rFonts w:eastAsia="Times New Roman" w:cstheme="minorHAnsi"/>
                <w:szCs w:val="23"/>
                <w:lang w:val="fr-CA" w:eastAsia="en-CA" w:bidi="en-US"/>
              </w:rPr>
              <w:t>Le gouvernement de la Nouvelle-Écosse réglemente et accorde diverses autorisations à l’égard de l’exploration, la production, l’extraction, la transformation, la mise en valeur et le transport des hydrocarbures, et l’octroi de droits exclusifs d’exploitation de réseaux de distribution d’hydrocarbures et d’installations de stockage, y compris les pipelines d’hydrocarbures connexes, la distribution par voie marine, les installations de transbordement</w:t>
            </w:r>
            <w:r w:rsidR="00E927A7" w:rsidRPr="00F52884">
              <w:rPr>
                <w:rFonts w:eastAsia="Times New Roman" w:cstheme="minorHAnsi"/>
                <w:szCs w:val="23"/>
                <w:lang w:val="fr-CA" w:eastAsia="en-CA" w:bidi="en-US"/>
              </w:rPr>
              <w:t xml:space="preserve"> et les services de transports.</w:t>
            </w:r>
          </w:p>
          <w:p w14:paraId="20B4077B" w14:textId="22211AC7"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Les autorisations peuvent supposer la prise de décisions discrétionnaires fondées sur divers facteurs, des restrictions quant à l’accès aux marchés, l’imposition de prescriptions de résultats ou la discrimination en faveur de résidents de la Nouvelle-Écosse ou d’entités établies selon la législation du Canada ou d’une province ou d’un territoire du Canada qui ont un lieu d’affaires en Nouvelle-Écosse et y effectuent des opératio</w:t>
            </w:r>
            <w:r w:rsidR="00F3277E" w:rsidRPr="00F52884">
              <w:rPr>
                <w:rFonts w:eastAsia="Times New Roman" w:cstheme="minorHAnsi"/>
                <w:szCs w:val="23"/>
                <w:lang w:val="fr-CA"/>
              </w:rPr>
              <w:t>ns commerciales substantielles.</w:t>
            </w:r>
          </w:p>
        </w:tc>
      </w:tr>
    </w:tbl>
    <w:p w14:paraId="68371E6C" w14:textId="77777777" w:rsidR="00B8348C" w:rsidRPr="00F52884" w:rsidRDefault="00B8348C" w:rsidP="00610CDD">
      <w:pPr>
        <w:rPr>
          <w:rFonts w:eastAsia="Times New Roman" w:cstheme="minorHAnsi"/>
          <w:b/>
          <w:bCs/>
          <w:szCs w:val="23"/>
          <w:lang w:val="fr-CA" w:eastAsia="en-CA"/>
        </w:rPr>
      </w:pPr>
    </w:p>
    <w:p w14:paraId="2596F585" w14:textId="77777777" w:rsidR="00B8348C" w:rsidRPr="00F52884" w:rsidRDefault="00B8348C" w:rsidP="00610CDD">
      <w:pPr>
        <w:rPr>
          <w:rFonts w:cstheme="minorHAnsi"/>
          <w:b/>
          <w:szCs w:val="23"/>
          <w:lang w:val="fr-CA"/>
        </w:rPr>
      </w:pPr>
    </w:p>
    <w:p w14:paraId="2B55B274" w14:textId="14710821"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6.  </w:t>
      </w:r>
      <w:r w:rsidR="00B8348C" w:rsidRPr="00F52884">
        <w:rPr>
          <w:rFonts w:cstheme="minorHAnsi"/>
          <w:b/>
          <w:bCs/>
          <w:caps/>
          <w:szCs w:val="23"/>
          <w:lang w:val="fr-CA"/>
        </w:rPr>
        <w:t>Nouvelle-Écosse</w:t>
      </w:r>
    </w:p>
    <w:tbl>
      <w:tblPr>
        <w:tblW w:w="10162" w:type="dxa"/>
        <w:jc w:val="center"/>
        <w:tblCellMar>
          <w:top w:w="14" w:type="dxa"/>
          <w:left w:w="86" w:type="dxa"/>
          <w:bottom w:w="14" w:type="dxa"/>
          <w:right w:w="86" w:type="dxa"/>
        </w:tblCellMar>
        <w:tblLook w:val="0000" w:firstRow="0" w:lastRow="0" w:firstColumn="0" w:lastColumn="0" w:noHBand="0" w:noVBand="0"/>
      </w:tblPr>
      <w:tblGrid>
        <w:gridCol w:w="2340"/>
        <w:gridCol w:w="7822"/>
      </w:tblGrid>
      <w:tr w:rsidR="00F3277E" w:rsidRPr="00F52884" w14:paraId="0932B06A"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3DDDB037"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822" w:type="dxa"/>
            <w:tcBorders>
              <w:top w:val="single" w:sz="4" w:space="0" w:color="C0C0C0"/>
              <w:left w:val="nil"/>
              <w:bottom w:val="single" w:sz="4" w:space="0" w:color="C0C0C0"/>
              <w:right w:val="single" w:sz="4" w:space="0" w:color="FFFFFF"/>
            </w:tcBorders>
            <w:vAlign w:val="center"/>
          </w:tcPr>
          <w:p w14:paraId="11ABDC64" w14:textId="1D88969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Pêches</w:t>
            </w:r>
          </w:p>
        </w:tc>
      </w:tr>
      <w:tr w:rsidR="00F3277E" w:rsidRPr="00D315AF" w14:paraId="25EDB78D" w14:textId="77777777" w:rsidTr="00F3277E">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6EA763FD"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b/>
                <w:bCs/>
                <w:szCs w:val="23"/>
                <w:lang w:val="fr-CA"/>
              </w:rPr>
              <w:t>Sous-secteur :</w:t>
            </w:r>
            <w:r w:rsidRPr="00F52884">
              <w:rPr>
                <w:rFonts w:eastAsia="Times New Roman" w:cstheme="minorHAnsi"/>
                <w:szCs w:val="23"/>
                <w:lang w:val="fr-CA"/>
              </w:rPr>
              <w:t xml:space="preserve"> </w:t>
            </w:r>
          </w:p>
        </w:tc>
        <w:tc>
          <w:tcPr>
            <w:tcW w:w="7822" w:type="dxa"/>
            <w:tcBorders>
              <w:top w:val="single" w:sz="4" w:space="0" w:color="C0C0C0"/>
              <w:left w:val="nil"/>
              <w:bottom w:val="single" w:sz="4" w:space="0" w:color="C0C0C0"/>
              <w:right w:val="single" w:sz="4" w:space="0" w:color="FFFFFF"/>
            </w:tcBorders>
            <w:vAlign w:val="center"/>
          </w:tcPr>
          <w:p w14:paraId="78A67BF1" w14:textId="0E2C8234"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Poissons et autres produits de la pêche; préparations et conserves de poissons; services de commerce de gros de produits de la pêche; services annexes à la pêche</w:t>
            </w:r>
          </w:p>
        </w:tc>
      </w:tr>
      <w:tr w:rsidR="00F3277E" w:rsidRPr="00F52884" w14:paraId="4EDCBE5A"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49C4C587"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b/>
                <w:bCs/>
                <w:szCs w:val="23"/>
                <w:lang w:val="fr-CA"/>
              </w:rPr>
              <w:t>Classification de l’industrie </w:t>
            </w:r>
            <w:r w:rsidRPr="00F52884">
              <w:rPr>
                <w:rFonts w:eastAsia="Times New Roman" w:cstheme="minorHAnsi"/>
                <w:b/>
                <w:szCs w:val="23"/>
                <w:lang w:val="fr-CA"/>
              </w:rPr>
              <w:t>:</w:t>
            </w:r>
            <w:r w:rsidRPr="00F52884">
              <w:rPr>
                <w:rFonts w:eastAsia="Times New Roman" w:cstheme="minorHAnsi"/>
                <w:szCs w:val="23"/>
                <w:lang w:val="fr-CA"/>
              </w:rPr>
              <w:t xml:space="preserve"> </w:t>
            </w:r>
          </w:p>
        </w:tc>
        <w:tc>
          <w:tcPr>
            <w:tcW w:w="7822" w:type="dxa"/>
            <w:tcBorders>
              <w:top w:val="single" w:sz="4" w:space="0" w:color="C0C0C0"/>
              <w:left w:val="nil"/>
              <w:bottom w:val="single" w:sz="4" w:space="0" w:color="C0C0C0"/>
              <w:right w:val="single" w:sz="4" w:space="0" w:color="FFFFFF"/>
            </w:tcBorders>
            <w:vAlign w:val="center"/>
          </w:tcPr>
          <w:p w14:paraId="2BA75E63" w14:textId="2880DF6B"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CPC 04, 212, 62224, 882</w:t>
            </w:r>
          </w:p>
        </w:tc>
      </w:tr>
      <w:tr w:rsidR="00F3277E" w:rsidRPr="00D315AF" w14:paraId="01AC09D8"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1F3D628C"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822" w:type="dxa"/>
            <w:tcBorders>
              <w:top w:val="single" w:sz="4" w:space="0" w:color="C0C0C0"/>
              <w:left w:val="single" w:sz="4" w:space="0" w:color="FFFFFF" w:themeColor="background1"/>
              <w:bottom w:val="single" w:sz="4" w:space="0" w:color="C0C0C0"/>
              <w:right w:val="single" w:sz="4" w:space="0" w:color="C0C0C0"/>
            </w:tcBorders>
          </w:tcPr>
          <w:p w14:paraId="057F59FE" w14:textId="26DDDD2D"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 article 301 (Droit d’entrée et de sortie), article 313 (Prescriptions de résultats)</w:t>
            </w:r>
          </w:p>
        </w:tc>
      </w:tr>
      <w:tr w:rsidR="00B8348C" w:rsidRPr="00F52884" w14:paraId="32BD6B63" w14:textId="77777777" w:rsidTr="00F3277E">
        <w:trPr>
          <w:trHeight w:val="42"/>
          <w:jc w:val="center"/>
        </w:trPr>
        <w:tc>
          <w:tcPr>
            <w:tcW w:w="1016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40024928" w14:textId="77777777" w:rsidR="00B8348C" w:rsidRPr="00F52884" w:rsidRDefault="00B8348C" w:rsidP="00D1446B">
            <w:pPr>
              <w:spacing w:before="60" w:after="60"/>
              <w:rPr>
                <w:b/>
                <w:lang w:val="en-GB"/>
              </w:rPr>
            </w:pPr>
            <w:r w:rsidRPr="00F52884">
              <w:rPr>
                <w:b/>
                <w:lang w:val="fr-CA"/>
              </w:rPr>
              <w:t>Mesure(s) :</w:t>
            </w:r>
          </w:p>
        </w:tc>
      </w:tr>
      <w:tr w:rsidR="00B8348C" w:rsidRPr="00F52884" w14:paraId="4CE04282" w14:textId="77777777" w:rsidTr="00F3277E">
        <w:trPr>
          <w:trHeight w:val="273"/>
          <w:jc w:val="center"/>
        </w:trPr>
        <w:tc>
          <w:tcPr>
            <w:tcW w:w="10162" w:type="dxa"/>
            <w:gridSpan w:val="2"/>
            <w:tcBorders>
              <w:top w:val="single" w:sz="4" w:space="0" w:color="C0C0C0"/>
              <w:left w:val="single" w:sz="4" w:space="0" w:color="C0C0C0"/>
              <w:bottom w:val="single" w:sz="4" w:space="0" w:color="C0C0C0"/>
              <w:right w:val="single" w:sz="4" w:space="0" w:color="C0C0C0"/>
            </w:tcBorders>
          </w:tcPr>
          <w:p w14:paraId="27CD7601" w14:textId="70B731AF"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Fisheries and Coastal Resources Act</w:t>
            </w:r>
            <w:r w:rsidRPr="00F52884">
              <w:rPr>
                <w:rFonts w:eastAsia="Times New Roman" w:cstheme="minorHAnsi"/>
                <w:szCs w:val="23"/>
                <w:lang w:val="en-US" w:bidi="en-US"/>
              </w:rPr>
              <w:t xml:space="preserve">, SNS 1996, c 25 </w:t>
            </w:r>
          </w:p>
          <w:p w14:paraId="554ED8CE" w14:textId="1B557662" w:rsidR="00B8348C" w:rsidRPr="00F52884" w:rsidRDefault="00B8348C" w:rsidP="00E927A7">
            <w:pPr>
              <w:spacing w:before="60" w:after="60"/>
              <w:rPr>
                <w:rFonts w:eastAsia="Times New Roman" w:cstheme="minorHAnsi"/>
                <w:szCs w:val="23"/>
                <w:lang w:val="en-US"/>
              </w:rPr>
            </w:pPr>
            <w:r w:rsidRPr="00F52884">
              <w:rPr>
                <w:rFonts w:eastAsia="Times New Roman" w:cstheme="minorHAnsi"/>
                <w:i/>
                <w:szCs w:val="23"/>
                <w:lang w:val="en-US"/>
              </w:rPr>
              <w:t>Fish Harvester Organizations Support Act</w:t>
            </w:r>
            <w:r w:rsidRPr="00F52884">
              <w:rPr>
                <w:rFonts w:eastAsia="Times New Roman" w:cstheme="minorHAnsi"/>
                <w:szCs w:val="23"/>
                <w:lang w:val="en-US"/>
              </w:rPr>
              <w:t xml:space="preserve">, </w:t>
            </w:r>
            <w:r w:rsidRPr="00F52884">
              <w:rPr>
                <w:rFonts w:eastAsia="Times New Roman" w:cstheme="minorHAnsi"/>
                <w:szCs w:val="23"/>
                <w:lang w:val="en-US" w:bidi="en-US"/>
              </w:rPr>
              <w:t>SNS </w:t>
            </w:r>
            <w:r w:rsidRPr="00F52884">
              <w:rPr>
                <w:rFonts w:eastAsia="Times New Roman" w:cstheme="minorHAnsi"/>
                <w:szCs w:val="23"/>
                <w:lang w:val="en-US"/>
              </w:rPr>
              <w:t>2011, c</w:t>
            </w:r>
            <w:r w:rsidR="00F3277E" w:rsidRPr="00F52884">
              <w:rPr>
                <w:rFonts w:eastAsia="Times New Roman" w:cstheme="minorHAnsi"/>
                <w:szCs w:val="23"/>
                <w:lang w:val="en-US"/>
              </w:rPr>
              <w:t> 36</w:t>
            </w:r>
          </w:p>
        </w:tc>
      </w:tr>
      <w:tr w:rsidR="00B8348C" w:rsidRPr="00F52884" w14:paraId="6D53EFAE" w14:textId="77777777" w:rsidTr="00F3277E">
        <w:trPr>
          <w:trHeight w:val="49"/>
          <w:jc w:val="center"/>
        </w:trPr>
        <w:tc>
          <w:tcPr>
            <w:tcW w:w="1016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52644FBD" w14:textId="77777777" w:rsidR="00B8348C" w:rsidRPr="00F52884" w:rsidRDefault="00B8348C" w:rsidP="00D1446B">
            <w:pPr>
              <w:spacing w:before="60" w:after="60"/>
              <w:rPr>
                <w:b/>
              </w:rPr>
            </w:pPr>
            <w:r w:rsidRPr="00F52884">
              <w:rPr>
                <w:b/>
                <w:lang w:val="fr-CA"/>
              </w:rPr>
              <w:t>Description :</w:t>
            </w:r>
          </w:p>
        </w:tc>
      </w:tr>
      <w:tr w:rsidR="00B8348C" w:rsidRPr="00D315AF" w14:paraId="02E28BB9" w14:textId="77777777" w:rsidTr="00F3277E">
        <w:trPr>
          <w:trHeight w:val="66"/>
          <w:jc w:val="center"/>
        </w:trPr>
        <w:tc>
          <w:tcPr>
            <w:tcW w:w="10162" w:type="dxa"/>
            <w:gridSpan w:val="2"/>
            <w:tcBorders>
              <w:top w:val="single" w:sz="4" w:space="0" w:color="C0C0C0"/>
              <w:left w:val="single" w:sz="4" w:space="0" w:color="C0C0C0"/>
              <w:bottom w:val="single" w:sz="4" w:space="0" w:color="C0C0C0"/>
              <w:right w:val="single" w:sz="4" w:space="0" w:color="C0C0C0"/>
            </w:tcBorders>
          </w:tcPr>
          <w:p w14:paraId="6499E0E8" w14:textId="5C13B891"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Les mesures susmentionnées permettent au gouvernement de la Nouvelle-Écosse de réglementer et d’accorder diverses autorisations à l’égard de la production, la délivrance de licences, la transformation et la commercialisation (y compris l’achat et la vente) des poissons marins et des produits de poissons au sein de la Nouvelle-Écosse, y compris le transfert, la livraison et le transport des produits de la mer par les pêcheurs, les aquiculteurs</w:t>
            </w:r>
            <w:r w:rsidR="00E927A7" w:rsidRPr="00F52884">
              <w:rPr>
                <w:rFonts w:eastAsia="Times New Roman" w:cstheme="minorHAnsi"/>
                <w:szCs w:val="23"/>
                <w:lang w:val="fr-CA"/>
              </w:rPr>
              <w:t xml:space="preserve"> et les acheteurs ultérieurs.  </w:t>
            </w:r>
          </w:p>
          <w:p w14:paraId="3204F2C7" w14:textId="7B9C7547"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 xml:space="preserve">Sans restreindre la portée générale de ce qui précède, ces mesures peuvent supposer la prise de décisions discrétionnaires fondées sur divers facteurs, l’imposition de prescriptions de résultats, le droit d’entrée et de sortie, ou la discrimination </w:t>
            </w:r>
            <w:r w:rsidRPr="00F52884">
              <w:rPr>
                <w:rFonts w:cstheme="minorHAnsi"/>
                <w:szCs w:val="23"/>
                <w:lang w:val="fr-FR"/>
              </w:rPr>
              <w:t xml:space="preserve">se rapportant aux services, aux investissements et aux produits fabriqués </w:t>
            </w:r>
            <w:r w:rsidRPr="00F52884">
              <w:rPr>
                <w:rFonts w:eastAsia="Times New Roman" w:cstheme="minorHAnsi"/>
                <w:szCs w:val="23"/>
                <w:lang w:val="fr-CA"/>
              </w:rPr>
              <w:t xml:space="preserve">en Nouvelle-Écosse en faveur de résidents de la Nouvelle-Écosse ou d’entités établies selon la législation du Canada ou d’une province ou d’un territoire du Canada </w:t>
            </w:r>
            <w:r w:rsidRPr="00F52884">
              <w:rPr>
                <w:rFonts w:eastAsia="Times New Roman" w:cstheme="minorHAnsi"/>
                <w:szCs w:val="23"/>
                <w:lang w:val="fr-CA"/>
              </w:rPr>
              <w:lastRenderedPageBreak/>
              <w:t xml:space="preserve">qui ont un lieu d’affaires en Nouvelle-Écosse et y effectuent des opérations commerciales </w:t>
            </w:r>
            <w:r w:rsidR="00E927A7" w:rsidRPr="00F52884">
              <w:rPr>
                <w:rFonts w:eastAsia="Times New Roman" w:cstheme="minorHAnsi"/>
                <w:szCs w:val="23"/>
                <w:lang w:val="fr-CA"/>
              </w:rPr>
              <w:t xml:space="preserve">substantielles. </w:t>
            </w:r>
          </w:p>
        </w:tc>
      </w:tr>
    </w:tbl>
    <w:p w14:paraId="4816DA00" w14:textId="77777777" w:rsidR="00B8348C" w:rsidRPr="00F52884" w:rsidRDefault="00B8348C" w:rsidP="00610CDD">
      <w:pPr>
        <w:spacing w:line="259" w:lineRule="auto"/>
        <w:rPr>
          <w:rFonts w:eastAsia="Times New Roman" w:cstheme="minorHAnsi"/>
          <w:b/>
          <w:bCs/>
          <w:szCs w:val="23"/>
          <w:lang w:val="fr-CA" w:eastAsia="en-CA"/>
        </w:rPr>
      </w:pPr>
    </w:p>
    <w:p w14:paraId="2FB608C5" w14:textId="77777777" w:rsidR="00B8348C" w:rsidRPr="00F52884" w:rsidRDefault="00B8348C" w:rsidP="00610CDD">
      <w:pPr>
        <w:rPr>
          <w:rFonts w:cstheme="minorHAnsi"/>
          <w:b/>
          <w:szCs w:val="23"/>
          <w:lang w:val="fr-CA"/>
        </w:rPr>
      </w:pPr>
    </w:p>
    <w:p w14:paraId="757B4514" w14:textId="3329FFA0"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7.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F3277E" w:rsidRPr="00F52884" w14:paraId="0B6892FF"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5907DBF1" w14:textId="77777777"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15161677" w14:textId="35F2C260" w:rsidR="00F3277E" w:rsidRPr="00F52884" w:rsidRDefault="00F3277E" w:rsidP="00E927A7">
            <w:pPr>
              <w:spacing w:before="60" w:after="60"/>
              <w:rPr>
                <w:rFonts w:eastAsia="Times New Roman" w:cstheme="minorHAnsi"/>
                <w:b/>
                <w:szCs w:val="23"/>
                <w:lang w:val="en-US"/>
              </w:rPr>
            </w:pPr>
            <w:r w:rsidRPr="00F52884">
              <w:rPr>
                <w:rFonts w:eastAsia="Times New Roman" w:cstheme="minorHAnsi"/>
                <w:szCs w:val="23"/>
                <w:lang w:val="fr-CA"/>
              </w:rPr>
              <w:t>Agriculture</w:t>
            </w:r>
          </w:p>
        </w:tc>
      </w:tr>
      <w:tr w:rsidR="00F3277E" w:rsidRPr="00D315AF" w14:paraId="2580C80F" w14:textId="77777777" w:rsidTr="00F3277E">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26864729"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b/>
                <w:bCs/>
                <w:szCs w:val="23"/>
                <w:lang w:val="fr-CA"/>
              </w:rPr>
              <w:t>Sous-secteur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45DC0A37" w14:textId="3C4C267F"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Produits de l’agriculture; sylviculture et pêche; services de commerce de gros de matières premières agricoles et d’animaux vivants; services annexes à l’agriculture, à la chasse et à la sylviculture; services annexes à la pêche</w:t>
            </w:r>
          </w:p>
        </w:tc>
      </w:tr>
      <w:tr w:rsidR="00F3277E" w:rsidRPr="00D315AF" w14:paraId="670713FB" w14:textId="77777777" w:rsidTr="00F3277E">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24437085" w14:textId="77777777" w:rsidR="00F3277E" w:rsidRPr="00F52884" w:rsidRDefault="00F3277E" w:rsidP="00E927A7">
            <w:pPr>
              <w:spacing w:before="60" w:after="60"/>
              <w:rPr>
                <w:rFonts w:eastAsia="Times New Roman" w:cstheme="minorHAnsi"/>
                <w:b/>
                <w:szCs w:val="23"/>
                <w:lang w:val="fr-CA"/>
              </w:rPr>
            </w:pPr>
            <w:r w:rsidRPr="00F52884">
              <w:rPr>
                <w:rFonts w:eastAsia="Times New Roman" w:cstheme="minorHAnsi"/>
                <w:b/>
                <w:bCs/>
                <w:szCs w:val="23"/>
                <w:lang w:val="fr-CA"/>
              </w:rPr>
              <w:t>Classification de l’industrie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5887A663" w14:textId="2FEF968D" w:rsidR="00F3277E" w:rsidRPr="00F52884" w:rsidRDefault="00F3277E" w:rsidP="00E927A7">
            <w:pPr>
              <w:spacing w:before="60" w:after="60"/>
              <w:rPr>
                <w:rFonts w:eastAsia="Times New Roman" w:cstheme="minorHAnsi"/>
                <w:b/>
                <w:szCs w:val="23"/>
                <w:lang w:val="fr-CA"/>
              </w:rPr>
            </w:pPr>
            <w:r w:rsidRPr="00F52884">
              <w:rPr>
                <w:rFonts w:eastAsia="Times New Roman" w:cstheme="minorHAnsi"/>
                <w:szCs w:val="23"/>
                <w:lang w:val="fr-CA"/>
              </w:rPr>
              <w:t xml:space="preserve">CPC 01, 021, 029, 04, 21, 22, 239, 881 (sauf la location d’équipement agricole, avec opérateur et CPC 8814), 882  </w:t>
            </w:r>
          </w:p>
        </w:tc>
      </w:tr>
      <w:tr w:rsidR="00F3277E" w:rsidRPr="00D315AF" w14:paraId="47CF5941"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1A1B61C5"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1596733B" w14:textId="22FADA8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 article 301 (Droit d’entrée et de sortie), article 313 (Prescriptions de résultats)</w:t>
            </w:r>
          </w:p>
        </w:tc>
      </w:tr>
      <w:tr w:rsidR="00B8348C" w:rsidRPr="00F52884" w14:paraId="27E06B1A"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789FDCA4" w14:textId="77777777" w:rsidR="00B8348C" w:rsidRPr="00F52884" w:rsidRDefault="00B8348C" w:rsidP="00D1446B">
            <w:pPr>
              <w:spacing w:before="60" w:after="60"/>
              <w:rPr>
                <w:b/>
                <w:lang w:val="en-GB"/>
              </w:rPr>
            </w:pPr>
            <w:r w:rsidRPr="00F52884">
              <w:rPr>
                <w:b/>
                <w:lang w:val="fr-CA"/>
              </w:rPr>
              <w:t>Mesure(s) :</w:t>
            </w:r>
          </w:p>
        </w:tc>
      </w:tr>
      <w:tr w:rsidR="00B8348C" w:rsidRPr="00F52884" w14:paraId="4059D65A"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67799118" w14:textId="091DD1AE"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Natural Products Act</w:t>
            </w:r>
            <w:r w:rsidRPr="00F52884">
              <w:rPr>
                <w:rFonts w:eastAsia="Times New Roman" w:cstheme="minorHAnsi"/>
                <w:szCs w:val="23"/>
                <w:lang w:val="en-US" w:bidi="en-US"/>
              </w:rPr>
              <w:t>, RSNS 1989, c 308</w:t>
            </w:r>
          </w:p>
          <w:p w14:paraId="3DC03EF4" w14:textId="00092A94"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Dairy Industry Act</w:t>
            </w:r>
            <w:r w:rsidRPr="00F52884">
              <w:rPr>
                <w:rFonts w:eastAsia="Times New Roman" w:cstheme="minorHAnsi"/>
                <w:szCs w:val="23"/>
                <w:lang w:val="en-US" w:bidi="en-US"/>
              </w:rPr>
              <w:t>, SNS 2000, c 24</w:t>
            </w:r>
          </w:p>
          <w:p w14:paraId="133BEC70" w14:textId="1EAF3568"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Agriculture and Rural Credit Act</w:t>
            </w:r>
            <w:r w:rsidRPr="00F52884">
              <w:rPr>
                <w:rFonts w:eastAsia="Times New Roman" w:cstheme="minorHAnsi"/>
                <w:szCs w:val="23"/>
                <w:lang w:val="en-US" w:bidi="en-US"/>
              </w:rPr>
              <w:t>, RSNS 1989, c 7</w:t>
            </w:r>
          </w:p>
          <w:p w14:paraId="7CEA3756" w14:textId="66BBA427" w:rsidR="00B8348C" w:rsidRPr="00F52884" w:rsidRDefault="00B8348C" w:rsidP="00E927A7">
            <w:pPr>
              <w:spacing w:before="60" w:after="60"/>
              <w:rPr>
                <w:rFonts w:eastAsia="Times New Roman" w:cstheme="minorHAnsi"/>
                <w:szCs w:val="23"/>
                <w:lang w:val="en-US"/>
              </w:rPr>
            </w:pPr>
            <w:r w:rsidRPr="00F52884">
              <w:rPr>
                <w:rFonts w:eastAsia="Times New Roman" w:cstheme="minorHAnsi"/>
                <w:i/>
                <w:szCs w:val="23"/>
                <w:lang w:val="en-US"/>
              </w:rPr>
              <w:t>Agriculture and Marketing Act</w:t>
            </w:r>
            <w:r w:rsidRPr="00F52884">
              <w:rPr>
                <w:rFonts w:eastAsia="Times New Roman" w:cstheme="minorHAnsi"/>
                <w:szCs w:val="23"/>
                <w:lang w:val="en-US"/>
              </w:rPr>
              <w:t>, RSNS 1989, c 6</w:t>
            </w:r>
          </w:p>
        </w:tc>
      </w:tr>
      <w:tr w:rsidR="00B8348C" w:rsidRPr="00F52884" w14:paraId="60FA920F"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51811B21" w14:textId="77777777" w:rsidR="00B8348C" w:rsidRPr="00F52884" w:rsidRDefault="00B8348C" w:rsidP="00D1446B">
            <w:pPr>
              <w:spacing w:before="60" w:after="60"/>
              <w:rPr>
                <w:b/>
              </w:rPr>
            </w:pPr>
            <w:r w:rsidRPr="00F52884">
              <w:rPr>
                <w:b/>
                <w:lang w:val="fr-CA"/>
              </w:rPr>
              <w:t>Description :</w:t>
            </w:r>
          </w:p>
        </w:tc>
      </w:tr>
      <w:tr w:rsidR="00B8348C" w:rsidRPr="00D315AF" w14:paraId="3E35939B"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40E43C1F" w14:textId="35424891" w:rsidR="00B8348C" w:rsidRPr="00F52884" w:rsidRDefault="00B8348C" w:rsidP="00E927A7">
            <w:pPr>
              <w:spacing w:before="120" w:after="120"/>
              <w:rPr>
                <w:rFonts w:eastAsia="Times New Roman" w:cstheme="minorHAnsi"/>
                <w:bCs/>
                <w:szCs w:val="23"/>
                <w:highlight w:val="yellow"/>
                <w:lang w:val="fr-CA"/>
              </w:rPr>
            </w:pPr>
            <w:r w:rsidRPr="00F52884">
              <w:rPr>
                <w:rFonts w:eastAsia="Times New Roman" w:cstheme="minorHAnsi"/>
                <w:szCs w:val="23"/>
                <w:lang w:val="fr-CA" w:eastAsia="en-CA" w:bidi="en-US"/>
              </w:rPr>
              <w:t xml:space="preserve">Les mesures susmentionnées permettent au gouvernement de la Nouvelle-Écosse de réglementer et d’accorder diverses autorisations à l’égard du mouvement, la </w:t>
            </w:r>
            <w:proofErr w:type="gramStart"/>
            <w:r w:rsidRPr="00F52884">
              <w:rPr>
                <w:rFonts w:eastAsia="Times New Roman" w:cstheme="minorHAnsi"/>
                <w:szCs w:val="23"/>
                <w:lang w:val="fr-CA" w:eastAsia="en-CA" w:bidi="en-US"/>
              </w:rPr>
              <w:t>production  et</w:t>
            </w:r>
            <w:proofErr w:type="gramEnd"/>
            <w:r w:rsidRPr="00F52884">
              <w:rPr>
                <w:rFonts w:eastAsia="Times New Roman" w:cstheme="minorHAnsi"/>
                <w:szCs w:val="23"/>
                <w:lang w:val="fr-CA" w:eastAsia="en-CA" w:bidi="en-US"/>
              </w:rPr>
              <w:t xml:space="preserve"> la commercialisation des produits agricoles, de produits alimentaires, de poissons et de produits de poissons en Nouvelle-Écosse, et notamment d’adopter des mesures visant la gestion de l’offre de produits laitiers, d’œufs et de volailles.</w:t>
            </w:r>
            <w:r w:rsidRPr="00F52884">
              <w:rPr>
                <w:rFonts w:cstheme="minorHAnsi"/>
                <w:b/>
                <w:szCs w:val="23"/>
                <w:lang w:val="fr-FR"/>
              </w:rPr>
              <w:t xml:space="preserve"> </w:t>
            </w:r>
            <w:r w:rsidRPr="00F52884">
              <w:rPr>
                <w:rFonts w:cstheme="minorHAnsi"/>
                <w:szCs w:val="23"/>
                <w:lang w:val="fr-FR"/>
              </w:rPr>
              <w:t>L'exception à l'obligation du droit d'entrée et de sortie (article 301.2) est limitée aux poissons et aux produits de poissons</w:t>
            </w:r>
          </w:p>
          <w:p w14:paraId="0EE33A05" w14:textId="037B4231"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 xml:space="preserve">Sans restreindre la portée générale de ce qui précède, ces mesures peuvent supposer la prise de décisions discrétionnaires fondées sur divers facteurs, l’imposition de prescriptions de résultats, le droit d’entrée et de sortie, ou la discrimination </w:t>
            </w:r>
            <w:r w:rsidRPr="00F52884">
              <w:rPr>
                <w:rFonts w:cstheme="minorHAnsi"/>
                <w:szCs w:val="23"/>
                <w:lang w:val="fr-FR"/>
              </w:rPr>
              <w:t xml:space="preserve">se rapportant aux services, aux investissements et aux </w:t>
            </w:r>
            <w:r w:rsidRPr="00F52884">
              <w:rPr>
                <w:rFonts w:eastAsia="Times New Roman" w:cstheme="minorHAnsi"/>
                <w:szCs w:val="23"/>
                <w:lang w:val="fr-CA"/>
              </w:rPr>
              <w:t xml:space="preserve">produits fabriqués en Nouvelle-Écosse en faveur de résidents de la Nouvelle-Écosse ou d’entités établies selon la législation du Canada ou d’une province ou d’un territoire du Canada qui ont un lieu d’affaires en Nouvelle-Écosse et y effectuent des opérations commerciales substantielles. </w:t>
            </w:r>
          </w:p>
        </w:tc>
      </w:tr>
    </w:tbl>
    <w:p w14:paraId="286C6738" w14:textId="77777777" w:rsidR="00B8348C" w:rsidRPr="00F52884" w:rsidRDefault="00B8348C" w:rsidP="00610CDD">
      <w:pPr>
        <w:rPr>
          <w:rFonts w:eastAsia="Times New Roman" w:cstheme="minorHAnsi"/>
          <w:b/>
          <w:szCs w:val="23"/>
          <w:lang w:val="fr-CA"/>
        </w:rPr>
      </w:pPr>
    </w:p>
    <w:p w14:paraId="61C094E0" w14:textId="77777777" w:rsidR="00B8348C" w:rsidRPr="00F52884" w:rsidRDefault="00B8348C" w:rsidP="00610CDD">
      <w:pPr>
        <w:rPr>
          <w:rFonts w:cstheme="minorHAnsi"/>
          <w:b/>
          <w:szCs w:val="23"/>
          <w:lang w:val="fr-CA"/>
        </w:rPr>
      </w:pPr>
    </w:p>
    <w:p w14:paraId="341C44CB" w14:textId="44FD9389"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8.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F3277E" w:rsidRPr="00F52884" w14:paraId="6B115A91" w14:textId="77777777" w:rsidTr="00E927A7">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2C33D744" w14:textId="77777777" w:rsidR="00F3277E" w:rsidRPr="00F52884" w:rsidRDefault="00F3277E" w:rsidP="00E927A7">
            <w:pPr>
              <w:spacing w:before="60" w:after="60"/>
              <w:rPr>
                <w:rFonts w:eastAsia="Times New Roman" w:cstheme="minorHAnsi"/>
                <w:szCs w:val="23"/>
                <w:lang w:val="en-US"/>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3B87FD68" w14:textId="3D0DBEE4" w:rsidR="00F3277E" w:rsidRPr="00F52884" w:rsidRDefault="00F3277E" w:rsidP="00E927A7">
            <w:pPr>
              <w:spacing w:before="60" w:after="60"/>
              <w:rPr>
                <w:rFonts w:eastAsia="Times New Roman" w:cstheme="minorHAnsi"/>
                <w:szCs w:val="23"/>
                <w:lang w:val="en-US"/>
              </w:rPr>
            </w:pPr>
            <w:r w:rsidRPr="00F52884">
              <w:rPr>
                <w:rFonts w:eastAsia="Times New Roman" w:cstheme="minorHAnsi"/>
                <w:szCs w:val="23"/>
                <w:lang w:val="fr-CA"/>
              </w:rPr>
              <w:t>Énergie</w:t>
            </w:r>
          </w:p>
        </w:tc>
      </w:tr>
      <w:tr w:rsidR="00F3277E" w:rsidRPr="00D315AF" w14:paraId="21A845E0" w14:textId="77777777" w:rsidTr="00E927A7">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2D27C550" w14:textId="77777777" w:rsidR="00F3277E" w:rsidRPr="00F52884" w:rsidRDefault="00F3277E" w:rsidP="00E927A7">
            <w:pPr>
              <w:spacing w:before="60" w:after="60"/>
              <w:rPr>
                <w:rFonts w:eastAsia="Times New Roman" w:cstheme="minorHAnsi"/>
                <w:szCs w:val="23"/>
                <w:lang w:val="fr-CA"/>
              </w:rPr>
            </w:pPr>
            <w:r w:rsidRPr="00F52884">
              <w:rPr>
                <w:rFonts w:eastAsia="Times New Roman" w:cstheme="minorHAnsi"/>
                <w:b/>
                <w:bCs/>
                <w:szCs w:val="23"/>
                <w:lang w:val="fr-CA"/>
              </w:rPr>
              <w:t>Sous-secteur </w:t>
            </w:r>
            <w:r w:rsidRPr="00F52884">
              <w:rPr>
                <w:rFonts w:eastAsia="Times New Roman" w:cstheme="minorHAnsi"/>
                <w:b/>
                <w:szCs w:val="23"/>
                <w:lang w:val="fr-CA"/>
              </w:rPr>
              <w:t>:</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13CC5A13" w14:textId="5154E9B3" w:rsidR="00F3277E" w:rsidRPr="00F52884" w:rsidRDefault="00F3277E" w:rsidP="00E927A7">
            <w:pPr>
              <w:spacing w:before="60" w:after="60"/>
              <w:rPr>
                <w:rFonts w:eastAsia="Times New Roman" w:cstheme="minorHAnsi"/>
                <w:szCs w:val="23"/>
                <w:lang w:val="fr-CA"/>
              </w:rPr>
            </w:pPr>
            <w:r w:rsidRPr="00F52884">
              <w:rPr>
                <w:rFonts w:eastAsia="Times New Roman" w:cstheme="minorHAnsi"/>
                <w:szCs w:val="23"/>
                <w:lang w:val="fr-CA"/>
              </w:rPr>
              <w:t>Électricité et services annexes à la distribution d’énergie</w:t>
            </w:r>
          </w:p>
        </w:tc>
      </w:tr>
      <w:tr w:rsidR="00F3277E" w:rsidRPr="00F52884" w14:paraId="7BDB8119" w14:textId="77777777" w:rsidTr="00E927A7">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9A9408E" w14:textId="77777777" w:rsidR="00F3277E" w:rsidRPr="00F52884" w:rsidRDefault="00F3277E" w:rsidP="00E927A7">
            <w:pPr>
              <w:spacing w:before="60" w:after="60"/>
              <w:rPr>
                <w:rFonts w:eastAsia="Times New Roman" w:cstheme="minorHAnsi"/>
                <w:szCs w:val="23"/>
                <w:lang w:val="en-US"/>
              </w:rPr>
            </w:pPr>
            <w:r w:rsidRPr="00F52884">
              <w:rPr>
                <w:rFonts w:eastAsia="Times New Roman" w:cstheme="minorHAnsi"/>
                <w:b/>
                <w:bCs/>
                <w:szCs w:val="23"/>
                <w:lang w:val="fr-CA"/>
              </w:rPr>
              <w:lastRenderedPageBreak/>
              <w:t>Classification de l’industrie :</w:t>
            </w:r>
            <w:r w:rsidRPr="00F52884">
              <w:rPr>
                <w:rFonts w:eastAsia="Times New Roman" w:cstheme="minorHAnsi"/>
                <w:szCs w:val="23"/>
                <w:shd w:val="clear" w:color="auto" w:fill="FFFFFF"/>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4F8D53FA" w14:textId="017BAE78" w:rsidR="00F3277E" w:rsidRPr="00F52884" w:rsidRDefault="00F3277E" w:rsidP="00E927A7">
            <w:pPr>
              <w:spacing w:before="60" w:after="60"/>
              <w:rPr>
                <w:rFonts w:eastAsia="Times New Roman" w:cstheme="minorHAnsi"/>
                <w:szCs w:val="23"/>
                <w:lang w:val="en-US"/>
              </w:rPr>
            </w:pPr>
            <w:r w:rsidRPr="00F52884">
              <w:rPr>
                <w:rFonts w:eastAsia="Times New Roman" w:cstheme="minorHAnsi"/>
                <w:szCs w:val="23"/>
                <w:shd w:val="clear" w:color="auto" w:fill="FFFFFF"/>
                <w:lang w:val="fr-CA"/>
              </w:rPr>
              <w:t>CPC 17, 887</w:t>
            </w:r>
          </w:p>
        </w:tc>
      </w:tr>
      <w:tr w:rsidR="00F3277E" w:rsidRPr="00D315AF" w14:paraId="773C63C9"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2055751A" w14:textId="77777777"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2EF48FC6" w14:textId="265433EE" w:rsidR="00F3277E" w:rsidRPr="00F52884" w:rsidRDefault="00F3277E"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 article 313 (Prescriptions de résultats)</w:t>
            </w:r>
          </w:p>
        </w:tc>
      </w:tr>
      <w:tr w:rsidR="00B8348C" w:rsidRPr="00F52884" w14:paraId="706FFF50" w14:textId="77777777" w:rsidTr="00F3277E">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62CD1373" w14:textId="77777777" w:rsidR="00B8348C" w:rsidRPr="00F52884" w:rsidRDefault="00B8348C" w:rsidP="00D1446B">
            <w:pPr>
              <w:spacing w:before="60" w:after="60"/>
              <w:rPr>
                <w:b/>
                <w:lang w:val="en-GB"/>
              </w:rPr>
            </w:pPr>
            <w:r w:rsidRPr="00F52884">
              <w:rPr>
                <w:b/>
                <w:lang w:val="fr-CA"/>
              </w:rPr>
              <w:t>Mesure(s) :</w:t>
            </w:r>
          </w:p>
        </w:tc>
      </w:tr>
      <w:tr w:rsidR="00B8348C" w:rsidRPr="00F52884" w14:paraId="5E157F69" w14:textId="77777777" w:rsidTr="00F3277E">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13A2866B" w14:textId="5A37B3BC"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Crown Lands Act</w:t>
            </w:r>
            <w:r w:rsidRPr="00F52884">
              <w:rPr>
                <w:rFonts w:eastAsia="Times New Roman" w:cstheme="minorHAnsi"/>
                <w:szCs w:val="23"/>
                <w:lang w:val="en-US" w:bidi="en-US"/>
              </w:rPr>
              <w:t>, RSNS 1989, c 114</w:t>
            </w:r>
          </w:p>
          <w:p w14:paraId="5D0B6F24" w14:textId="5BAD7902"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Electricity Act</w:t>
            </w:r>
            <w:r w:rsidRPr="00F52884">
              <w:rPr>
                <w:rFonts w:eastAsia="Times New Roman" w:cstheme="minorHAnsi"/>
                <w:szCs w:val="23"/>
                <w:lang w:val="en-US" w:bidi="en-US"/>
              </w:rPr>
              <w:t>, SNS 2004, c 25</w:t>
            </w:r>
          </w:p>
          <w:p w14:paraId="1AB3A1BB" w14:textId="4F35AA98"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Nova Scotia Power Privatization Act</w:t>
            </w:r>
            <w:r w:rsidRPr="00F52884">
              <w:rPr>
                <w:rFonts w:eastAsia="Times New Roman" w:cstheme="minorHAnsi"/>
                <w:szCs w:val="23"/>
                <w:lang w:val="en-US" w:bidi="en-US"/>
              </w:rPr>
              <w:t>, SNS 1992, c 8</w:t>
            </w:r>
          </w:p>
          <w:p w14:paraId="78503AC1" w14:textId="1EC0BA61" w:rsidR="00B8348C" w:rsidRPr="00F52884" w:rsidRDefault="00B8348C" w:rsidP="00E927A7">
            <w:pPr>
              <w:spacing w:before="60" w:after="60"/>
              <w:rPr>
                <w:rFonts w:eastAsia="Times New Roman" w:cstheme="minorHAnsi"/>
                <w:szCs w:val="23"/>
                <w:lang w:bidi="en-US"/>
              </w:rPr>
            </w:pPr>
            <w:r w:rsidRPr="00F52884">
              <w:rPr>
                <w:rFonts w:eastAsia="Times New Roman" w:cstheme="minorHAnsi"/>
                <w:i/>
                <w:szCs w:val="23"/>
                <w:lang w:val="en-US" w:bidi="en-US"/>
              </w:rPr>
              <w:t>Nova Scotia Power Reorganization (1998) Act</w:t>
            </w:r>
            <w:r w:rsidRPr="00F52884">
              <w:rPr>
                <w:rFonts w:eastAsia="Times New Roman" w:cstheme="minorHAnsi"/>
                <w:szCs w:val="23"/>
                <w:lang w:val="en-US" w:bidi="en-US"/>
              </w:rPr>
              <w:t>, SNS 1998, c 19</w:t>
            </w:r>
          </w:p>
          <w:p w14:paraId="38EAE451" w14:textId="3775055A" w:rsidR="00B8348C" w:rsidRPr="00F52884" w:rsidRDefault="00B8348C" w:rsidP="00E927A7">
            <w:pPr>
              <w:spacing w:before="60" w:after="60"/>
              <w:rPr>
                <w:rFonts w:eastAsia="Times New Roman" w:cstheme="minorHAnsi"/>
                <w:szCs w:val="23"/>
                <w:lang w:bidi="en-US"/>
              </w:rPr>
            </w:pPr>
            <w:r w:rsidRPr="00B04E29">
              <w:rPr>
                <w:rFonts w:eastAsia="Times New Roman" w:cstheme="minorHAnsi"/>
                <w:i/>
                <w:szCs w:val="23"/>
                <w:lang w:bidi="en-US"/>
              </w:rPr>
              <w:t>Public Utilities Act</w:t>
            </w:r>
            <w:r w:rsidRPr="00B04E29">
              <w:rPr>
                <w:rFonts w:eastAsia="Times New Roman" w:cstheme="minorHAnsi"/>
                <w:szCs w:val="23"/>
                <w:lang w:bidi="en-US"/>
              </w:rPr>
              <w:t>, RSNS 1989, c 380</w:t>
            </w:r>
          </w:p>
          <w:p w14:paraId="2645C7FA" w14:textId="754896F8" w:rsidR="00B8348C" w:rsidRPr="00B04E29" w:rsidRDefault="00B8348C" w:rsidP="00E927A7">
            <w:pPr>
              <w:spacing w:before="60" w:after="60"/>
              <w:rPr>
                <w:rFonts w:eastAsia="Times New Roman" w:cstheme="minorHAnsi"/>
                <w:szCs w:val="23"/>
              </w:rPr>
            </w:pPr>
            <w:r w:rsidRPr="00B04E29">
              <w:rPr>
                <w:rFonts w:eastAsia="Times New Roman" w:cstheme="minorHAnsi"/>
                <w:i/>
                <w:szCs w:val="23"/>
              </w:rPr>
              <w:t>Renewable Electricity Regulations</w:t>
            </w:r>
            <w:r w:rsidRPr="00B04E29">
              <w:rPr>
                <w:rFonts w:eastAsia="Times New Roman" w:cstheme="minorHAnsi"/>
                <w:szCs w:val="23"/>
              </w:rPr>
              <w:t xml:space="preserve">, </w:t>
            </w:r>
            <w:r w:rsidR="00025E55" w:rsidRPr="00B04E29">
              <w:rPr>
                <w:rFonts w:eastAsia="Times New Roman" w:cstheme="minorHAnsi"/>
                <w:szCs w:val="23"/>
              </w:rPr>
              <w:t xml:space="preserve">OIC 2010-381 (October 12, 2010), </w:t>
            </w:r>
            <w:r w:rsidRPr="00B04E29">
              <w:rPr>
                <w:rFonts w:eastAsia="Times New Roman" w:cstheme="minorHAnsi"/>
                <w:szCs w:val="23"/>
              </w:rPr>
              <w:t>NS Reg 155/2010</w:t>
            </w:r>
          </w:p>
        </w:tc>
      </w:tr>
      <w:tr w:rsidR="00B8348C" w:rsidRPr="00F52884" w14:paraId="331C98C9" w14:textId="77777777" w:rsidTr="00F3277E">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79C5C4D2" w14:textId="77777777" w:rsidR="00B8348C" w:rsidRPr="00F52884" w:rsidRDefault="00B8348C" w:rsidP="00D1446B">
            <w:pPr>
              <w:spacing w:before="60" w:after="60"/>
              <w:rPr>
                <w:b/>
                <w:lang w:val="fr-CA"/>
              </w:rPr>
            </w:pPr>
            <w:r w:rsidRPr="00F52884">
              <w:rPr>
                <w:b/>
                <w:lang w:val="fr-CA"/>
              </w:rPr>
              <w:t>Description :</w:t>
            </w:r>
          </w:p>
        </w:tc>
      </w:tr>
      <w:tr w:rsidR="00B8348C" w:rsidRPr="00D315AF" w14:paraId="767BA8B5" w14:textId="77777777" w:rsidTr="00F3277E">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6B1E3175" w14:textId="77777777" w:rsidR="00B8348C" w:rsidRPr="00F52884"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Les mesures susmentionnées ont notamment pour objet de permettre au gouvernement de la Nouvelle-Écosse :</w:t>
            </w:r>
          </w:p>
          <w:p w14:paraId="005C3890" w14:textId="77777777" w:rsidR="00B8348C" w:rsidRPr="00F52884" w:rsidRDefault="00B8348C" w:rsidP="00E927A7">
            <w:pPr>
              <w:numPr>
                <w:ilvl w:val="0"/>
                <w:numId w:val="233"/>
              </w:numPr>
              <w:spacing w:before="120" w:after="120" w:line="259" w:lineRule="auto"/>
              <w:rPr>
                <w:rFonts w:eastAsia="Times New Roman" w:cstheme="minorHAnsi"/>
                <w:szCs w:val="23"/>
                <w:lang w:val="fr-CA"/>
              </w:rPr>
            </w:pPr>
            <w:proofErr w:type="gramStart"/>
            <w:r w:rsidRPr="00F52884">
              <w:rPr>
                <w:rFonts w:eastAsia="Times New Roman" w:cstheme="minorHAnsi"/>
                <w:szCs w:val="23"/>
                <w:lang w:val="fr-CA"/>
              </w:rPr>
              <w:t>d’adopter</w:t>
            </w:r>
            <w:proofErr w:type="gramEnd"/>
            <w:r w:rsidRPr="00F52884">
              <w:rPr>
                <w:rFonts w:eastAsia="Times New Roman" w:cstheme="minorHAnsi"/>
                <w:szCs w:val="23"/>
                <w:lang w:val="fr-CA"/>
              </w:rPr>
              <w:t xml:space="preserve"> une réglementation et de délivrer diverses autorisations liées à la production, à la mise en valeur, à l’exploitation et à l’entretien des installations de production, au transport (incluant le contrôle du réseau), à la distribution, à la livraison, à l’importation, à l’exportation et à la fourniture d’électricité, y compris celle produite par des sources d’énergie renouvelable;</w:t>
            </w:r>
          </w:p>
          <w:p w14:paraId="6CF2A4E2" w14:textId="0346B46F" w:rsidR="00B8348C" w:rsidRPr="00F52884" w:rsidRDefault="00B8348C" w:rsidP="00E927A7">
            <w:pPr>
              <w:numPr>
                <w:ilvl w:val="0"/>
                <w:numId w:val="233"/>
              </w:numPr>
              <w:spacing w:before="120" w:after="120" w:line="259" w:lineRule="auto"/>
              <w:rPr>
                <w:rFonts w:eastAsia="Times New Roman" w:cstheme="minorHAnsi"/>
                <w:szCs w:val="23"/>
                <w:lang w:val="fr-CA"/>
              </w:rPr>
            </w:pPr>
            <w:proofErr w:type="gramStart"/>
            <w:r w:rsidRPr="00F52884">
              <w:rPr>
                <w:rFonts w:eastAsia="Times New Roman" w:cstheme="minorHAnsi"/>
                <w:szCs w:val="23"/>
                <w:lang w:val="fr-CA"/>
              </w:rPr>
              <w:t>de</w:t>
            </w:r>
            <w:proofErr w:type="gramEnd"/>
            <w:r w:rsidRPr="00F52884">
              <w:rPr>
                <w:rFonts w:eastAsia="Times New Roman" w:cstheme="minorHAnsi"/>
                <w:szCs w:val="23"/>
                <w:lang w:val="fr-CA"/>
              </w:rPr>
              <w:t xml:space="preserve"> prévoir la concession de terres et de plans d’eau en Nouvelle-Écosse pour un produit, une force ou une source d’énergie à partir de laquelle il est possible de produire de l’électricité, y compris la mise en place d’éoliennes et d’installations hydroélectriques; et </w:t>
            </w:r>
          </w:p>
          <w:p w14:paraId="74B6536C" w14:textId="3A1763E4" w:rsidR="00B8348C" w:rsidRPr="00F52884" w:rsidRDefault="00B8348C" w:rsidP="00E927A7">
            <w:pPr>
              <w:numPr>
                <w:ilvl w:val="0"/>
                <w:numId w:val="233"/>
              </w:numPr>
              <w:spacing w:before="120" w:after="120" w:line="259" w:lineRule="auto"/>
              <w:rPr>
                <w:rFonts w:eastAsia="Times New Roman" w:cstheme="minorHAnsi"/>
                <w:szCs w:val="23"/>
                <w:lang w:val="fr-CA"/>
              </w:rPr>
            </w:pPr>
            <w:proofErr w:type="gramStart"/>
            <w:r w:rsidRPr="00F52884">
              <w:rPr>
                <w:rFonts w:eastAsia="Times New Roman" w:cstheme="minorHAnsi"/>
                <w:szCs w:val="23"/>
                <w:lang w:val="fr-CA"/>
              </w:rPr>
              <w:t>de</w:t>
            </w:r>
            <w:proofErr w:type="gramEnd"/>
            <w:r w:rsidRPr="00F52884">
              <w:rPr>
                <w:rFonts w:eastAsia="Times New Roman" w:cstheme="minorHAnsi"/>
                <w:szCs w:val="23"/>
                <w:lang w:val="fr-CA"/>
              </w:rPr>
              <w:t xml:space="preserve"> fixer et de modifier les tarifs de l’électricité, y</w:t>
            </w:r>
            <w:r w:rsidR="00E927A7" w:rsidRPr="00F52884">
              <w:rPr>
                <w:rFonts w:eastAsia="Times New Roman" w:cstheme="minorHAnsi"/>
                <w:szCs w:val="23"/>
                <w:lang w:val="fr-CA"/>
              </w:rPr>
              <w:t xml:space="preserve"> compris les tarifs de rachat. </w:t>
            </w:r>
          </w:p>
          <w:p w14:paraId="367F0259" w14:textId="77777777" w:rsidR="00B8348C" w:rsidRDefault="00B8348C" w:rsidP="00E927A7">
            <w:pPr>
              <w:spacing w:before="120" w:after="120"/>
              <w:rPr>
                <w:rFonts w:eastAsia="Times New Roman" w:cstheme="minorHAnsi"/>
                <w:szCs w:val="23"/>
                <w:lang w:val="fr-CA"/>
              </w:rPr>
            </w:pPr>
            <w:r w:rsidRPr="00F52884">
              <w:rPr>
                <w:rFonts w:eastAsia="Times New Roman" w:cstheme="minorHAnsi"/>
                <w:szCs w:val="23"/>
                <w:lang w:val="fr-CA"/>
              </w:rPr>
              <w:t>Sans restreindre la portée générale de ce qui précède, ces mesures peuvent supposer la prise de décisions discrétionnaires fondées sur divers facteurs, l’imposition de prescriptions de résultats ou encore la discrimination en faveur de résidents de la Nouvelle-Écosse ou d’entités établies selon la législation du Canada ou d’une province ou d’un territoire du Canada qui ont un lieu d’affaires en Nouvelle-Écosse et y effectuent des opérations commerciales substantielles.</w:t>
            </w:r>
          </w:p>
          <w:p w14:paraId="11AB5F82" w14:textId="7EE930B3" w:rsidR="000E6C3B" w:rsidRPr="00F52884" w:rsidRDefault="000E6C3B" w:rsidP="00E927A7">
            <w:pPr>
              <w:spacing w:before="120" w:after="120"/>
              <w:rPr>
                <w:rFonts w:eastAsia="Times New Roman" w:cstheme="minorHAnsi"/>
                <w:szCs w:val="23"/>
                <w:lang w:val="fr-CA"/>
              </w:rPr>
            </w:pPr>
            <w:r>
              <w:rPr>
                <w:rFonts w:eastAsia="Times New Roman" w:cstheme="minorHAnsi"/>
                <w:szCs w:val="23"/>
                <w:lang w:val="fr-CA"/>
              </w:rPr>
              <w:t>Il est entendu que cette exception n’a pas pour but de s’appliquer à une obligation que le gouvernement de la Nouvelle-Écosse pourrait avoir en vertu de l’article 309 ou de l’article 2 de l’annexe 309. En cas d’incompatibilité entre la présente exception et l’article 309 ou l’article 2 de l’annexe 309, les dispositions applicables de l’article 309 ou de l’article 2 de l’annexe 309, selon le cas, l’emportent dans la mesure de l’incompatibilité.</w:t>
            </w:r>
          </w:p>
        </w:tc>
      </w:tr>
    </w:tbl>
    <w:p w14:paraId="01042796" w14:textId="77777777" w:rsidR="00B8348C" w:rsidRPr="00F52884" w:rsidRDefault="00B8348C" w:rsidP="00610CDD">
      <w:pPr>
        <w:rPr>
          <w:rFonts w:cstheme="minorHAnsi"/>
          <w:b/>
          <w:szCs w:val="23"/>
          <w:lang w:val="fr-CA"/>
        </w:rPr>
      </w:pPr>
    </w:p>
    <w:p w14:paraId="176F547A" w14:textId="77777777" w:rsidR="00B8348C" w:rsidRPr="00F52884" w:rsidRDefault="00B8348C" w:rsidP="00610CDD">
      <w:pPr>
        <w:rPr>
          <w:rFonts w:cstheme="minorHAnsi"/>
          <w:b/>
          <w:szCs w:val="23"/>
          <w:lang w:val="fr-CA"/>
        </w:rPr>
      </w:pPr>
    </w:p>
    <w:p w14:paraId="25087B87" w14:textId="5820E984" w:rsidR="00B8348C" w:rsidRPr="00F52884" w:rsidRDefault="00F3277E" w:rsidP="00E927A7">
      <w:pPr>
        <w:pStyle w:val="ListParagraph"/>
        <w:spacing w:before="60" w:after="60"/>
        <w:ind w:left="-360"/>
        <w:rPr>
          <w:rFonts w:cstheme="minorHAnsi"/>
          <w:b/>
          <w:caps/>
          <w:szCs w:val="23"/>
        </w:rPr>
      </w:pPr>
      <w:r w:rsidRPr="00F52884">
        <w:rPr>
          <w:rFonts w:cstheme="minorHAnsi"/>
          <w:b/>
          <w:bCs/>
          <w:caps/>
          <w:szCs w:val="23"/>
          <w:lang w:val="fr-CA"/>
        </w:rPr>
        <w:t xml:space="preserve">9.  </w:t>
      </w:r>
      <w:r w:rsidR="00B8348C" w:rsidRPr="00F52884">
        <w:rPr>
          <w:rFonts w:cstheme="minorHAnsi"/>
          <w:b/>
          <w:bCs/>
          <w:caps/>
          <w:szCs w:val="23"/>
          <w:lang w:val="fr-CA"/>
        </w:rPr>
        <w:t>Nouvelle-Écosse</w:t>
      </w:r>
    </w:p>
    <w:tbl>
      <w:tblPr>
        <w:tblW w:w="10252" w:type="dxa"/>
        <w:jc w:val="center"/>
        <w:tblCellMar>
          <w:top w:w="14" w:type="dxa"/>
          <w:left w:w="86" w:type="dxa"/>
          <w:bottom w:w="14" w:type="dxa"/>
          <w:right w:w="86" w:type="dxa"/>
        </w:tblCellMar>
        <w:tblLook w:val="0000" w:firstRow="0" w:lastRow="0" w:firstColumn="0" w:lastColumn="0" w:noHBand="0" w:noVBand="0"/>
      </w:tblPr>
      <w:tblGrid>
        <w:gridCol w:w="2340"/>
        <w:gridCol w:w="7912"/>
      </w:tblGrid>
      <w:tr w:rsidR="00E927A7" w:rsidRPr="00D315AF" w14:paraId="791A286C" w14:textId="77777777" w:rsidTr="00E927A7">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3EB67F61" w14:textId="77777777" w:rsidR="00E927A7" w:rsidRPr="00F52884" w:rsidRDefault="00E927A7" w:rsidP="00E927A7">
            <w:pPr>
              <w:spacing w:before="60" w:after="60"/>
              <w:rPr>
                <w:rFonts w:eastAsia="Times New Roman" w:cstheme="minorHAnsi"/>
                <w:b/>
                <w:szCs w:val="23"/>
                <w:lang w:val="fr-CA"/>
              </w:rPr>
            </w:pPr>
            <w:r w:rsidRPr="00F52884">
              <w:rPr>
                <w:rFonts w:eastAsia="Times New Roman" w:cstheme="minorHAnsi"/>
                <w:szCs w:val="23"/>
                <w:lang w:val="fr-CA"/>
              </w:rPr>
              <w:br w:type="page"/>
            </w: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5177B9A7" w14:textId="713AD426" w:rsidR="00E927A7" w:rsidRPr="00F52884" w:rsidRDefault="00E927A7" w:rsidP="00E927A7">
            <w:pPr>
              <w:spacing w:before="60" w:after="60"/>
              <w:rPr>
                <w:rFonts w:eastAsia="Times New Roman" w:cstheme="minorHAnsi"/>
                <w:b/>
                <w:szCs w:val="23"/>
                <w:lang w:val="fr-CA"/>
              </w:rPr>
            </w:pPr>
            <w:r w:rsidRPr="00F52884">
              <w:rPr>
                <w:rFonts w:eastAsia="Times New Roman" w:cstheme="minorHAnsi"/>
                <w:szCs w:val="23"/>
                <w:lang w:val="fr-CA"/>
              </w:rPr>
              <w:t>Services récréatifs, culturels et sportifs</w:t>
            </w:r>
          </w:p>
        </w:tc>
      </w:tr>
      <w:tr w:rsidR="00E927A7" w:rsidRPr="00D315AF" w14:paraId="07A06B68" w14:textId="77777777" w:rsidTr="00E927A7">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7BEAFDED" w14:textId="77777777" w:rsidR="00E927A7" w:rsidRPr="00F52884" w:rsidRDefault="00E927A7" w:rsidP="00E927A7">
            <w:pPr>
              <w:spacing w:before="60" w:after="60"/>
              <w:rPr>
                <w:rFonts w:eastAsia="Times New Roman" w:cstheme="minorHAnsi"/>
                <w:b/>
                <w:szCs w:val="23"/>
                <w:lang w:val="fr-CA"/>
              </w:rPr>
            </w:pPr>
            <w:r w:rsidRPr="00F52884">
              <w:rPr>
                <w:rFonts w:eastAsia="Times New Roman" w:cstheme="minorHAnsi"/>
                <w:b/>
                <w:bCs/>
                <w:szCs w:val="23"/>
                <w:lang w:val="fr-CA"/>
              </w:rPr>
              <w:t>Sous-secteur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7B8DBD34" w14:textId="1F2CFBF3" w:rsidR="00E927A7" w:rsidRPr="00F52884" w:rsidRDefault="00E927A7" w:rsidP="00E927A7">
            <w:pPr>
              <w:spacing w:before="60" w:after="60"/>
              <w:rPr>
                <w:rFonts w:eastAsia="Times New Roman" w:cstheme="minorHAnsi"/>
                <w:b/>
                <w:szCs w:val="23"/>
                <w:lang w:val="fr-CA"/>
              </w:rPr>
            </w:pPr>
            <w:r w:rsidRPr="00F52884">
              <w:rPr>
                <w:rFonts w:eastAsia="Times New Roman" w:cstheme="minorHAnsi"/>
                <w:szCs w:val="23"/>
                <w:lang w:val="fr-CA"/>
              </w:rPr>
              <w:t>Services annexes à la chasse, chasse pour compte propre</w:t>
            </w:r>
          </w:p>
        </w:tc>
      </w:tr>
      <w:tr w:rsidR="00E927A7" w:rsidRPr="00F52884" w14:paraId="66885045" w14:textId="77777777" w:rsidTr="00E927A7">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6B13DB4" w14:textId="77777777" w:rsidR="00E927A7" w:rsidRPr="00F52884" w:rsidRDefault="00E927A7" w:rsidP="00E927A7">
            <w:pPr>
              <w:spacing w:before="60" w:after="60"/>
              <w:rPr>
                <w:rFonts w:eastAsia="Times New Roman" w:cstheme="minorHAnsi"/>
                <w:b/>
                <w:szCs w:val="23"/>
                <w:lang w:val="en-US"/>
              </w:rPr>
            </w:pPr>
            <w:r w:rsidRPr="00F52884">
              <w:rPr>
                <w:rFonts w:eastAsia="Times New Roman" w:cstheme="minorHAnsi"/>
                <w:b/>
                <w:bCs/>
                <w:szCs w:val="23"/>
                <w:lang w:val="fr-CA"/>
              </w:rPr>
              <w:lastRenderedPageBreak/>
              <w:t>Classification de l’industrie :</w:t>
            </w:r>
            <w:r w:rsidRPr="00F52884">
              <w:rPr>
                <w:rFonts w:eastAsia="Times New Roman" w:cstheme="minorHAnsi"/>
                <w:szCs w:val="23"/>
                <w:lang w:val="fr-CA"/>
              </w:rPr>
              <w:t xml:space="preserve"> </w:t>
            </w:r>
          </w:p>
        </w:tc>
        <w:tc>
          <w:tcPr>
            <w:tcW w:w="7912" w:type="dxa"/>
            <w:tcBorders>
              <w:top w:val="single" w:sz="4" w:space="0" w:color="C0C0C0"/>
              <w:left w:val="nil"/>
              <w:bottom w:val="single" w:sz="4" w:space="0" w:color="C0C0C0"/>
              <w:right w:val="single" w:sz="4" w:space="0" w:color="FFFFFF"/>
            </w:tcBorders>
            <w:vAlign w:val="center"/>
          </w:tcPr>
          <w:p w14:paraId="30451D78" w14:textId="3D76779D" w:rsidR="00E927A7" w:rsidRPr="00F52884" w:rsidRDefault="00E927A7" w:rsidP="00E927A7">
            <w:pPr>
              <w:spacing w:before="60" w:after="60"/>
              <w:rPr>
                <w:rFonts w:eastAsia="Times New Roman" w:cstheme="minorHAnsi"/>
                <w:b/>
                <w:szCs w:val="23"/>
                <w:lang w:val="en-US"/>
              </w:rPr>
            </w:pPr>
            <w:r w:rsidRPr="00F52884">
              <w:rPr>
                <w:rFonts w:eastAsia="Times New Roman" w:cstheme="minorHAnsi"/>
                <w:szCs w:val="23"/>
                <w:lang w:val="fr-CA"/>
              </w:rPr>
              <w:t>CPC 8813, 96419</w:t>
            </w:r>
          </w:p>
        </w:tc>
      </w:tr>
      <w:tr w:rsidR="00E927A7" w:rsidRPr="00F52884" w14:paraId="3A7377B1" w14:textId="77777777" w:rsidTr="00E927A7">
        <w:trPr>
          <w:trHeight w:val="42"/>
          <w:jc w:val="center"/>
        </w:trPr>
        <w:tc>
          <w:tcPr>
            <w:tcW w:w="2340" w:type="dxa"/>
            <w:tcBorders>
              <w:top w:val="single" w:sz="4" w:space="0" w:color="C0C0C0"/>
              <w:left w:val="nil"/>
              <w:bottom w:val="single" w:sz="4" w:space="0" w:color="C0C0C0"/>
              <w:right w:val="single" w:sz="4" w:space="0" w:color="FFFFFF" w:themeColor="background1"/>
            </w:tcBorders>
          </w:tcPr>
          <w:p w14:paraId="08E60E22" w14:textId="77777777" w:rsidR="00E927A7" w:rsidRPr="00F52884" w:rsidRDefault="00E927A7" w:rsidP="00E927A7">
            <w:pPr>
              <w:spacing w:before="60" w:after="60"/>
              <w:rPr>
                <w:rFonts w:eastAsia="Times New Roman" w:cstheme="minorHAnsi"/>
                <w:szCs w:val="23"/>
                <w:lang w:val="fr-CA" w:bidi="en-US"/>
              </w:rPr>
            </w:pPr>
            <w:r w:rsidRPr="00F52884">
              <w:rPr>
                <w:rFonts w:eastAsia="Times New Roman" w:cstheme="minorHAnsi"/>
                <w:b/>
                <w:bCs/>
                <w:szCs w:val="23"/>
                <w:lang w:val="fr-CA" w:bidi="en-US"/>
              </w:rPr>
              <w:t>Types d’exception :</w:t>
            </w:r>
            <w:r w:rsidRPr="00F52884">
              <w:rPr>
                <w:rFonts w:eastAsia="Times New Roman" w:cstheme="minorHAnsi"/>
                <w:szCs w:val="23"/>
                <w:lang w:val="fr-CA" w:bidi="en-US"/>
              </w:rPr>
              <w:t xml:space="preserve"> </w:t>
            </w:r>
          </w:p>
        </w:tc>
        <w:tc>
          <w:tcPr>
            <w:tcW w:w="7912" w:type="dxa"/>
            <w:tcBorders>
              <w:top w:val="single" w:sz="4" w:space="0" w:color="C0C0C0"/>
              <w:left w:val="single" w:sz="4" w:space="0" w:color="FFFFFF" w:themeColor="background1"/>
              <w:bottom w:val="single" w:sz="4" w:space="0" w:color="C0C0C0"/>
              <w:right w:val="single" w:sz="4" w:space="0" w:color="C0C0C0"/>
            </w:tcBorders>
          </w:tcPr>
          <w:p w14:paraId="167C5271" w14:textId="34F83297" w:rsidR="00E927A7" w:rsidRPr="00F52884" w:rsidRDefault="00E927A7" w:rsidP="00E927A7">
            <w:pPr>
              <w:spacing w:before="60" w:after="60"/>
              <w:rPr>
                <w:rFonts w:eastAsia="Times New Roman" w:cstheme="minorHAnsi"/>
                <w:szCs w:val="23"/>
                <w:lang w:val="fr-CA" w:bidi="en-US"/>
              </w:rPr>
            </w:pPr>
            <w:r w:rsidRPr="00F52884">
              <w:rPr>
                <w:rFonts w:eastAsia="Times New Roman" w:cstheme="minorHAnsi"/>
                <w:szCs w:val="23"/>
                <w:lang w:val="fr-CA" w:bidi="en-US"/>
              </w:rPr>
              <w:t>Article 201 (Traitement non discriminatoire)</w:t>
            </w:r>
          </w:p>
        </w:tc>
      </w:tr>
      <w:tr w:rsidR="00B8348C" w:rsidRPr="00F52884" w14:paraId="3C490F94" w14:textId="77777777" w:rsidTr="00E927A7">
        <w:trPr>
          <w:trHeight w:val="42"/>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7AC39571" w14:textId="77777777" w:rsidR="00B8348C" w:rsidRPr="00F52884" w:rsidRDefault="00B8348C" w:rsidP="00D1446B">
            <w:pPr>
              <w:spacing w:before="60" w:after="60"/>
              <w:rPr>
                <w:b/>
                <w:lang w:val="en-GB"/>
              </w:rPr>
            </w:pPr>
            <w:r w:rsidRPr="00F52884">
              <w:rPr>
                <w:b/>
                <w:lang w:val="fr-CA"/>
              </w:rPr>
              <w:t>Mesure(s) :</w:t>
            </w:r>
          </w:p>
        </w:tc>
      </w:tr>
      <w:tr w:rsidR="00B8348C" w:rsidRPr="00F52884" w14:paraId="213D53A3" w14:textId="77777777" w:rsidTr="00E927A7">
        <w:trPr>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59E78099" w14:textId="76148F32" w:rsidR="00B8348C" w:rsidRPr="00F52884" w:rsidRDefault="00B8348C" w:rsidP="00E927A7">
            <w:pPr>
              <w:spacing w:before="60" w:after="60"/>
              <w:rPr>
                <w:rFonts w:eastAsia="Times New Roman" w:cstheme="minorHAnsi"/>
                <w:szCs w:val="23"/>
                <w:lang w:val="en-US"/>
              </w:rPr>
            </w:pPr>
            <w:r w:rsidRPr="00F52884">
              <w:rPr>
                <w:rFonts w:eastAsia="Times New Roman" w:cstheme="minorHAnsi"/>
                <w:i/>
                <w:szCs w:val="23"/>
                <w:lang w:val="en-US"/>
              </w:rPr>
              <w:t>Wildlife Act</w:t>
            </w:r>
            <w:r w:rsidRPr="00F52884">
              <w:rPr>
                <w:rFonts w:eastAsia="Times New Roman" w:cstheme="minorHAnsi"/>
                <w:szCs w:val="23"/>
                <w:lang w:val="en-US"/>
              </w:rPr>
              <w:t>, RSNS 1989, c 504</w:t>
            </w:r>
          </w:p>
        </w:tc>
      </w:tr>
      <w:tr w:rsidR="00B8348C" w:rsidRPr="00F52884" w14:paraId="4915C8D9" w14:textId="77777777" w:rsidTr="00E927A7">
        <w:trPr>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tcPr>
          <w:p w14:paraId="48BE56D3" w14:textId="77777777" w:rsidR="00B8348C" w:rsidRPr="00F52884" w:rsidRDefault="00B8348C" w:rsidP="00D1446B">
            <w:pPr>
              <w:spacing w:before="60" w:after="60"/>
              <w:rPr>
                <w:b/>
              </w:rPr>
            </w:pPr>
            <w:r w:rsidRPr="00F52884">
              <w:rPr>
                <w:b/>
                <w:lang w:val="fr-CA"/>
              </w:rPr>
              <w:t>Description :</w:t>
            </w:r>
          </w:p>
        </w:tc>
      </w:tr>
      <w:tr w:rsidR="00B8348C" w:rsidRPr="00D315AF" w14:paraId="67013304" w14:textId="77777777" w:rsidTr="00E927A7">
        <w:trPr>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63C711C2" w14:textId="77777777" w:rsidR="00B8348C" w:rsidRPr="00F52884" w:rsidRDefault="00B8348C" w:rsidP="00E927A7">
            <w:pPr>
              <w:spacing w:before="60" w:after="60"/>
              <w:rPr>
                <w:rFonts w:eastAsia="Times New Roman" w:cstheme="minorHAnsi"/>
                <w:szCs w:val="23"/>
                <w:lang w:val="fr-CA"/>
              </w:rPr>
            </w:pPr>
            <w:r w:rsidRPr="00F52884">
              <w:rPr>
                <w:rFonts w:eastAsia="Times New Roman" w:cstheme="minorHAnsi"/>
                <w:szCs w:val="23"/>
                <w:lang w:val="fr-CA"/>
              </w:rPr>
              <w:t>Seuls les résidents de la Nouvelle-Écosse peuvent obtenir un permis pour la chasse aux animaux à fourrure.</w:t>
            </w:r>
          </w:p>
        </w:tc>
      </w:tr>
    </w:tbl>
    <w:p w14:paraId="340EFDBD" w14:textId="77777777" w:rsidR="00B8348C" w:rsidRPr="00F52884" w:rsidRDefault="00B8348C" w:rsidP="000C25A3">
      <w:pPr>
        <w:contextualSpacing/>
        <w:jc w:val="center"/>
        <w:outlineLvl w:val="2"/>
        <w:rPr>
          <w:rFonts w:eastAsia="Times New Roman" w:cstheme="minorHAnsi"/>
          <w:b/>
          <w:szCs w:val="23"/>
          <w:lang w:val="fr-CA"/>
        </w:rPr>
      </w:pPr>
    </w:p>
    <w:p w14:paraId="16FC964D" w14:textId="77777777" w:rsidR="00EA3915" w:rsidRDefault="00EA3915">
      <w:pPr>
        <w:rPr>
          <w:rFonts w:eastAsia="Times New Roman" w:cstheme="minorHAnsi"/>
          <w:b/>
          <w:bCs/>
          <w:szCs w:val="23"/>
          <w:lang w:val="fr-CA"/>
        </w:rPr>
      </w:pPr>
    </w:p>
    <w:p w14:paraId="502900F5"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10. </w:t>
      </w:r>
      <w:r w:rsidRPr="00EA3915">
        <w:rPr>
          <w:rFonts w:ascii="Arial" w:eastAsia="Times New Roman" w:hAnsi="Arial" w:cs="Arial"/>
          <w:b/>
          <w:bCs/>
          <w:szCs w:val="23"/>
          <w:lang w:val="fr-CA"/>
        </w:rPr>
        <w:t>NOUVELLE-ÉCOSSE</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361A8AEF"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50168920"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0B976D77"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4B4F23BB"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D315AF" w14:paraId="2E955D6E"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350D009"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3E49C19C"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auxiliaires à la production de plantes de cannabis; Services de commerce de gros, y compris à forfait ou sous contrat; Services de commerce de détail, y compris à forfait ou sous contrat; Tous les autres services relatifs au cannabis qui ne sont pas visés par B, C, D et E</w:t>
            </w:r>
          </w:p>
        </w:tc>
      </w:tr>
      <w:tr w:rsidR="00EA3915" w:rsidRPr="00EA3915" w14:paraId="43F8EBC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32E240C"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0C29A718"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B, D, E, F</w:t>
            </w:r>
          </w:p>
        </w:tc>
        <w:tc>
          <w:tcPr>
            <w:tcW w:w="390" w:type="dxa"/>
            <w:tcBorders>
              <w:top w:val="nil"/>
              <w:left w:val="nil"/>
              <w:bottom w:val="single" w:sz="8" w:space="0" w:color="C0C0C0"/>
              <w:right w:val="nil"/>
            </w:tcBorders>
            <w:vAlign w:val="center"/>
            <w:hideMark/>
          </w:tcPr>
          <w:p w14:paraId="34FC092E"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D315AF" w14:paraId="0A033FD8"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3F7AD2E4"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65F9503D"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28882514"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201 (Traitement non discriminatoire), article 301 (Droit d’entrée et de sortie), article 307 (Accès aux marchés – Services), article 312 (Accès aux marchés – Investissements), article 313 (Prescriptions de résultats)</w:t>
            </w:r>
          </w:p>
        </w:tc>
      </w:tr>
      <w:tr w:rsidR="00EA3915" w:rsidRPr="00EA3915" w14:paraId="6D96000D"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39B4F133"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Mesures</w:t>
            </w:r>
            <w:proofErr w:type="spellEnd"/>
            <w:r w:rsidRPr="00EA3915">
              <w:rPr>
                <w:rFonts w:ascii="Arial" w:eastAsia="Calibri" w:hAnsi="Arial" w:cs="Arial"/>
                <w:b/>
                <w:szCs w:val="24"/>
                <w:lang w:eastAsia="en-CA" w:bidi="en-US"/>
              </w:rPr>
              <w:t xml:space="preserve"> :</w:t>
            </w:r>
            <w:proofErr w:type="gramEnd"/>
          </w:p>
        </w:tc>
      </w:tr>
      <w:tr w:rsidR="00EA3915" w:rsidRPr="00EA3915" w14:paraId="6CA16A43"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2E8CDA5A"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Cannabis Control Act</w:t>
            </w:r>
            <w:r w:rsidRPr="00EA3915">
              <w:rPr>
                <w:rFonts w:ascii="Arial" w:eastAsia="Calibri" w:hAnsi="Arial" w:cs="Arial"/>
                <w:bCs/>
                <w:szCs w:val="24"/>
                <w:lang w:eastAsia="en-CA" w:bidi="en-US"/>
              </w:rPr>
              <w:t xml:space="preserve">, SNS 2018, </w:t>
            </w:r>
            <w:proofErr w:type="spellStart"/>
            <w:r w:rsidRPr="00EA3915">
              <w:rPr>
                <w:rFonts w:ascii="Arial" w:eastAsia="Calibri" w:hAnsi="Arial" w:cs="Arial"/>
                <w:bCs/>
                <w:szCs w:val="24"/>
                <w:lang w:eastAsia="en-CA" w:bidi="en-US"/>
              </w:rPr>
              <w:t>ch.</w:t>
            </w:r>
            <w:proofErr w:type="spellEnd"/>
            <w:r w:rsidRPr="00EA3915">
              <w:rPr>
                <w:rFonts w:ascii="Arial" w:eastAsia="Calibri" w:hAnsi="Arial" w:cs="Arial"/>
                <w:bCs/>
                <w:szCs w:val="24"/>
                <w:lang w:eastAsia="en-CA" w:bidi="en-US"/>
              </w:rPr>
              <w:t> 3</w:t>
            </w:r>
          </w:p>
        </w:tc>
      </w:tr>
      <w:tr w:rsidR="00EA3915" w:rsidRPr="00EA3915" w14:paraId="668DC9C3"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077675B1"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p>
        </w:tc>
      </w:tr>
      <w:tr w:rsidR="00EA3915" w:rsidRPr="00D315AF" w14:paraId="72381DF6"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68821C19"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La mesure susmentionnée permet au gouvernement de la Nouvelle-Écosse, par l’intermédiaire du monopole de la Nova Scotia </w:t>
            </w:r>
            <w:proofErr w:type="spellStart"/>
            <w:r w:rsidRPr="00EA3915">
              <w:rPr>
                <w:rFonts w:ascii="Arial" w:eastAsia="Calibri" w:hAnsi="Arial" w:cs="Arial"/>
                <w:bCs/>
                <w:szCs w:val="24"/>
                <w:lang w:val="fr-CA" w:eastAsia="en-CA" w:bidi="en-US"/>
              </w:rPr>
              <w:t>Liquor</w:t>
            </w:r>
            <w:proofErr w:type="spellEnd"/>
            <w:r w:rsidRPr="00EA3915">
              <w:rPr>
                <w:rFonts w:ascii="Arial" w:eastAsia="Calibri" w:hAnsi="Arial" w:cs="Arial"/>
                <w:bCs/>
                <w:szCs w:val="24"/>
                <w:lang w:val="fr-CA" w:eastAsia="en-CA" w:bidi="en-US"/>
              </w:rPr>
              <w:t xml:space="preserve"> Corporation, ou à une personne autorisée en vertu des règlements à vendre du cannabis de réglementer et d’accorder diverses autorisations à l’égard de la circulation, de l’achat, de l’importation, de la possession, de la livraison, du transport et de la vente de cannabis. </w:t>
            </w:r>
          </w:p>
          <w:p w14:paraId="627CD840"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Sans restreindre la portée générale de ce qui précède, cette mesure peut supposer la prise de décisions discrétionnaires fondées sur divers facteurs, des restrictions quant à l’accès aux marchés, l’imposition de prescriptions de résultats, la discrimination ou le droit d’entrée et de sortie se rapportant aux services, aux investissements et aux produits fabriqués en Nouvelle-Écosse en faveur de résidents de la Nouvelle-Écosse ou d’entités établies selon la législation du Canada ou d’une province ou d’un territoire du Canada qui ont un lieu d’affaires en Nouvelle-Écosse et y effectuent des opérations commerciales substantielles.</w:t>
            </w:r>
          </w:p>
          <w:p w14:paraId="6A81020A"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Il est entendu qu’aucune restriction concernant l’importation ou l’exportation n’est imposée aux producteurs de cannabis autorisés situés dans la province.</w:t>
            </w:r>
          </w:p>
        </w:tc>
      </w:tr>
    </w:tbl>
    <w:p w14:paraId="3E291AF8" w14:textId="6324D497" w:rsidR="00B8348C" w:rsidRPr="00F52884" w:rsidRDefault="00B8348C">
      <w:pPr>
        <w:rPr>
          <w:rFonts w:eastAsia="Times New Roman" w:cstheme="minorHAnsi"/>
          <w:b/>
          <w:szCs w:val="23"/>
          <w:lang w:val="fr-CA"/>
        </w:rPr>
      </w:pPr>
      <w:r w:rsidRPr="00F52884">
        <w:rPr>
          <w:rFonts w:eastAsia="Times New Roman" w:cstheme="minorHAnsi"/>
          <w:b/>
          <w:bCs/>
          <w:szCs w:val="23"/>
          <w:lang w:val="fr-CA"/>
        </w:rPr>
        <w:br w:type="page"/>
      </w:r>
    </w:p>
    <w:p w14:paraId="49FC77BB" w14:textId="77777777" w:rsidR="00B8348C" w:rsidRPr="00F52884" w:rsidRDefault="00B8348C" w:rsidP="00F52884">
      <w:pPr>
        <w:pStyle w:val="Heading3"/>
        <w:jc w:val="center"/>
        <w:rPr>
          <w:rFonts w:asciiTheme="minorHAnsi" w:hAnsiTheme="minorHAnsi" w:cstheme="minorHAnsi"/>
          <w:sz w:val="24"/>
          <w:szCs w:val="24"/>
          <w:lang w:val="fr-FR"/>
        </w:rPr>
      </w:pPr>
      <w:bookmarkStart w:id="280" w:name="_Toc476566338"/>
      <w:bookmarkStart w:id="281" w:name="_Toc156311791"/>
      <w:r w:rsidRPr="00F52884">
        <w:rPr>
          <w:rFonts w:asciiTheme="minorHAnsi" w:hAnsiTheme="minorHAnsi" w:cstheme="minorHAnsi"/>
          <w:sz w:val="24"/>
          <w:szCs w:val="24"/>
          <w:lang w:val="fr-CA"/>
        </w:rPr>
        <w:lastRenderedPageBreak/>
        <w:t>Liste du Nouveau-Brunswick</w:t>
      </w:r>
      <w:bookmarkEnd w:id="280"/>
      <w:bookmarkEnd w:id="281"/>
    </w:p>
    <w:p w14:paraId="758A2064" w14:textId="77777777" w:rsidR="00B8348C" w:rsidRPr="00F52884" w:rsidRDefault="00B8348C" w:rsidP="000C25A3">
      <w:pPr>
        <w:rPr>
          <w:rFonts w:cstheme="minorHAnsi"/>
          <w:b/>
          <w:sz w:val="24"/>
          <w:szCs w:val="24"/>
          <w:lang w:val="fr-FR"/>
        </w:rPr>
      </w:pPr>
    </w:p>
    <w:p w14:paraId="4F0985E7"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w:t>
      </w:r>
    </w:p>
    <w:p w14:paraId="3B62C636" w14:textId="77777777" w:rsidR="00B8348C" w:rsidRPr="00F52884" w:rsidRDefault="00B8348C" w:rsidP="000C25A3">
      <w:pPr>
        <w:rPr>
          <w:rFonts w:cstheme="minorHAnsi"/>
          <w:b/>
          <w:szCs w:val="23"/>
          <w:lang w:val="fr-FR"/>
        </w:rPr>
      </w:pPr>
    </w:p>
    <w:p w14:paraId="575AD08B" w14:textId="2A6793E8" w:rsidR="00B8348C" w:rsidRPr="00F52884" w:rsidRDefault="00940545" w:rsidP="00940545">
      <w:pPr>
        <w:pStyle w:val="ListParagraph"/>
        <w:spacing w:before="60" w:after="60"/>
        <w:ind w:left="-360"/>
        <w:rPr>
          <w:rFonts w:cstheme="minorHAnsi"/>
          <w:b/>
          <w:caps/>
          <w:szCs w:val="23"/>
        </w:rPr>
      </w:pPr>
      <w:r w:rsidRPr="00F52884">
        <w:rPr>
          <w:rFonts w:cstheme="minorHAnsi"/>
          <w:b/>
          <w:bCs/>
          <w:caps/>
          <w:szCs w:val="23"/>
          <w:lang w:val="fr-CA"/>
        </w:rPr>
        <w:t xml:space="preserve">1.  </w:t>
      </w:r>
      <w:r w:rsidR="00B8348C" w:rsidRPr="00F52884">
        <w:rPr>
          <w:rFonts w:cstheme="minorHAnsi"/>
          <w:b/>
          <w:bCs/>
          <w:caps/>
          <w:szCs w:val="23"/>
          <w:lang w:val="fr-CA"/>
        </w:rPr>
        <w:t>Nouveau-Brunswick</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187"/>
        <w:gridCol w:w="192"/>
      </w:tblGrid>
      <w:tr w:rsidR="00B8348C" w:rsidRPr="00F52884" w14:paraId="22A3A889" w14:textId="77777777" w:rsidTr="00940545">
        <w:trPr>
          <w:gridAfter w:val="1"/>
          <w:wAfter w:w="192"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1FF56E9" w14:textId="77777777" w:rsidR="00B8348C" w:rsidRPr="00F52884" w:rsidRDefault="00B8348C" w:rsidP="000C25A3">
            <w:pPr>
              <w:spacing w:before="60" w:after="60"/>
              <w:ind w:right="-5124"/>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630" w:type="dxa"/>
            <w:gridSpan w:val="2"/>
            <w:tcBorders>
              <w:top w:val="single" w:sz="4" w:space="0" w:color="C0C0C0"/>
              <w:left w:val="single" w:sz="4" w:space="0" w:color="FFFFFF"/>
              <w:bottom w:val="single" w:sz="4" w:space="0" w:color="C0C0C0"/>
              <w:right w:val="nil"/>
            </w:tcBorders>
            <w:vAlign w:val="center"/>
          </w:tcPr>
          <w:p w14:paraId="4BB6107F" w14:textId="77777777" w:rsidR="00B8348C" w:rsidRPr="00F52884" w:rsidRDefault="00B8348C" w:rsidP="000C25A3">
            <w:pPr>
              <w:spacing w:before="60" w:after="60"/>
              <w:ind w:left="-6"/>
              <w:rPr>
                <w:rFonts w:cstheme="minorHAnsi"/>
                <w:szCs w:val="23"/>
              </w:rPr>
            </w:pPr>
            <w:r w:rsidRPr="00F52884">
              <w:rPr>
                <w:rFonts w:cstheme="minorHAnsi"/>
                <w:szCs w:val="23"/>
                <w:lang w:val="fr-CA"/>
              </w:rPr>
              <w:t>Sylviculture</w:t>
            </w:r>
          </w:p>
        </w:tc>
      </w:tr>
      <w:tr w:rsidR="00B8348C" w:rsidRPr="00D315AF" w14:paraId="2FE98C03" w14:textId="77777777" w:rsidTr="0094054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7B8565C9"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3"/>
            <w:tcBorders>
              <w:top w:val="single" w:sz="4" w:space="0" w:color="C0C0C0"/>
              <w:left w:val="single" w:sz="4" w:space="0" w:color="FFFFFF"/>
              <w:bottom w:val="single" w:sz="4" w:space="0" w:color="C0C0C0"/>
              <w:right w:val="nil"/>
            </w:tcBorders>
            <w:vAlign w:val="center"/>
          </w:tcPr>
          <w:p w14:paraId="479EBDF0" w14:textId="77777777" w:rsidR="00B8348C" w:rsidRPr="00F52884" w:rsidRDefault="00B8348C" w:rsidP="000C25A3">
            <w:pPr>
              <w:spacing w:before="60" w:after="60"/>
              <w:rPr>
                <w:rFonts w:cstheme="minorHAnsi"/>
                <w:szCs w:val="23"/>
                <w:lang w:val="fr-FR"/>
              </w:rPr>
            </w:pPr>
            <w:r w:rsidRPr="00F52884">
              <w:rPr>
                <w:rFonts w:cstheme="minorHAnsi"/>
                <w:szCs w:val="23"/>
                <w:lang w:val="fr-CA"/>
              </w:rPr>
              <w:t>Terres agricoles, forêts et autres superficies boisées, sylviculture et produits de l’exploitation forestière</w:t>
            </w:r>
          </w:p>
        </w:tc>
      </w:tr>
      <w:tr w:rsidR="00B8348C" w:rsidRPr="00F52884" w14:paraId="2C624667" w14:textId="77777777" w:rsidTr="00940545">
        <w:trPr>
          <w:gridAfter w:val="2"/>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2DAD112E"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6378CD21" w14:textId="77777777" w:rsidR="00B8348C" w:rsidRPr="00F52884" w:rsidRDefault="00B8348C" w:rsidP="000C25A3">
            <w:pPr>
              <w:spacing w:before="60" w:after="60"/>
              <w:ind w:left="4"/>
              <w:rPr>
                <w:rFonts w:cstheme="minorHAnsi"/>
                <w:szCs w:val="23"/>
              </w:rPr>
            </w:pPr>
            <w:r w:rsidRPr="00F52884">
              <w:rPr>
                <w:rFonts w:cstheme="minorHAnsi"/>
                <w:szCs w:val="23"/>
                <w:lang w:val="fr-CA"/>
              </w:rPr>
              <w:t>CPC 03, 531</w:t>
            </w:r>
          </w:p>
        </w:tc>
      </w:tr>
      <w:tr w:rsidR="00B8348C" w:rsidRPr="00F52884" w14:paraId="69DCC7FF" w14:textId="77777777" w:rsidTr="00940545">
        <w:trPr>
          <w:trHeight w:val="42"/>
          <w:jc w:val="center"/>
        </w:trPr>
        <w:tc>
          <w:tcPr>
            <w:tcW w:w="2430" w:type="dxa"/>
            <w:tcBorders>
              <w:top w:val="single" w:sz="4" w:space="0" w:color="C0C0C0"/>
              <w:left w:val="nil"/>
              <w:bottom w:val="single" w:sz="4" w:space="0" w:color="C0C0C0"/>
              <w:right w:val="single" w:sz="4" w:space="0" w:color="FFFFFF"/>
            </w:tcBorders>
          </w:tcPr>
          <w:p w14:paraId="5133A7F9" w14:textId="0DC67A49" w:rsidR="00B8348C" w:rsidRPr="00F52884" w:rsidRDefault="00B8348C" w:rsidP="000C25A3">
            <w:pPr>
              <w:spacing w:before="60" w:after="60"/>
              <w:rPr>
                <w:rFonts w:cstheme="minorHAnsi"/>
                <w:szCs w:val="23"/>
              </w:rPr>
            </w:pPr>
            <w:r w:rsidRPr="00F52884">
              <w:rPr>
                <w:rFonts w:cstheme="minorHAnsi"/>
                <w:b/>
                <w:bCs/>
                <w:szCs w:val="23"/>
                <w:lang w:val="fr-CA"/>
              </w:rPr>
              <w:t>Type d’exception :</w:t>
            </w:r>
            <w:r w:rsidRPr="00F52884">
              <w:rPr>
                <w:rFonts w:cstheme="minorHAnsi"/>
                <w:szCs w:val="23"/>
                <w:lang w:val="fr-CA"/>
              </w:rPr>
              <w:t xml:space="preserve"> </w:t>
            </w:r>
          </w:p>
        </w:tc>
        <w:tc>
          <w:tcPr>
            <w:tcW w:w="7822" w:type="dxa"/>
            <w:gridSpan w:val="3"/>
            <w:tcBorders>
              <w:top w:val="single" w:sz="4" w:space="0" w:color="C0C0C0"/>
              <w:left w:val="single" w:sz="4" w:space="0" w:color="FFFFFF"/>
              <w:bottom w:val="single" w:sz="4" w:space="0" w:color="C0C0C0"/>
              <w:right w:val="single" w:sz="4" w:space="0" w:color="C0C0C0"/>
            </w:tcBorders>
          </w:tcPr>
          <w:p w14:paraId="45BFCB08" w14:textId="77777777" w:rsidR="00B8348C" w:rsidRPr="00F52884" w:rsidRDefault="00B8348C" w:rsidP="000C25A3">
            <w:pPr>
              <w:spacing w:before="60" w:after="60"/>
              <w:rPr>
                <w:rFonts w:cstheme="minorHAnsi"/>
                <w:szCs w:val="23"/>
              </w:rPr>
            </w:pPr>
            <w:r w:rsidRPr="00F52884">
              <w:rPr>
                <w:rFonts w:cstheme="minorHAnsi"/>
                <w:szCs w:val="23"/>
                <w:lang w:val="fr-CA"/>
              </w:rPr>
              <w:t>Article 313 (Prescriptions de résultats)</w:t>
            </w:r>
          </w:p>
        </w:tc>
      </w:tr>
      <w:tr w:rsidR="00B8348C" w:rsidRPr="00F52884" w14:paraId="2B5CDA4F" w14:textId="77777777" w:rsidTr="00940545">
        <w:trPr>
          <w:trHeight w:val="42"/>
          <w:jc w:val="center"/>
        </w:trPr>
        <w:tc>
          <w:tcPr>
            <w:tcW w:w="1025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5F17686"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57866E2E" w14:textId="77777777" w:rsidTr="00940545">
        <w:trPr>
          <w:trHeight w:val="273"/>
          <w:jc w:val="center"/>
        </w:trPr>
        <w:tc>
          <w:tcPr>
            <w:tcW w:w="10252" w:type="dxa"/>
            <w:gridSpan w:val="4"/>
            <w:tcBorders>
              <w:top w:val="single" w:sz="4" w:space="0" w:color="C0C0C0"/>
              <w:left w:val="single" w:sz="4" w:space="0" w:color="C0C0C0"/>
              <w:bottom w:val="single" w:sz="4" w:space="0" w:color="C0C0C0"/>
              <w:right w:val="single" w:sz="4" w:space="0" w:color="C0C0C0"/>
            </w:tcBorders>
          </w:tcPr>
          <w:p w14:paraId="242FC432" w14:textId="7A02B9A1" w:rsidR="00B8348C" w:rsidRPr="00F52884" w:rsidRDefault="00B8348C" w:rsidP="000C25A3">
            <w:pPr>
              <w:spacing w:before="60" w:after="60"/>
              <w:rPr>
                <w:rFonts w:cstheme="minorHAnsi"/>
                <w:szCs w:val="23"/>
                <w:lang w:val="fr-CA"/>
              </w:rPr>
            </w:pPr>
            <w:r w:rsidRPr="00F52884">
              <w:rPr>
                <w:rFonts w:cstheme="minorHAnsi"/>
                <w:i/>
                <w:iCs/>
                <w:szCs w:val="23"/>
                <w:lang w:val="fr-CA"/>
              </w:rPr>
              <w:t>Loi sur les terres et forêts de la Couronne</w:t>
            </w:r>
            <w:r w:rsidRPr="00F52884">
              <w:rPr>
                <w:rFonts w:cstheme="minorHAnsi"/>
                <w:szCs w:val="23"/>
                <w:lang w:val="fr-CA"/>
              </w:rPr>
              <w:t>, LN-B 1980, c C-38.1</w:t>
            </w:r>
          </w:p>
        </w:tc>
      </w:tr>
      <w:tr w:rsidR="00B8348C" w:rsidRPr="00F52884" w14:paraId="6C1B962C" w14:textId="77777777" w:rsidTr="00940545">
        <w:trPr>
          <w:trHeight w:val="49"/>
          <w:jc w:val="center"/>
        </w:trPr>
        <w:tc>
          <w:tcPr>
            <w:tcW w:w="1025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B3DC781"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02122DCF" w14:textId="77777777" w:rsidTr="00940545">
        <w:trPr>
          <w:trHeight w:val="66"/>
          <w:jc w:val="center"/>
        </w:trPr>
        <w:tc>
          <w:tcPr>
            <w:tcW w:w="10252" w:type="dxa"/>
            <w:gridSpan w:val="4"/>
            <w:tcBorders>
              <w:top w:val="single" w:sz="4" w:space="0" w:color="C0C0C0"/>
              <w:left w:val="single" w:sz="4" w:space="0" w:color="C0C0C0"/>
              <w:bottom w:val="single" w:sz="4" w:space="0" w:color="C0C0C0"/>
              <w:right w:val="single" w:sz="4" w:space="0" w:color="C0C0C0"/>
            </w:tcBorders>
          </w:tcPr>
          <w:p w14:paraId="795D0EEA" w14:textId="77777777" w:rsidR="00B8348C" w:rsidRPr="00F52884" w:rsidRDefault="00B8348C" w:rsidP="000C25A3">
            <w:pPr>
              <w:spacing w:before="60" w:after="60"/>
              <w:rPr>
                <w:rFonts w:cstheme="minorHAnsi"/>
                <w:szCs w:val="23"/>
                <w:lang w:val="fr-FR"/>
              </w:rPr>
            </w:pPr>
            <w:r w:rsidRPr="00F52884">
              <w:rPr>
                <w:rFonts w:cstheme="minorHAnsi"/>
                <w:szCs w:val="23"/>
                <w:lang w:val="fr-CA"/>
              </w:rPr>
              <w:t>Sous réserve de certaines exceptions, toute licence ou tout permis autorisant la coupe sur les terres de la Couronne est accordé à condition que tout le bois coupé au titre de cette licence ou de ce permis soit transformé en bois d’œuvre, en pâte à papier ou en d’autres produits du bois au Nouveau-Brunswick.</w:t>
            </w:r>
          </w:p>
        </w:tc>
      </w:tr>
    </w:tbl>
    <w:p w14:paraId="0E7408FD" w14:textId="77777777" w:rsidR="00B8348C" w:rsidRPr="00F52884" w:rsidRDefault="00B8348C" w:rsidP="000C25A3">
      <w:pPr>
        <w:rPr>
          <w:rFonts w:cstheme="minorHAnsi"/>
          <w:szCs w:val="23"/>
          <w:lang w:val="fr-FR"/>
        </w:rPr>
      </w:pPr>
    </w:p>
    <w:p w14:paraId="14897A87" w14:textId="77777777" w:rsidR="00B8348C" w:rsidRPr="00F52884" w:rsidRDefault="00B8348C" w:rsidP="000C25A3">
      <w:pPr>
        <w:rPr>
          <w:rFonts w:cstheme="minorHAnsi"/>
          <w:b/>
          <w:szCs w:val="23"/>
          <w:lang w:val="fr-FR"/>
        </w:rPr>
      </w:pPr>
    </w:p>
    <w:p w14:paraId="792E4264" w14:textId="53F6EA93" w:rsidR="00B8348C" w:rsidRPr="00F52884" w:rsidRDefault="00940545" w:rsidP="00940545">
      <w:pPr>
        <w:pStyle w:val="ListParagraph"/>
        <w:spacing w:before="60" w:after="60"/>
        <w:ind w:left="-360"/>
        <w:rPr>
          <w:rFonts w:cstheme="minorHAnsi"/>
          <w:b/>
          <w:caps/>
          <w:szCs w:val="23"/>
        </w:rPr>
      </w:pPr>
      <w:r w:rsidRPr="00F52884">
        <w:rPr>
          <w:rFonts w:cstheme="minorHAnsi"/>
          <w:b/>
          <w:bCs/>
          <w:caps/>
          <w:szCs w:val="23"/>
          <w:lang w:val="fr-CA"/>
        </w:rPr>
        <w:t xml:space="preserve">2.  </w:t>
      </w:r>
      <w:r w:rsidR="00B8348C" w:rsidRPr="00F52884">
        <w:rPr>
          <w:rFonts w:cstheme="minorHAnsi"/>
          <w:b/>
          <w:bCs/>
          <w:caps/>
          <w:szCs w:val="23"/>
          <w:lang w:val="fr-CA"/>
        </w:rPr>
        <w:t>Nouveau-Brunswick</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12921B37" w14:textId="77777777" w:rsidTr="0094054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7EB5DCC0"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nil"/>
            </w:tcBorders>
            <w:vAlign w:val="center"/>
          </w:tcPr>
          <w:p w14:paraId="21E2BDA5"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D315AF" w14:paraId="25D050AB" w14:textId="77777777" w:rsidTr="0094054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0A2AD045"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27849EE4"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courtage, services de commerce de gros, services de commerce de détail (spiritueux, vin et bière; magasins de bière, de vin et de spiritueux), boissons</w:t>
            </w:r>
          </w:p>
        </w:tc>
      </w:tr>
      <w:tr w:rsidR="00B8348C" w:rsidRPr="00F52884" w14:paraId="5D153294" w14:textId="77777777" w:rsidTr="0094054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43B380AB"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585C0413" w14:textId="77777777" w:rsidR="00B8348C" w:rsidRPr="00F52884" w:rsidRDefault="00B8348C" w:rsidP="000C25A3">
            <w:pPr>
              <w:spacing w:before="60" w:after="60"/>
              <w:ind w:left="4"/>
              <w:rPr>
                <w:rFonts w:cstheme="minorHAnsi"/>
                <w:szCs w:val="23"/>
              </w:rPr>
            </w:pPr>
            <w:r w:rsidRPr="00F52884">
              <w:rPr>
                <w:rFonts w:cstheme="minorHAnsi"/>
                <w:szCs w:val="23"/>
                <w:lang w:val="fr-CA"/>
              </w:rPr>
              <w:t>CPC 241, 242, 243, 62112, 62226, 63107</w:t>
            </w:r>
          </w:p>
        </w:tc>
      </w:tr>
      <w:tr w:rsidR="00B8348C" w:rsidRPr="00D315AF" w14:paraId="0D8EED5A" w14:textId="77777777" w:rsidTr="00940545">
        <w:trPr>
          <w:trHeight w:val="42"/>
          <w:jc w:val="center"/>
        </w:trPr>
        <w:tc>
          <w:tcPr>
            <w:tcW w:w="2430" w:type="dxa"/>
            <w:tcBorders>
              <w:top w:val="single" w:sz="4" w:space="0" w:color="C0C0C0"/>
              <w:left w:val="nil"/>
              <w:bottom w:val="single" w:sz="4" w:space="0" w:color="C0C0C0"/>
              <w:right w:val="single" w:sz="4" w:space="0" w:color="FFFFFF"/>
            </w:tcBorders>
          </w:tcPr>
          <w:p w14:paraId="11424444" w14:textId="559852B1" w:rsidR="00B8348C" w:rsidRPr="00F52884" w:rsidRDefault="00B8348C" w:rsidP="000C25A3">
            <w:pPr>
              <w:spacing w:before="60" w:after="60"/>
              <w:rPr>
                <w:rFonts w:cstheme="minorHAnsi"/>
                <w:szCs w:val="23"/>
              </w:rPr>
            </w:pPr>
            <w:r w:rsidRPr="00F52884">
              <w:rPr>
                <w:rFonts w:cstheme="minorHAnsi"/>
                <w:b/>
                <w:bCs/>
                <w:szCs w:val="23"/>
                <w:lang w:val="fr-CA"/>
              </w:rPr>
              <w:t>Type d’exception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364198C7" w14:textId="5C5611D6" w:rsidR="00B8348C" w:rsidRPr="00F52884" w:rsidRDefault="00B8348C" w:rsidP="00B8348C">
            <w:pPr>
              <w:spacing w:before="60" w:after="60"/>
              <w:rPr>
                <w:rFonts w:cstheme="minorHAnsi"/>
                <w:szCs w:val="23"/>
                <w:lang w:val="fr-FR"/>
              </w:rPr>
            </w:pPr>
            <w:r w:rsidRPr="00F52884">
              <w:rPr>
                <w:rFonts w:cstheme="minorHAnsi"/>
                <w:szCs w:val="23"/>
                <w:lang w:val="fr-CA"/>
              </w:rPr>
              <w:t>Article 201 (Traitement non discriminatoire), article 313 (Prescriptions de résultats)</w:t>
            </w:r>
          </w:p>
        </w:tc>
      </w:tr>
      <w:tr w:rsidR="00B8348C" w:rsidRPr="00F52884" w14:paraId="54A5A61F" w14:textId="77777777" w:rsidTr="0094054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F344E1E"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244DB6D8" w14:textId="77777777" w:rsidTr="0094054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1E2C934" w14:textId="6B707355" w:rsidR="00B8348C" w:rsidRPr="00F52884" w:rsidRDefault="00B8348C" w:rsidP="00B8348C">
            <w:pPr>
              <w:spacing w:before="60" w:after="60"/>
              <w:rPr>
                <w:rFonts w:cstheme="minorHAnsi"/>
                <w:szCs w:val="23"/>
                <w:lang w:val="fr-CA"/>
              </w:rPr>
            </w:pPr>
            <w:r w:rsidRPr="00F52884">
              <w:rPr>
                <w:rFonts w:cstheme="minorHAnsi"/>
                <w:i/>
                <w:iCs/>
                <w:szCs w:val="23"/>
                <w:lang w:val="fr-CA"/>
              </w:rPr>
              <w:t>Loi sur la réglementation des alcools</w:t>
            </w:r>
            <w:r w:rsidRPr="00F52884">
              <w:rPr>
                <w:rFonts w:cstheme="minorHAnsi"/>
                <w:szCs w:val="23"/>
                <w:lang w:val="fr-CA"/>
              </w:rPr>
              <w:t>, LRN-B 1990, c L-10</w:t>
            </w:r>
          </w:p>
        </w:tc>
      </w:tr>
      <w:tr w:rsidR="00B8348C" w:rsidRPr="00F52884" w14:paraId="58CB024E" w14:textId="77777777" w:rsidTr="0094054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46C461F"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52AD67D" w14:textId="77777777" w:rsidTr="0094054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F244B84" w14:textId="54056F07" w:rsidR="00B8348C" w:rsidRPr="00F52884" w:rsidRDefault="00B8348C" w:rsidP="000C25A3">
            <w:pPr>
              <w:spacing w:before="120" w:after="120"/>
              <w:rPr>
                <w:rFonts w:cstheme="minorHAnsi"/>
                <w:szCs w:val="23"/>
                <w:lang w:val="fr-FR"/>
              </w:rPr>
            </w:pPr>
            <w:r w:rsidRPr="00F52884">
              <w:rPr>
                <w:rFonts w:cstheme="minorHAnsi"/>
                <w:szCs w:val="23"/>
                <w:lang w:val="fr-CA"/>
              </w:rPr>
              <w:t>La Société des alcools du Nouveau-Brunswick établit, à sa discrétion, des prescriptions de résultats qu’il faut satisfaire ou dépasser pour que la relation d’importation, de distribution et de vente au détail avec tout fournisseur, qu’il soit canadien ou étranger, se poursuive.</w:t>
            </w:r>
          </w:p>
          <w:p w14:paraId="2E71F759"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La Société des alcools du Nouveau-Brunswick se réserve le droit de privilégier la promotion et la commercialisation des boissons alcoolisées produites localement.</w:t>
            </w:r>
          </w:p>
        </w:tc>
      </w:tr>
    </w:tbl>
    <w:p w14:paraId="37736C5A" w14:textId="77777777" w:rsidR="00B8348C" w:rsidRPr="00F52884" w:rsidRDefault="00B8348C" w:rsidP="000C25A3">
      <w:pPr>
        <w:ind w:left="-360"/>
        <w:rPr>
          <w:rFonts w:cstheme="minorHAnsi"/>
          <w:szCs w:val="23"/>
          <w:lang w:val="fr-FR"/>
        </w:rPr>
      </w:pPr>
    </w:p>
    <w:p w14:paraId="62108499" w14:textId="77777777" w:rsidR="00B8348C" w:rsidRPr="00F52884" w:rsidRDefault="00B8348C" w:rsidP="000C25A3">
      <w:pPr>
        <w:ind w:left="-360"/>
        <w:rPr>
          <w:rFonts w:cstheme="minorHAnsi"/>
          <w:szCs w:val="23"/>
          <w:lang w:val="fr-FR"/>
        </w:rPr>
      </w:pPr>
    </w:p>
    <w:p w14:paraId="2EBBBB7F" w14:textId="1F6943D4" w:rsidR="00B8348C" w:rsidRPr="00F52884" w:rsidRDefault="00940545" w:rsidP="00940545">
      <w:pPr>
        <w:pStyle w:val="ListParagraph"/>
        <w:spacing w:before="60" w:after="60"/>
        <w:ind w:left="-360"/>
        <w:rPr>
          <w:rFonts w:cstheme="minorHAnsi"/>
          <w:b/>
          <w:caps/>
          <w:szCs w:val="23"/>
        </w:rPr>
      </w:pPr>
      <w:r w:rsidRPr="00F52884">
        <w:rPr>
          <w:rFonts w:cstheme="minorHAnsi"/>
          <w:b/>
          <w:bCs/>
          <w:caps/>
          <w:szCs w:val="23"/>
          <w:lang w:val="fr-CA"/>
        </w:rPr>
        <w:t xml:space="preserve">3.  </w:t>
      </w:r>
      <w:r w:rsidR="00B8348C" w:rsidRPr="00F52884">
        <w:rPr>
          <w:rFonts w:cstheme="minorHAnsi"/>
          <w:b/>
          <w:bCs/>
          <w:caps/>
          <w:szCs w:val="23"/>
          <w:lang w:val="fr-CA"/>
        </w:rPr>
        <w:t>Nouveau-Brunswick</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7794950F" w14:textId="77777777" w:rsidTr="0094054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7314CFC6"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nil"/>
            </w:tcBorders>
            <w:vAlign w:val="center"/>
          </w:tcPr>
          <w:p w14:paraId="0073DA91" w14:textId="77777777" w:rsidR="00B8348C" w:rsidRPr="00F52884" w:rsidRDefault="00B8348C" w:rsidP="000C25A3">
            <w:pPr>
              <w:spacing w:before="60" w:after="60"/>
              <w:rPr>
                <w:rFonts w:cstheme="minorHAnsi"/>
                <w:szCs w:val="23"/>
              </w:rPr>
            </w:pPr>
            <w:r w:rsidRPr="00F52884">
              <w:rPr>
                <w:rFonts w:cstheme="minorHAnsi"/>
                <w:szCs w:val="23"/>
                <w:lang w:val="fr-CA"/>
              </w:rPr>
              <w:t>Industries extractives</w:t>
            </w:r>
          </w:p>
        </w:tc>
      </w:tr>
      <w:tr w:rsidR="00B8348C" w:rsidRPr="00D315AF" w14:paraId="36F42270" w14:textId="77777777" w:rsidTr="0094054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1A275CFC"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7326EA37" w14:textId="77777777" w:rsidR="00B8348C" w:rsidRPr="00F52884" w:rsidRDefault="00B8348C" w:rsidP="000C25A3">
            <w:pPr>
              <w:spacing w:before="60" w:after="60"/>
              <w:rPr>
                <w:rFonts w:cstheme="minorHAnsi"/>
                <w:szCs w:val="23"/>
                <w:lang w:val="fr-FR"/>
              </w:rPr>
            </w:pPr>
            <w:r w:rsidRPr="00F52884">
              <w:rPr>
                <w:rFonts w:cstheme="minorHAnsi"/>
                <w:szCs w:val="23"/>
                <w:lang w:val="fr-CA"/>
              </w:rPr>
              <w:t>Industries des mines, carrières et puits de pétrole</w:t>
            </w:r>
          </w:p>
        </w:tc>
      </w:tr>
      <w:tr w:rsidR="00B8348C" w:rsidRPr="00F52884" w14:paraId="1508A7CE" w14:textId="77777777" w:rsidTr="0094054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4ED9F03D"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19E22DED" w14:textId="77777777" w:rsidR="00B8348C" w:rsidRPr="00F52884" w:rsidRDefault="00B8348C" w:rsidP="000C25A3">
            <w:pPr>
              <w:spacing w:before="60" w:after="60"/>
              <w:ind w:left="4"/>
              <w:rPr>
                <w:rFonts w:cstheme="minorHAnsi"/>
                <w:szCs w:val="23"/>
              </w:rPr>
            </w:pPr>
            <w:r w:rsidRPr="00F52884">
              <w:rPr>
                <w:rFonts w:cstheme="minorHAnsi"/>
                <w:szCs w:val="23"/>
                <w:lang w:val="fr-CA"/>
              </w:rPr>
              <w:t>CPC 11 à 16</w:t>
            </w:r>
          </w:p>
        </w:tc>
      </w:tr>
      <w:tr w:rsidR="00B8348C" w:rsidRPr="00F52884" w14:paraId="7BDD0553" w14:textId="77777777" w:rsidTr="00940545">
        <w:trPr>
          <w:trHeight w:val="42"/>
          <w:jc w:val="center"/>
        </w:trPr>
        <w:tc>
          <w:tcPr>
            <w:tcW w:w="2430" w:type="dxa"/>
            <w:tcBorders>
              <w:top w:val="single" w:sz="4" w:space="0" w:color="C0C0C0"/>
              <w:left w:val="nil"/>
              <w:bottom w:val="single" w:sz="4" w:space="0" w:color="C0C0C0"/>
              <w:right w:val="single" w:sz="4" w:space="0" w:color="FFFFFF"/>
            </w:tcBorders>
          </w:tcPr>
          <w:p w14:paraId="081A40FD" w14:textId="6F812FCA" w:rsidR="00B8348C" w:rsidRPr="00F52884" w:rsidRDefault="00B8348C" w:rsidP="000C25A3">
            <w:pPr>
              <w:spacing w:before="60" w:after="60"/>
              <w:rPr>
                <w:rFonts w:cstheme="minorHAnsi"/>
                <w:szCs w:val="23"/>
              </w:rPr>
            </w:pPr>
            <w:r w:rsidRPr="00F52884">
              <w:rPr>
                <w:rFonts w:cstheme="minorHAnsi"/>
                <w:b/>
                <w:bCs/>
                <w:szCs w:val="23"/>
                <w:lang w:val="fr-CA"/>
              </w:rPr>
              <w:t>Type d’exception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723BD165" w14:textId="77777777" w:rsidR="00B8348C" w:rsidRPr="00F52884" w:rsidRDefault="00B8348C" w:rsidP="000C25A3">
            <w:pPr>
              <w:spacing w:before="60" w:after="60"/>
              <w:rPr>
                <w:rFonts w:cstheme="minorHAnsi"/>
                <w:szCs w:val="23"/>
              </w:rPr>
            </w:pPr>
            <w:r w:rsidRPr="00F52884">
              <w:rPr>
                <w:rFonts w:cstheme="minorHAnsi"/>
                <w:szCs w:val="23"/>
                <w:lang w:val="fr-CA"/>
              </w:rPr>
              <w:t>Article 313 (Prescriptions de résultats)</w:t>
            </w:r>
          </w:p>
        </w:tc>
      </w:tr>
      <w:tr w:rsidR="00B8348C" w:rsidRPr="00F52884" w14:paraId="633A85E8" w14:textId="77777777" w:rsidTr="0094054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922483F"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669BD6EC" w14:textId="77777777" w:rsidTr="0094054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72FFA22" w14:textId="404BBA41" w:rsidR="00B8348C" w:rsidRPr="00B04E29" w:rsidRDefault="00B8348C" w:rsidP="00B8348C">
            <w:pPr>
              <w:spacing w:before="60" w:after="60"/>
              <w:rPr>
                <w:rFonts w:cstheme="minorHAnsi"/>
                <w:szCs w:val="23"/>
                <w:lang w:val="fr-CA"/>
              </w:rPr>
            </w:pPr>
            <w:r w:rsidRPr="00F52884">
              <w:rPr>
                <w:rFonts w:cstheme="minorHAnsi"/>
                <w:i/>
                <w:iCs/>
                <w:szCs w:val="23"/>
                <w:lang w:val="fr-CA"/>
              </w:rPr>
              <w:t>Loi sur les mines</w:t>
            </w:r>
            <w:r w:rsidRPr="00F52884">
              <w:rPr>
                <w:rFonts w:cstheme="minorHAnsi"/>
                <w:szCs w:val="23"/>
                <w:lang w:val="fr-CA"/>
              </w:rPr>
              <w:t>, LN-B 1985, c M-14.1</w:t>
            </w:r>
          </w:p>
        </w:tc>
      </w:tr>
      <w:tr w:rsidR="00B8348C" w:rsidRPr="00F52884" w14:paraId="6C4C2D03" w14:textId="77777777" w:rsidTr="0094054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390FD25"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4121841A" w14:textId="77777777" w:rsidTr="0094054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167AB40" w14:textId="4C35301A" w:rsidR="00B8348C" w:rsidRPr="00F52884" w:rsidRDefault="00B8348C" w:rsidP="00B8348C">
            <w:pPr>
              <w:spacing w:before="60" w:after="60"/>
              <w:rPr>
                <w:rFonts w:cstheme="minorHAnsi"/>
                <w:b/>
                <w:bCs/>
                <w:szCs w:val="23"/>
                <w:lang w:val="fr-FR"/>
              </w:rPr>
            </w:pPr>
            <w:r w:rsidRPr="00F52884">
              <w:rPr>
                <w:rFonts w:cstheme="minorHAnsi"/>
                <w:szCs w:val="23"/>
                <w:lang w:val="fr-CA"/>
              </w:rPr>
              <w:t>Le concessionnaire doit, lorsque le ministre l’exige de lui au moment où un bail minier est passé ou à tout moment par la suite, transformer ou transformer davantage au Nouveau-Brunswick les minéraux provenant d’une exploitation minière en vertu d’un bail minier.</w:t>
            </w:r>
          </w:p>
        </w:tc>
      </w:tr>
    </w:tbl>
    <w:p w14:paraId="3DD5A8B8" w14:textId="77777777" w:rsidR="00B8348C" w:rsidRPr="00F52884" w:rsidRDefault="00B8348C" w:rsidP="000C25A3">
      <w:pPr>
        <w:contextualSpacing/>
        <w:jc w:val="center"/>
        <w:outlineLvl w:val="2"/>
        <w:rPr>
          <w:rFonts w:eastAsia="Times New Roman" w:cstheme="minorHAnsi"/>
          <w:b/>
          <w:szCs w:val="23"/>
          <w:lang w:val="fr-FR"/>
        </w:rPr>
      </w:pPr>
    </w:p>
    <w:p w14:paraId="71106080" w14:textId="77777777" w:rsidR="00EA3915" w:rsidRDefault="00EA3915">
      <w:pPr>
        <w:rPr>
          <w:rFonts w:eastAsia="Times New Roman" w:cstheme="minorHAnsi"/>
          <w:b/>
          <w:bCs/>
          <w:szCs w:val="23"/>
          <w:lang w:val="fr-CA"/>
        </w:rPr>
      </w:pPr>
    </w:p>
    <w:p w14:paraId="1B712067"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4. </w:t>
      </w:r>
      <w:r w:rsidRPr="00EA3915">
        <w:rPr>
          <w:rFonts w:ascii="Arial" w:eastAsia="Times New Roman" w:hAnsi="Arial" w:cs="Arial"/>
          <w:b/>
          <w:bCs/>
          <w:szCs w:val="23"/>
          <w:lang w:val="fr-CA"/>
        </w:rPr>
        <w:t>NOUVEAU-BRUNSWICK</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746FA51D"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5DF4C404"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1210BAED"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26DFD809"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D315AF" w14:paraId="2A4A22BE"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7A1E2D30"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72B87AC1"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EA3915" w:rsidRPr="00EA3915" w14:paraId="0CC03DF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7923AAC3"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685AEF93"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03A5DA9C"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D315AF" w14:paraId="7ACB2A93"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46169F93"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6CF498A0"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7E90243D"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201 (Traitement non discriminatoire), article 301 (Droit d’entrée et de sortie – tel qu’il s’applique au dernier paragraphe)</w:t>
            </w:r>
          </w:p>
        </w:tc>
      </w:tr>
      <w:tr w:rsidR="00EA3915" w:rsidRPr="00EA3915" w14:paraId="63CA3AF5"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5F2D3154"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Mesures</w:t>
            </w:r>
            <w:proofErr w:type="spellEnd"/>
            <w:r w:rsidRPr="00EA3915">
              <w:rPr>
                <w:rFonts w:ascii="Arial" w:eastAsia="Calibri" w:hAnsi="Arial" w:cs="Arial"/>
                <w:b/>
                <w:szCs w:val="24"/>
                <w:lang w:eastAsia="en-CA" w:bidi="en-US"/>
              </w:rPr>
              <w:t xml:space="preserve"> :</w:t>
            </w:r>
            <w:proofErr w:type="gramEnd"/>
          </w:p>
        </w:tc>
      </w:tr>
      <w:tr w:rsidR="00EA3915" w:rsidRPr="00D315AF" w14:paraId="4402ABD2"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6044A1DE" w14:textId="77777777" w:rsidR="00EA3915" w:rsidRPr="00EA3915" w:rsidRDefault="00EA3915" w:rsidP="00EA3915">
            <w:pPr>
              <w:spacing w:before="60" w:after="60"/>
              <w:rPr>
                <w:rFonts w:ascii="Arial" w:eastAsia="Calibri" w:hAnsi="Arial" w:cs="Arial"/>
                <w:bCs/>
                <w:i/>
                <w:iCs/>
                <w:szCs w:val="24"/>
                <w:lang w:val="fr-CA" w:eastAsia="en-CA" w:bidi="en-US"/>
              </w:rPr>
            </w:pPr>
            <w:r w:rsidRPr="00EA3915">
              <w:rPr>
                <w:rFonts w:ascii="Arial" w:eastAsia="Calibri" w:hAnsi="Arial" w:cs="Arial"/>
                <w:bCs/>
                <w:i/>
                <w:iCs/>
                <w:szCs w:val="24"/>
                <w:lang w:val="fr-CA" w:eastAsia="en-CA" w:bidi="en-US"/>
              </w:rPr>
              <w:t>Loi constituant la Société de gestion du cannabis, LN-B 2018, ch. 3</w:t>
            </w:r>
          </w:p>
        </w:tc>
      </w:tr>
      <w:tr w:rsidR="00EA3915" w:rsidRPr="00EA3915" w14:paraId="03E51730"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35867FE4"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p>
        </w:tc>
      </w:tr>
      <w:tr w:rsidR="00EA3915" w:rsidRPr="00D315AF" w14:paraId="22066920"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06B73940"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Les mesures susmentionnées permettent au gouvernement du Nouveau-Brunswick, par l’intermédiaire de la Société de gestion du cannabis, ou à une personne autorisée au titre des règlements à vendre du cannabis de réglementer la circulation, l’achat, l’importation, la possession, la livraison, le transport et la vente de cannabis et d’accorder diverses autorisations à ces égards. </w:t>
            </w:r>
          </w:p>
          <w:p w14:paraId="3E1BF131"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La Société de gestion du cannabis se réserve le droit de privilégier la promotion et la commercialisation du cannabis produit localement.</w:t>
            </w:r>
          </w:p>
          <w:p w14:paraId="5100AD55"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Ces mesures nécessitent que les consommateurs de la province achètent du cannabis et des produits à base de cannabis uniquement auprès de détaillants autorisés par la Société de gestion </w:t>
            </w:r>
            <w:r w:rsidRPr="00EA3915">
              <w:rPr>
                <w:rFonts w:ascii="Arial" w:eastAsia="Calibri" w:hAnsi="Arial" w:cs="Arial"/>
                <w:bCs/>
                <w:szCs w:val="24"/>
                <w:lang w:val="fr-CA" w:eastAsia="en-CA" w:bidi="en-US"/>
              </w:rPr>
              <w:lastRenderedPageBreak/>
              <w:t>du cannabis. Il est entendu qu’aucune restriction concernant l’importation ou l’exportation n’est imposée aux producteurs de cannabis autorisés.</w:t>
            </w:r>
          </w:p>
        </w:tc>
      </w:tr>
    </w:tbl>
    <w:p w14:paraId="48B67B6D" w14:textId="6128B0B8" w:rsidR="00B8348C" w:rsidRPr="00F52884" w:rsidRDefault="00B8348C">
      <w:pPr>
        <w:rPr>
          <w:rFonts w:eastAsia="Times New Roman" w:cstheme="minorHAnsi"/>
          <w:b/>
          <w:szCs w:val="23"/>
          <w:lang w:val="fr-FR"/>
        </w:rPr>
      </w:pPr>
      <w:r w:rsidRPr="00F52884">
        <w:rPr>
          <w:rFonts w:eastAsia="Times New Roman" w:cstheme="minorHAnsi"/>
          <w:b/>
          <w:bCs/>
          <w:szCs w:val="23"/>
          <w:lang w:val="fr-CA"/>
        </w:rPr>
        <w:lastRenderedPageBreak/>
        <w:br w:type="page"/>
      </w:r>
    </w:p>
    <w:p w14:paraId="1BA9E39C" w14:textId="77777777" w:rsidR="00B8348C" w:rsidRPr="00F52884" w:rsidRDefault="00B8348C" w:rsidP="00F52884">
      <w:pPr>
        <w:pStyle w:val="Heading3"/>
        <w:jc w:val="center"/>
        <w:rPr>
          <w:rFonts w:asciiTheme="minorHAnsi" w:hAnsiTheme="minorHAnsi" w:cstheme="minorHAnsi"/>
          <w:sz w:val="24"/>
          <w:szCs w:val="24"/>
          <w:lang w:val="fr-FR"/>
        </w:rPr>
      </w:pPr>
      <w:bookmarkStart w:id="282" w:name="_Toc476566339"/>
      <w:bookmarkStart w:id="283" w:name="_Toc156311792"/>
      <w:r w:rsidRPr="00F52884">
        <w:rPr>
          <w:rFonts w:asciiTheme="minorHAnsi" w:hAnsiTheme="minorHAnsi" w:cstheme="minorHAnsi"/>
          <w:sz w:val="24"/>
          <w:szCs w:val="24"/>
          <w:lang w:val="fr-CA"/>
        </w:rPr>
        <w:lastRenderedPageBreak/>
        <w:t>Liste du Manitoba</w:t>
      </w:r>
      <w:bookmarkEnd w:id="282"/>
      <w:bookmarkEnd w:id="283"/>
    </w:p>
    <w:p w14:paraId="5F8D976F" w14:textId="77777777" w:rsidR="00B8348C" w:rsidRPr="00F52884" w:rsidRDefault="00B8348C" w:rsidP="000C25A3">
      <w:pPr>
        <w:contextualSpacing/>
        <w:jc w:val="center"/>
        <w:outlineLvl w:val="2"/>
        <w:rPr>
          <w:rFonts w:eastAsia="Times New Roman" w:cstheme="minorHAnsi"/>
          <w:b/>
          <w:sz w:val="24"/>
          <w:szCs w:val="24"/>
          <w:lang w:val="fr-FR"/>
        </w:rPr>
      </w:pPr>
    </w:p>
    <w:p w14:paraId="55F76D44"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w:t>
      </w:r>
    </w:p>
    <w:p w14:paraId="1027B1C8" w14:textId="77777777" w:rsidR="00B8348C" w:rsidRPr="00F52884" w:rsidRDefault="00B8348C" w:rsidP="000C25A3">
      <w:pPr>
        <w:rPr>
          <w:rFonts w:cstheme="minorHAnsi"/>
          <w:b/>
          <w:szCs w:val="23"/>
          <w:lang w:val="fr-FR"/>
        </w:rPr>
      </w:pPr>
    </w:p>
    <w:p w14:paraId="5DDC0498" w14:textId="1590D27D" w:rsidR="00B8348C" w:rsidRPr="00F52884" w:rsidRDefault="00B8348C" w:rsidP="00110B78">
      <w:pPr>
        <w:spacing w:before="60" w:after="60"/>
        <w:ind w:left="-360"/>
        <w:rPr>
          <w:rFonts w:cstheme="minorHAnsi"/>
          <w:b/>
          <w:szCs w:val="23"/>
          <w:lang w:val="fr-CA"/>
        </w:rPr>
      </w:pPr>
      <w:r w:rsidRPr="00F52884">
        <w:rPr>
          <w:rFonts w:cstheme="minorHAnsi"/>
          <w:b/>
          <w:bCs/>
          <w:szCs w:val="23"/>
          <w:lang w:val="fr-CA"/>
        </w:rPr>
        <w:t xml:space="preserve">1. </w:t>
      </w:r>
      <w:r w:rsidR="00110B78" w:rsidRPr="00F52884">
        <w:rPr>
          <w:rFonts w:cstheme="minorHAnsi"/>
          <w:b/>
          <w:bCs/>
          <w:szCs w:val="23"/>
          <w:lang w:val="fr-CA"/>
        </w:rPr>
        <w:t xml:space="preserve"> </w:t>
      </w:r>
      <w:r w:rsidRPr="00F52884">
        <w:rPr>
          <w:rFonts w:cstheme="minorHAnsi"/>
          <w:b/>
          <w:bCs/>
          <w:szCs w:val="23"/>
          <w:lang w:val="fr-CA"/>
        </w:rPr>
        <w:t>MANITOBA</w:t>
      </w:r>
    </w:p>
    <w:tbl>
      <w:tblPr>
        <w:tblW w:w="10252" w:type="dxa"/>
        <w:jc w:val="center"/>
        <w:tblCellMar>
          <w:top w:w="14" w:type="dxa"/>
          <w:left w:w="86" w:type="dxa"/>
          <w:bottom w:w="14" w:type="dxa"/>
          <w:right w:w="86" w:type="dxa"/>
        </w:tblCellMar>
        <w:tblLook w:val="0000" w:firstRow="0" w:lastRow="0" w:firstColumn="0" w:lastColumn="0" w:noHBand="0" w:noVBand="0"/>
      </w:tblPr>
      <w:tblGrid>
        <w:gridCol w:w="2700"/>
        <w:gridCol w:w="7173"/>
        <w:gridCol w:w="379"/>
      </w:tblGrid>
      <w:tr w:rsidR="00B8348C" w:rsidRPr="00F52884" w14:paraId="6DBD9849" w14:textId="77777777" w:rsidTr="00FA2285">
        <w:trPr>
          <w:trHeight w:val="42"/>
          <w:jc w:val="center"/>
        </w:trPr>
        <w:tc>
          <w:tcPr>
            <w:tcW w:w="2700" w:type="dxa"/>
            <w:tcBorders>
              <w:top w:val="single" w:sz="4" w:space="0" w:color="C0C0C0"/>
              <w:left w:val="nil"/>
              <w:bottom w:val="single" w:sz="4" w:space="0" w:color="C0C0C0"/>
              <w:right w:val="single" w:sz="4" w:space="0" w:color="FFFFFF"/>
            </w:tcBorders>
            <w:vAlign w:val="center"/>
          </w:tcPr>
          <w:p w14:paraId="5CA92B3C"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552" w:type="dxa"/>
            <w:gridSpan w:val="2"/>
            <w:tcBorders>
              <w:top w:val="single" w:sz="4" w:space="0" w:color="C0C0C0"/>
              <w:left w:val="nil"/>
              <w:bottom w:val="single" w:sz="4" w:space="0" w:color="C0C0C0"/>
              <w:right w:val="single" w:sz="4" w:space="0" w:color="FFFFFF"/>
            </w:tcBorders>
            <w:vAlign w:val="center"/>
          </w:tcPr>
          <w:p w14:paraId="60EC8BD7" w14:textId="77777777" w:rsidR="00B8348C" w:rsidRPr="00F52884" w:rsidRDefault="00B8348C" w:rsidP="000C25A3">
            <w:pPr>
              <w:spacing w:before="60" w:after="60"/>
              <w:rPr>
                <w:rFonts w:cstheme="minorHAnsi"/>
                <w:szCs w:val="23"/>
              </w:rPr>
            </w:pPr>
            <w:r w:rsidRPr="00F52884">
              <w:rPr>
                <w:rFonts w:cstheme="minorHAnsi"/>
                <w:szCs w:val="23"/>
                <w:lang w:val="fr-CA"/>
              </w:rPr>
              <w:t>Agriculture</w:t>
            </w:r>
          </w:p>
        </w:tc>
      </w:tr>
      <w:tr w:rsidR="00B8348C" w:rsidRPr="00D315AF" w14:paraId="26CAD433" w14:textId="77777777" w:rsidTr="00FA2285">
        <w:trPr>
          <w:trHeight w:val="246"/>
          <w:jc w:val="center"/>
        </w:trPr>
        <w:tc>
          <w:tcPr>
            <w:tcW w:w="2700" w:type="dxa"/>
            <w:tcBorders>
              <w:top w:val="single" w:sz="4" w:space="0" w:color="C0C0C0"/>
              <w:left w:val="nil"/>
              <w:bottom w:val="single" w:sz="4" w:space="0" w:color="C0C0C0"/>
              <w:right w:val="single" w:sz="4" w:space="0" w:color="FFFFFF"/>
            </w:tcBorders>
            <w:vAlign w:val="center"/>
          </w:tcPr>
          <w:p w14:paraId="1D8818EA"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552" w:type="dxa"/>
            <w:gridSpan w:val="2"/>
            <w:tcBorders>
              <w:top w:val="single" w:sz="4" w:space="0" w:color="C0C0C0"/>
              <w:left w:val="nil"/>
              <w:bottom w:val="single" w:sz="4" w:space="0" w:color="C0C0C0"/>
              <w:right w:val="single" w:sz="4" w:space="0" w:color="FFFFFF"/>
            </w:tcBorders>
            <w:vAlign w:val="center"/>
          </w:tcPr>
          <w:p w14:paraId="09308E2C" w14:textId="77777777" w:rsidR="00B8348C" w:rsidRPr="00F52884" w:rsidRDefault="00B8348C" w:rsidP="000C25A3">
            <w:pPr>
              <w:spacing w:before="60" w:after="60"/>
              <w:rPr>
                <w:rFonts w:cstheme="minorHAnsi"/>
                <w:szCs w:val="23"/>
                <w:lang w:val="fr-FR"/>
              </w:rPr>
            </w:pPr>
            <w:r w:rsidRPr="00F52884">
              <w:rPr>
                <w:rFonts w:cstheme="minorHAnsi"/>
                <w:szCs w:val="23"/>
                <w:lang w:val="fr-CA"/>
              </w:rPr>
              <w:t xml:space="preserve">Produits de l’agriculture; animaux vivants et produits du règne animal; viandes et produits laitiers; autres produits alimentaires </w:t>
            </w:r>
            <w:proofErr w:type="spellStart"/>
            <w:r w:rsidRPr="00F52884">
              <w:rPr>
                <w:rFonts w:cstheme="minorHAnsi"/>
                <w:szCs w:val="23"/>
                <w:lang w:val="fr-CA"/>
              </w:rPr>
              <w:t>n.c.a</w:t>
            </w:r>
            <w:proofErr w:type="spellEnd"/>
            <w:r w:rsidRPr="00F52884">
              <w:rPr>
                <w:rFonts w:cstheme="minorHAnsi"/>
                <w:szCs w:val="23"/>
                <w:lang w:val="fr-CA"/>
              </w:rPr>
              <w:t>.; services annexes à l’agriculture</w:t>
            </w:r>
          </w:p>
        </w:tc>
      </w:tr>
      <w:tr w:rsidR="00B8348C" w:rsidRPr="00D315AF" w14:paraId="2CC65F04" w14:textId="77777777" w:rsidTr="00FA2285">
        <w:trPr>
          <w:gridAfter w:val="1"/>
          <w:wAfter w:w="379" w:type="dxa"/>
          <w:trHeight w:val="42"/>
          <w:jc w:val="center"/>
        </w:trPr>
        <w:tc>
          <w:tcPr>
            <w:tcW w:w="2700" w:type="dxa"/>
            <w:tcBorders>
              <w:top w:val="single" w:sz="4" w:space="0" w:color="C0C0C0"/>
              <w:left w:val="nil"/>
              <w:bottom w:val="single" w:sz="4" w:space="0" w:color="C0C0C0"/>
              <w:right w:val="single" w:sz="4" w:space="0" w:color="FFFFFF"/>
            </w:tcBorders>
            <w:vAlign w:val="center"/>
          </w:tcPr>
          <w:p w14:paraId="4E3B746E"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Classification de l’industrie : </w:t>
            </w:r>
          </w:p>
        </w:tc>
        <w:tc>
          <w:tcPr>
            <w:tcW w:w="7173" w:type="dxa"/>
            <w:tcBorders>
              <w:top w:val="single" w:sz="4" w:space="0" w:color="C0C0C0"/>
              <w:left w:val="nil"/>
              <w:bottom w:val="single" w:sz="4" w:space="0" w:color="C0C0C0"/>
              <w:right w:val="single" w:sz="4" w:space="0" w:color="FFFFFF"/>
            </w:tcBorders>
            <w:vAlign w:val="center"/>
          </w:tcPr>
          <w:p w14:paraId="59EE79E0" w14:textId="77777777" w:rsidR="00B8348C" w:rsidRPr="00F52884" w:rsidRDefault="00B8348C" w:rsidP="000C25A3">
            <w:pPr>
              <w:spacing w:before="60" w:after="60"/>
              <w:rPr>
                <w:rFonts w:cstheme="minorHAnsi"/>
                <w:b/>
                <w:szCs w:val="23"/>
                <w:lang w:val="fr-FR"/>
              </w:rPr>
            </w:pPr>
            <w:r w:rsidRPr="00F52884">
              <w:rPr>
                <w:rFonts w:cstheme="minorHAnsi"/>
                <w:szCs w:val="23"/>
                <w:lang w:val="fr-CA"/>
              </w:rPr>
              <w:t>CPC 01, 02, 21, 22, 239, 8811 (sauf la location d’équipement agricole, avec opérateur)</w:t>
            </w:r>
          </w:p>
        </w:tc>
      </w:tr>
      <w:tr w:rsidR="00B8348C" w:rsidRPr="00F52884" w14:paraId="5DC8116E" w14:textId="77777777" w:rsidTr="00FA2285">
        <w:trPr>
          <w:trHeight w:val="42"/>
          <w:jc w:val="center"/>
        </w:trPr>
        <w:tc>
          <w:tcPr>
            <w:tcW w:w="2700" w:type="dxa"/>
            <w:tcBorders>
              <w:top w:val="single" w:sz="4" w:space="0" w:color="C0C0C0"/>
              <w:left w:val="nil"/>
              <w:bottom w:val="single" w:sz="4" w:space="0" w:color="C0C0C0"/>
              <w:right w:val="single" w:sz="4" w:space="0" w:color="FFFFFF" w:themeColor="background1"/>
            </w:tcBorders>
          </w:tcPr>
          <w:p w14:paraId="5137F1B9" w14:textId="2F832565"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552" w:type="dxa"/>
            <w:gridSpan w:val="2"/>
            <w:tcBorders>
              <w:top w:val="single" w:sz="4" w:space="0" w:color="C0C0C0"/>
              <w:left w:val="single" w:sz="4" w:space="0" w:color="FFFFFF" w:themeColor="background1"/>
              <w:bottom w:val="single" w:sz="4" w:space="0" w:color="C0C0C0"/>
              <w:right w:val="single" w:sz="4" w:space="0" w:color="C0C0C0"/>
            </w:tcBorders>
          </w:tcPr>
          <w:p w14:paraId="6A4114CE" w14:textId="55E5F89F"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5A93D6B"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5F5186B2"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691AFD0A"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8A61B25" w14:textId="3A37EC39"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Loi sur la commercialisation des produits agricoles, </w:t>
            </w:r>
            <w:r w:rsidRPr="00F52884">
              <w:rPr>
                <w:rFonts w:cstheme="minorHAnsi"/>
                <w:szCs w:val="23"/>
                <w:lang w:val="fr-CA"/>
              </w:rPr>
              <w:t>CPLM c F47</w:t>
            </w:r>
          </w:p>
          <w:p w14:paraId="776C3C25" w14:textId="7696562C"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Programme de commercialisation destiné aux producteurs laitiers du Manitoba, </w:t>
            </w:r>
            <w:proofErr w:type="spellStart"/>
            <w:r w:rsidRPr="00F52884">
              <w:rPr>
                <w:rFonts w:cstheme="minorHAnsi"/>
                <w:szCs w:val="23"/>
                <w:lang w:val="fr-CA"/>
              </w:rPr>
              <w:t>Règl</w:t>
            </w:r>
            <w:proofErr w:type="spellEnd"/>
            <w:r w:rsidRPr="00F52884">
              <w:rPr>
                <w:rFonts w:cstheme="minorHAnsi"/>
                <w:szCs w:val="23"/>
                <w:lang w:val="fr-CA"/>
              </w:rPr>
              <w:t xml:space="preserve"> du Man 89/2004</w:t>
            </w:r>
          </w:p>
          <w:p w14:paraId="0E4C5241" w14:textId="1E551516"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Programme des producteurs manitobains pour la commercialisation des œufs et des poulettes, </w:t>
            </w:r>
            <w:proofErr w:type="spellStart"/>
            <w:r w:rsidRPr="00F52884">
              <w:rPr>
                <w:rFonts w:cstheme="minorHAnsi"/>
                <w:iCs/>
                <w:szCs w:val="23"/>
                <w:lang w:val="fr-CA"/>
              </w:rPr>
              <w:t>Règl</w:t>
            </w:r>
            <w:proofErr w:type="spellEnd"/>
            <w:r w:rsidRPr="00F52884">
              <w:rPr>
                <w:rFonts w:cstheme="minorHAnsi"/>
                <w:iCs/>
                <w:szCs w:val="23"/>
                <w:lang w:val="fr-CA"/>
              </w:rPr>
              <w:t xml:space="preserve"> du </w:t>
            </w:r>
            <w:r w:rsidRPr="00F52884">
              <w:rPr>
                <w:rFonts w:cstheme="minorHAnsi"/>
                <w:szCs w:val="23"/>
                <w:lang w:val="fr-CA"/>
              </w:rPr>
              <w:t>Man 70/2005</w:t>
            </w:r>
          </w:p>
          <w:p w14:paraId="20FC3000" w14:textId="4A0BF563"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Programme des producteurs manitobains pour la commercialisation des poulets à griller,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246/2004</w:t>
            </w:r>
          </w:p>
          <w:p w14:paraId="05CA462C" w14:textId="54220D5E"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Programme des producteurs manitobains pour la commercialisation des dindons,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38/2004</w:t>
            </w:r>
          </w:p>
          <w:p w14:paraId="3BF2B51D" w14:textId="46650B7D" w:rsidR="00B8348C" w:rsidRPr="00F52884" w:rsidRDefault="00B8348C" w:rsidP="00B8348C">
            <w:pPr>
              <w:tabs>
                <w:tab w:val="num" w:pos="29"/>
              </w:tabs>
              <w:spacing w:before="60" w:after="60" w:line="288" w:lineRule="auto"/>
              <w:ind w:left="288" w:hanging="288"/>
              <w:rPr>
                <w:rFonts w:cstheme="minorHAnsi"/>
                <w:szCs w:val="23"/>
                <w:lang w:val="fr-CA"/>
              </w:rPr>
            </w:pPr>
            <w:r w:rsidRPr="00F52884">
              <w:rPr>
                <w:rFonts w:cstheme="minorHAnsi"/>
                <w:i/>
                <w:iCs/>
                <w:szCs w:val="23"/>
                <w:lang w:val="fr-CA"/>
              </w:rPr>
              <w:t xml:space="preserve">Programme des maraîchers manitobains pour la commercialisation des légumes, </w:t>
            </w:r>
            <w:proofErr w:type="spellStart"/>
            <w:r w:rsidRPr="00F52884">
              <w:rPr>
                <w:rFonts w:cstheme="minorHAnsi"/>
                <w:szCs w:val="23"/>
                <w:lang w:val="fr-CA"/>
              </w:rPr>
              <w:t>Règl</w:t>
            </w:r>
            <w:proofErr w:type="spellEnd"/>
            <w:r w:rsidRPr="00F52884">
              <w:rPr>
                <w:rFonts w:cstheme="minorHAnsi"/>
                <w:szCs w:val="23"/>
                <w:lang w:val="fr-CA"/>
              </w:rPr>
              <w:t xml:space="preserve"> du Man 117/2009</w:t>
            </w:r>
          </w:p>
        </w:tc>
      </w:tr>
      <w:tr w:rsidR="00B8348C" w:rsidRPr="00F52884" w14:paraId="47C6DF25" w14:textId="77777777" w:rsidTr="00FA228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4B6A4ADD"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3A4D26AD"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36B66A2" w14:textId="77777777" w:rsidR="00B8348C" w:rsidRPr="00F52884" w:rsidRDefault="00B8348C" w:rsidP="000C25A3">
            <w:pPr>
              <w:spacing w:before="60" w:after="60"/>
              <w:rPr>
                <w:rFonts w:cstheme="minorHAnsi"/>
                <w:szCs w:val="23"/>
                <w:lang w:val="fr-FR"/>
              </w:rPr>
            </w:pPr>
            <w:r w:rsidRPr="00F52884">
              <w:rPr>
                <w:rFonts w:cstheme="minorHAnsi"/>
                <w:szCs w:val="23"/>
                <w:lang w:val="fr-CA"/>
              </w:rPr>
              <w:t>Les offices et commissions prévus dans les mesures susmentionnées peuvent accorder des préférences aux résidents permanents du Manitoba au moment d’examiner des demandes pour fixer et attribuer des contingents, ou des demandes relatives à la vente, à la location ou à la cession de contingents.</w:t>
            </w:r>
          </w:p>
        </w:tc>
      </w:tr>
    </w:tbl>
    <w:p w14:paraId="4B87A08C" w14:textId="77777777" w:rsidR="00B8348C" w:rsidRPr="00F52884" w:rsidRDefault="00B8348C" w:rsidP="000C25A3">
      <w:pPr>
        <w:rPr>
          <w:rFonts w:cstheme="minorHAnsi"/>
          <w:szCs w:val="23"/>
          <w:lang w:val="fr-FR"/>
        </w:rPr>
      </w:pPr>
      <w:r w:rsidRPr="00F52884">
        <w:rPr>
          <w:rFonts w:cstheme="minorHAnsi"/>
          <w:b/>
          <w:bCs/>
          <w:szCs w:val="23"/>
          <w:lang w:val="fr-CA"/>
        </w:rPr>
        <w:t xml:space="preserve"> </w:t>
      </w:r>
    </w:p>
    <w:p w14:paraId="53F93F21" w14:textId="77777777" w:rsidR="00B8348C" w:rsidRPr="00F52884" w:rsidRDefault="00B8348C" w:rsidP="000C25A3">
      <w:pPr>
        <w:rPr>
          <w:rFonts w:cstheme="minorHAnsi"/>
          <w:b/>
          <w:szCs w:val="23"/>
          <w:lang w:val="fr-FR"/>
        </w:rPr>
      </w:pPr>
    </w:p>
    <w:p w14:paraId="1BF7A7C9" w14:textId="23062E5A" w:rsidR="00B8348C" w:rsidRPr="00F52884" w:rsidRDefault="00FC6687" w:rsidP="00110B78">
      <w:pPr>
        <w:spacing w:before="60" w:after="60"/>
        <w:ind w:left="-360"/>
        <w:rPr>
          <w:rFonts w:cstheme="minorHAnsi"/>
          <w:b/>
          <w:szCs w:val="23"/>
        </w:rPr>
      </w:pPr>
      <w:r>
        <w:rPr>
          <w:rFonts w:cstheme="minorHAnsi"/>
          <w:b/>
          <w:bCs/>
          <w:szCs w:val="23"/>
          <w:lang w:val="fr-CA"/>
        </w:rPr>
        <w:t>2</w:t>
      </w:r>
      <w:r w:rsidR="00B8348C" w:rsidRPr="00F52884">
        <w:rPr>
          <w:rFonts w:cstheme="minorHAnsi"/>
          <w:b/>
          <w:bCs/>
          <w:szCs w:val="23"/>
          <w:lang w:val="fr-CA"/>
        </w:rPr>
        <w:t xml:space="preserve">. </w:t>
      </w:r>
      <w:r w:rsidR="00110B78" w:rsidRPr="00F52884">
        <w:rPr>
          <w:rFonts w:cstheme="minorHAnsi"/>
          <w:b/>
          <w:bCs/>
          <w:szCs w:val="23"/>
          <w:lang w:val="fr-CA"/>
        </w:rPr>
        <w:t xml:space="preserve"> </w:t>
      </w:r>
      <w:r w:rsidR="00B8348C" w:rsidRPr="00F52884">
        <w:rPr>
          <w:rFonts w:cstheme="minorHAnsi"/>
          <w:b/>
          <w:bCs/>
          <w:szCs w:val="23"/>
          <w:lang w:val="fr-CA"/>
        </w:rPr>
        <w:t>MANITOBA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610"/>
        <w:gridCol w:w="7353"/>
        <w:gridCol w:w="379"/>
      </w:tblGrid>
      <w:tr w:rsidR="00B8348C" w:rsidRPr="00F52884" w14:paraId="354FD2AF" w14:textId="77777777" w:rsidTr="00FA2285">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06EC98D9"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732" w:type="dxa"/>
            <w:gridSpan w:val="2"/>
            <w:tcBorders>
              <w:top w:val="single" w:sz="4" w:space="0" w:color="C0C0C0"/>
              <w:left w:val="nil"/>
              <w:bottom w:val="single" w:sz="4" w:space="0" w:color="C0C0C0"/>
              <w:right w:val="single" w:sz="4" w:space="0" w:color="FFFFFF"/>
            </w:tcBorders>
            <w:vAlign w:val="center"/>
          </w:tcPr>
          <w:p w14:paraId="3DB0739B"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F52884" w14:paraId="3794CC6E" w14:textId="77777777" w:rsidTr="00FA2285">
        <w:trPr>
          <w:trHeight w:val="246"/>
          <w:jc w:val="center"/>
        </w:trPr>
        <w:tc>
          <w:tcPr>
            <w:tcW w:w="2610" w:type="dxa"/>
            <w:tcBorders>
              <w:top w:val="single" w:sz="4" w:space="0" w:color="C0C0C0"/>
              <w:left w:val="nil"/>
              <w:bottom w:val="single" w:sz="4" w:space="0" w:color="C0C0C0"/>
              <w:right w:val="single" w:sz="4" w:space="0" w:color="FFFFFF"/>
            </w:tcBorders>
            <w:vAlign w:val="center"/>
          </w:tcPr>
          <w:p w14:paraId="5252411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32" w:type="dxa"/>
            <w:gridSpan w:val="2"/>
            <w:tcBorders>
              <w:top w:val="single" w:sz="4" w:space="0" w:color="C0C0C0"/>
              <w:left w:val="nil"/>
              <w:bottom w:val="single" w:sz="4" w:space="0" w:color="C0C0C0"/>
              <w:right w:val="single" w:sz="4" w:space="0" w:color="FFFFFF"/>
            </w:tcBorders>
            <w:vAlign w:val="center"/>
          </w:tcPr>
          <w:p w14:paraId="3897EE11" w14:textId="77777777" w:rsidR="00B8348C" w:rsidRPr="00F52884" w:rsidRDefault="00B8348C" w:rsidP="000C25A3">
            <w:pPr>
              <w:spacing w:before="60" w:after="60"/>
              <w:rPr>
                <w:rFonts w:cstheme="minorHAnsi"/>
                <w:szCs w:val="23"/>
              </w:rPr>
            </w:pPr>
            <w:r w:rsidRPr="00F52884">
              <w:rPr>
                <w:rFonts w:cstheme="minorHAnsi"/>
                <w:szCs w:val="23"/>
                <w:lang w:val="fr-CA"/>
              </w:rPr>
              <w:t>Énergie électrique</w:t>
            </w:r>
          </w:p>
        </w:tc>
      </w:tr>
      <w:tr w:rsidR="00B8348C" w:rsidRPr="00F52884" w14:paraId="11437D82" w14:textId="77777777" w:rsidTr="00FA2285">
        <w:trPr>
          <w:gridAfter w:val="1"/>
          <w:wAfter w:w="379" w:type="dxa"/>
          <w:trHeight w:val="42"/>
          <w:jc w:val="center"/>
        </w:trPr>
        <w:tc>
          <w:tcPr>
            <w:tcW w:w="2610" w:type="dxa"/>
            <w:tcBorders>
              <w:top w:val="single" w:sz="4" w:space="0" w:color="C0C0C0"/>
              <w:left w:val="nil"/>
              <w:bottom w:val="single" w:sz="4" w:space="0" w:color="C0C0C0"/>
              <w:right w:val="single" w:sz="4" w:space="0" w:color="FFFFFF"/>
            </w:tcBorders>
            <w:vAlign w:val="center"/>
          </w:tcPr>
          <w:p w14:paraId="62737206"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nil"/>
              <w:bottom w:val="single" w:sz="4" w:space="0" w:color="C0C0C0"/>
              <w:right w:val="single" w:sz="4" w:space="0" w:color="FFFFFF"/>
            </w:tcBorders>
            <w:vAlign w:val="center"/>
          </w:tcPr>
          <w:p w14:paraId="01EA36C3" w14:textId="77777777" w:rsidR="00B8348C" w:rsidRPr="00F52884" w:rsidRDefault="00B8348C" w:rsidP="000C25A3">
            <w:pPr>
              <w:spacing w:before="60" w:after="60"/>
              <w:rPr>
                <w:rFonts w:cstheme="minorHAnsi"/>
                <w:szCs w:val="23"/>
              </w:rPr>
            </w:pPr>
            <w:r w:rsidRPr="00F52884">
              <w:rPr>
                <w:rFonts w:cstheme="minorHAnsi"/>
                <w:szCs w:val="23"/>
                <w:lang w:val="fr-CA"/>
              </w:rPr>
              <w:t>CPC 17, 887</w:t>
            </w:r>
          </w:p>
        </w:tc>
      </w:tr>
      <w:tr w:rsidR="00B8348C" w:rsidRPr="00F52884" w14:paraId="0CCA1CCF" w14:textId="77777777" w:rsidTr="00FA2285">
        <w:trPr>
          <w:trHeight w:val="42"/>
          <w:jc w:val="center"/>
        </w:trPr>
        <w:tc>
          <w:tcPr>
            <w:tcW w:w="2610" w:type="dxa"/>
            <w:tcBorders>
              <w:top w:val="single" w:sz="4" w:space="0" w:color="C0C0C0"/>
              <w:left w:val="nil"/>
              <w:bottom w:val="single" w:sz="4" w:space="0" w:color="C0C0C0"/>
              <w:right w:val="single" w:sz="4" w:space="0" w:color="FFFFFF" w:themeColor="background1"/>
            </w:tcBorders>
          </w:tcPr>
          <w:p w14:paraId="65328D36" w14:textId="75AB2D2D"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themeColor="background1"/>
              <w:bottom w:val="single" w:sz="4" w:space="0" w:color="C0C0C0"/>
              <w:right w:val="single" w:sz="4" w:space="0" w:color="C0C0C0"/>
            </w:tcBorders>
          </w:tcPr>
          <w:p w14:paraId="5F604F2B" w14:textId="42F11620"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w:t>
            </w:r>
            <w:r w:rsidR="001C0611" w:rsidRPr="00F52884">
              <w:rPr>
                <w:rFonts w:asciiTheme="minorHAnsi" w:hAnsiTheme="minorHAnsi" w:cstheme="minorHAnsi"/>
                <w:sz w:val="23"/>
                <w:szCs w:val="23"/>
                <w:lang w:val="fr-CA"/>
              </w:rPr>
              <w:t>Traitement non discriminatoire</w:t>
            </w:r>
            <w:r w:rsidRPr="00F52884">
              <w:rPr>
                <w:rFonts w:asciiTheme="minorHAnsi" w:hAnsiTheme="minorHAnsi" w:cstheme="minorHAnsi"/>
                <w:sz w:val="23"/>
                <w:szCs w:val="23"/>
                <w:lang w:val="fr-CA"/>
              </w:rPr>
              <w:t>)</w:t>
            </w:r>
          </w:p>
        </w:tc>
      </w:tr>
      <w:tr w:rsidR="00B8348C" w:rsidRPr="00F52884" w14:paraId="1EB9FB3E"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40BFF22A" w14:textId="77777777" w:rsidR="00B8348C" w:rsidRPr="00F52884" w:rsidRDefault="00B8348C" w:rsidP="000C25A3">
            <w:pPr>
              <w:spacing w:before="60" w:after="60"/>
              <w:rPr>
                <w:rFonts w:cstheme="minorHAnsi"/>
                <w:b/>
                <w:szCs w:val="23"/>
              </w:rPr>
            </w:pPr>
            <w:r w:rsidRPr="00F52884">
              <w:rPr>
                <w:rFonts w:cstheme="minorHAnsi"/>
                <w:b/>
                <w:bCs/>
                <w:szCs w:val="23"/>
                <w:lang w:val="fr-CA"/>
              </w:rPr>
              <w:lastRenderedPageBreak/>
              <w:t>Mesures :</w:t>
            </w:r>
          </w:p>
        </w:tc>
      </w:tr>
      <w:tr w:rsidR="00B8348C" w:rsidRPr="00D315AF" w14:paraId="220E3298"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FE84606" w14:textId="077C47A9"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Loi sur l'Hydro-Manitoba, </w:t>
            </w:r>
            <w:r w:rsidRPr="00F52884">
              <w:rPr>
                <w:rFonts w:cstheme="minorHAnsi"/>
                <w:szCs w:val="23"/>
                <w:lang w:val="fr-CA"/>
              </w:rPr>
              <w:t>CPLM c H190</w:t>
            </w:r>
          </w:p>
          <w:p w14:paraId="6CD33F79" w14:textId="39D247CD"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Loi sur la Régie des services publics, </w:t>
            </w:r>
            <w:r w:rsidRPr="00F52884">
              <w:rPr>
                <w:rFonts w:cstheme="minorHAnsi"/>
                <w:szCs w:val="23"/>
                <w:lang w:val="fr-CA"/>
              </w:rPr>
              <w:t>CPLM c P280</w:t>
            </w:r>
          </w:p>
          <w:p w14:paraId="7F37095A" w14:textId="0E37A215"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Loi sur l'énergie hydraulique, </w:t>
            </w:r>
            <w:r w:rsidRPr="00F52884">
              <w:rPr>
                <w:rFonts w:cstheme="minorHAnsi"/>
                <w:szCs w:val="23"/>
                <w:lang w:val="fr-CA"/>
              </w:rPr>
              <w:t>CPLM c W60</w:t>
            </w:r>
          </w:p>
          <w:p w14:paraId="7D6EC065" w14:textId="67A97DF0"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Loi sur l'environnement, </w:t>
            </w:r>
            <w:r w:rsidRPr="00F52884">
              <w:rPr>
                <w:rFonts w:cstheme="minorHAnsi"/>
                <w:szCs w:val="23"/>
                <w:lang w:val="fr-CA"/>
              </w:rPr>
              <w:t>CPLM c E125</w:t>
            </w:r>
          </w:p>
          <w:p w14:paraId="1CD7E8E4" w14:textId="08C92F8E" w:rsidR="00B8348C" w:rsidRPr="00B04E29" w:rsidRDefault="00B8348C" w:rsidP="000C25A3">
            <w:pPr>
              <w:spacing w:before="60" w:after="60"/>
              <w:rPr>
                <w:rFonts w:cstheme="minorHAnsi"/>
                <w:szCs w:val="23"/>
                <w:lang w:val="fr-CA"/>
              </w:rPr>
            </w:pPr>
            <w:r w:rsidRPr="00F52884">
              <w:rPr>
                <w:rFonts w:cstheme="minorHAnsi"/>
                <w:i/>
                <w:iCs/>
                <w:szCs w:val="23"/>
                <w:lang w:val="fr-CA"/>
              </w:rPr>
              <w:t xml:space="preserve">Loi sur l'examen public des activités des corporations de la Couronne et l'obligation redditionnelle de celles-ci, </w:t>
            </w:r>
            <w:r w:rsidRPr="00F52884">
              <w:rPr>
                <w:rFonts w:cstheme="minorHAnsi"/>
                <w:szCs w:val="23"/>
                <w:lang w:val="fr-CA"/>
              </w:rPr>
              <w:t>CPLM c </w:t>
            </w:r>
            <w:r w:rsidRPr="00B04E29">
              <w:rPr>
                <w:rFonts w:cstheme="minorHAnsi"/>
                <w:szCs w:val="23"/>
                <w:lang w:val="fr-CA"/>
              </w:rPr>
              <w:t>C336</w:t>
            </w:r>
          </w:p>
        </w:tc>
      </w:tr>
      <w:tr w:rsidR="00B8348C" w:rsidRPr="00F52884" w14:paraId="44860C2F"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15B7BACD" w14:textId="77777777" w:rsidR="00B8348C" w:rsidRPr="00F52884" w:rsidRDefault="00B8348C" w:rsidP="000C25A3">
            <w:pPr>
              <w:spacing w:before="60" w:after="60"/>
              <w:rPr>
                <w:rFonts w:cstheme="minorHAnsi"/>
                <w:b/>
                <w:szCs w:val="23"/>
              </w:rPr>
            </w:pPr>
            <w:proofErr w:type="gramStart"/>
            <w:r w:rsidRPr="00F52884">
              <w:rPr>
                <w:rFonts w:cstheme="minorHAnsi"/>
                <w:b/>
                <w:bCs/>
                <w:szCs w:val="23"/>
                <w:lang w:val="en-US"/>
              </w:rPr>
              <w:t>Description :</w:t>
            </w:r>
            <w:proofErr w:type="gramEnd"/>
          </w:p>
        </w:tc>
      </w:tr>
      <w:tr w:rsidR="00B8348C" w:rsidRPr="00D315AF" w14:paraId="27E3EDCA"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658E4C60" w14:textId="293218DA" w:rsidR="00B8348C" w:rsidRPr="00F52884" w:rsidRDefault="00B8348C" w:rsidP="000C25A3">
            <w:pPr>
              <w:spacing w:before="120" w:after="120"/>
              <w:ind w:left="366" w:hanging="360"/>
              <w:rPr>
                <w:rFonts w:cstheme="minorHAnsi"/>
                <w:bCs/>
                <w:szCs w:val="23"/>
                <w:lang w:val="fr-FR"/>
              </w:rPr>
            </w:pPr>
            <w:r w:rsidRPr="00F52884">
              <w:rPr>
                <w:rFonts w:cstheme="minorHAnsi"/>
                <w:szCs w:val="23"/>
                <w:lang w:val="fr-CA"/>
              </w:rPr>
              <w:t xml:space="preserve">1. Les mesures susmentionnées permettent, entre autres, au Manitoba ou à Hydro-Manitoba : </w:t>
            </w:r>
          </w:p>
          <w:p w14:paraId="1F14EEE5" w14:textId="74C0A5CC" w:rsidR="00B8348C" w:rsidRPr="00F52884" w:rsidRDefault="00B8348C" w:rsidP="000C25A3">
            <w:pPr>
              <w:spacing w:before="120" w:after="120"/>
              <w:ind w:left="906" w:hanging="540"/>
              <w:rPr>
                <w:rFonts w:cstheme="minorHAnsi"/>
                <w:bCs/>
                <w:szCs w:val="23"/>
                <w:lang w:val="fr-FR"/>
              </w:rPr>
            </w:pPr>
            <w:r w:rsidRPr="00F52884">
              <w:rPr>
                <w:rFonts w:cstheme="minorHAnsi"/>
                <w:szCs w:val="23"/>
                <w:lang w:val="fr-CA"/>
              </w:rPr>
              <w:t xml:space="preserve">a) </w:t>
            </w:r>
            <w:r w:rsidRPr="00F52884">
              <w:rPr>
                <w:rFonts w:cstheme="minorHAnsi"/>
                <w:szCs w:val="23"/>
                <w:lang w:val="fr-CA"/>
              </w:rPr>
              <w:tab/>
              <w:t xml:space="preserve">de réglementer la production, le transport, la distribution, l’importation, l’exportation, la fourniture et la vente d’électricité, et d’accorder divers permis, autorisations et approbations à cet égard, si cette électricité est produite à partir de sources d’énergie renouvelable ou à partir d’autres produits, forces ou sources grâce auxquels il est possible de produire de l’électricité; </w:t>
            </w:r>
          </w:p>
          <w:p w14:paraId="011D8FE0" w14:textId="38DF9AD4" w:rsidR="00B8348C" w:rsidRDefault="00B8348C" w:rsidP="000C25A3">
            <w:pPr>
              <w:spacing w:before="120" w:after="120"/>
              <w:ind w:left="906" w:hanging="540"/>
              <w:rPr>
                <w:rFonts w:cstheme="minorHAnsi"/>
                <w:szCs w:val="23"/>
                <w:lang w:val="fr-CA"/>
              </w:rPr>
            </w:pPr>
            <w:r w:rsidRPr="00F52884">
              <w:rPr>
                <w:rFonts w:cstheme="minorHAnsi"/>
                <w:szCs w:val="23"/>
                <w:lang w:val="fr-CA"/>
              </w:rPr>
              <w:t xml:space="preserve">b) </w:t>
            </w:r>
            <w:r w:rsidRPr="00F52884">
              <w:rPr>
                <w:rFonts w:cstheme="minorHAnsi"/>
                <w:szCs w:val="23"/>
                <w:lang w:val="fr-CA"/>
              </w:rPr>
              <w:tab/>
              <w:t>de réglementer la conception, la construction ou l’entretien des centrales, des postes, des lignes de transport, des pylônes et d’autres installations, structures ou équipements requis pour l’une des activités énoncées au paragraphe a), notamment l’octroi de droits à l’égard de ressources hydrauliques situées sur des terres du domaine public aux fins de la production d’électricité;</w:t>
            </w:r>
          </w:p>
          <w:p w14:paraId="3DF62B32" w14:textId="780EF7B0" w:rsidR="00B8348C" w:rsidRPr="00F52884" w:rsidRDefault="00B8348C" w:rsidP="00B8348C">
            <w:pPr>
              <w:spacing w:before="120" w:after="120"/>
              <w:ind w:left="366" w:hanging="360"/>
              <w:rPr>
                <w:rFonts w:cstheme="minorHAnsi"/>
                <w:szCs w:val="23"/>
                <w:lang w:val="fr-FR"/>
              </w:rPr>
            </w:pPr>
            <w:r w:rsidRPr="00F52884">
              <w:rPr>
                <w:rFonts w:cstheme="minorHAnsi"/>
                <w:szCs w:val="23"/>
                <w:lang w:val="fr-CA"/>
              </w:rPr>
              <w:t xml:space="preserve">2. </w:t>
            </w:r>
            <w:r w:rsidR="00110B78" w:rsidRPr="00F52884">
              <w:rPr>
                <w:rFonts w:cstheme="minorHAnsi"/>
                <w:szCs w:val="23"/>
                <w:lang w:val="fr-CA"/>
              </w:rPr>
              <w:tab/>
            </w:r>
            <w:r w:rsidRPr="00F52884">
              <w:rPr>
                <w:rFonts w:cstheme="minorHAnsi"/>
                <w:szCs w:val="23"/>
                <w:lang w:val="fr-CA"/>
              </w:rPr>
              <w:t>Sans restreindre la portée générale de ce qui précède, ces mesures peuvent se traduire par une discrimination en faveur de résidents du Manitoba ou d’entités de cette province constituées conformément à la législation du Canada ou d’une province et ayant un lieu d’affaires au Manitoba.</w:t>
            </w:r>
          </w:p>
        </w:tc>
      </w:tr>
    </w:tbl>
    <w:p w14:paraId="6E2622F1" w14:textId="77777777" w:rsidR="00B8348C" w:rsidRPr="00F52884" w:rsidRDefault="00B8348C" w:rsidP="000C25A3">
      <w:pPr>
        <w:rPr>
          <w:rFonts w:cstheme="minorHAnsi"/>
          <w:b/>
          <w:szCs w:val="23"/>
          <w:lang w:val="fr-FR"/>
        </w:rPr>
      </w:pPr>
    </w:p>
    <w:p w14:paraId="7E408E37" w14:textId="77777777" w:rsidR="00C82401" w:rsidRPr="00F52884" w:rsidRDefault="00C82401" w:rsidP="000C25A3">
      <w:pPr>
        <w:rPr>
          <w:rFonts w:cstheme="minorHAnsi"/>
          <w:b/>
          <w:szCs w:val="23"/>
          <w:lang w:val="fr-FR"/>
        </w:rPr>
      </w:pPr>
    </w:p>
    <w:p w14:paraId="42C24DD4" w14:textId="3D861E1B" w:rsidR="00B8348C" w:rsidRPr="00F52884" w:rsidRDefault="00FC6687" w:rsidP="00110B78">
      <w:pPr>
        <w:spacing w:before="60" w:after="60"/>
        <w:ind w:left="-360"/>
        <w:rPr>
          <w:rFonts w:cstheme="minorHAnsi"/>
          <w:b/>
          <w:szCs w:val="23"/>
        </w:rPr>
      </w:pPr>
      <w:r>
        <w:rPr>
          <w:rFonts w:cstheme="minorHAnsi"/>
          <w:b/>
          <w:bCs/>
          <w:szCs w:val="23"/>
          <w:lang w:val="fr-CA"/>
        </w:rPr>
        <w:t>3</w:t>
      </w:r>
      <w:r w:rsidR="00B8348C" w:rsidRPr="00F52884">
        <w:rPr>
          <w:rFonts w:cstheme="minorHAnsi"/>
          <w:b/>
          <w:bCs/>
          <w:szCs w:val="23"/>
          <w:lang w:val="fr-CA"/>
        </w:rPr>
        <w:t>.</w:t>
      </w:r>
      <w:r w:rsidR="00110B78" w:rsidRPr="00F52884">
        <w:rPr>
          <w:rFonts w:cstheme="minorHAnsi"/>
          <w:b/>
          <w:bCs/>
          <w:szCs w:val="23"/>
          <w:lang w:val="fr-CA"/>
        </w:rPr>
        <w:t xml:space="preserve"> </w:t>
      </w:r>
      <w:r w:rsidR="00B8348C" w:rsidRPr="00F52884">
        <w:rPr>
          <w:rFonts w:cstheme="minorHAnsi"/>
          <w:b/>
          <w:bCs/>
          <w:szCs w:val="23"/>
          <w:lang w:val="fr-CA"/>
        </w:rPr>
        <w:t xml:space="preserve"> MANITOBA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700"/>
        <w:gridCol w:w="7263"/>
        <w:gridCol w:w="379"/>
      </w:tblGrid>
      <w:tr w:rsidR="00B8348C" w:rsidRPr="00F52884" w14:paraId="4CEC44C0" w14:textId="77777777" w:rsidTr="00FA2285">
        <w:trPr>
          <w:trHeight w:val="42"/>
          <w:jc w:val="center"/>
        </w:trPr>
        <w:tc>
          <w:tcPr>
            <w:tcW w:w="2700" w:type="dxa"/>
            <w:tcBorders>
              <w:top w:val="single" w:sz="4" w:space="0" w:color="C0C0C0"/>
              <w:left w:val="nil"/>
              <w:bottom w:val="single" w:sz="4" w:space="0" w:color="C0C0C0"/>
              <w:right w:val="single" w:sz="4" w:space="0" w:color="FFFFFF"/>
            </w:tcBorders>
            <w:vAlign w:val="center"/>
          </w:tcPr>
          <w:p w14:paraId="3330A2DF"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642" w:type="dxa"/>
            <w:gridSpan w:val="2"/>
            <w:tcBorders>
              <w:top w:val="single" w:sz="4" w:space="0" w:color="C0C0C0"/>
              <w:left w:val="nil"/>
              <w:bottom w:val="single" w:sz="4" w:space="0" w:color="C0C0C0"/>
              <w:right w:val="single" w:sz="4" w:space="0" w:color="FFFFFF"/>
            </w:tcBorders>
            <w:vAlign w:val="center"/>
          </w:tcPr>
          <w:p w14:paraId="6BE50B38" w14:textId="77777777" w:rsidR="00B8348C" w:rsidRPr="00F52884" w:rsidRDefault="00B8348C" w:rsidP="000C25A3">
            <w:pPr>
              <w:spacing w:before="60" w:after="60"/>
              <w:rPr>
                <w:rFonts w:cstheme="minorHAnsi"/>
                <w:szCs w:val="23"/>
              </w:rPr>
            </w:pPr>
            <w:r w:rsidRPr="00F52884">
              <w:rPr>
                <w:rFonts w:cstheme="minorHAnsi"/>
                <w:szCs w:val="23"/>
                <w:lang w:val="fr-CA"/>
              </w:rPr>
              <w:t>Pêches</w:t>
            </w:r>
          </w:p>
        </w:tc>
      </w:tr>
      <w:tr w:rsidR="00B8348C" w:rsidRPr="00D315AF" w14:paraId="556FC9FF" w14:textId="77777777" w:rsidTr="00FA2285">
        <w:trPr>
          <w:trHeight w:val="246"/>
          <w:jc w:val="center"/>
        </w:trPr>
        <w:tc>
          <w:tcPr>
            <w:tcW w:w="2700" w:type="dxa"/>
            <w:tcBorders>
              <w:top w:val="single" w:sz="4" w:space="0" w:color="C0C0C0"/>
              <w:left w:val="nil"/>
              <w:bottom w:val="single" w:sz="4" w:space="0" w:color="C0C0C0"/>
              <w:right w:val="single" w:sz="4" w:space="0" w:color="FFFFFF"/>
            </w:tcBorders>
            <w:vAlign w:val="center"/>
          </w:tcPr>
          <w:p w14:paraId="1F1658B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642" w:type="dxa"/>
            <w:gridSpan w:val="2"/>
            <w:tcBorders>
              <w:top w:val="single" w:sz="4" w:space="0" w:color="C0C0C0"/>
              <w:left w:val="nil"/>
              <w:bottom w:val="single" w:sz="4" w:space="0" w:color="C0C0C0"/>
              <w:right w:val="single" w:sz="4" w:space="0" w:color="FFFFFF"/>
            </w:tcBorders>
            <w:vAlign w:val="center"/>
          </w:tcPr>
          <w:p w14:paraId="375510BC"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annexes à la pêche; services de commerce de gros</w:t>
            </w:r>
          </w:p>
        </w:tc>
      </w:tr>
      <w:tr w:rsidR="00B8348C" w:rsidRPr="00F52884" w14:paraId="6D36016F" w14:textId="77777777" w:rsidTr="00FA2285">
        <w:trPr>
          <w:gridAfter w:val="1"/>
          <w:wAfter w:w="379" w:type="dxa"/>
          <w:trHeight w:val="42"/>
          <w:jc w:val="center"/>
        </w:trPr>
        <w:tc>
          <w:tcPr>
            <w:tcW w:w="2700" w:type="dxa"/>
            <w:tcBorders>
              <w:top w:val="single" w:sz="4" w:space="0" w:color="C0C0C0"/>
              <w:left w:val="nil"/>
              <w:bottom w:val="single" w:sz="4" w:space="0" w:color="C0C0C0"/>
              <w:right w:val="single" w:sz="4" w:space="0" w:color="FFFFFF"/>
            </w:tcBorders>
            <w:vAlign w:val="center"/>
          </w:tcPr>
          <w:p w14:paraId="3CA5235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263" w:type="dxa"/>
            <w:tcBorders>
              <w:top w:val="single" w:sz="4" w:space="0" w:color="C0C0C0"/>
              <w:left w:val="nil"/>
              <w:bottom w:val="single" w:sz="4" w:space="0" w:color="C0C0C0"/>
              <w:right w:val="single" w:sz="4" w:space="0" w:color="FFFFFF"/>
            </w:tcBorders>
            <w:vAlign w:val="center"/>
          </w:tcPr>
          <w:p w14:paraId="26498312" w14:textId="77777777" w:rsidR="00B8348C" w:rsidRPr="00F52884" w:rsidRDefault="00B8348C" w:rsidP="000C25A3">
            <w:pPr>
              <w:spacing w:before="60" w:after="60"/>
              <w:rPr>
                <w:rFonts w:cstheme="minorHAnsi"/>
                <w:szCs w:val="23"/>
              </w:rPr>
            </w:pPr>
            <w:r w:rsidRPr="00F52884">
              <w:rPr>
                <w:rFonts w:cstheme="minorHAnsi"/>
                <w:szCs w:val="23"/>
                <w:lang w:val="fr-CA"/>
              </w:rPr>
              <w:t>CPC 04, 882, 62224</w:t>
            </w:r>
          </w:p>
        </w:tc>
      </w:tr>
      <w:tr w:rsidR="00B8348C" w:rsidRPr="00D315AF" w14:paraId="22CBA884" w14:textId="77777777" w:rsidTr="00FA2285">
        <w:trPr>
          <w:trHeight w:val="42"/>
          <w:jc w:val="center"/>
        </w:trPr>
        <w:tc>
          <w:tcPr>
            <w:tcW w:w="2700" w:type="dxa"/>
            <w:tcBorders>
              <w:top w:val="single" w:sz="4" w:space="0" w:color="C0C0C0"/>
              <w:left w:val="nil"/>
              <w:bottom w:val="single" w:sz="4" w:space="0" w:color="C0C0C0"/>
              <w:right w:val="single" w:sz="4" w:space="0" w:color="FFFFFF" w:themeColor="background1"/>
            </w:tcBorders>
          </w:tcPr>
          <w:p w14:paraId="4BE1EC7F" w14:textId="71411F1C"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642" w:type="dxa"/>
            <w:gridSpan w:val="2"/>
            <w:tcBorders>
              <w:top w:val="single" w:sz="4" w:space="0" w:color="C0C0C0"/>
              <w:left w:val="single" w:sz="4" w:space="0" w:color="FFFFFF" w:themeColor="background1"/>
              <w:bottom w:val="single" w:sz="4" w:space="0" w:color="C0C0C0"/>
              <w:right w:val="single" w:sz="4" w:space="0" w:color="C0C0C0"/>
            </w:tcBorders>
          </w:tcPr>
          <w:p w14:paraId="353A90A4" w14:textId="53D9C43E"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307 (Accès aux marchés – Services), article 312 (Accès aux marchés – Investissement), article 313 (Prescriptions de résultats)</w:t>
            </w:r>
          </w:p>
        </w:tc>
      </w:tr>
      <w:tr w:rsidR="00B8348C" w:rsidRPr="00F52884" w14:paraId="4DBBDD64"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7A0C879F"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2B31AD02"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B291E45" w14:textId="1703CD3B" w:rsidR="00B8348C" w:rsidRPr="00F52884" w:rsidRDefault="00B8348C" w:rsidP="000C25A3">
            <w:pPr>
              <w:tabs>
                <w:tab w:val="num" w:pos="29"/>
              </w:tabs>
              <w:spacing w:before="60" w:after="60" w:line="288" w:lineRule="auto"/>
              <w:ind w:left="288" w:hanging="288"/>
              <w:rPr>
                <w:rFonts w:cstheme="minorHAnsi"/>
                <w:szCs w:val="23"/>
                <w:lang w:val="fr-CA"/>
              </w:rPr>
            </w:pPr>
            <w:r w:rsidRPr="00F52884">
              <w:rPr>
                <w:rFonts w:cstheme="minorHAnsi"/>
                <w:i/>
                <w:iCs/>
                <w:szCs w:val="23"/>
                <w:lang w:val="fr-CA"/>
              </w:rPr>
              <w:t>Loi sur la pêche</w:t>
            </w:r>
            <w:r w:rsidRPr="00F52884">
              <w:rPr>
                <w:rFonts w:cstheme="minorHAnsi"/>
                <w:szCs w:val="23"/>
                <w:lang w:val="fr-CA"/>
              </w:rPr>
              <w:t xml:space="preserve">, CPLM c F90 </w:t>
            </w:r>
          </w:p>
          <w:p w14:paraId="337B07D9" w14:textId="50EDCE06" w:rsidR="00B8348C" w:rsidRPr="00F52884" w:rsidRDefault="00B8348C" w:rsidP="000C25A3">
            <w:pPr>
              <w:tabs>
                <w:tab w:val="num" w:pos="29"/>
              </w:tabs>
              <w:spacing w:before="60" w:after="60" w:line="288" w:lineRule="auto"/>
              <w:ind w:left="288" w:hanging="288"/>
              <w:rPr>
                <w:rFonts w:cstheme="minorHAnsi"/>
                <w:szCs w:val="23"/>
                <w:lang w:val="fr-CA"/>
              </w:rPr>
            </w:pPr>
            <w:r w:rsidRPr="00F52884">
              <w:rPr>
                <w:rFonts w:cstheme="minorHAnsi"/>
                <w:i/>
                <w:iCs/>
                <w:szCs w:val="23"/>
                <w:lang w:val="fr-CA"/>
              </w:rPr>
              <w:t>Règlement sur l</w:t>
            </w:r>
            <w:r w:rsidR="001C0611" w:rsidRPr="00F52884">
              <w:rPr>
                <w:rFonts w:cstheme="minorHAnsi"/>
                <w:i/>
                <w:iCs/>
                <w:szCs w:val="23"/>
                <w:lang w:val="fr-CA"/>
              </w:rPr>
              <w:t>es</w:t>
            </w:r>
            <w:r w:rsidRPr="00F52884">
              <w:rPr>
                <w:rFonts w:cstheme="minorHAnsi"/>
                <w:i/>
                <w:iCs/>
                <w:szCs w:val="23"/>
                <w:lang w:val="fr-CA"/>
              </w:rPr>
              <w:t xml:space="preserve"> permis de pêche</w:t>
            </w:r>
            <w:r w:rsidRPr="00F52884">
              <w:rPr>
                <w:rFonts w:cstheme="minorHAnsi"/>
                <w:szCs w:val="23"/>
                <w:lang w:val="fr-CA"/>
              </w:rPr>
              <w:t xml:space="preserve">, </w:t>
            </w:r>
            <w:proofErr w:type="spellStart"/>
            <w:r w:rsidRPr="00F52884">
              <w:rPr>
                <w:rFonts w:cstheme="minorHAnsi"/>
                <w:szCs w:val="23"/>
                <w:lang w:val="fr-CA"/>
              </w:rPr>
              <w:t>Règl</w:t>
            </w:r>
            <w:proofErr w:type="spellEnd"/>
            <w:r w:rsidRPr="00F52884">
              <w:rPr>
                <w:rFonts w:cstheme="minorHAnsi"/>
                <w:szCs w:val="23"/>
                <w:lang w:val="fr-CA"/>
              </w:rPr>
              <w:t xml:space="preserve"> du Man 124/97</w:t>
            </w:r>
          </w:p>
          <w:p w14:paraId="11E8CDF3" w14:textId="77777777" w:rsidR="00B8348C" w:rsidRPr="00F52884" w:rsidRDefault="00B8348C" w:rsidP="000C25A3">
            <w:pPr>
              <w:spacing w:before="60" w:after="60"/>
              <w:rPr>
                <w:rFonts w:cstheme="minorHAnsi"/>
                <w:szCs w:val="23"/>
                <w:lang w:val="fr-FR"/>
              </w:rPr>
            </w:pPr>
            <w:r w:rsidRPr="00F52884">
              <w:rPr>
                <w:rFonts w:cstheme="minorHAnsi"/>
                <w:szCs w:val="23"/>
                <w:lang w:val="fr-CA"/>
              </w:rPr>
              <w:t>Politique sur la délivrance de permis de pêche commerciale</w:t>
            </w:r>
          </w:p>
        </w:tc>
      </w:tr>
      <w:tr w:rsidR="00B8348C" w:rsidRPr="00F52884" w14:paraId="0AC040F1"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2BC6F560"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lastRenderedPageBreak/>
              <w:t>Description :</w:t>
            </w:r>
          </w:p>
        </w:tc>
      </w:tr>
      <w:tr w:rsidR="00B8348C" w:rsidRPr="00D315AF" w14:paraId="58B1E5DB"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0C880198" w14:textId="77777777" w:rsidR="00B8348C" w:rsidRPr="00F52884" w:rsidRDefault="00B8348C" w:rsidP="000C25A3">
            <w:pPr>
              <w:spacing w:before="60" w:after="60"/>
              <w:rPr>
                <w:rFonts w:cstheme="minorHAnsi"/>
                <w:szCs w:val="23"/>
                <w:lang w:val="fr-FR"/>
              </w:rPr>
            </w:pPr>
            <w:r w:rsidRPr="00F52884">
              <w:rPr>
                <w:rFonts w:cstheme="minorHAnsi"/>
                <w:szCs w:val="23"/>
                <w:lang w:val="fr-CA"/>
              </w:rPr>
              <w:t>Le ministre a l’entière discrétion de délivrer des permis de pêche commerciale et d’y assortir des conditions. La politique actuelle précise que les permis de pêche commerciale sont attribués, réattribués et renouvelés en fonction de la valeur des avantages qui en découlent pour, en ordre de priorité : 1) l’économie locale; 2) l’économie régionale; 3) l’économie provinciale.</w:t>
            </w:r>
          </w:p>
        </w:tc>
      </w:tr>
    </w:tbl>
    <w:p w14:paraId="3BCBE0E5" w14:textId="77777777" w:rsidR="00B8348C" w:rsidRPr="00F52884" w:rsidRDefault="00B8348C" w:rsidP="000C25A3">
      <w:pPr>
        <w:spacing w:line="276" w:lineRule="auto"/>
        <w:rPr>
          <w:rFonts w:cstheme="minorHAnsi"/>
          <w:szCs w:val="23"/>
          <w:lang w:val="fr-FR"/>
        </w:rPr>
      </w:pPr>
    </w:p>
    <w:p w14:paraId="177F7EF8" w14:textId="77777777" w:rsidR="00B8348C" w:rsidRPr="00F52884" w:rsidRDefault="00B8348C" w:rsidP="000C25A3">
      <w:pPr>
        <w:rPr>
          <w:rFonts w:cstheme="minorHAnsi"/>
          <w:szCs w:val="23"/>
          <w:lang w:val="fr-FR"/>
        </w:rPr>
      </w:pPr>
    </w:p>
    <w:p w14:paraId="1136B867" w14:textId="7FE639CB" w:rsidR="00B8348C" w:rsidRPr="00F52884" w:rsidRDefault="00FC6687" w:rsidP="00110B78">
      <w:pPr>
        <w:spacing w:before="60" w:after="60"/>
        <w:ind w:left="-360"/>
        <w:rPr>
          <w:rFonts w:cstheme="minorHAnsi"/>
          <w:b/>
          <w:szCs w:val="23"/>
        </w:rPr>
      </w:pPr>
      <w:r>
        <w:rPr>
          <w:rFonts w:cstheme="minorHAnsi"/>
          <w:b/>
          <w:bCs/>
          <w:szCs w:val="23"/>
          <w:lang w:val="fr-CA"/>
        </w:rPr>
        <w:t>4</w:t>
      </w:r>
      <w:r w:rsidR="00B8348C" w:rsidRPr="00F52884">
        <w:rPr>
          <w:rFonts w:cstheme="minorHAnsi"/>
          <w:b/>
          <w:bCs/>
          <w:szCs w:val="23"/>
          <w:lang w:val="fr-CA"/>
        </w:rPr>
        <w:t xml:space="preserve">. </w:t>
      </w:r>
      <w:r w:rsidR="00110B78" w:rsidRPr="00F52884">
        <w:rPr>
          <w:rFonts w:cstheme="minorHAnsi"/>
          <w:b/>
          <w:bCs/>
          <w:szCs w:val="23"/>
          <w:lang w:val="fr-CA"/>
        </w:rPr>
        <w:t xml:space="preserve"> </w:t>
      </w:r>
      <w:r w:rsidR="00B8348C" w:rsidRPr="00F52884">
        <w:rPr>
          <w:rFonts w:cstheme="minorHAnsi"/>
          <w:b/>
          <w:bCs/>
          <w:szCs w:val="23"/>
          <w:lang w:val="fr-CA"/>
        </w:rPr>
        <w:t>MANITOBA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700"/>
        <w:gridCol w:w="7263"/>
        <w:gridCol w:w="379"/>
      </w:tblGrid>
      <w:tr w:rsidR="00B8348C" w:rsidRPr="00F52884" w14:paraId="1A3D95E6" w14:textId="77777777" w:rsidTr="00FA2285">
        <w:trPr>
          <w:trHeight w:val="42"/>
          <w:jc w:val="center"/>
        </w:trPr>
        <w:tc>
          <w:tcPr>
            <w:tcW w:w="2700" w:type="dxa"/>
            <w:tcBorders>
              <w:top w:val="single" w:sz="4" w:space="0" w:color="C0C0C0"/>
              <w:left w:val="nil"/>
              <w:bottom w:val="single" w:sz="4" w:space="0" w:color="C0C0C0"/>
              <w:right w:val="single" w:sz="4" w:space="0" w:color="FFFFFF"/>
            </w:tcBorders>
            <w:vAlign w:val="center"/>
          </w:tcPr>
          <w:p w14:paraId="7B4D05C1"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642" w:type="dxa"/>
            <w:gridSpan w:val="2"/>
            <w:tcBorders>
              <w:top w:val="single" w:sz="4" w:space="0" w:color="C0C0C0"/>
              <w:left w:val="nil"/>
              <w:bottom w:val="single" w:sz="4" w:space="0" w:color="C0C0C0"/>
              <w:right w:val="single" w:sz="4" w:space="0" w:color="FFFFFF"/>
            </w:tcBorders>
            <w:vAlign w:val="center"/>
          </w:tcPr>
          <w:p w14:paraId="54E2C21C"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D315AF" w14:paraId="3DBE9CA5" w14:textId="77777777" w:rsidTr="00FA2285">
        <w:trPr>
          <w:trHeight w:val="246"/>
          <w:jc w:val="center"/>
        </w:trPr>
        <w:tc>
          <w:tcPr>
            <w:tcW w:w="2700" w:type="dxa"/>
            <w:tcBorders>
              <w:top w:val="single" w:sz="4" w:space="0" w:color="C0C0C0"/>
              <w:left w:val="nil"/>
              <w:bottom w:val="single" w:sz="4" w:space="0" w:color="C0C0C0"/>
              <w:right w:val="single" w:sz="4" w:space="0" w:color="FFFFFF"/>
            </w:tcBorders>
            <w:vAlign w:val="center"/>
          </w:tcPr>
          <w:p w14:paraId="47AC5758"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642" w:type="dxa"/>
            <w:gridSpan w:val="2"/>
            <w:tcBorders>
              <w:top w:val="single" w:sz="4" w:space="0" w:color="C0C0C0"/>
              <w:left w:val="nil"/>
              <w:bottom w:val="single" w:sz="4" w:space="0" w:color="C0C0C0"/>
              <w:right w:val="single" w:sz="4" w:space="0" w:color="FFFFFF"/>
            </w:tcBorders>
            <w:vAlign w:val="center"/>
          </w:tcPr>
          <w:p w14:paraId="399FAD0D"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Sylviculture et produits de l’exploitation forestière; services annexes à la fabrication</w:t>
            </w:r>
          </w:p>
        </w:tc>
      </w:tr>
      <w:tr w:rsidR="00B8348C" w:rsidRPr="00F52884" w14:paraId="2975AF49" w14:textId="77777777" w:rsidTr="00FA2285">
        <w:trPr>
          <w:gridAfter w:val="1"/>
          <w:wAfter w:w="379" w:type="dxa"/>
          <w:trHeight w:val="42"/>
          <w:jc w:val="center"/>
        </w:trPr>
        <w:tc>
          <w:tcPr>
            <w:tcW w:w="2700" w:type="dxa"/>
            <w:tcBorders>
              <w:top w:val="single" w:sz="4" w:space="0" w:color="C0C0C0"/>
              <w:left w:val="nil"/>
              <w:bottom w:val="single" w:sz="4" w:space="0" w:color="C0C0C0"/>
              <w:right w:val="single" w:sz="4" w:space="0" w:color="FFFFFF"/>
            </w:tcBorders>
            <w:vAlign w:val="center"/>
          </w:tcPr>
          <w:p w14:paraId="548C466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263" w:type="dxa"/>
            <w:tcBorders>
              <w:top w:val="single" w:sz="4" w:space="0" w:color="C0C0C0"/>
              <w:left w:val="nil"/>
              <w:bottom w:val="single" w:sz="4" w:space="0" w:color="C0C0C0"/>
              <w:right w:val="single" w:sz="4" w:space="0" w:color="FFFFFF"/>
            </w:tcBorders>
            <w:vAlign w:val="center"/>
          </w:tcPr>
          <w:p w14:paraId="2474A1F3" w14:textId="77777777" w:rsidR="00B8348C" w:rsidRPr="00F52884" w:rsidRDefault="00B8348C" w:rsidP="000C25A3">
            <w:pPr>
              <w:spacing w:before="60" w:after="60"/>
              <w:rPr>
                <w:rFonts w:cstheme="minorHAnsi"/>
                <w:szCs w:val="23"/>
              </w:rPr>
            </w:pPr>
            <w:r w:rsidRPr="00F52884">
              <w:rPr>
                <w:rFonts w:cstheme="minorHAnsi"/>
                <w:szCs w:val="23"/>
                <w:lang w:val="fr-CA"/>
              </w:rPr>
              <w:t>CPC 0311, 0312, 8843</w:t>
            </w:r>
          </w:p>
        </w:tc>
      </w:tr>
      <w:tr w:rsidR="00B8348C" w:rsidRPr="00D315AF" w14:paraId="2720E0EE" w14:textId="77777777" w:rsidTr="00FA2285">
        <w:trPr>
          <w:trHeight w:val="42"/>
          <w:jc w:val="center"/>
        </w:trPr>
        <w:tc>
          <w:tcPr>
            <w:tcW w:w="2700" w:type="dxa"/>
            <w:tcBorders>
              <w:top w:val="single" w:sz="4" w:space="0" w:color="C0C0C0"/>
              <w:left w:val="nil"/>
              <w:bottom w:val="single" w:sz="4" w:space="0" w:color="C0C0C0"/>
              <w:right w:val="single" w:sz="4" w:space="0" w:color="FFFFFF" w:themeColor="background1"/>
            </w:tcBorders>
          </w:tcPr>
          <w:p w14:paraId="22D24C5A" w14:textId="4E058DA0"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642" w:type="dxa"/>
            <w:gridSpan w:val="2"/>
            <w:tcBorders>
              <w:top w:val="single" w:sz="4" w:space="0" w:color="C0C0C0"/>
              <w:left w:val="single" w:sz="4" w:space="0" w:color="FFFFFF" w:themeColor="background1"/>
              <w:bottom w:val="single" w:sz="4" w:space="0" w:color="C0C0C0"/>
              <w:right w:val="single" w:sz="4" w:space="0" w:color="C0C0C0"/>
            </w:tcBorders>
          </w:tcPr>
          <w:p w14:paraId="78C7E173" w14:textId="2A38FAFD"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313 (Prescriptions de résultats)</w:t>
            </w:r>
          </w:p>
        </w:tc>
      </w:tr>
      <w:tr w:rsidR="00B8348C" w:rsidRPr="00F52884" w14:paraId="4A8951C9"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361D085"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085C9326"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11137333" w14:textId="67C7AD6F"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Loi sur les forêts, </w:t>
            </w:r>
            <w:r w:rsidRPr="00F52884">
              <w:rPr>
                <w:rFonts w:cstheme="minorHAnsi"/>
                <w:szCs w:val="23"/>
                <w:lang w:val="fr-CA"/>
              </w:rPr>
              <w:t>CPLM c F150</w:t>
            </w:r>
          </w:p>
          <w:p w14:paraId="32372393" w14:textId="7AB917F1" w:rsidR="00B8348C" w:rsidRPr="00F52884" w:rsidRDefault="00B8348C" w:rsidP="00B8348C">
            <w:pPr>
              <w:spacing w:before="60" w:after="60"/>
              <w:rPr>
                <w:rFonts w:cstheme="minorHAnsi"/>
                <w:szCs w:val="23"/>
                <w:lang w:val="fr-CA"/>
              </w:rPr>
            </w:pPr>
            <w:r w:rsidRPr="00F52884">
              <w:rPr>
                <w:rFonts w:cstheme="minorHAnsi"/>
                <w:i/>
                <w:iCs/>
                <w:szCs w:val="23"/>
                <w:lang w:val="fr-CA"/>
              </w:rPr>
              <w:t xml:space="preserve">Règlement sur les forêts,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227/88R</w:t>
            </w:r>
          </w:p>
        </w:tc>
      </w:tr>
      <w:tr w:rsidR="00B8348C" w:rsidRPr="00F52884" w14:paraId="447BBAFD"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6285DCFD"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69345639"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9C15706" w14:textId="29D88112" w:rsidR="00B8348C" w:rsidRPr="00F52884" w:rsidRDefault="00B8348C" w:rsidP="00B8348C">
            <w:pPr>
              <w:spacing w:before="60" w:after="60"/>
              <w:rPr>
                <w:rFonts w:cstheme="minorHAnsi"/>
                <w:szCs w:val="23"/>
                <w:lang w:val="fr-FR"/>
              </w:rPr>
            </w:pPr>
            <w:r w:rsidRPr="00F52884">
              <w:rPr>
                <w:rFonts w:cstheme="minorHAnsi"/>
                <w:szCs w:val="23"/>
                <w:lang w:val="fr-CA"/>
              </w:rPr>
              <w:t>Le ministre a la responsabilité de réglementer et d’administrer tous les aspects de la sylviculture, et il a le pouvoir discrétionnaire d’accorder des droits ou de délivrer des permis ou des licences à toute personne, sous réserve des modalités et conditions que le ministre juge appropriées. Les droits de coupe de bois doivent être accordés selon les modalités qui, de l’avis du ministre, favorisent le plus l’industrie forestière du Manitoba. Les résidents du Manitoba peuvent se voir accorder un traitement préférentiel à l’égard de ces droits de coupe de bois et de ces permis ou licences.</w:t>
            </w:r>
          </w:p>
        </w:tc>
      </w:tr>
    </w:tbl>
    <w:p w14:paraId="17DCA8C5" w14:textId="77777777" w:rsidR="00B8348C" w:rsidRPr="00F52884" w:rsidRDefault="00B8348C" w:rsidP="000C25A3">
      <w:pPr>
        <w:rPr>
          <w:rFonts w:cstheme="minorHAnsi"/>
          <w:b/>
          <w:szCs w:val="23"/>
          <w:lang w:val="fr-FR"/>
        </w:rPr>
      </w:pPr>
    </w:p>
    <w:p w14:paraId="07433BCD" w14:textId="77777777" w:rsidR="00B8348C" w:rsidRPr="00F52884" w:rsidRDefault="00B8348C" w:rsidP="000C25A3">
      <w:pPr>
        <w:rPr>
          <w:rFonts w:cstheme="minorHAnsi"/>
          <w:b/>
          <w:szCs w:val="23"/>
          <w:lang w:val="fr-FR"/>
        </w:rPr>
      </w:pPr>
    </w:p>
    <w:p w14:paraId="3959DDB9" w14:textId="55AB47B8" w:rsidR="00B8348C" w:rsidRPr="00F52884" w:rsidRDefault="00FC6687" w:rsidP="00110B78">
      <w:pPr>
        <w:spacing w:before="60" w:after="60" w:line="276" w:lineRule="auto"/>
        <w:ind w:left="-360"/>
        <w:rPr>
          <w:rFonts w:cstheme="minorHAnsi"/>
          <w:b/>
          <w:szCs w:val="23"/>
        </w:rPr>
      </w:pPr>
      <w:r>
        <w:rPr>
          <w:rFonts w:cstheme="minorHAnsi"/>
          <w:b/>
          <w:bCs/>
          <w:szCs w:val="23"/>
          <w:lang w:val="fr-CA"/>
        </w:rPr>
        <w:t>5</w:t>
      </w:r>
      <w:r w:rsidR="00B8348C" w:rsidRPr="00F52884">
        <w:rPr>
          <w:rFonts w:cstheme="minorHAnsi"/>
          <w:b/>
          <w:bCs/>
          <w:szCs w:val="23"/>
          <w:lang w:val="fr-CA"/>
        </w:rPr>
        <w:t xml:space="preserve">. </w:t>
      </w:r>
      <w:r w:rsidR="00110B78" w:rsidRPr="00F52884">
        <w:rPr>
          <w:rFonts w:cstheme="minorHAnsi"/>
          <w:b/>
          <w:bCs/>
          <w:szCs w:val="23"/>
          <w:lang w:val="fr-CA"/>
        </w:rPr>
        <w:t xml:space="preserve"> </w:t>
      </w:r>
      <w:r w:rsidR="00B8348C" w:rsidRPr="00F52884">
        <w:rPr>
          <w:rFonts w:cstheme="minorHAnsi"/>
          <w:b/>
          <w:bCs/>
          <w:szCs w:val="23"/>
          <w:lang w:val="fr-CA"/>
        </w:rPr>
        <w:t>MANITOBA</w:t>
      </w:r>
    </w:p>
    <w:tbl>
      <w:tblPr>
        <w:tblW w:w="10342" w:type="dxa"/>
        <w:jc w:val="center"/>
        <w:tblCellMar>
          <w:top w:w="14" w:type="dxa"/>
          <w:left w:w="86" w:type="dxa"/>
          <w:bottom w:w="14" w:type="dxa"/>
          <w:right w:w="86" w:type="dxa"/>
        </w:tblCellMar>
        <w:tblLook w:val="0000" w:firstRow="0" w:lastRow="0" w:firstColumn="0" w:lastColumn="0" w:noHBand="0" w:noVBand="0"/>
      </w:tblPr>
      <w:tblGrid>
        <w:gridCol w:w="2610"/>
        <w:gridCol w:w="7353"/>
        <w:gridCol w:w="379"/>
      </w:tblGrid>
      <w:tr w:rsidR="00B8348C" w:rsidRPr="00F52884" w14:paraId="7C4CF1D8" w14:textId="77777777" w:rsidTr="00FA2285">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479BC92A"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Secteur :</w:t>
            </w:r>
          </w:p>
        </w:tc>
        <w:tc>
          <w:tcPr>
            <w:tcW w:w="7732" w:type="dxa"/>
            <w:gridSpan w:val="2"/>
            <w:tcBorders>
              <w:top w:val="single" w:sz="4" w:space="0" w:color="C0C0C0"/>
              <w:left w:val="nil"/>
              <w:bottom w:val="single" w:sz="4" w:space="0" w:color="C0C0C0"/>
              <w:right w:val="single" w:sz="4" w:space="0" w:color="FFFFFF"/>
            </w:tcBorders>
            <w:vAlign w:val="center"/>
          </w:tcPr>
          <w:p w14:paraId="3E812A9F" w14:textId="77777777" w:rsidR="00B8348C" w:rsidRPr="00F52884" w:rsidRDefault="00B8348C" w:rsidP="000C25A3">
            <w:pPr>
              <w:spacing w:before="60" w:after="60"/>
              <w:rPr>
                <w:rFonts w:cstheme="minorHAnsi"/>
                <w:szCs w:val="23"/>
              </w:rPr>
            </w:pPr>
            <w:r w:rsidRPr="00F52884">
              <w:rPr>
                <w:rFonts w:cstheme="minorHAnsi"/>
                <w:szCs w:val="23"/>
                <w:lang w:val="fr-CA"/>
              </w:rPr>
              <w:t>Chasse</w:t>
            </w:r>
          </w:p>
        </w:tc>
      </w:tr>
      <w:tr w:rsidR="00B8348C" w:rsidRPr="00D315AF" w14:paraId="75BD9FB0" w14:textId="77777777" w:rsidTr="00FA2285">
        <w:trPr>
          <w:trHeight w:val="246"/>
          <w:jc w:val="center"/>
        </w:trPr>
        <w:tc>
          <w:tcPr>
            <w:tcW w:w="2610" w:type="dxa"/>
            <w:tcBorders>
              <w:top w:val="single" w:sz="4" w:space="0" w:color="C0C0C0"/>
              <w:left w:val="nil"/>
              <w:bottom w:val="single" w:sz="4" w:space="0" w:color="C0C0C0"/>
              <w:right w:val="single" w:sz="4" w:space="0" w:color="FFFFFF"/>
            </w:tcBorders>
            <w:vAlign w:val="center"/>
          </w:tcPr>
          <w:p w14:paraId="2EE6F4BD"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32" w:type="dxa"/>
            <w:gridSpan w:val="2"/>
            <w:tcBorders>
              <w:top w:val="single" w:sz="4" w:space="0" w:color="C0C0C0"/>
              <w:left w:val="nil"/>
              <w:bottom w:val="single" w:sz="4" w:space="0" w:color="C0C0C0"/>
              <w:right w:val="single" w:sz="4" w:space="0" w:color="FFFFFF"/>
            </w:tcBorders>
            <w:vAlign w:val="center"/>
          </w:tcPr>
          <w:p w14:paraId="6D47C781"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annexes à la chasse; industries de la chasse, de la pêche et du piégeage; services de guides touristiques; chasse pour compte propre</w:t>
            </w:r>
          </w:p>
        </w:tc>
      </w:tr>
      <w:tr w:rsidR="00B8348C" w:rsidRPr="00F52884" w14:paraId="4E03C692" w14:textId="77777777" w:rsidTr="00FA2285">
        <w:trPr>
          <w:gridAfter w:val="1"/>
          <w:wAfter w:w="379" w:type="dxa"/>
          <w:trHeight w:val="42"/>
          <w:jc w:val="center"/>
        </w:trPr>
        <w:tc>
          <w:tcPr>
            <w:tcW w:w="2610" w:type="dxa"/>
            <w:tcBorders>
              <w:top w:val="single" w:sz="4" w:space="0" w:color="C0C0C0"/>
              <w:left w:val="nil"/>
              <w:bottom w:val="single" w:sz="4" w:space="0" w:color="C0C0C0"/>
              <w:right w:val="single" w:sz="4" w:space="0" w:color="FFFFFF"/>
            </w:tcBorders>
            <w:vAlign w:val="center"/>
          </w:tcPr>
          <w:p w14:paraId="06A41EA6"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nil"/>
              <w:bottom w:val="single" w:sz="4" w:space="0" w:color="C0C0C0"/>
              <w:right w:val="single" w:sz="4" w:space="0" w:color="FFFFFF"/>
            </w:tcBorders>
            <w:vAlign w:val="center"/>
          </w:tcPr>
          <w:p w14:paraId="61387595" w14:textId="77777777" w:rsidR="00B8348C" w:rsidRPr="00F52884" w:rsidRDefault="00B8348C" w:rsidP="000C25A3">
            <w:pPr>
              <w:spacing w:before="60" w:after="60"/>
              <w:rPr>
                <w:rFonts w:cstheme="minorHAnsi"/>
                <w:szCs w:val="23"/>
              </w:rPr>
            </w:pPr>
            <w:r w:rsidRPr="00F52884">
              <w:rPr>
                <w:rFonts w:cstheme="minorHAnsi"/>
                <w:szCs w:val="23"/>
                <w:lang w:val="fr-CA"/>
              </w:rPr>
              <w:t>CPC 7472, 8813, 96419</w:t>
            </w:r>
          </w:p>
        </w:tc>
      </w:tr>
      <w:tr w:rsidR="00B8348C" w:rsidRPr="00D315AF" w14:paraId="22401652" w14:textId="77777777" w:rsidTr="00FA2285">
        <w:trPr>
          <w:trHeight w:val="42"/>
          <w:jc w:val="center"/>
        </w:trPr>
        <w:tc>
          <w:tcPr>
            <w:tcW w:w="2610" w:type="dxa"/>
            <w:tcBorders>
              <w:top w:val="single" w:sz="4" w:space="0" w:color="C0C0C0"/>
              <w:left w:val="nil"/>
              <w:bottom w:val="single" w:sz="4" w:space="0" w:color="C0C0C0"/>
              <w:right w:val="single" w:sz="4" w:space="0" w:color="FFFFFF" w:themeColor="background1"/>
            </w:tcBorders>
          </w:tcPr>
          <w:p w14:paraId="01E5A908" w14:textId="71DC6794"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themeColor="background1"/>
              <w:bottom w:val="single" w:sz="4" w:space="0" w:color="C0C0C0"/>
              <w:right w:val="single" w:sz="4" w:space="0" w:color="C0C0C0"/>
            </w:tcBorders>
          </w:tcPr>
          <w:p w14:paraId="62925126" w14:textId="2374F9CF"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307 (Accès aux marchés – Services), article 312 (Accès aux marchés – Investissement)</w:t>
            </w:r>
          </w:p>
        </w:tc>
      </w:tr>
      <w:tr w:rsidR="00B8348C" w:rsidRPr="00F52884" w14:paraId="4919DC6D"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0FA50768"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1F9847DD"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002A0B8E" w14:textId="75C500D0"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lastRenderedPageBreak/>
              <w:t xml:space="preserve">Loi sur la conservation de la faune, </w:t>
            </w:r>
            <w:r w:rsidRPr="00F52884">
              <w:rPr>
                <w:rFonts w:cstheme="minorHAnsi"/>
                <w:szCs w:val="23"/>
                <w:lang w:val="fr-CA"/>
              </w:rPr>
              <w:t>CPLM c W130</w:t>
            </w:r>
          </w:p>
          <w:p w14:paraId="680A04C6" w14:textId="11BFD7BE"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Règlement sur l’attribution des permis de chasse,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77/2006</w:t>
            </w:r>
          </w:p>
          <w:p w14:paraId="636616FE" w14:textId="7CD53500"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Règlement sur les animaux sauvages en captivité, </w:t>
            </w:r>
            <w:proofErr w:type="spellStart"/>
            <w:r w:rsidRPr="00F52884">
              <w:rPr>
                <w:rFonts w:cstheme="minorHAnsi"/>
                <w:iCs/>
                <w:szCs w:val="23"/>
                <w:lang w:val="fr-CA"/>
              </w:rPr>
              <w:t>Règl</w:t>
            </w:r>
            <w:proofErr w:type="spellEnd"/>
            <w:r w:rsidRPr="00F52884">
              <w:rPr>
                <w:rFonts w:cstheme="minorHAnsi"/>
                <w:iCs/>
                <w:szCs w:val="23"/>
                <w:lang w:val="fr-CA"/>
              </w:rPr>
              <w:t xml:space="preserve"> du </w:t>
            </w:r>
            <w:r w:rsidRPr="00F52884">
              <w:rPr>
                <w:rFonts w:cstheme="minorHAnsi"/>
                <w:szCs w:val="23"/>
                <w:lang w:val="fr-CA"/>
              </w:rPr>
              <w:t>Man 23/98</w:t>
            </w:r>
          </w:p>
          <w:p w14:paraId="5E8CE830" w14:textId="351F54C7" w:rsidR="00B8348C" w:rsidRPr="00F52884" w:rsidRDefault="00B8348C" w:rsidP="000C25A3">
            <w:pPr>
              <w:tabs>
                <w:tab w:val="num" w:pos="29"/>
              </w:tabs>
              <w:spacing w:before="60" w:after="60" w:line="288" w:lineRule="auto"/>
              <w:ind w:left="288" w:hanging="288"/>
              <w:rPr>
                <w:rFonts w:cstheme="minorHAnsi"/>
                <w:szCs w:val="23"/>
                <w:lang w:val="fr-CA"/>
              </w:rPr>
            </w:pPr>
            <w:r w:rsidRPr="00F52884">
              <w:rPr>
                <w:rFonts w:cstheme="minorHAnsi"/>
                <w:i/>
                <w:iCs/>
                <w:szCs w:val="23"/>
                <w:lang w:val="fr-CA"/>
              </w:rPr>
              <w:t xml:space="preserve">Règlement sur les animaux de la faune non indigènes,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78/99</w:t>
            </w:r>
          </w:p>
          <w:p w14:paraId="5EB45213" w14:textId="2E0D16E6" w:rsidR="00B8348C" w:rsidRPr="00F52884" w:rsidRDefault="00B8348C" w:rsidP="000C25A3">
            <w:pPr>
              <w:tabs>
                <w:tab w:val="num" w:pos="29"/>
              </w:tabs>
              <w:spacing w:before="60" w:after="60" w:line="288" w:lineRule="auto"/>
              <w:ind w:left="288" w:hanging="288"/>
              <w:rPr>
                <w:rFonts w:cstheme="minorHAnsi"/>
                <w:i/>
                <w:szCs w:val="23"/>
                <w:lang w:val="sv-SE"/>
              </w:rPr>
            </w:pPr>
            <w:r w:rsidRPr="00F52884">
              <w:rPr>
                <w:rFonts w:cstheme="minorHAnsi"/>
                <w:i/>
                <w:iCs/>
                <w:szCs w:val="23"/>
                <w:lang w:val="sv-SE"/>
              </w:rPr>
              <w:t xml:space="preserve">Règlement général concernant la chasse, </w:t>
            </w:r>
            <w:r w:rsidRPr="00F52884">
              <w:rPr>
                <w:rFonts w:cstheme="minorHAnsi"/>
                <w:iCs/>
                <w:szCs w:val="23"/>
                <w:lang w:val="sv-SE"/>
              </w:rPr>
              <w:t>Règl du</w:t>
            </w:r>
            <w:r w:rsidRPr="00F52884">
              <w:rPr>
                <w:rFonts w:cstheme="minorHAnsi"/>
                <w:i/>
                <w:iCs/>
                <w:szCs w:val="23"/>
                <w:lang w:val="sv-SE"/>
              </w:rPr>
              <w:t xml:space="preserve"> </w:t>
            </w:r>
            <w:r w:rsidRPr="00F52884">
              <w:rPr>
                <w:rFonts w:cstheme="minorHAnsi"/>
                <w:szCs w:val="23"/>
                <w:lang w:val="sv-SE"/>
              </w:rPr>
              <w:t>Man 351/87</w:t>
            </w:r>
          </w:p>
          <w:p w14:paraId="46BD9E89" w14:textId="3CDF46FA" w:rsidR="00B8348C" w:rsidRPr="00F52884" w:rsidRDefault="00B8348C" w:rsidP="000C25A3">
            <w:pPr>
              <w:tabs>
                <w:tab w:val="num" w:pos="29"/>
              </w:tabs>
              <w:spacing w:before="60" w:after="60" w:line="288" w:lineRule="auto"/>
              <w:ind w:left="288" w:hanging="288"/>
              <w:rPr>
                <w:rFonts w:cstheme="minorHAnsi"/>
                <w:i/>
                <w:szCs w:val="23"/>
                <w:lang w:val="sv-SE"/>
              </w:rPr>
            </w:pPr>
            <w:r w:rsidRPr="00F52884">
              <w:rPr>
                <w:rFonts w:cstheme="minorHAnsi"/>
                <w:i/>
                <w:iCs/>
                <w:szCs w:val="23"/>
                <w:lang w:val="sv-SE"/>
              </w:rPr>
              <w:t xml:space="preserve">Règlement sur les chiens de chasse, </w:t>
            </w:r>
            <w:r w:rsidRPr="00F52884">
              <w:rPr>
                <w:rFonts w:cstheme="minorHAnsi"/>
                <w:iCs/>
                <w:szCs w:val="23"/>
                <w:lang w:val="sv-SE"/>
              </w:rPr>
              <w:t>Règl du</w:t>
            </w:r>
            <w:r w:rsidRPr="00F52884">
              <w:rPr>
                <w:rFonts w:cstheme="minorHAnsi"/>
                <w:i/>
                <w:iCs/>
                <w:szCs w:val="23"/>
                <w:lang w:val="sv-SE"/>
              </w:rPr>
              <w:t xml:space="preserve"> </w:t>
            </w:r>
            <w:r w:rsidRPr="00F52884">
              <w:rPr>
                <w:rFonts w:cstheme="minorHAnsi"/>
                <w:szCs w:val="23"/>
                <w:lang w:val="sv-SE"/>
              </w:rPr>
              <w:t>Man 79/95</w:t>
            </w:r>
          </w:p>
          <w:p w14:paraId="7377BC5E" w14:textId="4E5DA12E"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Règlement sur les saisons de chasse et les limites de prises,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165/91</w:t>
            </w:r>
          </w:p>
          <w:p w14:paraId="538250BE" w14:textId="27F06A3B"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Règlement sur divers permis et licences,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53/2007</w:t>
            </w:r>
          </w:p>
          <w:p w14:paraId="496066C2" w14:textId="6568063A" w:rsidR="00B8348C" w:rsidRPr="00F52884" w:rsidRDefault="00B8348C" w:rsidP="000C25A3">
            <w:pPr>
              <w:tabs>
                <w:tab w:val="num" w:pos="29"/>
              </w:tabs>
              <w:spacing w:before="60" w:after="60" w:line="288" w:lineRule="auto"/>
              <w:ind w:left="288" w:hanging="288"/>
              <w:rPr>
                <w:rFonts w:cstheme="minorHAnsi"/>
                <w:szCs w:val="23"/>
                <w:lang w:val="fr-CA"/>
              </w:rPr>
            </w:pPr>
            <w:r w:rsidRPr="00F52884">
              <w:rPr>
                <w:rFonts w:cstheme="minorHAnsi"/>
                <w:i/>
                <w:iCs/>
                <w:szCs w:val="23"/>
                <w:lang w:val="fr-CA"/>
              </w:rPr>
              <w:t xml:space="preserve">Règlement sur les régions et les zones de piégeage,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149/2001</w:t>
            </w:r>
          </w:p>
          <w:p w14:paraId="1253033C" w14:textId="0BA79CA7" w:rsidR="00B8348C" w:rsidRPr="00F52884" w:rsidRDefault="00B8348C" w:rsidP="000C25A3">
            <w:pPr>
              <w:tabs>
                <w:tab w:val="num" w:pos="29"/>
              </w:tabs>
              <w:spacing w:before="60" w:after="60" w:line="288" w:lineRule="auto"/>
              <w:ind w:left="288" w:hanging="288"/>
              <w:rPr>
                <w:rFonts w:cstheme="minorHAnsi"/>
                <w:szCs w:val="23"/>
                <w:lang w:val="fr-CA"/>
              </w:rPr>
            </w:pPr>
            <w:r w:rsidRPr="00F52884">
              <w:rPr>
                <w:rFonts w:cstheme="minorHAnsi"/>
                <w:i/>
                <w:iCs/>
                <w:szCs w:val="23"/>
                <w:lang w:val="fr-CA"/>
              </w:rPr>
              <w:t>Règlement sur le piégeage des animaux sauvages</w:t>
            </w:r>
            <w:r w:rsidRPr="00F52884">
              <w:rPr>
                <w:rFonts w:cstheme="minorHAnsi"/>
                <w:szCs w:val="23"/>
                <w:lang w:val="fr-CA"/>
              </w:rPr>
              <w:t xml:space="preserve">,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245/90</w:t>
            </w:r>
          </w:p>
          <w:p w14:paraId="15AFD7B6" w14:textId="5C0E3541"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 xml:space="preserve">Règlement sur les guides de chasse,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110/93</w:t>
            </w:r>
          </w:p>
          <w:p w14:paraId="15F31C77" w14:textId="281DF873" w:rsidR="00B8348C" w:rsidRPr="00F52884" w:rsidRDefault="00B8348C" w:rsidP="000C25A3">
            <w:pPr>
              <w:tabs>
                <w:tab w:val="num" w:pos="29"/>
              </w:tabs>
              <w:spacing w:before="60" w:after="60" w:line="288" w:lineRule="auto"/>
              <w:ind w:left="288" w:hanging="288"/>
              <w:rPr>
                <w:rFonts w:cstheme="minorHAnsi"/>
                <w:i/>
                <w:szCs w:val="23"/>
                <w:lang w:val="fr-CA"/>
              </w:rPr>
            </w:pPr>
            <w:r w:rsidRPr="00F52884">
              <w:rPr>
                <w:rFonts w:cstheme="minorHAnsi"/>
                <w:i/>
                <w:iCs/>
                <w:szCs w:val="23"/>
                <w:lang w:val="fr-CA"/>
              </w:rPr>
              <w:t>Le guide sur le trappage au Manitoba</w:t>
            </w:r>
            <w:r w:rsidRPr="00F52884" w:rsidDel="005F2223">
              <w:rPr>
                <w:rFonts w:cstheme="minorHAnsi"/>
                <w:i/>
                <w:iCs/>
                <w:szCs w:val="23"/>
                <w:lang w:val="fr-CA"/>
              </w:rPr>
              <w:t xml:space="preserve"> </w:t>
            </w:r>
            <w:r w:rsidRPr="00F52884">
              <w:rPr>
                <w:rFonts w:cstheme="minorHAnsi"/>
                <w:szCs w:val="23"/>
                <w:lang w:val="fr-CA"/>
              </w:rPr>
              <w:t>2016/2017</w:t>
            </w:r>
          </w:p>
          <w:p w14:paraId="2A97AF50" w14:textId="100FC345"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les exploitants d'entreprises touristiques axées sur la nature, </w:t>
            </w:r>
            <w:r w:rsidRPr="00F52884">
              <w:rPr>
                <w:rFonts w:cstheme="minorHAnsi"/>
                <w:szCs w:val="23"/>
                <w:lang w:val="fr-CA"/>
              </w:rPr>
              <w:t>CPLM c R119.5</w:t>
            </w:r>
          </w:p>
          <w:p w14:paraId="182D5EBD" w14:textId="415C2172" w:rsidR="00B8348C" w:rsidRPr="00F52884" w:rsidRDefault="00B8348C" w:rsidP="00B8348C">
            <w:pPr>
              <w:spacing w:before="60" w:after="60"/>
              <w:rPr>
                <w:rFonts w:cstheme="minorHAnsi"/>
                <w:szCs w:val="23"/>
                <w:lang w:val="fr-CA"/>
              </w:rPr>
            </w:pPr>
            <w:r w:rsidRPr="00F52884">
              <w:rPr>
                <w:i/>
                <w:lang w:val="fr-CA"/>
              </w:rPr>
              <w:t>Loi sur les exploitants d'entreprises touristiques axées sur la nature</w:t>
            </w:r>
            <w:r w:rsidRPr="00F52884">
              <w:rPr>
                <w:rFonts w:cstheme="minorHAnsi"/>
                <w:szCs w:val="23"/>
                <w:lang w:val="fr-CA"/>
              </w:rPr>
              <w:t xml:space="preserve">, </w:t>
            </w:r>
            <w:proofErr w:type="spellStart"/>
            <w:r w:rsidRPr="00F52884">
              <w:rPr>
                <w:rFonts w:cstheme="minorHAnsi"/>
                <w:iCs/>
                <w:szCs w:val="23"/>
                <w:lang w:val="fr-CA"/>
              </w:rPr>
              <w:t>Règl</w:t>
            </w:r>
            <w:proofErr w:type="spellEnd"/>
            <w:r w:rsidRPr="00F52884">
              <w:rPr>
                <w:rFonts w:cstheme="minorHAnsi"/>
                <w:iCs/>
                <w:szCs w:val="23"/>
                <w:lang w:val="fr-CA"/>
              </w:rPr>
              <w:t xml:space="preserve"> du</w:t>
            </w:r>
            <w:r w:rsidRPr="00F52884">
              <w:rPr>
                <w:rFonts w:cstheme="minorHAnsi"/>
                <w:i/>
                <w:iCs/>
                <w:szCs w:val="23"/>
                <w:lang w:val="fr-CA"/>
              </w:rPr>
              <w:t xml:space="preserve"> </w:t>
            </w:r>
            <w:r w:rsidRPr="00F52884">
              <w:rPr>
                <w:rFonts w:cstheme="minorHAnsi"/>
                <w:szCs w:val="23"/>
                <w:lang w:val="fr-CA"/>
              </w:rPr>
              <w:t>Man 28/2004</w:t>
            </w:r>
          </w:p>
        </w:tc>
      </w:tr>
      <w:tr w:rsidR="00B8348C" w:rsidRPr="00F52884" w14:paraId="7BC716E5"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0099C8A"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17A9B2F4"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1FC65B4F" w14:textId="067BED88" w:rsidR="00B8348C" w:rsidRPr="00F52884" w:rsidRDefault="00B8348C" w:rsidP="000C25A3">
            <w:pPr>
              <w:spacing w:before="120" w:after="120"/>
              <w:rPr>
                <w:rFonts w:cstheme="minorHAnsi"/>
                <w:szCs w:val="23"/>
                <w:lang w:val="fr-FR"/>
              </w:rPr>
            </w:pPr>
            <w:r w:rsidRPr="00F52884">
              <w:rPr>
                <w:rFonts w:cstheme="minorHAnsi"/>
                <w:szCs w:val="23"/>
                <w:lang w:val="fr-CA"/>
              </w:rPr>
              <w:t xml:space="preserve">Le ministre, ou l’administrateur nommé par celui-ci, selon le cas, a le pouvoir discrétionnaire de délivrer des permis ou des licences à toute personne, sous réserve des modalités et conditions que le ministre, ou l’administrateur, </w:t>
            </w:r>
            <w:proofErr w:type="gramStart"/>
            <w:r w:rsidRPr="00F52884">
              <w:rPr>
                <w:rFonts w:cstheme="minorHAnsi"/>
                <w:szCs w:val="23"/>
                <w:lang w:val="fr-CA"/>
              </w:rPr>
              <w:t>juge souhaitables</w:t>
            </w:r>
            <w:proofErr w:type="gramEnd"/>
            <w:r w:rsidRPr="00F52884">
              <w:rPr>
                <w:rFonts w:cstheme="minorHAnsi"/>
                <w:szCs w:val="23"/>
                <w:lang w:val="fr-CA"/>
              </w:rPr>
              <w:t xml:space="preserve">. Les règlements peuvent prescrire un accès préférentiel aux permis et aux licences, et dans le cas de la </w:t>
            </w:r>
            <w:r w:rsidRPr="00F52884">
              <w:rPr>
                <w:rFonts w:cstheme="minorHAnsi"/>
                <w:i/>
                <w:iCs/>
                <w:szCs w:val="23"/>
                <w:lang w:val="fr-CA"/>
              </w:rPr>
              <w:t>Loi sur la conservation de la faune</w:t>
            </w:r>
            <w:r w:rsidRPr="00F52884">
              <w:rPr>
                <w:rFonts w:cstheme="minorHAnsi"/>
                <w:szCs w:val="23"/>
                <w:lang w:val="fr-CA"/>
              </w:rPr>
              <w:t xml:space="preserve">, des conditions préférentielles à l’égard de ces permis et licences, pour les résidents du Manitoba.  </w:t>
            </w:r>
          </w:p>
        </w:tc>
      </w:tr>
    </w:tbl>
    <w:p w14:paraId="6442F888" w14:textId="77777777" w:rsidR="00B8348C" w:rsidRPr="00F52884" w:rsidRDefault="00B8348C" w:rsidP="000C25A3">
      <w:pPr>
        <w:spacing w:line="276" w:lineRule="auto"/>
        <w:rPr>
          <w:rFonts w:cstheme="minorHAnsi"/>
          <w:szCs w:val="23"/>
          <w:lang w:val="fr-FR"/>
        </w:rPr>
      </w:pPr>
    </w:p>
    <w:p w14:paraId="0556222A" w14:textId="77777777" w:rsidR="00B8348C" w:rsidRPr="00F52884" w:rsidRDefault="00B8348C" w:rsidP="000C25A3">
      <w:pPr>
        <w:contextualSpacing/>
        <w:jc w:val="center"/>
        <w:outlineLvl w:val="2"/>
        <w:rPr>
          <w:rFonts w:eastAsia="Times New Roman" w:cstheme="minorHAnsi"/>
          <w:b/>
          <w:szCs w:val="23"/>
          <w:lang w:val="fr-FR"/>
        </w:rPr>
      </w:pPr>
    </w:p>
    <w:p w14:paraId="54695BE1" w14:textId="77777777" w:rsidR="00B8348C" w:rsidRPr="00F52884" w:rsidRDefault="00B8348C">
      <w:pPr>
        <w:rPr>
          <w:rFonts w:eastAsia="Times New Roman" w:cstheme="minorHAnsi"/>
          <w:b/>
          <w:szCs w:val="23"/>
          <w:lang w:val="fr-FR"/>
        </w:rPr>
      </w:pPr>
      <w:r w:rsidRPr="00F52884">
        <w:rPr>
          <w:rFonts w:eastAsia="Times New Roman" w:cstheme="minorHAnsi"/>
          <w:b/>
          <w:bCs/>
          <w:szCs w:val="23"/>
          <w:lang w:val="fr-CA"/>
        </w:rPr>
        <w:br w:type="page"/>
      </w:r>
    </w:p>
    <w:p w14:paraId="68F6B089" w14:textId="77777777" w:rsidR="00B8348C" w:rsidRPr="00F52884" w:rsidRDefault="00B8348C" w:rsidP="00F52884">
      <w:pPr>
        <w:pStyle w:val="Heading3"/>
        <w:jc w:val="center"/>
        <w:rPr>
          <w:rFonts w:asciiTheme="minorHAnsi" w:hAnsiTheme="minorHAnsi" w:cstheme="minorHAnsi"/>
          <w:sz w:val="24"/>
          <w:szCs w:val="24"/>
          <w:lang w:val="fr-FR"/>
        </w:rPr>
      </w:pPr>
      <w:bookmarkStart w:id="284" w:name="_Toc476566340"/>
      <w:bookmarkStart w:id="285" w:name="_Toc156311793"/>
      <w:r w:rsidRPr="00F52884">
        <w:rPr>
          <w:rFonts w:asciiTheme="minorHAnsi" w:hAnsiTheme="minorHAnsi" w:cstheme="minorHAnsi"/>
          <w:sz w:val="24"/>
          <w:szCs w:val="24"/>
          <w:lang w:val="fr-CA"/>
        </w:rPr>
        <w:lastRenderedPageBreak/>
        <w:t>Liste de la Colombie-Britannique</w:t>
      </w:r>
      <w:bookmarkEnd w:id="284"/>
      <w:bookmarkEnd w:id="285"/>
    </w:p>
    <w:p w14:paraId="5ADF63E4" w14:textId="77777777" w:rsidR="00B8348C" w:rsidRPr="00F52884" w:rsidRDefault="00B8348C" w:rsidP="000C25A3">
      <w:pPr>
        <w:contextualSpacing/>
        <w:jc w:val="center"/>
        <w:rPr>
          <w:rFonts w:eastAsia="Times New Roman" w:cstheme="minorHAnsi"/>
          <w:sz w:val="24"/>
          <w:szCs w:val="24"/>
          <w:lang w:val="fr-FR"/>
        </w:rPr>
      </w:pPr>
    </w:p>
    <w:p w14:paraId="4707FFCA" w14:textId="77777777" w:rsidR="00B8348C" w:rsidRPr="00F52884" w:rsidRDefault="00B8348C" w:rsidP="000C25A3">
      <w:pPr>
        <w:contextualSpacing/>
        <w:jc w:val="center"/>
        <w:rPr>
          <w:rFonts w:eastAsia="Times New Roman" w:cstheme="minorHAnsi"/>
          <w:b/>
          <w:sz w:val="24"/>
          <w:szCs w:val="24"/>
          <w:lang w:val="fr-FR"/>
        </w:rPr>
      </w:pPr>
      <w:r w:rsidRPr="00F52884">
        <w:rPr>
          <w:rFonts w:eastAsia="Times New Roman" w:cstheme="minorHAnsi"/>
          <w:b/>
          <w:bCs/>
          <w:sz w:val="24"/>
          <w:szCs w:val="24"/>
          <w:lang w:val="fr-CA"/>
        </w:rPr>
        <w:t>Annexe I</w:t>
      </w:r>
    </w:p>
    <w:p w14:paraId="18ECB9AF" w14:textId="77777777" w:rsidR="00B8348C" w:rsidRPr="00F52884" w:rsidRDefault="00B8348C" w:rsidP="000C25A3">
      <w:pPr>
        <w:contextualSpacing/>
        <w:jc w:val="center"/>
        <w:rPr>
          <w:rFonts w:eastAsia="Times New Roman" w:cstheme="minorHAnsi"/>
          <w:szCs w:val="23"/>
          <w:lang w:val="fr-FR"/>
        </w:rPr>
      </w:pPr>
    </w:p>
    <w:p w14:paraId="4C9C251F" w14:textId="6A1512EE" w:rsidR="00B8348C" w:rsidRPr="00F52884" w:rsidRDefault="00B8348C" w:rsidP="000C25A3">
      <w:pPr>
        <w:spacing w:before="60" w:after="60"/>
        <w:ind w:left="-360"/>
        <w:rPr>
          <w:rFonts w:cstheme="minorHAnsi"/>
          <w:b/>
          <w:szCs w:val="23"/>
        </w:rPr>
      </w:pPr>
      <w:r w:rsidRPr="00F52884">
        <w:rPr>
          <w:rFonts w:cstheme="minorHAnsi"/>
          <w:b/>
          <w:bCs/>
          <w:szCs w:val="23"/>
          <w:lang w:val="fr-CA"/>
        </w:rPr>
        <w:t>1.</w:t>
      </w:r>
      <w:r w:rsidR="00110B78" w:rsidRPr="00F52884">
        <w:rPr>
          <w:rFonts w:cstheme="minorHAnsi"/>
          <w:szCs w:val="23"/>
          <w:lang w:val="fr-CA"/>
        </w:rPr>
        <w:t xml:space="preserve">  </w:t>
      </w:r>
      <w:r w:rsidRPr="00F52884">
        <w:rPr>
          <w:rFonts w:cstheme="minorHAnsi"/>
          <w:b/>
          <w:bCs/>
          <w:szCs w:val="23"/>
          <w:lang w:val="fr-CA"/>
        </w:rPr>
        <w:t>COLOMBIE-BRITANNIQUE</w:t>
      </w:r>
    </w:p>
    <w:tbl>
      <w:tblPr>
        <w:tblW w:w="10351" w:type="dxa"/>
        <w:jc w:val="center"/>
        <w:tblCellMar>
          <w:top w:w="14" w:type="dxa"/>
          <w:left w:w="86" w:type="dxa"/>
          <w:bottom w:w="14" w:type="dxa"/>
          <w:right w:w="86" w:type="dxa"/>
        </w:tblCellMar>
        <w:tblLook w:val="0000" w:firstRow="0" w:lastRow="0" w:firstColumn="0" w:lastColumn="0" w:noHBand="0" w:noVBand="0"/>
      </w:tblPr>
      <w:tblGrid>
        <w:gridCol w:w="2520"/>
        <w:gridCol w:w="722"/>
        <w:gridCol w:w="6749"/>
        <w:gridCol w:w="360"/>
      </w:tblGrid>
      <w:tr w:rsidR="00B8348C" w:rsidRPr="00F52884" w14:paraId="03C3E62C" w14:textId="77777777" w:rsidTr="00FA2285">
        <w:trPr>
          <w:trHeight w:val="38"/>
          <w:jc w:val="center"/>
        </w:trPr>
        <w:tc>
          <w:tcPr>
            <w:tcW w:w="2520" w:type="dxa"/>
            <w:tcBorders>
              <w:top w:val="single" w:sz="4" w:space="0" w:color="C0C0C0"/>
              <w:left w:val="nil"/>
              <w:bottom w:val="single" w:sz="4" w:space="0" w:color="C0C0C0"/>
              <w:right w:val="single" w:sz="4" w:space="0" w:color="FFFFFF"/>
            </w:tcBorders>
            <w:vAlign w:val="center"/>
          </w:tcPr>
          <w:p w14:paraId="1D48F918" w14:textId="77777777" w:rsidR="00B8348C" w:rsidRPr="00F52884" w:rsidRDefault="00B8348C" w:rsidP="000C25A3">
            <w:pPr>
              <w:tabs>
                <w:tab w:val="left" w:pos="2148"/>
              </w:tabs>
              <w:spacing w:before="60" w:after="60"/>
              <w:jc w:val="both"/>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831" w:type="dxa"/>
            <w:gridSpan w:val="3"/>
            <w:tcBorders>
              <w:top w:val="single" w:sz="4" w:space="0" w:color="C0C0C0"/>
              <w:left w:val="nil"/>
              <w:bottom w:val="single" w:sz="4" w:space="0" w:color="C0C0C0"/>
              <w:right w:val="single" w:sz="4" w:space="0" w:color="FFFFFF"/>
            </w:tcBorders>
            <w:vAlign w:val="center"/>
          </w:tcPr>
          <w:p w14:paraId="1388D79A" w14:textId="77777777" w:rsidR="00B8348C" w:rsidRPr="00F52884" w:rsidRDefault="00B8348C" w:rsidP="000C25A3">
            <w:pPr>
              <w:tabs>
                <w:tab w:val="left" w:pos="2148"/>
              </w:tabs>
              <w:spacing w:before="60" w:after="60"/>
              <w:jc w:val="both"/>
              <w:rPr>
                <w:rFonts w:cstheme="minorHAnsi"/>
                <w:szCs w:val="23"/>
              </w:rPr>
            </w:pPr>
            <w:r w:rsidRPr="00F52884">
              <w:rPr>
                <w:rFonts w:cstheme="minorHAnsi"/>
                <w:szCs w:val="23"/>
                <w:lang w:val="fr-CA"/>
              </w:rPr>
              <w:t>Tous les secteurs</w:t>
            </w:r>
          </w:p>
        </w:tc>
      </w:tr>
      <w:tr w:rsidR="00B8348C" w:rsidRPr="00F52884" w14:paraId="45D0B1D9" w14:textId="77777777" w:rsidTr="00FA2285">
        <w:trPr>
          <w:trHeight w:val="229"/>
          <w:jc w:val="center"/>
        </w:trPr>
        <w:tc>
          <w:tcPr>
            <w:tcW w:w="2520" w:type="dxa"/>
            <w:tcBorders>
              <w:top w:val="single" w:sz="4" w:space="0" w:color="C0C0C0"/>
              <w:left w:val="nil"/>
              <w:bottom w:val="single" w:sz="4" w:space="0" w:color="C0C0C0"/>
              <w:right w:val="single" w:sz="4" w:space="0" w:color="FFFFFF"/>
            </w:tcBorders>
            <w:vAlign w:val="center"/>
          </w:tcPr>
          <w:p w14:paraId="0D61D471" w14:textId="77777777" w:rsidR="00B8348C" w:rsidRPr="00F52884" w:rsidRDefault="00B8348C" w:rsidP="000C25A3">
            <w:pPr>
              <w:spacing w:before="60" w:after="60"/>
              <w:jc w:val="both"/>
              <w:rPr>
                <w:rFonts w:cstheme="minorHAnsi"/>
                <w:szCs w:val="23"/>
              </w:rPr>
            </w:pPr>
            <w:r w:rsidRPr="00F52884">
              <w:rPr>
                <w:rFonts w:cstheme="minorHAnsi"/>
                <w:b/>
                <w:bCs/>
                <w:szCs w:val="23"/>
                <w:lang w:val="fr-CA"/>
              </w:rPr>
              <w:t xml:space="preserve">Sous-secteur : </w:t>
            </w:r>
            <w:r w:rsidRPr="00F52884">
              <w:rPr>
                <w:rFonts w:cstheme="minorHAnsi"/>
                <w:szCs w:val="23"/>
                <w:lang w:val="fr-CA"/>
              </w:rPr>
              <w:tab/>
              <w:t xml:space="preserve"> </w:t>
            </w:r>
          </w:p>
        </w:tc>
        <w:tc>
          <w:tcPr>
            <w:tcW w:w="7831" w:type="dxa"/>
            <w:gridSpan w:val="3"/>
            <w:tcBorders>
              <w:top w:val="single" w:sz="4" w:space="0" w:color="C0C0C0"/>
              <w:left w:val="nil"/>
              <w:bottom w:val="single" w:sz="4" w:space="0" w:color="C0C0C0"/>
              <w:right w:val="single" w:sz="4" w:space="0" w:color="FFFFFF"/>
            </w:tcBorders>
            <w:vAlign w:val="center"/>
          </w:tcPr>
          <w:p w14:paraId="7D1FBE33" w14:textId="77777777" w:rsidR="00B8348C" w:rsidRPr="00F52884" w:rsidRDefault="00B8348C" w:rsidP="000C25A3">
            <w:pPr>
              <w:spacing w:before="60" w:after="60"/>
              <w:jc w:val="both"/>
              <w:rPr>
                <w:rFonts w:cstheme="minorHAnsi"/>
                <w:szCs w:val="23"/>
              </w:rPr>
            </w:pPr>
            <w:r w:rsidRPr="00F52884">
              <w:rPr>
                <w:rFonts w:cstheme="minorHAnsi"/>
                <w:szCs w:val="23"/>
                <w:lang w:val="fr-CA"/>
              </w:rPr>
              <w:t>Tous les sous-secteurs</w:t>
            </w:r>
          </w:p>
        </w:tc>
      </w:tr>
      <w:tr w:rsidR="00B8348C" w:rsidRPr="00F52884" w14:paraId="4AA24072" w14:textId="77777777" w:rsidTr="00FA2285">
        <w:trPr>
          <w:gridAfter w:val="1"/>
          <w:wAfter w:w="360" w:type="dxa"/>
          <w:trHeight w:val="38"/>
          <w:jc w:val="center"/>
        </w:trPr>
        <w:tc>
          <w:tcPr>
            <w:tcW w:w="3242" w:type="dxa"/>
            <w:gridSpan w:val="2"/>
            <w:tcBorders>
              <w:top w:val="single" w:sz="4" w:space="0" w:color="C0C0C0"/>
              <w:left w:val="nil"/>
              <w:bottom w:val="single" w:sz="4" w:space="0" w:color="C0C0C0"/>
              <w:right w:val="single" w:sz="4" w:space="0" w:color="FFFFFF"/>
            </w:tcBorders>
            <w:vAlign w:val="center"/>
          </w:tcPr>
          <w:p w14:paraId="7243AD77" w14:textId="77777777" w:rsidR="00B8348C" w:rsidRPr="00F52884" w:rsidRDefault="00B8348C" w:rsidP="000C25A3">
            <w:pPr>
              <w:spacing w:before="60" w:after="60"/>
              <w:ind w:right="996"/>
              <w:rPr>
                <w:rFonts w:cstheme="minorHAnsi"/>
                <w:szCs w:val="23"/>
              </w:rPr>
            </w:pPr>
            <w:r w:rsidRPr="00F52884">
              <w:rPr>
                <w:rFonts w:cstheme="minorHAnsi"/>
                <w:b/>
                <w:bCs/>
                <w:szCs w:val="23"/>
                <w:lang w:val="fr-CA"/>
              </w:rPr>
              <w:t xml:space="preserve">Classification de l’industrie : </w:t>
            </w:r>
          </w:p>
        </w:tc>
        <w:tc>
          <w:tcPr>
            <w:tcW w:w="6749" w:type="dxa"/>
            <w:tcBorders>
              <w:top w:val="single" w:sz="4" w:space="0" w:color="C0C0C0"/>
              <w:left w:val="single" w:sz="4" w:space="0" w:color="FFFFFF"/>
              <w:bottom w:val="single" w:sz="4" w:space="0" w:color="C0C0C0"/>
              <w:right w:val="nil"/>
            </w:tcBorders>
            <w:vAlign w:val="center"/>
          </w:tcPr>
          <w:p w14:paraId="2962B40E" w14:textId="77777777" w:rsidR="00B8348C" w:rsidRPr="00F52884" w:rsidRDefault="00B8348C" w:rsidP="000C25A3">
            <w:pPr>
              <w:spacing w:before="60" w:after="60"/>
              <w:ind w:left="4"/>
              <w:rPr>
                <w:rFonts w:cstheme="minorHAnsi"/>
                <w:szCs w:val="23"/>
              </w:rPr>
            </w:pPr>
          </w:p>
        </w:tc>
      </w:tr>
      <w:tr w:rsidR="00B8348C" w:rsidRPr="00D315AF" w14:paraId="0AC6AEC3" w14:textId="77777777" w:rsidTr="00FA2285">
        <w:trPr>
          <w:trHeight w:val="38"/>
          <w:jc w:val="center"/>
        </w:trPr>
        <w:tc>
          <w:tcPr>
            <w:tcW w:w="10351" w:type="dxa"/>
            <w:gridSpan w:val="4"/>
            <w:tcBorders>
              <w:top w:val="single" w:sz="4" w:space="0" w:color="C0C0C0"/>
              <w:left w:val="nil"/>
              <w:bottom w:val="single" w:sz="4" w:space="0" w:color="C0C0C0"/>
              <w:right w:val="single" w:sz="4" w:space="0" w:color="C0C0C0"/>
            </w:tcBorders>
          </w:tcPr>
          <w:p w14:paraId="4D8F3A91" w14:textId="055AA4F9" w:rsidR="00B8348C" w:rsidRPr="00F52884" w:rsidRDefault="00B8348C" w:rsidP="00B8348C">
            <w:pPr>
              <w:pStyle w:val="Text"/>
              <w:spacing w:before="60" w:after="60" w:line="240" w:lineRule="auto"/>
              <w:jc w:val="both"/>
              <w:rPr>
                <w:rFonts w:asciiTheme="minorHAnsi" w:hAnsiTheme="minorHAnsi" w:cstheme="minorHAnsi"/>
                <w:sz w:val="23"/>
                <w:szCs w:val="23"/>
                <w:lang w:val="fr-FR"/>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Article 201 (Traitement non discriminatoire) </w:t>
            </w:r>
          </w:p>
        </w:tc>
      </w:tr>
      <w:tr w:rsidR="00B8348C" w:rsidRPr="00F52884" w14:paraId="277A3E7D" w14:textId="77777777" w:rsidTr="00FA2285">
        <w:trPr>
          <w:trHeight w:val="38"/>
          <w:jc w:val="center"/>
        </w:trPr>
        <w:tc>
          <w:tcPr>
            <w:tcW w:w="10351"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32B1967"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251DFE0F" w14:textId="77777777" w:rsidTr="00FA2285">
        <w:trPr>
          <w:trHeight w:val="254"/>
          <w:jc w:val="center"/>
        </w:trPr>
        <w:tc>
          <w:tcPr>
            <w:tcW w:w="10351" w:type="dxa"/>
            <w:gridSpan w:val="4"/>
            <w:tcBorders>
              <w:top w:val="single" w:sz="4" w:space="0" w:color="C0C0C0"/>
              <w:left w:val="single" w:sz="4" w:space="0" w:color="C0C0C0"/>
              <w:bottom w:val="single" w:sz="4" w:space="0" w:color="C0C0C0"/>
              <w:right w:val="single" w:sz="4" w:space="0" w:color="C0C0C0"/>
            </w:tcBorders>
          </w:tcPr>
          <w:p w14:paraId="17BC127D" w14:textId="7B5DCA37" w:rsidR="00B8348C" w:rsidRPr="00F52884" w:rsidRDefault="00B8348C" w:rsidP="000C25A3">
            <w:pPr>
              <w:spacing w:before="60" w:after="60"/>
              <w:rPr>
                <w:rFonts w:cstheme="minorHAnsi"/>
                <w:i/>
                <w:szCs w:val="23"/>
              </w:rPr>
            </w:pPr>
            <w:r w:rsidRPr="00F52884">
              <w:rPr>
                <w:rFonts w:cstheme="minorHAnsi"/>
                <w:i/>
                <w:iCs/>
                <w:szCs w:val="23"/>
                <w:lang w:val="en-US"/>
              </w:rPr>
              <w:t>Cooperative Association Act</w:t>
            </w:r>
            <w:r w:rsidRPr="00F52884">
              <w:rPr>
                <w:rFonts w:cstheme="minorHAnsi"/>
                <w:szCs w:val="23"/>
                <w:lang w:val="en-US"/>
              </w:rPr>
              <w:t>,</w:t>
            </w:r>
            <w:r w:rsidRPr="00F52884">
              <w:rPr>
                <w:rFonts w:cstheme="minorHAnsi"/>
                <w:i/>
                <w:iCs/>
                <w:szCs w:val="23"/>
                <w:lang w:val="en-US"/>
              </w:rPr>
              <w:t xml:space="preserve"> </w:t>
            </w:r>
            <w:r w:rsidRPr="00F52884">
              <w:rPr>
                <w:rFonts w:cstheme="minorHAnsi"/>
                <w:szCs w:val="23"/>
                <w:lang w:val="en-US"/>
              </w:rPr>
              <w:t>SBC 1999, c 28</w:t>
            </w:r>
          </w:p>
        </w:tc>
      </w:tr>
      <w:tr w:rsidR="00B8348C" w:rsidRPr="00F52884" w14:paraId="7474188F" w14:textId="77777777" w:rsidTr="00FA2285">
        <w:trPr>
          <w:trHeight w:val="45"/>
          <w:jc w:val="center"/>
        </w:trPr>
        <w:tc>
          <w:tcPr>
            <w:tcW w:w="10351"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AA84537"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1C29E18F" w14:textId="77777777" w:rsidTr="00FA2285">
        <w:trPr>
          <w:trHeight w:val="705"/>
          <w:jc w:val="center"/>
        </w:trPr>
        <w:tc>
          <w:tcPr>
            <w:tcW w:w="10351" w:type="dxa"/>
            <w:gridSpan w:val="4"/>
            <w:tcBorders>
              <w:top w:val="single" w:sz="4" w:space="0" w:color="C0C0C0"/>
              <w:left w:val="single" w:sz="4" w:space="0" w:color="C0C0C0"/>
              <w:bottom w:val="single" w:sz="4" w:space="0" w:color="C0C0C0"/>
              <w:right w:val="single" w:sz="4" w:space="0" w:color="C0C0C0"/>
            </w:tcBorders>
          </w:tcPr>
          <w:p w14:paraId="24DF0E07" w14:textId="5823879B" w:rsidR="00B8348C" w:rsidRPr="00F52884" w:rsidRDefault="00B8348C" w:rsidP="000C25A3">
            <w:pPr>
              <w:spacing w:before="60" w:after="60"/>
              <w:rPr>
                <w:rFonts w:cstheme="minorHAnsi"/>
                <w:szCs w:val="23"/>
                <w:lang w:val="fr-FR"/>
              </w:rPr>
            </w:pPr>
            <w:r w:rsidRPr="00F52884">
              <w:rPr>
                <w:rFonts w:cstheme="minorHAnsi"/>
                <w:szCs w:val="23"/>
                <w:lang w:val="fr-CA"/>
              </w:rPr>
              <w:t xml:space="preserve">Selon la </w:t>
            </w:r>
            <w:proofErr w:type="spellStart"/>
            <w:r w:rsidRPr="00F52884">
              <w:rPr>
                <w:rFonts w:cstheme="minorHAnsi"/>
                <w:i/>
                <w:iCs/>
                <w:szCs w:val="23"/>
                <w:lang w:val="fr-CA"/>
              </w:rPr>
              <w:t>Cooperative</w:t>
            </w:r>
            <w:proofErr w:type="spellEnd"/>
            <w:r w:rsidRPr="00F52884">
              <w:rPr>
                <w:rFonts w:cstheme="minorHAnsi"/>
                <w:i/>
                <w:iCs/>
                <w:szCs w:val="23"/>
                <w:lang w:val="fr-CA"/>
              </w:rPr>
              <w:t xml:space="preserve"> Association </w:t>
            </w:r>
            <w:proofErr w:type="spellStart"/>
            <w:r w:rsidRPr="00F52884">
              <w:rPr>
                <w:rFonts w:cstheme="minorHAnsi"/>
                <w:i/>
                <w:iCs/>
                <w:szCs w:val="23"/>
                <w:lang w:val="fr-CA"/>
              </w:rPr>
              <w:t>Act</w:t>
            </w:r>
            <w:proofErr w:type="spellEnd"/>
            <w:r w:rsidRPr="00F52884">
              <w:rPr>
                <w:rFonts w:cstheme="minorHAnsi"/>
                <w:szCs w:val="23"/>
                <w:lang w:val="fr-CA"/>
              </w:rPr>
              <w:t xml:space="preserve">, au moins un administrateur d’une association constituée sous le régime de la </w:t>
            </w:r>
            <w:r w:rsidRPr="00F52884">
              <w:rPr>
                <w:rFonts w:cstheme="minorHAnsi"/>
                <w:iCs/>
                <w:szCs w:val="23"/>
                <w:lang w:val="fr-CA"/>
              </w:rPr>
              <w:t>Loi</w:t>
            </w:r>
            <w:r w:rsidRPr="00F52884">
              <w:rPr>
                <w:rFonts w:cstheme="minorHAnsi"/>
                <w:szCs w:val="23"/>
                <w:lang w:val="fr-CA"/>
              </w:rPr>
              <w:t xml:space="preserve"> doit être un résident de la Colombie-Britannique.</w:t>
            </w:r>
          </w:p>
        </w:tc>
      </w:tr>
    </w:tbl>
    <w:p w14:paraId="0DBEFB93" w14:textId="77777777" w:rsidR="00B8348C" w:rsidRPr="00F52884" w:rsidRDefault="00B8348C" w:rsidP="000C25A3">
      <w:pPr>
        <w:rPr>
          <w:rFonts w:cstheme="minorHAnsi"/>
          <w:szCs w:val="23"/>
          <w:lang w:val="fr-FR"/>
        </w:rPr>
      </w:pPr>
    </w:p>
    <w:p w14:paraId="72C5FAF5" w14:textId="77777777" w:rsidR="00B8348C" w:rsidRPr="00F52884" w:rsidRDefault="00B8348C" w:rsidP="000C25A3">
      <w:pPr>
        <w:ind w:left="-360"/>
        <w:rPr>
          <w:rFonts w:cstheme="minorHAnsi"/>
          <w:szCs w:val="23"/>
          <w:lang w:val="fr-FR"/>
        </w:rPr>
      </w:pPr>
    </w:p>
    <w:p w14:paraId="303990ED" w14:textId="2808F2D3" w:rsidR="00B8348C" w:rsidRPr="00F52884" w:rsidRDefault="00B8348C" w:rsidP="000C25A3">
      <w:pPr>
        <w:spacing w:before="60" w:after="60"/>
        <w:ind w:left="-360"/>
        <w:rPr>
          <w:rFonts w:cstheme="minorHAnsi"/>
          <w:b/>
          <w:szCs w:val="23"/>
        </w:rPr>
      </w:pPr>
      <w:r w:rsidRPr="00F52884">
        <w:rPr>
          <w:rFonts w:cstheme="minorHAnsi"/>
          <w:b/>
          <w:bCs/>
          <w:szCs w:val="23"/>
          <w:lang w:val="fr-CA"/>
        </w:rPr>
        <w:t>2.</w:t>
      </w:r>
      <w:r w:rsidR="00110B78" w:rsidRPr="00F52884">
        <w:rPr>
          <w:rFonts w:cstheme="minorHAnsi"/>
          <w:szCs w:val="23"/>
          <w:lang w:val="fr-CA"/>
        </w:rPr>
        <w:t xml:space="preserve">  </w:t>
      </w:r>
      <w:r w:rsidRPr="00F52884">
        <w:rPr>
          <w:rFonts w:cstheme="minorHAnsi"/>
          <w:b/>
          <w:bCs/>
          <w:szCs w:val="23"/>
          <w:lang w:val="fr-CA"/>
        </w:rPr>
        <w:t>COLOMBIE-BRITANNIQUE</w:t>
      </w:r>
    </w:p>
    <w:tbl>
      <w:tblPr>
        <w:tblW w:w="10387" w:type="dxa"/>
        <w:jc w:val="center"/>
        <w:tblCellMar>
          <w:top w:w="14" w:type="dxa"/>
          <w:left w:w="86" w:type="dxa"/>
          <w:bottom w:w="14" w:type="dxa"/>
          <w:right w:w="86" w:type="dxa"/>
        </w:tblCellMar>
        <w:tblLook w:val="0000" w:firstRow="0" w:lastRow="0" w:firstColumn="0" w:lastColumn="0" w:noHBand="0" w:noVBand="0"/>
      </w:tblPr>
      <w:tblGrid>
        <w:gridCol w:w="2520"/>
        <w:gridCol w:w="7506"/>
        <w:gridCol w:w="361"/>
      </w:tblGrid>
      <w:tr w:rsidR="00B8348C" w:rsidRPr="00F52884" w14:paraId="7D6E6A4C" w14:textId="77777777" w:rsidTr="00FA2285">
        <w:trPr>
          <w:trHeight w:val="38"/>
          <w:jc w:val="center"/>
        </w:trPr>
        <w:tc>
          <w:tcPr>
            <w:tcW w:w="2520" w:type="dxa"/>
            <w:tcBorders>
              <w:top w:val="single" w:sz="4" w:space="0" w:color="C0C0C0"/>
              <w:left w:val="nil"/>
              <w:bottom w:val="single" w:sz="4" w:space="0" w:color="C0C0C0"/>
              <w:right w:val="single" w:sz="4" w:space="0" w:color="FFFFFF"/>
            </w:tcBorders>
            <w:vAlign w:val="center"/>
          </w:tcPr>
          <w:p w14:paraId="2B799AC2" w14:textId="77777777" w:rsidR="00B8348C" w:rsidRPr="00F52884" w:rsidRDefault="00B8348C" w:rsidP="000C25A3">
            <w:pPr>
              <w:spacing w:before="60" w:after="60"/>
              <w:ind w:left="6"/>
              <w:rPr>
                <w:rFonts w:cstheme="minorHAnsi"/>
                <w:b/>
                <w:szCs w:val="23"/>
              </w:rPr>
            </w:pPr>
            <w:r w:rsidRPr="00F52884">
              <w:rPr>
                <w:rFonts w:cstheme="minorHAnsi"/>
                <w:szCs w:val="23"/>
                <w:lang w:val="fr-CA"/>
              </w:rPr>
              <w:br w:type="page"/>
            </w:r>
            <w:r w:rsidRPr="00F52884">
              <w:rPr>
                <w:rFonts w:cstheme="minorHAnsi"/>
                <w:b/>
                <w:bCs/>
                <w:szCs w:val="23"/>
                <w:lang w:val="fr-CA"/>
              </w:rPr>
              <w:t xml:space="preserve">Secteur : </w:t>
            </w:r>
          </w:p>
        </w:tc>
        <w:tc>
          <w:tcPr>
            <w:tcW w:w="7867" w:type="dxa"/>
            <w:gridSpan w:val="2"/>
            <w:tcBorders>
              <w:top w:val="single" w:sz="4" w:space="0" w:color="C0C0C0"/>
              <w:left w:val="single" w:sz="4" w:space="0" w:color="FFFFFF"/>
              <w:bottom w:val="single" w:sz="4" w:space="0" w:color="C0C0C0"/>
              <w:right w:val="nil"/>
            </w:tcBorders>
            <w:vAlign w:val="center"/>
          </w:tcPr>
          <w:p w14:paraId="7332C2F7"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D315AF" w14:paraId="29E49DE8" w14:textId="77777777" w:rsidTr="00FA2285">
        <w:trPr>
          <w:trHeight w:val="227"/>
          <w:jc w:val="center"/>
        </w:trPr>
        <w:tc>
          <w:tcPr>
            <w:tcW w:w="2520" w:type="dxa"/>
            <w:tcBorders>
              <w:top w:val="single" w:sz="4" w:space="0" w:color="C0C0C0"/>
              <w:left w:val="nil"/>
              <w:bottom w:val="single" w:sz="4" w:space="0" w:color="C0C0C0"/>
              <w:right w:val="single" w:sz="4" w:space="0" w:color="FFFFFF"/>
            </w:tcBorders>
            <w:vAlign w:val="center"/>
          </w:tcPr>
          <w:p w14:paraId="0FF0ED75" w14:textId="77777777" w:rsidR="00B8348C" w:rsidRPr="00F52884" w:rsidRDefault="00B8348C" w:rsidP="000C25A3">
            <w:pPr>
              <w:spacing w:before="60" w:after="60"/>
              <w:ind w:left="41"/>
              <w:jc w:val="both"/>
              <w:rPr>
                <w:rFonts w:cstheme="minorHAnsi"/>
                <w:szCs w:val="23"/>
              </w:rPr>
            </w:pPr>
            <w:r w:rsidRPr="00F52884">
              <w:rPr>
                <w:rFonts w:cstheme="minorHAnsi"/>
                <w:b/>
                <w:bCs/>
                <w:szCs w:val="23"/>
                <w:lang w:val="fr-CA"/>
              </w:rPr>
              <w:t xml:space="preserve">Sous-secteur : </w:t>
            </w:r>
          </w:p>
        </w:tc>
        <w:tc>
          <w:tcPr>
            <w:tcW w:w="7867" w:type="dxa"/>
            <w:gridSpan w:val="2"/>
            <w:tcBorders>
              <w:top w:val="single" w:sz="4" w:space="0" w:color="C0C0C0"/>
              <w:left w:val="nil"/>
              <w:bottom w:val="single" w:sz="4" w:space="0" w:color="C0C0C0"/>
              <w:right w:val="single" w:sz="4" w:space="0" w:color="FFFFFF"/>
            </w:tcBorders>
            <w:vAlign w:val="center"/>
          </w:tcPr>
          <w:p w14:paraId="28D2611F" w14:textId="77777777" w:rsidR="00B8348C" w:rsidRPr="00F52884" w:rsidRDefault="00B8348C" w:rsidP="000C25A3">
            <w:pPr>
              <w:spacing w:before="60" w:after="60"/>
              <w:jc w:val="both"/>
              <w:rPr>
                <w:rFonts w:cstheme="minorHAnsi"/>
                <w:szCs w:val="23"/>
                <w:lang w:val="fr-FR"/>
              </w:rPr>
            </w:pPr>
            <w:r w:rsidRPr="00F52884">
              <w:rPr>
                <w:rFonts w:cstheme="minorHAnsi"/>
                <w:szCs w:val="23"/>
                <w:lang w:val="fr-CA"/>
              </w:rPr>
              <w:t>Sylviculture et produits de l’exploitation forestière</w:t>
            </w:r>
          </w:p>
        </w:tc>
      </w:tr>
      <w:tr w:rsidR="00B8348C" w:rsidRPr="00F52884" w14:paraId="6AE4F664" w14:textId="77777777" w:rsidTr="00FA2285">
        <w:trPr>
          <w:gridAfter w:val="1"/>
          <w:wAfter w:w="361" w:type="dxa"/>
          <w:trHeight w:val="38"/>
          <w:jc w:val="center"/>
        </w:trPr>
        <w:tc>
          <w:tcPr>
            <w:tcW w:w="2520" w:type="dxa"/>
            <w:tcBorders>
              <w:top w:val="single" w:sz="4" w:space="0" w:color="C0C0C0"/>
              <w:left w:val="nil"/>
              <w:bottom w:val="single" w:sz="4" w:space="0" w:color="C0C0C0"/>
              <w:right w:val="single" w:sz="4" w:space="0" w:color="FFFFFF"/>
            </w:tcBorders>
            <w:vAlign w:val="center"/>
          </w:tcPr>
          <w:p w14:paraId="428A973C" w14:textId="77777777" w:rsidR="00B8348C" w:rsidRPr="00F52884" w:rsidRDefault="00B8348C" w:rsidP="000C25A3">
            <w:pPr>
              <w:spacing w:before="60" w:after="60"/>
              <w:ind w:left="4"/>
              <w:rPr>
                <w:rFonts w:cstheme="minorHAnsi"/>
                <w:szCs w:val="23"/>
              </w:rPr>
            </w:pPr>
            <w:r w:rsidRPr="00F52884">
              <w:rPr>
                <w:rFonts w:cstheme="minorHAnsi"/>
                <w:b/>
                <w:bCs/>
                <w:szCs w:val="23"/>
                <w:lang w:val="fr-CA"/>
              </w:rPr>
              <w:t xml:space="preserve">Classification de l’industrie : </w:t>
            </w:r>
          </w:p>
        </w:tc>
        <w:tc>
          <w:tcPr>
            <w:tcW w:w="7506" w:type="dxa"/>
            <w:tcBorders>
              <w:top w:val="single" w:sz="4" w:space="0" w:color="C0C0C0"/>
              <w:left w:val="nil"/>
              <w:bottom w:val="single" w:sz="4" w:space="0" w:color="C0C0C0"/>
              <w:right w:val="single" w:sz="4" w:space="0" w:color="FFFFFF"/>
            </w:tcBorders>
            <w:vAlign w:val="center"/>
          </w:tcPr>
          <w:p w14:paraId="59D8BD59" w14:textId="77777777" w:rsidR="00B8348C" w:rsidRPr="00F52884" w:rsidRDefault="00B8348C" w:rsidP="000C25A3">
            <w:pPr>
              <w:spacing w:before="60" w:after="60"/>
              <w:ind w:left="4"/>
              <w:rPr>
                <w:rFonts w:cstheme="minorHAnsi"/>
                <w:szCs w:val="23"/>
              </w:rPr>
            </w:pPr>
            <w:r w:rsidRPr="00F52884">
              <w:rPr>
                <w:rFonts w:cstheme="minorHAnsi"/>
                <w:szCs w:val="23"/>
                <w:lang w:val="fr-CA"/>
              </w:rPr>
              <w:t>CPC 03</w:t>
            </w:r>
          </w:p>
        </w:tc>
      </w:tr>
      <w:tr w:rsidR="00B8348C" w:rsidRPr="00D315AF" w14:paraId="4BD6089D" w14:textId="77777777" w:rsidTr="00FA2285">
        <w:trPr>
          <w:trHeight w:val="38"/>
          <w:jc w:val="center"/>
        </w:trPr>
        <w:tc>
          <w:tcPr>
            <w:tcW w:w="2520" w:type="dxa"/>
            <w:tcBorders>
              <w:left w:val="nil"/>
            </w:tcBorders>
          </w:tcPr>
          <w:p w14:paraId="6CCD4C37" w14:textId="6616273D"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67" w:type="dxa"/>
            <w:gridSpan w:val="2"/>
            <w:tcBorders>
              <w:top w:val="single" w:sz="4" w:space="0" w:color="C0C0C0"/>
              <w:left w:val="nil"/>
              <w:bottom w:val="single" w:sz="4" w:space="0" w:color="C0C0C0"/>
              <w:right w:val="single" w:sz="4" w:space="0" w:color="C0C0C0"/>
            </w:tcBorders>
          </w:tcPr>
          <w:p w14:paraId="1AF1DDC8" w14:textId="7AEC3882"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301 (Droit d’entrée et de sortie), article 313 (Prescriptions de résultats)</w:t>
            </w:r>
          </w:p>
        </w:tc>
      </w:tr>
      <w:tr w:rsidR="00B8348C" w:rsidRPr="00F52884" w14:paraId="64ADAA24" w14:textId="77777777" w:rsidTr="00FA2285">
        <w:trPr>
          <w:trHeight w:val="38"/>
          <w:jc w:val="center"/>
        </w:trPr>
        <w:tc>
          <w:tcPr>
            <w:tcW w:w="1038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D154965"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403FB944" w14:textId="77777777" w:rsidTr="00FA2285">
        <w:trPr>
          <w:trHeight w:val="252"/>
          <w:jc w:val="center"/>
        </w:trPr>
        <w:tc>
          <w:tcPr>
            <w:tcW w:w="10387" w:type="dxa"/>
            <w:gridSpan w:val="3"/>
            <w:tcBorders>
              <w:top w:val="single" w:sz="4" w:space="0" w:color="C0C0C0"/>
              <w:left w:val="single" w:sz="4" w:space="0" w:color="C0C0C0"/>
              <w:bottom w:val="single" w:sz="4" w:space="0" w:color="C0C0C0"/>
              <w:right w:val="single" w:sz="4" w:space="0" w:color="C0C0C0"/>
            </w:tcBorders>
          </w:tcPr>
          <w:p w14:paraId="75650A0E" w14:textId="5340BBE7" w:rsidR="00B8348C" w:rsidRPr="00F52884" w:rsidRDefault="00B8348C" w:rsidP="000C25A3">
            <w:pPr>
              <w:spacing w:before="60" w:after="60"/>
              <w:rPr>
                <w:rFonts w:cstheme="minorHAnsi"/>
                <w:szCs w:val="23"/>
              </w:rPr>
            </w:pPr>
            <w:r w:rsidRPr="00F52884">
              <w:rPr>
                <w:rFonts w:cstheme="minorHAnsi"/>
                <w:i/>
                <w:iCs/>
                <w:szCs w:val="23"/>
              </w:rPr>
              <w:t>Forest Act</w:t>
            </w:r>
            <w:r w:rsidRPr="00F52884">
              <w:rPr>
                <w:rFonts w:cstheme="minorHAnsi"/>
                <w:szCs w:val="23"/>
              </w:rPr>
              <w:t>,</w:t>
            </w:r>
            <w:r w:rsidRPr="00F52884">
              <w:rPr>
                <w:rFonts w:cstheme="minorHAnsi"/>
                <w:i/>
                <w:iCs/>
                <w:szCs w:val="23"/>
              </w:rPr>
              <w:t xml:space="preserve"> </w:t>
            </w:r>
            <w:r w:rsidRPr="00F52884">
              <w:rPr>
                <w:rFonts w:cstheme="minorHAnsi"/>
                <w:szCs w:val="23"/>
              </w:rPr>
              <w:t>RSBC 1996, c 157</w:t>
            </w:r>
          </w:p>
        </w:tc>
      </w:tr>
      <w:tr w:rsidR="00B8348C" w:rsidRPr="00F52884" w14:paraId="61ED10ED" w14:textId="77777777" w:rsidTr="00FA2285">
        <w:trPr>
          <w:trHeight w:val="44"/>
          <w:jc w:val="center"/>
        </w:trPr>
        <w:tc>
          <w:tcPr>
            <w:tcW w:w="1038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7B33B0B"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04004527" w14:textId="77777777" w:rsidTr="00FA2285">
        <w:trPr>
          <w:trHeight w:val="1803"/>
          <w:jc w:val="center"/>
        </w:trPr>
        <w:tc>
          <w:tcPr>
            <w:tcW w:w="10387" w:type="dxa"/>
            <w:gridSpan w:val="3"/>
            <w:tcBorders>
              <w:top w:val="single" w:sz="4" w:space="0" w:color="C0C0C0"/>
              <w:left w:val="single" w:sz="4" w:space="0" w:color="C0C0C0"/>
              <w:bottom w:val="single" w:sz="4" w:space="0" w:color="C0C0C0"/>
              <w:right w:val="single" w:sz="4" w:space="0" w:color="C0C0C0"/>
            </w:tcBorders>
          </w:tcPr>
          <w:p w14:paraId="5EAF3E92" w14:textId="77777777" w:rsidR="00B8348C" w:rsidRPr="00F52884" w:rsidRDefault="00B8348C" w:rsidP="000C25A3">
            <w:pPr>
              <w:spacing w:before="60" w:after="60"/>
              <w:rPr>
                <w:rFonts w:cstheme="minorHAnsi"/>
                <w:szCs w:val="23"/>
                <w:lang w:val="fr-FR"/>
              </w:rPr>
            </w:pPr>
            <w:r w:rsidRPr="00F52884">
              <w:rPr>
                <w:rFonts w:cstheme="minorHAnsi"/>
                <w:szCs w:val="23"/>
                <w:lang w:val="fr-CA"/>
              </w:rPr>
              <w:t xml:space="preserve">Tout le bois d’œuvre récolté sur des terres provinciales doit être utilisé en Colombie-Britannique ou transformé en Colombie-Britannique en d’autres produits. </w:t>
            </w:r>
            <w:proofErr w:type="gramStart"/>
            <w:r w:rsidRPr="00F52884">
              <w:rPr>
                <w:rFonts w:cstheme="minorHAnsi"/>
                <w:szCs w:val="23"/>
                <w:lang w:val="fr-CA"/>
              </w:rPr>
              <w:t>Par contre</w:t>
            </w:r>
            <w:proofErr w:type="gramEnd"/>
            <w:r w:rsidRPr="00F52884">
              <w:rPr>
                <w:rFonts w:cstheme="minorHAnsi"/>
                <w:szCs w:val="23"/>
                <w:lang w:val="fr-CA"/>
              </w:rPr>
              <w:t>, la Colombie-Britannique peut autoriser une exemption à cette exigence si la quantité de bois d’œuvre dépasse les besoins des installations de transformation de la Colombie-Britannique, si le bois d’œuvre ne peut pas être transformé de façon économique près du lieu de la récolte et ne peut pas être transporté de façon économique vers une autre installation en Colombie-Britannique, ou si une exemption empêche le gaspillage du bois ou en permet la valorisation.</w:t>
            </w:r>
          </w:p>
        </w:tc>
      </w:tr>
    </w:tbl>
    <w:p w14:paraId="1969A20B" w14:textId="77777777" w:rsidR="00B8348C" w:rsidRPr="00F52884" w:rsidRDefault="00B8348C" w:rsidP="000C25A3">
      <w:pPr>
        <w:ind w:left="-360"/>
        <w:rPr>
          <w:rFonts w:cstheme="minorHAnsi"/>
          <w:b/>
          <w:szCs w:val="23"/>
          <w:lang w:val="fr-FR"/>
        </w:rPr>
      </w:pPr>
    </w:p>
    <w:p w14:paraId="047A2E4E" w14:textId="77777777" w:rsidR="00B8348C" w:rsidRPr="00F52884" w:rsidRDefault="00B8348C" w:rsidP="000C25A3">
      <w:pPr>
        <w:ind w:left="-360"/>
        <w:rPr>
          <w:rFonts w:cstheme="minorHAnsi"/>
          <w:b/>
          <w:szCs w:val="23"/>
          <w:lang w:val="fr-FR"/>
        </w:rPr>
      </w:pPr>
    </w:p>
    <w:p w14:paraId="5E4F238D" w14:textId="77777777" w:rsidR="00B8348C" w:rsidRPr="00F52884" w:rsidRDefault="00B8348C" w:rsidP="000C25A3">
      <w:pPr>
        <w:ind w:left="-360"/>
        <w:rPr>
          <w:rFonts w:cstheme="minorHAnsi"/>
          <w:b/>
          <w:szCs w:val="23"/>
          <w:lang w:val="fr-FR"/>
        </w:rPr>
      </w:pPr>
    </w:p>
    <w:p w14:paraId="1D13C16D" w14:textId="77777777" w:rsidR="00B8348C" w:rsidRPr="00F52884" w:rsidRDefault="00B8348C" w:rsidP="000C25A3">
      <w:pPr>
        <w:ind w:left="-360"/>
        <w:rPr>
          <w:rFonts w:cstheme="minorHAnsi"/>
          <w:b/>
          <w:szCs w:val="23"/>
          <w:lang w:val="fr-FR"/>
        </w:rPr>
      </w:pPr>
    </w:p>
    <w:p w14:paraId="19F026FA" w14:textId="387AE9DC" w:rsidR="00B8348C" w:rsidRPr="00F52884" w:rsidRDefault="00B8348C" w:rsidP="000C25A3">
      <w:pPr>
        <w:spacing w:before="60" w:after="60"/>
        <w:ind w:left="-360"/>
        <w:rPr>
          <w:rFonts w:cstheme="minorHAnsi"/>
          <w:b/>
          <w:szCs w:val="23"/>
        </w:rPr>
      </w:pPr>
      <w:r w:rsidRPr="00F52884">
        <w:rPr>
          <w:rFonts w:cstheme="minorHAnsi"/>
          <w:b/>
          <w:bCs/>
          <w:szCs w:val="23"/>
          <w:lang w:val="fr-CA"/>
        </w:rPr>
        <w:t>3.</w:t>
      </w:r>
      <w:r w:rsidR="00110B78" w:rsidRPr="00F52884">
        <w:rPr>
          <w:rFonts w:cstheme="minorHAnsi"/>
          <w:szCs w:val="23"/>
          <w:lang w:val="fr-CA"/>
        </w:rPr>
        <w:t xml:space="preserve">  </w:t>
      </w:r>
      <w:r w:rsidRPr="00F52884">
        <w:rPr>
          <w:rFonts w:cstheme="minorHAnsi"/>
          <w:b/>
          <w:bCs/>
          <w:szCs w:val="23"/>
          <w:lang w:val="fr-CA"/>
        </w:rPr>
        <w:t>COLOMBIE-BRITANNIQUE</w:t>
      </w:r>
    </w:p>
    <w:tbl>
      <w:tblPr>
        <w:tblW w:w="10351" w:type="dxa"/>
        <w:jc w:val="center"/>
        <w:tblCellMar>
          <w:top w:w="14" w:type="dxa"/>
          <w:left w:w="86" w:type="dxa"/>
          <w:bottom w:w="14" w:type="dxa"/>
          <w:right w:w="86" w:type="dxa"/>
        </w:tblCellMar>
        <w:tblLook w:val="0000" w:firstRow="0" w:lastRow="0" w:firstColumn="0" w:lastColumn="0" w:noHBand="0" w:noVBand="0"/>
      </w:tblPr>
      <w:tblGrid>
        <w:gridCol w:w="2520"/>
        <w:gridCol w:w="7471"/>
        <w:gridCol w:w="360"/>
      </w:tblGrid>
      <w:tr w:rsidR="00B8348C" w:rsidRPr="00F52884" w14:paraId="62D99467" w14:textId="77777777" w:rsidTr="00FA2285">
        <w:trPr>
          <w:trHeight w:val="37"/>
          <w:jc w:val="center"/>
        </w:trPr>
        <w:tc>
          <w:tcPr>
            <w:tcW w:w="2520" w:type="dxa"/>
            <w:tcBorders>
              <w:top w:val="single" w:sz="4" w:space="0" w:color="C0C0C0"/>
              <w:left w:val="nil"/>
              <w:bottom w:val="single" w:sz="4" w:space="0" w:color="C0C0C0"/>
              <w:right w:val="single" w:sz="4" w:space="0" w:color="FFFFFF"/>
            </w:tcBorders>
            <w:vAlign w:val="center"/>
          </w:tcPr>
          <w:p w14:paraId="2D13F706"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 xml:space="preserve">Secteur : </w:t>
            </w:r>
          </w:p>
        </w:tc>
        <w:tc>
          <w:tcPr>
            <w:tcW w:w="7831" w:type="dxa"/>
            <w:gridSpan w:val="2"/>
            <w:tcBorders>
              <w:top w:val="single" w:sz="4" w:space="0" w:color="C0C0C0"/>
              <w:left w:val="single" w:sz="4" w:space="0" w:color="FFFFFF"/>
              <w:bottom w:val="single" w:sz="4" w:space="0" w:color="C0C0C0"/>
              <w:right w:val="nil"/>
            </w:tcBorders>
            <w:vAlign w:val="center"/>
          </w:tcPr>
          <w:p w14:paraId="71F86F7A"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D315AF" w14:paraId="040E31F5" w14:textId="77777777" w:rsidTr="00FA2285">
        <w:trPr>
          <w:trHeight w:val="223"/>
          <w:jc w:val="center"/>
        </w:trPr>
        <w:tc>
          <w:tcPr>
            <w:tcW w:w="2520" w:type="dxa"/>
            <w:tcBorders>
              <w:top w:val="single" w:sz="4" w:space="0" w:color="C0C0C0"/>
              <w:left w:val="nil"/>
              <w:bottom w:val="single" w:sz="4" w:space="0" w:color="C0C0C0"/>
              <w:right w:val="single" w:sz="4" w:space="0" w:color="FFFFFF"/>
            </w:tcBorders>
            <w:vAlign w:val="center"/>
          </w:tcPr>
          <w:p w14:paraId="501F21A3"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831" w:type="dxa"/>
            <w:gridSpan w:val="2"/>
            <w:tcBorders>
              <w:top w:val="single" w:sz="4" w:space="0" w:color="C0C0C0"/>
              <w:left w:val="nil"/>
              <w:bottom w:val="single" w:sz="4" w:space="0" w:color="C0C0C0"/>
              <w:right w:val="single" w:sz="4" w:space="0" w:color="FFFFFF"/>
            </w:tcBorders>
            <w:vAlign w:val="center"/>
          </w:tcPr>
          <w:p w14:paraId="555A4B79"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Sylviculture et exploitation forestière; services annexes aux industries manufacturières; permis d’exploitation de boisés</w:t>
            </w:r>
          </w:p>
        </w:tc>
      </w:tr>
      <w:tr w:rsidR="00B8348C" w:rsidRPr="00F52884" w14:paraId="095AC9A9" w14:textId="77777777" w:rsidTr="00FA2285">
        <w:trPr>
          <w:gridAfter w:val="1"/>
          <w:wAfter w:w="360" w:type="dxa"/>
          <w:trHeight w:val="37"/>
          <w:jc w:val="center"/>
        </w:trPr>
        <w:tc>
          <w:tcPr>
            <w:tcW w:w="2520" w:type="dxa"/>
            <w:tcBorders>
              <w:top w:val="single" w:sz="4" w:space="0" w:color="C0C0C0"/>
              <w:left w:val="nil"/>
              <w:bottom w:val="single" w:sz="4" w:space="0" w:color="C0C0C0"/>
              <w:right w:val="single" w:sz="4" w:space="0" w:color="FFFFFF"/>
            </w:tcBorders>
            <w:vAlign w:val="center"/>
          </w:tcPr>
          <w:p w14:paraId="2F9F450B" w14:textId="77777777" w:rsidR="00B8348C" w:rsidRPr="00F52884" w:rsidRDefault="00B8348C" w:rsidP="000C25A3">
            <w:pPr>
              <w:spacing w:before="60" w:after="60"/>
              <w:ind w:left="4"/>
              <w:rPr>
                <w:rFonts w:cstheme="minorHAnsi"/>
                <w:szCs w:val="23"/>
              </w:rPr>
            </w:pPr>
            <w:r w:rsidRPr="00F52884">
              <w:rPr>
                <w:rFonts w:cstheme="minorHAnsi"/>
                <w:b/>
                <w:bCs/>
                <w:szCs w:val="23"/>
                <w:lang w:val="fr-CA"/>
              </w:rPr>
              <w:t xml:space="preserve">Classification de l’industrie : </w:t>
            </w:r>
          </w:p>
        </w:tc>
        <w:tc>
          <w:tcPr>
            <w:tcW w:w="7471" w:type="dxa"/>
            <w:tcBorders>
              <w:top w:val="single" w:sz="4" w:space="0" w:color="C0C0C0"/>
              <w:left w:val="nil"/>
              <w:bottom w:val="single" w:sz="4" w:space="0" w:color="C0C0C0"/>
              <w:right w:val="single" w:sz="4" w:space="0" w:color="FFFFFF"/>
            </w:tcBorders>
            <w:vAlign w:val="center"/>
          </w:tcPr>
          <w:p w14:paraId="0C2883F3" w14:textId="77777777" w:rsidR="00B8348C" w:rsidRPr="00F52884" w:rsidRDefault="00B8348C" w:rsidP="000C25A3">
            <w:pPr>
              <w:spacing w:before="60" w:after="60"/>
              <w:ind w:left="4"/>
              <w:rPr>
                <w:rFonts w:cstheme="minorHAnsi"/>
                <w:szCs w:val="23"/>
              </w:rPr>
            </w:pPr>
            <w:r w:rsidRPr="00F52884">
              <w:rPr>
                <w:rFonts w:cstheme="minorHAnsi"/>
                <w:szCs w:val="23"/>
                <w:lang w:val="fr-CA"/>
              </w:rPr>
              <w:t>CPC 03, 8814</w:t>
            </w:r>
          </w:p>
        </w:tc>
      </w:tr>
      <w:tr w:rsidR="00B8348C" w:rsidRPr="00D315AF" w14:paraId="0167F3F2" w14:textId="77777777" w:rsidTr="00FA2285">
        <w:trPr>
          <w:trHeight w:val="37"/>
          <w:jc w:val="center"/>
        </w:trPr>
        <w:tc>
          <w:tcPr>
            <w:tcW w:w="2520" w:type="dxa"/>
            <w:tcBorders>
              <w:top w:val="single" w:sz="4" w:space="0" w:color="C0C0C0"/>
              <w:left w:val="nil"/>
              <w:bottom w:val="single" w:sz="4" w:space="0" w:color="C0C0C0"/>
              <w:right w:val="single" w:sz="4" w:space="0" w:color="FFFFFF" w:themeColor="background1"/>
            </w:tcBorders>
          </w:tcPr>
          <w:p w14:paraId="7AF71DB3" w14:textId="75755D50"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31" w:type="dxa"/>
            <w:gridSpan w:val="2"/>
            <w:tcBorders>
              <w:top w:val="single" w:sz="4" w:space="0" w:color="C0C0C0"/>
              <w:left w:val="single" w:sz="4" w:space="0" w:color="FFFFFF" w:themeColor="background1"/>
              <w:bottom w:val="single" w:sz="4" w:space="0" w:color="C0C0C0"/>
              <w:right w:val="single" w:sz="4" w:space="0" w:color="C0C0C0"/>
            </w:tcBorders>
          </w:tcPr>
          <w:p w14:paraId="753B5CE7" w14:textId="77777777"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312 (Accès aux marchés – Investissement)</w:t>
            </w:r>
          </w:p>
        </w:tc>
      </w:tr>
      <w:tr w:rsidR="00B8348C" w:rsidRPr="00F52884" w14:paraId="66B6D272" w14:textId="77777777" w:rsidTr="00FA2285">
        <w:trPr>
          <w:trHeight w:val="37"/>
          <w:jc w:val="center"/>
        </w:trPr>
        <w:tc>
          <w:tcPr>
            <w:tcW w:w="10351" w:type="dxa"/>
            <w:gridSpan w:val="3"/>
            <w:tcBorders>
              <w:top w:val="single" w:sz="4" w:space="0" w:color="C0C0C0"/>
              <w:left w:val="single" w:sz="4" w:space="0" w:color="C0C0C0"/>
              <w:bottom w:val="single" w:sz="4" w:space="0" w:color="B2B2B2" w:themeColor="accent2"/>
              <w:right w:val="single" w:sz="4" w:space="0" w:color="C0C0C0"/>
            </w:tcBorders>
            <w:shd w:val="clear" w:color="auto" w:fill="D9D9D9" w:themeFill="background1" w:themeFillShade="D9"/>
            <w:vAlign w:val="center"/>
          </w:tcPr>
          <w:p w14:paraId="0C063F4B"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38C3922C" w14:textId="77777777" w:rsidTr="00FA2285">
        <w:trPr>
          <w:trHeight w:val="247"/>
          <w:jc w:val="center"/>
        </w:trPr>
        <w:tc>
          <w:tcPr>
            <w:tcW w:w="10351" w:type="dxa"/>
            <w:gridSpan w:val="3"/>
            <w:tcBorders>
              <w:top w:val="single" w:sz="4" w:space="0" w:color="B2B2B2" w:themeColor="accent2"/>
              <w:left w:val="single" w:sz="4" w:space="0" w:color="C0C0C0"/>
              <w:bottom w:val="single" w:sz="4" w:space="0" w:color="C0C0C0"/>
              <w:right w:val="single" w:sz="4" w:space="0" w:color="C0C0C0"/>
            </w:tcBorders>
          </w:tcPr>
          <w:p w14:paraId="0EB45F95" w14:textId="3289C272" w:rsidR="00B8348C" w:rsidRPr="00F52884" w:rsidRDefault="00B8348C" w:rsidP="000C25A3">
            <w:pPr>
              <w:spacing w:before="60" w:after="60"/>
              <w:rPr>
                <w:rFonts w:cstheme="minorHAnsi"/>
                <w:i/>
                <w:szCs w:val="23"/>
              </w:rPr>
            </w:pPr>
            <w:r w:rsidRPr="00F52884">
              <w:rPr>
                <w:rFonts w:cstheme="minorHAnsi"/>
                <w:i/>
                <w:iCs/>
                <w:szCs w:val="23"/>
              </w:rPr>
              <w:t xml:space="preserve">Forest Act, </w:t>
            </w:r>
            <w:r w:rsidRPr="00F52884">
              <w:rPr>
                <w:rFonts w:cstheme="minorHAnsi"/>
                <w:szCs w:val="23"/>
              </w:rPr>
              <w:t>RSBC 1996, c 157</w:t>
            </w:r>
          </w:p>
        </w:tc>
      </w:tr>
      <w:tr w:rsidR="00B8348C" w:rsidRPr="00F52884" w14:paraId="371D9688" w14:textId="77777777" w:rsidTr="00FA2285">
        <w:trPr>
          <w:trHeight w:val="44"/>
          <w:jc w:val="center"/>
        </w:trPr>
        <w:tc>
          <w:tcPr>
            <w:tcW w:w="10351"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1CB80EB"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58533A66" w14:textId="77777777" w:rsidTr="00FA2285">
        <w:trPr>
          <w:trHeight w:val="4422"/>
          <w:jc w:val="center"/>
        </w:trPr>
        <w:tc>
          <w:tcPr>
            <w:tcW w:w="10351" w:type="dxa"/>
            <w:gridSpan w:val="3"/>
            <w:tcBorders>
              <w:top w:val="single" w:sz="4" w:space="0" w:color="C0C0C0"/>
              <w:left w:val="single" w:sz="4" w:space="0" w:color="C0C0C0"/>
              <w:bottom w:val="single" w:sz="4" w:space="0" w:color="C0C0C0"/>
              <w:right w:val="single" w:sz="4" w:space="0" w:color="C0C0C0"/>
            </w:tcBorders>
          </w:tcPr>
          <w:p w14:paraId="0524AD1C" w14:textId="77777777" w:rsidR="00B8348C" w:rsidRPr="00F52884" w:rsidRDefault="00B8348C" w:rsidP="00B8348C">
            <w:pPr>
              <w:pStyle w:val="ListParagraph"/>
              <w:numPr>
                <w:ilvl w:val="0"/>
                <w:numId w:val="132"/>
              </w:numPr>
              <w:spacing w:before="120" w:after="120"/>
              <w:ind w:left="366"/>
              <w:contextualSpacing w:val="0"/>
              <w:rPr>
                <w:rFonts w:cstheme="minorHAnsi"/>
                <w:szCs w:val="23"/>
                <w:lang w:val="fr-FR"/>
              </w:rPr>
            </w:pPr>
            <w:r w:rsidRPr="00F52884">
              <w:rPr>
                <w:rFonts w:cstheme="minorHAnsi"/>
                <w:szCs w:val="23"/>
                <w:lang w:val="fr-CA"/>
              </w:rPr>
              <w:t>Les critères d’octroi d’un permis d’exploitation de boisés comprennent la proximité de la résidence privée avec le boisé faisant l’objet du permis demandé, ainsi que la distance et la superficie des terres privées devant faire partie du boisé en question.</w:t>
            </w:r>
          </w:p>
          <w:p w14:paraId="6B11CC82" w14:textId="77777777" w:rsidR="00B8348C" w:rsidRPr="00F52884" w:rsidRDefault="00B8348C" w:rsidP="00B8348C">
            <w:pPr>
              <w:pStyle w:val="ListParagraph"/>
              <w:numPr>
                <w:ilvl w:val="0"/>
                <w:numId w:val="132"/>
              </w:numPr>
              <w:spacing w:before="120" w:after="120"/>
              <w:ind w:left="366"/>
              <w:contextualSpacing w:val="0"/>
              <w:rPr>
                <w:rFonts w:cstheme="minorHAnsi"/>
                <w:szCs w:val="23"/>
                <w:lang w:val="fr-FR"/>
              </w:rPr>
            </w:pPr>
            <w:r w:rsidRPr="00F52884">
              <w:rPr>
                <w:rFonts w:cstheme="minorHAnsi"/>
                <w:szCs w:val="23"/>
                <w:lang w:val="fr-CA"/>
              </w:rPr>
              <w:t>Seules les entités suivantes peuvent conclure une entente d’exploitation de forêt communautaire (qui peut être accordée directement) :</w:t>
            </w:r>
          </w:p>
          <w:p w14:paraId="24DF800E" w14:textId="69F556F8" w:rsidR="00B8348C" w:rsidRPr="00F52884" w:rsidRDefault="00B8348C" w:rsidP="00B8348C">
            <w:pPr>
              <w:numPr>
                <w:ilvl w:val="0"/>
                <w:numId w:val="196"/>
              </w:numPr>
              <w:tabs>
                <w:tab w:val="clear" w:pos="1211"/>
              </w:tabs>
              <w:spacing w:before="120" w:after="120"/>
              <w:ind w:left="906" w:hanging="540"/>
              <w:rPr>
                <w:rFonts w:cstheme="minorHAnsi"/>
                <w:szCs w:val="23"/>
                <w:lang w:val="fr-FR"/>
              </w:rPr>
            </w:pPr>
            <w:proofErr w:type="gramStart"/>
            <w:r w:rsidRPr="00F52884">
              <w:rPr>
                <w:rFonts w:cstheme="minorHAnsi"/>
                <w:szCs w:val="23"/>
                <w:lang w:val="fr-CA"/>
              </w:rPr>
              <w:t>une</w:t>
            </w:r>
            <w:proofErr w:type="gramEnd"/>
            <w:r w:rsidRPr="00F52884">
              <w:rPr>
                <w:rFonts w:cstheme="minorHAnsi"/>
                <w:szCs w:val="23"/>
                <w:lang w:val="fr-CA"/>
              </w:rPr>
              <w:t xml:space="preserve"> société constituée sous le régime de la </w:t>
            </w:r>
            <w:r w:rsidRPr="00F52884">
              <w:rPr>
                <w:rFonts w:cstheme="minorHAnsi"/>
                <w:i/>
                <w:iCs/>
                <w:szCs w:val="23"/>
                <w:lang w:val="fr-CA"/>
              </w:rPr>
              <w:t xml:space="preserve">Society </w:t>
            </w:r>
            <w:proofErr w:type="spellStart"/>
            <w:r w:rsidRPr="00F52884">
              <w:rPr>
                <w:rFonts w:cstheme="minorHAnsi"/>
                <w:i/>
                <w:iCs/>
                <w:szCs w:val="23"/>
                <w:lang w:val="fr-CA"/>
              </w:rPr>
              <w:t>Act</w:t>
            </w:r>
            <w:proofErr w:type="spellEnd"/>
            <w:r w:rsidRPr="00F52884">
              <w:rPr>
                <w:rFonts w:cstheme="minorHAnsi"/>
                <w:szCs w:val="23"/>
                <w:lang w:val="fr-CA"/>
              </w:rPr>
              <w:t>, RSBC 1996, c 433;</w:t>
            </w:r>
          </w:p>
          <w:p w14:paraId="2D40510F" w14:textId="041653D8" w:rsidR="00B8348C" w:rsidRPr="00F52884" w:rsidRDefault="00B8348C" w:rsidP="00B8348C">
            <w:pPr>
              <w:numPr>
                <w:ilvl w:val="0"/>
                <w:numId w:val="196"/>
              </w:numPr>
              <w:tabs>
                <w:tab w:val="clear" w:pos="1211"/>
                <w:tab w:val="left" w:pos="906"/>
              </w:tabs>
              <w:spacing w:before="120" w:after="120"/>
              <w:ind w:left="726"/>
              <w:rPr>
                <w:rFonts w:cstheme="minorHAnsi"/>
                <w:szCs w:val="23"/>
                <w:lang w:val="fr-FR"/>
              </w:rPr>
            </w:pPr>
            <w:r w:rsidRPr="00F52884">
              <w:rPr>
                <w:rFonts w:cstheme="minorHAnsi"/>
                <w:szCs w:val="23"/>
                <w:lang w:val="fr-CA"/>
              </w:rPr>
              <w:tab/>
            </w:r>
            <w:proofErr w:type="gramStart"/>
            <w:r w:rsidRPr="00F52884">
              <w:rPr>
                <w:rFonts w:cstheme="minorHAnsi"/>
                <w:szCs w:val="23"/>
                <w:lang w:val="fr-CA"/>
              </w:rPr>
              <w:t>une</w:t>
            </w:r>
            <w:proofErr w:type="gramEnd"/>
            <w:r w:rsidRPr="00F52884">
              <w:rPr>
                <w:rFonts w:cstheme="minorHAnsi"/>
                <w:szCs w:val="23"/>
                <w:lang w:val="fr-CA"/>
              </w:rPr>
              <w:t xml:space="preserve"> association au sens de la </w:t>
            </w:r>
            <w:proofErr w:type="spellStart"/>
            <w:r w:rsidRPr="00F52884">
              <w:rPr>
                <w:rFonts w:cstheme="minorHAnsi"/>
                <w:i/>
                <w:iCs/>
                <w:szCs w:val="23"/>
                <w:lang w:val="fr-CA"/>
              </w:rPr>
              <w:t>Cooperative</w:t>
            </w:r>
            <w:proofErr w:type="spellEnd"/>
            <w:r w:rsidRPr="00F52884">
              <w:rPr>
                <w:rFonts w:cstheme="minorHAnsi"/>
                <w:i/>
                <w:iCs/>
                <w:szCs w:val="23"/>
                <w:lang w:val="fr-CA"/>
              </w:rPr>
              <w:t xml:space="preserve"> Association </w:t>
            </w:r>
            <w:proofErr w:type="spellStart"/>
            <w:r w:rsidRPr="00F52884">
              <w:rPr>
                <w:rFonts w:cstheme="minorHAnsi"/>
                <w:i/>
                <w:iCs/>
                <w:szCs w:val="23"/>
                <w:lang w:val="fr-CA"/>
              </w:rPr>
              <w:t>Act</w:t>
            </w:r>
            <w:proofErr w:type="spellEnd"/>
            <w:r w:rsidR="00737D34" w:rsidRPr="00F52884">
              <w:rPr>
                <w:rFonts w:cstheme="minorHAnsi"/>
                <w:szCs w:val="23"/>
                <w:lang w:val="fr-CA"/>
              </w:rPr>
              <w:t>, SBC</w:t>
            </w:r>
            <w:r w:rsidRPr="00F52884">
              <w:rPr>
                <w:rFonts w:cstheme="minorHAnsi"/>
                <w:szCs w:val="23"/>
                <w:lang w:val="fr-CA"/>
              </w:rPr>
              <w:t xml:space="preserve"> 1999, c 28;</w:t>
            </w:r>
          </w:p>
          <w:p w14:paraId="17727A3A" w14:textId="38905D02" w:rsidR="00B8348C" w:rsidRPr="00F52884" w:rsidRDefault="00B8348C" w:rsidP="00B8348C">
            <w:pPr>
              <w:numPr>
                <w:ilvl w:val="0"/>
                <w:numId w:val="196"/>
              </w:numPr>
              <w:tabs>
                <w:tab w:val="clear" w:pos="1211"/>
                <w:tab w:val="num" w:pos="906"/>
              </w:tabs>
              <w:spacing w:before="120" w:after="120"/>
              <w:ind w:left="906" w:hanging="540"/>
              <w:rPr>
                <w:rFonts w:cstheme="minorHAnsi"/>
                <w:szCs w:val="23"/>
                <w:lang w:val="fr-FR"/>
              </w:rPr>
            </w:pPr>
            <w:proofErr w:type="gramStart"/>
            <w:r w:rsidRPr="00F52884">
              <w:rPr>
                <w:rFonts w:cstheme="minorHAnsi"/>
                <w:szCs w:val="23"/>
                <w:lang w:val="fr-CA"/>
              </w:rPr>
              <w:t>une</w:t>
            </w:r>
            <w:proofErr w:type="gramEnd"/>
            <w:r w:rsidRPr="00F52884">
              <w:rPr>
                <w:rFonts w:cstheme="minorHAnsi"/>
                <w:szCs w:val="23"/>
                <w:lang w:val="fr-CA"/>
              </w:rPr>
              <w:t xml:space="preserve"> société par actions, si elle est constituée par un texte législatif ou sous le régime d’un tel texte, ou si elle est inscrite comme une entreprise extra-provinciale au titre de la </w:t>
            </w:r>
            <w:r w:rsidRPr="00F52884">
              <w:rPr>
                <w:rFonts w:cstheme="minorHAnsi"/>
                <w:i/>
                <w:iCs/>
                <w:szCs w:val="23"/>
                <w:lang w:val="fr-CA"/>
              </w:rPr>
              <w:t xml:space="preserve">Business Corporations </w:t>
            </w:r>
            <w:proofErr w:type="spellStart"/>
            <w:r w:rsidRPr="00F52884">
              <w:rPr>
                <w:rFonts w:cstheme="minorHAnsi"/>
                <w:i/>
                <w:iCs/>
                <w:szCs w:val="23"/>
                <w:lang w:val="fr-CA"/>
              </w:rPr>
              <w:t>Act</w:t>
            </w:r>
            <w:proofErr w:type="spellEnd"/>
            <w:r w:rsidRPr="00F52884">
              <w:rPr>
                <w:rFonts w:cstheme="minorHAnsi"/>
                <w:szCs w:val="23"/>
                <w:lang w:val="fr-CA"/>
              </w:rPr>
              <w:t>, SBC 2002, c 57;</w:t>
            </w:r>
          </w:p>
          <w:p w14:paraId="1DC7CB61" w14:textId="77777777" w:rsidR="00B8348C" w:rsidRPr="00F52884" w:rsidRDefault="00B8348C" w:rsidP="00B8348C">
            <w:pPr>
              <w:numPr>
                <w:ilvl w:val="0"/>
                <w:numId w:val="196"/>
              </w:numPr>
              <w:tabs>
                <w:tab w:val="clear" w:pos="1211"/>
              </w:tabs>
              <w:spacing w:before="120" w:after="120"/>
              <w:ind w:left="906" w:hanging="540"/>
              <w:rPr>
                <w:rFonts w:cstheme="minorHAnsi"/>
                <w:szCs w:val="23"/>
                <w:lang w:val="fr-FR"/>
              </w:rPr>
            </w:pPr>
            <w:proofErr w:type="gramStart"/>
            <w:r w:rsidRPr="00F52884">
              <w:rPr>
                <w:rFonts w:cstheme="minorHAnsi"/>
                <w:szCs w:val="23"/>
                <w:lang w:val="fr-CA"/>
              </w:rPr>
              <w:t>un</w:t>
            </w:r>
            <w:proofErr w:type="gramEnd"/>
            <w:r w:rsidRPr="00F52884">
              <w:rPr>
                <w:rFonts w:cstheme="minorHAnsi"/>
                <w:szCs w:val="23"/>
                <w:lang w:val="fr-CA"/>
              </w:rPr>
              <w:t xml:space="preserve"> partenariat, s’il est formé de municipalités ou de districts régionaux, de sociétés, d’associations, d’entreprises ou d’entreprises extra-provinciales ou d’une combinaison de ces entités;</w:t>
            </w:r>
          </w:p>
          <w:p w14:paraId="14D20695" w14:textId="77777777" w:rsidR="00B8348C" w:rsidRPr="00F52884" w:rsidRDefault="00B8348C" w:rsidP="00B8348C">
            <w:pPr>
              <w:numPr>
                <w:ilvl w:val="0"/>
                <w:numId w:val="196"/>
              </w:numPr>
              <w:tabs>
                <w:tab w:val="clear" w:pos="1211"/>
              </w:tabs>
              <w:spacing w:before="120" w:after="120"/>
              <w:ind w:left="906" w:hanging="540"/>
              <w:rPr>
                <w:rFonts w:cstheme="minorHAnsi"/>
                <w:szCs w:val="23"/>
                <w:lang w:val="fr-FR"/>
              </w:rPr>
            </w:pPr>
            <w:proofErr w:type="gramStart"/>
            <w:r w:rsidRPr="00F52884">
              <w:rPr>
                <w:rFonts w:cstheme="minorHAnsi"/>
                <w:szCs w:val="23"/>
                <w:lang w:val="fr-CA"/>
              </w:rPr>
              <w:t>une</w:t>
            </w:r>
            <w:proofErr w:type="gramEnd"/>
            <w:r w:rsidRPr="00F52884">
              <w:rPr>
                <w:rFonts w:cstheme="minorHAnsi"/>
                <w:szCs w:val="23"/>
                <w:lang w:val="fr-CA"/>
              </w:rPr>
              <w:t xml:space="preserve"> municipalité ou un district régional.</w:t>
            </w:r>
          </w:p>
        </w:tc>
      </w:tr>
    </w:tbl>
    <w:p w14:paraId="0BF444B5" w14:textId="77777777" w:rsidR="00B8348C" w:rsidRPr="00F52884" w:rsidRDefault="00B8348C" w:rsidP="000C25A3">
      <w:pPr>
        <w:rPr>
          <w:rFonts w:cstheme="minorHAnsi"/>
          <w:szCs w:val="23"/>
          <w:lang w:val="fr-FR"/>
        </w:rPr>
      </w:pPr>
    </w:p>
    <w:p w14:paraId="34FC8B94" w14:textId="77777777" w:rsidR="00B8348C" w:rsidRPr="00F52884" w:rsidRDefault="00B8348C" w:rsidP="000C25A3">
      <w:pPr>
        <w:ind w:left="-360"/>
        <w:rPr>
          <w:rFonts w:cstheme="minorHAnsi"/>
          <w:szCs w:val="23"/>
          <w:lang w:val="fr-FR"/>
        </w:rPr>
      </w:pPr>
    </w:p>
    <w:p w14:paraId="57836C9A" w14:textId="7614DA7A" w:rsidR="00B8348C" w:rsidRPr="00F52884" w:rsidRDefault="00B8348C" w:rsidP="000C25A3">
      <w:pPr>
        <w:spacing w:before="60" w:after="60"/>
        <w:ind w:left="-360"/>
        <w:rPr>
          <w:rFonts w:cstheme="minorHAnsi"/>
          <w:b/>
          <w:szCs w:val="23"/>
        </w:rPr>
      </w:pPr>
      <w:r w:rsidRPr="00F52884">
        <w:rPr>
          <w:rFonts w:cstheme="minorHAnsi"/>
          <w:b/>
          <w:bCs/>
          <w:szCs w:val="23"/>
          <w:lang w:val="fr-CA"/>
        </w:rPr>
        <w:t>4.</w:t>
      </w:r>
      <w:r w:rsidR="00110B78" w:rsidRPr="00F52884">
        <w:rPr>
          <w:rFonts w:cstheme="minorHAnsi"/>
          <w:szCs w:val="23"/>
          <w:lang w:val="fr-CA"/>
        </w:rPr>
        <w:t xml:space="preserve">  </w:t>
      </w:r>
      <w:r w:rsidRPr="00F52884">
        <w:rPr>
          <w:rFonts w:cstheme="minorHAnsi"/>
          <w:b/>
          <w:bCs/>
          <w:szCs w:val="23"/>
          <w:lang w:val="fr-CA"/>
        </w:rPr>
        <w:t>COLOMBIE-BRITANNIQUE</w:t>
      </w:r>
    </w:p>
    <w:tbl>
      <w:tblPr>
        <w:tblW w:w="10261" w:type="dxa"/>
        <w:jc w:val="center"/>
        <w:tblCellMar>
          <w:top w:w="14" w:type="dxa"/>
          <w:left w:w="86" w:type="dxa"/>
          <w:bottom w:w="14" w:type="dxa"/>
          <w:right w:w="86" w:type="dxa"/>
        </w:tblCellMar>
        <w:tblLook w:val="0000" w:firstRow="0" w:lastRow="0" w:firstColumn="0" w:lastColumn="0" w:noHBand="0" w:noVBand="0"/>
      </w:tblPr>
      <w:tblGrid>
        <w:gridCol w:w="2430"/>
        <w:gridCol w:w="7471"/>
        <w:gridCol w:w="360"/>
      </w:tblGrid>
      <w:tr w:rsidR="00B8348C" w:rsidRPr="00F52884" w14:paraId="0A383E45" w14:textId="77777777" w:rsidTr="00110B78">
        <w:trPr>
          <w:trHeight w:val="36"/>
          <w:jc w:val="center"/>
        </w:trPr>
        <w:tc>
          <w:tcPr>
            <w:tcW w:w="2430" w:type="dxa"/>
            <w:tcBorders>
              <w:top w:val="single" w:sz="4" w:space="0" w:color="C0C0C0"/>
              <w:left w:val="nil"/>
              <w:bottom w:val="single" w:sz="4" w:space="0" w:color="C0C0C0"/>
              <w:right w:val="single" w:sz="4" w:space="0" w:color="FFFFFF"/>
            </w:tcBorders>
            <w:vAlign w:val="center"/>
          </w:tcPr>
          <w:p w14:paraId="67EA46DB"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 xml:space="preserve">Secteur : </w:t>
            </w:r>
          </w:p>
        </w:tc>
        <w:tc>
          <w:tcPr>
            <w:tcW w:w="7831" w:type="dxa"/>
            <w:gridSpan w:val="2"/>
            <w:tcBorders>
              <w:top w:val="single" w:sz="4" w:space="0" w:color="C0C0C0"/>
              <w:left w:val="single" w:sz="4" w:space="0" w:color="FFFFFF"/>
              <w:bottom w:val="single" w:sz="4" w:space="0" w:color="C0C0C0"/>
              <w:right w:val="nil"/>
            </w:tcBorders>
            <w:vAlign w:val="center"/>
          </w:tcPr>
          <w:p w14:paraId="21AD2384"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F52884" w14:paraId="326FA7C9" w14:textId="77777777" w:rsidTr="00110B78">
        <w:trPr>
          <w:trHeight w:val="216"/>
          <w:jc w:val="center"/>
        </w:trPr>
        <w:tc>
          <w:tcPr>
            <w:tcW w:w="2430" w:type="dxa"/>
            <w:tcBorders>
              <w:top w:val="single" w:sz="4" w:space="0" w:color="C0C0C0"/>
              <w:left w:val="nil"/>
              <w:bottom w:val="single" w:sz="4" w:space="0" w:color="C0C0C0"/>
              <w:right w:val="single" w:sz="4" w:space="0" w:color="FFFFFF"/>
            </w:tcBorders>
            <w:vAlign w:val="center"/>
          </w:tcPr>
          <w:p w14:paraId="2AB9A333"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831" w:type="dxa"/>
            <w:gridSpan w:val="2"/>
            <w:tcBorders>
              <w:top w:val="single" w:sz="4" w:space="0" w:color="C0C0C0"/>
              <w:left w:val="nil"/>
              <w:bottom w:val="single" w:sz="4" w:space="0" w:color="C0C0C0"/>
              <w:right w:val="single" w:sz="4" w:space="0" w:color="FFFFFF"/>
            </w:tcBorders>
            <w:vAlign w:val="center"/>
          </w:tcPr>
          <w:p w14:paraId="2EB6B5F8" w14:textId="77777777" w:rsidR="00B8348C" w:rsidRPr="00F52884" w:rsidRDefault="00B8348C" w:rsidP="000C25A3">
            <w:pPr>
              <w:spacing w:before="60" w:after="60"/>
              <w:rPr>
                <w:rFonts w:cstheme="minorHAnsi"/>
                <w:szCs w:val="23"/>
              </w:rPr>
            </w:pPr>
            <w:r w:rsidRPr="00F52884">
              <w:rPr>
                <w:rFonts w:cstheme="minorHAnsi"/>
                <w:szCs w:val="23"/>
                <w:lang w:val="fr-CA"/>
              </w:rPr>
              <w:t>Sylviculture et exploitation forestière</w:t>
            </w:r>
          </w:p>
        </w:tc>
      </w:tr>
      <w:tr w:rsidR="00B8348C" w:rsidRPr="00F52884" w14:paraId="263DED65" w14:textId="77777777" w:rsidTr="00110B78">
        <w:trPr>
          <w:gridAfter w:val="1"/>
          <w:wAfter w:w="360" w:type="dxa"/>
          <w:trHeight w:val="36"/>
          <w:jc w:val="center"/>
        </w:trPr>
        <w:tc>
          <w:tcPr>
            <w:tcW w:w="2430" w:type="dxa"/>
            <w:tcBorders>
              <w:top w:val="single" w:sz="4" w:space="0" w:color="C0C0C0"/>
              <w:left w:val="nil"/>
              <w:bottom w:val="single" w:sz="4" w:space="0" w:color="C0C0C0"/>
              <w:right w:val="single" w:sz="4" w:space="0" w:color="FFFFFF"/>
            </w:tcBorders>
            <w:vAlign w:val="center"/>
          </w:tcPr>
          <w:p w14:paraId="0084A8CF" w14:textId="77777777" w:rsidR="00B8348C" w:rsidRPr="00F52884" w:rsidRDefault="00B8348C" w:rsidP="000C25A3">
            <w:pPr>
              <w:spacing w:before="60" w:after="60"/>
              <w:ind w:left="4"/>
              <w:rPr>
                <w:rFonts w:cstheme="minorHAnsi"/>
                <w:szCs w:val="23"/>
              </w:rPr>
            </w:pPr>
            <w:r w:rsidRPr="00F52884">
              <w:rPr>
                <w:rFonts w:cstheme="minorHAnsi"/>
                <w:b/>
                <w:bCs/>
                <w:szCs w:val="23"/>
                <w:lang w:val="fr-CA"/>
              </w:rPr>
              <w:t xml:space="preserve">Classification de l’industrie : </w:t>
            </w:r>
          </w:p>
        </w:tc>
        <w:tc>
          <w:tcPr>
            <w:tcW w:w="7471" w:type="dxa"/>
            <w:tcBorders>
              <w:top w:val="single" w:sz="4" w:space="0" w:color="C0C0C0"/>
              <w:left w:val="nil"/>
              <w:bottom w:val="single" w:sz="4" w:space="0" w:color="C0C0C0"/>
              <w:right w:val="single" w:sz="4" w:space="0" w:color="FFFFFF"/>
            </w:tcBorders>
            <w:vAlign w:val="center"/>
          </w:tcPr>
          <w:p w14:paraId="7C4CB80E" w14:textId="77777777" w:rsidR="00B8348C" w:rsidRPr="00F52884" w:rsidRDefault="00B8348C" w:rsidP="000C25A3">
            <w:pPr>
              <w:spacing w:before="60" w:after="60"/>
              <w:ind w:left="4"/>
              <w:rPr>
                <w:rFonts w:cstheme="minorHAnsi"/>
                <w:szCs w:val="23"/>
              </w:rPr>
            </w:pPr>
            <w:r w:rsidRPr="00F52884">
              <w:rPr>
                <w:rFonts w:cstheme="minorHAnsi"/>
                <w:szCs w:val="23"/>
                <w:lang w:val="fr-CA"/>
              </w:rPr>
              <w:t>CPC 03</w:t>
            </w:r>
          </w:p>
        </w:tc>
      </w:tr>
      <w:tr w:rsidR="00B8348C" w:rsidRPr="00D315AF" w14:paraId="6B04948D" w14:textId="77777777" w:rsidTr="00110B78">
        <w:trPr>
          <w:trHeight w:val="36"/>
          <w:jc w:val="center"/>
        </w:trPr>
        <w:tc>
          <w:tcPr>
            <w:tcW w:w="2430" w:type="dxa"/>
            <w:tcBorders>
              <w:top w:val="single" w:sz="4" w:space="0" w:color="C0C0C0"/>
              <w:left w:val="nil"/>
              <w:bottom w:val="single" w:sz="4" w:space="0" w:color="C0C0C0"/>
              <w:right w:val="single" w:sz="4" w:space="0" w:color="FFFFFF"/>
            </w:tcBorders>
          </w:tcPr>
          <w:p w14:paraId="30C907E5" w14:textId="154CFA0F"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31" w:type="dxa"/>
            <w:gridSpan w:val="2"/>
            <w:tcBorders>
              <w:top w:val="single" w:sz="4" w:space="0" w:color="C0C0C0"/>
              <w:left w:val="single" w:sz="4" w:space="0" w:color="FFFFFF"/>
              <w:bottom w:val="single" w:sz="4" w:space="0" w:color="C0C0C0"/>
              <w:right w:val="single" w:sz="4" w:space="0" w:color="C0C0C0"/>
            </w:tcBorders>
          </w:tcPr>
          <w:p w14:paraId="2B40AB9E" w14:textId="3CCB9B6A"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(applicable seulement au paragraphe 1 de la description), article 312 (Accès aux marchés – Investissement), article 313 (Prescriptions de résultats)</w:t>
            </w:r>
          </w:p>
        </w:tc>
      </w:tr>
      <w:tr w:rsidR="00B8348C" w:rsidRPr="00F52884" w14:paraId="5ACF7DB8" w14:textId="77777777" w:rsidTr="00110B78">
        <w:trPr>
          <w:trHeight w:val="36"/>
          <w:jc w:val="center"/>
        </w:trPr>
        <w:tc>
          <w:tcPr>
            <w:tcW w:w="10261"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C3E25B"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3C68DA33" w14:textId="77777777" w:rsidTr="00110B78">
        <w:trPr>
          <w:trHeight w:val="239"/>
          <w:jc w:val="center"/>
        </w:trPr>
        <w:tc>
          <w:tcPr>
            <w:tcW w:w="10261" w:type="dxa"/>
            <w:gridSpan w:val="3"/>
            <w:tcBorders>
              <w:top w:val="single" w:sz="4" w:space="0" w:color="C0C0C0"/>
              <w:left w:val="single" w:sz="4" w:space="0" w:color="C0C0C0"/>
              <w:bottom w:val="single" w:sz="4" w:space="0" w:color="C0C0C0"/>
              <w:right w:val="single" w:sz="4" w:space="0" w:color="C0C0C0"/>
            </w:tcBorders>
          </w:tcPr>
          <w:p w14:paraId="6516F2AE" w14:textId="6A160DD1" w:rsidR="00B8348C" w:rsidRPr="00F52884" w:rsidRDefault="00B8348C" w:rsidP="000C25A3">
            <w:pPr>
              <w:spacing w:before="60" w:after="60"/>
              <w:rPr>
                <w:rFonts w:cstheme="minorHAnsi"/>
                <w:szCs w:val="23"/>
              </w:rPr>
            </w:pPr>
            <w:r w:rsidRPr="00F52884">
              <w:rPr>
                <w:rFonts w:cstheme="minorHAnsi"/>
                <w:i/>
                <w:iCs/>
                <w:szCs w:val="23"/>
              </w:rPr>
              <w:lastRenderedPageBreak/>
              <w:t xml:space="preserve">Forest Act, </w:t>
            </w:r>
            <w:r w:rsidRPr="00F52884">
              <w:rPr>
                <w:rFonts w:cstheme="minorHAnsi"/>
                <w:szCs w:val="23"/>
              </w:rPr>
              <w:t>RSBC 1996, c 157</w:t>
            </w:r>
          </w:p>
        </w:tc>
      </w:tr>
      <w:tr w:rsidR="00B8348C" w:rsidRPr="00F52884" w14:paraId="762A5E7C" w14:textId="77777777" w:rsidTr="00110B78">
        <w:trPr>
          <w:trHeight w:val="43"/>
          <w:jc w:val="center"/>
        </w:trPr>
        <w:tc>
          <w:tcPr>
            <w:tcW w:w="10261"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D8799F7"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0712F0BD" w14:textId="77777777" w:rsidTr="00110B78">
        <w:trPr>
          <w:trHeight w:val="1754"/>
          <w:jc w:val="center"/>
        </w:trPr>
        <w:tc>
          <w:tcPr>
            <w:tcW w:w="10261" w:type="dxa"/>
            <w:gridSpan w:val="3"/>
            <w:tcBorders>
              <w:top w:val="single" w:sz="4" w:space="0" w:color="C0C0C0"/>
              <w:left w:val="single" w:sz="4" w:space="0" w:color="C0C0C0"/>
              <w:bottom w:val="single" w:sz="4" w:space="0" w:color="C0C0C0"/>
              <w:right w:val="single" w:sz="4" w:space="0" w:color="C0C0C0"/>
            </w:tcBorders>
          </w:tcPr>
          <w:p w14:paraId="5277BF5F" w14:textId="77777777" w:rsidR="00B8348C" w:rsidRPr="00F52884" w:rsidRDefault="00B8348C" w:rsidP="00B8348C">
            <w:pPr>
              <w:pStyle w:val="NormalWeb"/>
              <w:numPr>
                <w:ilvl w:val="0"/>
                <w:numId w:val="133"/>
              </w:numPr>
              <w:spacing w:before="120" w:beforeAutospacing="0" w:after="120" w:afterAutospacing="0"/>
              <w:ind w:left="366"/>
              <w:rPr>
                <w:rFonts w:asciiTheme="minorHAnsi" w:hAnsiTheme="minorHAnsi" w:cstheme="minorHAnsi"/>
                <w:szCs w:val="23"/>
                <w:lang w:val="fr-FR"/>
              </w:rPr>
            </w:pPr>
            <w:r w:rsidRPr="00F52884">
              <w:rPr>
                <w:rFonts w:asciiTheme="minorHAnsi" w:hAnsiTheme="minorHAnsi" w:cstheme="minorHAnsi"/>
                <w:szCs w:val="23"/>
                <w:lang w:val="fr-CA"/>
              </w:rPr>
              <w:t>Les permis de récupération de bois par les collectivités ne sont octroyés qu’à certains groupes, en particulier des sociétés et des coopératives, et visent, par exemple :</w:t>
            </w:r>
          </w:p>
          <w:p w14:paraId="56F570F5" w14:textId="77777777" w:rsidR="00B8348C" w:rsidRPr="00F52884" w:rsidRDefault="00B8348C" w:rsidP="00B8348C">
            <w:pPr>
              <w:pStyle w:val="NormalWeb"/>
              <w:numPr>
                <w:ilvl w:val="0"/>
                <w:numId w:val="197"/>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à</w:t>
            </w:r>
            <w:proofErr w:type="gramEnd"/>
            <w:r w:rsidRPr="00F52884">
              <w:rPr>
                <w:rFonts w:asciiTheme="minorHAnsi" w:hAnsiTheme="minorHAnsi" w:cstheme="minorHAnsi"/>
                <w:szCs w:val="23"/>
                <w:lang w:val="fr-CA"/>
              </w:rPr>
              <w:t xml:space="preserve"> procurer des avantages socio-économiques à la Colombie-Britannique, notamment en contribuant aux recettes publiques;</w:t>
            </w:r>
          </w:p>
          <w:p w14:paraId="20FB51DB" w14:textId="77777777" w:rsidR="00B8348C" w:rsidRPr="00F52884" w:rsidRDefault="00B8348C" w:rsidP="00B8348C">
            <w:pPr>
              <w:pStyle w:val="NormalWeb"/>
              <w:numPr>
                <w:ilvl w:val="0"/>
                <w:numId w:val="197"/>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à</w:t>
            </w:r>
            <w:proofErr w:type="gramEnd"/>
            <w:r w:rsidRPr="00F52884">
              <w:rPr>
                <w:rFonts w:asciiTheme="minorHAnsi" w:hAnsiTheme="minorHAnsi" w:cstheme="minorHAnsi"/>
                <w:szCs w:val="23"/>
                <w:lang w:val="fr-CA"/>
              </w:rPr>
              <w:t xml:space="preserve"> permettre la réalisation de divers objectifs communautaires, dont l’emploi et d’autres avantages sociaux, environnementaux et économiques;</w:t>
            </w:r>
          </w:p>
          <w:p w14:paraId="647FF2C8" w14:textId="77777777" w:rsidR="00B8348C" w:rsidRPr="00F52884" w:rsidRDefault="00B8348C" w:rsidP="00B8348C">
            <w:pPr>
              <w:pStyle w:val="NormalWeb"/>
              <w:numPr>
                <w:ilvl w:val="0"/>
                <w:numId w:val="197"/>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à</w:t>
            </w:r>
            <w:proofErr w:type="gramEnd"/>
            <w:r w:rsidRPr="00F52884">
              <w:rPr>
                <w:rFonts w:asciiTheme="minorHAnsi" w:hAnsiTheme="minorHAnsi" w:cstheme="minorHAnsi"/>
                <w:szCs w:val="23"/>
                <w:lang w:val="fr-CA"/>
              </w:rPr>
              <w:t xml:space="preserve"> encourager la collaboration au sein de la collectivité et entre les intervenants;</w:t>
            </w:r>
          </w:p>
          <w:p w14:paraId="1B91D3A7" w14:textId="77777777" w:rsidR="00B8348C" w:rsidRPr="00F52884" w:rsidRDefault="00B8348C" w:rsidP="00B8348C">
            <w:pPr>
              <w:pStyle w:val="NormalWeb"/>
              <w:numPr>
                <w:ilvl w:val="0"/>
                <w:numId w:val="197"/>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à</w:t>
            </w:r>
            <w:proofErr w:type="gramEnd"/>
            <w:r w:rsidRPr="00F52884">
              <w:rPr>
                <w:rFonts w:asciiTheme="minorHAnsi" w:hAnsiTheme="minorHAnsi" w:cstheme="minorHAnsi"/>
                <w:szCs w:val="23"/>
                <w:lang w:val="fr-CA"/>
              </w:rPr>
              <w:t xml:space="preserve"> permettre l’utilisation du bois admissible; </w:t>
            </w:r>
          </w:p>
          <w:p w14:paraId="44715DD9" w14:textId="77777777" w:rsidR="00B8348C" w:rsidRPr="00F52884" w:rsidRDefault="00B8348C" w:rsidP="00B8348C">
            <w:pPr>
              <w:pStyle w:val="NormalWeb"/>
              <w:numPr>
                <w:ilvl w:val="0"/>
                <w:numId w:val="197"/>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d’autres</w:t>
            </w:r>
            <w:proofErr w:type="gramEnd"/>
            <w:r w:rsidRPr="00F52884">
              <w:rPr>
                <w:rFonts w:asciiTheme="minorHAnsi" w:hAnsiTheme="minorHAnsi" w:cstheme="minorHAnsi"/>
                <w:szCs w:val="23"/>
                <w:lang w:val="fr-CA"/>
              </w:rPr>
              <w:t xml:space="preserve"> facteurs que le ministre, ou une personne autorisée par le ministre, précise dans l’invitation ou l’annonce. </w:t>
            </w:r>
          </w:p>
          <w:p w14:paraId="4C2A1FCE" w14:textId="6B1D02BC" w:rsidR="00B8348C" w:rsidRPr="00F52884" w:rsidRDefault="00B8348C" w:rsidP="00B8348C">
            <w:pPr>
              <w:pStyle w:val="NormalWeb"/>
              <w:numPr>
                <w:ilvl w:val="0"/>
                <w:numId w:val="133"/>
              </w:numPr>
              <w:spacing w:before="120" w:beforeAutospacing="0" w:after="120" w:afterAutospacing="0"/>
              <w:ind w:left="366"/>
              <w:rPr>
                <w:rFonts w:asciiTheme="minorHAnsi" w:hAnsiTheme="minorHAnsi" w:cstheme="minorHAnsi"/>
                <w:szCs w:val="23"/>
                <w:lang w:val="fr-FR"/>
              </w:rPr>
            </w:pPr>
            <w:r w:rsidRPr="00F52884">
              <w:rPr>
                <w:rFonts w:asciiTheme="minorHAnsi" w:hAnsiTheme="minorHAnsi" w:cstheme="minorHAnsi"/>
                <w:szCs w:val="23"/>
                <w:lang w:val="fr-CA"/>
              </w:rPr>
              <w:t>Seul un nombre limité de permis restreints d’exploitation forestière est accordé. La délivrance de tels permis peut faire l’objet de prescriptions de résultats, dont la prescription de détenir ou de louer des installations de transformation dans la Colombie-Britannique.</w:t>
            </w:r>
          </w:p>
        </w:tc>
      </w:tr>
    </w:tbl>
    <w:p w14:paraId="7CAA4066" w14:textId="77777777" w:rsidR="00B8348C" w:rsidRPr="00F52884" w:rsidRDefault="00B8348C" w:rsidP="000C25A3">
      <w:pPr>
        <w:rPr>
          <w:rFonts w:cstheme="minorHAnsi"/>
          <w:szCs w:val="23"/>
          <w:lang w:val="fr-FR"/>
        </w:rPr>
      </w:pPr>
    </w:p>
    <w:p w14:paraId="2A757CAC" w14:textId="77777777" w:rsidR="00B8348C" w:rsidRPr="00F52884" w:rsidRDefault="00B8348C" w:rsidP="000C25A3">
      <w:pPr>
        <w:ind w:left="-360"/>
        <w:rPr>
          <w:rFonts w:cstheme="minorHAnsi"/>
          <w:szCs w:val="23"/>
          <w:lang w:val="fr-FR"/>
        </w:rPr>
      </w:pPr>
    </w:p>
    <w:p w14:paraId="783C9072" w14:textId="7F2C62DC" w:rsidR="00B8348C" w:rsidRPr="00F52884" w:rsidRDefault="00B8348C" w:rsidP="000C25A3">
      <w:pPr>
        <w:spacing w:before="60" w:after="60"/>
        <w:ind w:left="-360"/>
        <w:rPr>
          <w:rFonts w:cstheme="minorHAnsi"/>
          <w:b/>
          <w:szCs w:val="23"/>
        </w:rPr>
      </w:pPr>
      <w:r w:rsidRPr="00F52884">
        <w:rPr>
          <w:rFonts w:cstheme="minorHAnsi"/>
          <w:b/>
          <w:bCs/>
          <w:szCs w:val="23"/>
          <w:lang w:val="fr-CA"/>
        </w:rPr>
        <w:t>5.</w:t>
      </w:r>
      <w:r w:rsidR="00110B78" w:rsidRPr="00F52884">
        <w:rPr>
          <w:rFonts w:cstheme="minorHAnsi"/>
          <w:szCs w:val="23"/>
          <w:lang w:val="fr-CA"/>
        </w:rPr>
        <w:t xml:space="preserve">  </w:t>
      </w:r>
      <w:r w:rsidRPr="00F52884">
        <w:rPr>
          <w:rFonts w:cstheme="minorHAnsi"/>
          <w:b/>
          <w:bCs/>
          <w:szCs w:val="23"/>
          <w:lang w:val="fr-CA"/>
        </w:rPr>
        <w:t>COLOMBIE-BRITANNIQUE</w:t>
      </w:r>
    </w:p>
    <w:tbl>
      <w:tblPr>
        <w:tblW w:w="10339" w:type="dxa"/>
        <w:jc w:val="center"/>
        <w:tblCellMar>
          <w:top w:w="14" w:type="dxa"/>
          <w:left w:w="86" w:type="dxa"/>
          <w:bottom w:w="14" w:type="dxa"/>
          <w:right w:w="86" w:type="dxa"/>
        </w:tblCellMar>
        <w:tblLook w:val="0000" w:firstRow="0" w:lastRow="0" w:firstColumn="0" w:lastColumn="0" w:noHBand="0" w:noVBand="0"/>
      </w:tblPr>
      <w:tblGrid>
        <w:gridCol w:w="2520"/>
        <w:gridCol w:w="7460"/>
        <w:gridCol w:w="359"/>
      </w:tblGrid>
      <w:tr w:rsidR="00B8348C" w:rsidRPr="00F52884" w14:paraId="3787A589" w14:textId="77777777" w:rsidTr="00FA2285">
        <w:trPr>
          <w:trHeight w:val="35"/>
          <w:jc w:val="center"/>
        </w:trPr>
        <w:tc>
          <w:tcPr>
            <w:tcW w:w="2520" w:type="dxa"/>
            <w:tcBorders>
              <w:top w:val="single" w:sz="4" w:space="0" w:color="C0C0C0"/>
              <w:left w:val="nil"/>
              <w:bottom w:val="single" w:sz="4" w:space="0" w:color="C0C0C0"/>
              <w:right w:val="single" w:sz="4" w:space="0" w:color="FFFFFF"/>
            </w:tcBorders>
            <w:vAlign w:val="center"/>
          </w:tcPr>
          <w:p w14:paraId="467E6DEF"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 xml:space="preserve">Secteur : </w:t>
            </w:r>
          </w:p>
        </w:tc>
        <w:tc>
          <w:tcPr>
            <w:tcW w:w="7819" w:type="dxa"/>
            <w:gridSpan w:val="2"/>
            <w:tcBorders>
              <w:top w:val="single" w:sz="4" w:space="0" w:color="C0C0C0"/>
              <w:left w:val="single" w:sz="4" w:space="0" w:color="FFFFFF"/>
              <w:bottom w:val="single" w:sz="4" w:space="0" w:color="C0C0C0"/>
              <w:right w:val="nil"/>
            </w:tcBorders>
            <w:vAlign w:val="center"/>
          </w:tcPr>
          <w:p w14:paraId="7B4C41DD"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D315AF" w14:paraId="70899569" w14:textId="77777777" w:rsidTr="00FA2285">
        <w:trPr>
          <w:trHeight w:val="215"/>
          <w:jc w:val="center"/>
        </w:trPr>
        <w:tc>
          <w:tcPr>
            <w:tcW w:w="2520" w:type="dxa"/>
            <w:tcBorders>
              <w:top w:val="single" w:sz="4" w:space="0" w:color="C0C0C0"/>
              <w:left w:val="nil"/>
              <w:bottom w:val="single" w:sz="4" w:space="0" w:color="C0C0C0"/>
              <w:right w:val="single" w:sz="4" w:space="0" w:color="FFFFFF"/>
            </w:tcBorders>
            <w:vAlign w:val="center"/>
          </w:tcPr>
          <w:p w14:paraId="69E6421F"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819" w:type="dxa"/>
            <w:gridSpan w:val="2"/>
            <w:tcBorders>
              <w:top w:val="single" w:sz="4" w:space="0" w:color="C0C0C0"/>
              <w:left w:val="nil"/>
              <w:bottom w:val="single" w:sz="4" w:space="0" w:color="C0C0C0"/>
              <w:right w:val="single" w:sz="4" w:space="0" w:color="FFFFFF"/>
            </w:tcBorders>
            <w:vAlign w:val="center"/>
          </w:tcPr>
          <w:p w14:paraId="418398CC" w14:textId="77777777" w:rsidR="00B8348C" w:rsidRPr="00F52884" w:rsidRDefault="00B8348C" w:rsidP="000C25A3">
            <w:pPr>
              <w:spacing w:before="60" w:after="60"/>
              <w:rPr>
                <w:rFonts w:cstheme="minorHAnsi"/>
                <w:szCs w:val="23"/>
                <w:lang w:val="fr-FR"/>
              </w:rPr>
            </w:pPr>
            <w:r w:rsidRPr="00F52884">
              <w:rPr>
                <w:rFonts w:cstheme="minorHAnsi"/>
                <w:szCs w:val="23"/>
                <w:lang w:val="fr-CA"/>
              </w:rPr>
              <w:t>Électricité, services annexes à la distribution d’énergie</w:t>
            </w:r>
          </w:p>
        </w:tc>
      </w:tr>
      <w:tr w:rsidR="00B8348C" w:rsidRPr="00F52884" w14:paraId="16678003" w14:textId="77777777" w:rsidTr="00FA2285">
        <w:trPr>
          <w:gridAfter w:val="1"/>
          <w:wAfter w:w="359" w:type="dxa"/>
          <w:trHeight w:val="49"/>
          <w:jc w:val="center"/>
        </w:trPr>
        <w:tc>
          <w:tcPr>
            <w:tcW w:w="2520" w:type="dxa"/>
            <w:tcBorders>
              <w:top w:val="single" w:sz="4" w:space="0" w:color="C0C0C0"/>
              <w:left w:val="nil"/>
              <w:bottom w:val="single" w:sz="4" w:space="0" w:color="C0C0C0"/>
              <w:right w:val="single" w:sz="4" w:space="0" w:color="FFFFFF"/>
            </w:tcBorders>
            <w:vAlign w:val="center"/>
          </w:tcPr>
          <w:p w14:paraId="6935CC09"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60" w:type="dxa"/>
            <w:tcBorders>
              <w:top w:val="single" w:sz="4" w:space="0" w:color="C0C0C0"/>
              <w:left w:val="nil"/>
              <w:bottom w:val="single" w:sz="4" w:space="0" w:color="C0C0C0"/>
              <w:right w:val="single" w:sz="4" w:space="0" w:color="FFFFFF"/>
            </w:tcBorders>
            <w:vAlign w:val="center"/>
          </w:tcPr>
          <w:p w14:paraId="4FE16EE1" w14:textId="77777777" w:rsidR="00B8348C" w:rsidRPr="00F52884" w:rsidRDefault="00B8348C" w:rsidP="000C25A3">
            <w:pPr>
              <w:spacing w:before="60" w:after="60"/>
              <w:rPr>
                <w:rFonts w:cstheme="minorHAnsi"/>
                <w:szCs w:val="23"/>
              </w:rPr>
            </w:pPr>
            <w:r w:rsidRPr="00F52884">
              <w:rPr>
                <w:rFonts w:cstheme="minorHAnsi"/>
                <w:szCs w:val="23"/>
                <w:lang w:val="fr-CA"/>
              </w:rPr>
              <w:t>CPC 171, 887</w:t>
            </w:r>
          </w:p>
        </w:tc>
      </w:tr>
      <w:tr w:rsidR="00B8348C" w:rsidRPr="00D315AF" w14:paraId="09FEDD04" w14:textId="77777777" w:rsidTr="00FA2285">
        <w:trPr>
          <w:trHeight w:val="35"/>
          <w:jc w:val="center"/>
        </w:trPr>
        <w:tc>
          <w:tcPr>
            <w:tcW w:w="2520" w:type="dxa"/>
            <w:tcBorders>
              <w:top w:val="single" w:sz="4" w:space="0" w:color="C0C0C0"/>
              <w:left w:val="nil"/>
              <w:bottom w:val="single" w:sz="4" w:space="0" w:color="C0C0C0"/>
              <w:right w:val="single" w:sz="4" w:space="0" w:color="FFFFFF"/>
            </w:tcBorders>
          </w:tcPr>
          <w:p w14:paraId="1BA6B780" w14:textId="52FED125"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19" w:type="dxa"/>
            <w:gridSpan w:val="2"/>
            <w:tcBorders>
              <w:top w:val="single" w:sz="4" w:space="0" w:color="C0C0C0"/>
              <w:left w:val="single" w:sz="4" w:space="0" w:color="FFFFFF"/>
              <w:bottom w:val="single" w:sz="4" w:space="0" w:color="C0C0C0"/>
              <w:right w:val="single" w:sz="4" w:space="0" w:color="C0C0C0"/>
            </w:tcBorders>
          </w:tcPr>
          <w:p w14:paraId="65DA7D1E" w14:textId="45534618"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301 (Droit d’entrée et de sortie), article 313 (Prescriptions de résultats)</w:t>
            </w:r>
          </w:p>
        </w:tc>
      </w:tr>
      <w:tr w:rsidR="00B8348C" w:rsidRPr="00F52884" w14:paraId="4D04C378" w14:textId="77777777" w:rsidTr="00FA2285">
        <w:trPr>
          <w:trHeight w:val="35"/>
          <w:jc w:val="center"/>
        </w:trPr>
        <w:tc>
          <w:tcPr>
            <w:tcW w:w="10339"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1719243"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276944EC" w14:textId="77777777" w:rsidTr="00FA2285">
        <w:trPr>
          <w:trHeight w:val="238"/>
          <w:jc w:val="center"/>
        </w:trPr>
        <w:tc>
          <w:tcPr>
            <w:tcW w:w="10339" w:type="dxa"/>
            <w:gridSpan w:val="3"/>
            <w:tcBorders>
              <w:top w:val="single" w:sz="4" w:space="0" w:color="C0C0C0"/>
              <w:left w:val="single" w:sz="4" w:space="0" w:color="C0C0C0"/>
              <w:bottom w:val="single" w:sz="4" w:space="0" w:color="C0C0C0"/>
              <w:right w:val="single" w:sz="4" w:space="0" w:color="C0C0C0"/>
            </w:tcBorders>
          </w:tcPr>
          <w:p w14:paraId="4ACBB619" w14:textId="77B09321" w:rsidR="00B8348C" w:rsidRPr="00F52884" w:rsidRDefault="00B8348C" w:rsidP="000C25A3">
            <w:pPr>
              <w:spacing w:before="60" w:after="60"/>
              <w:rPr>
                <w:rFonts w:cstheme="minorHAnsi"/>
                <w:i/>
                <w:szCs w:val="23"/>
              </w:rPr>
            </w:pPr>
            <w:r w:rsidRPr="00F52884">
              <w:rPr>
                <w:rFonts w:cstheme="minorHAnsi"/>
                <w:i/>
                <w:iCs/>
                <w:szCs w:val="23"/>
                <w:lang w:val="en-US"/>
              </w:rPr>
              <w:t>BC Hydro Public Power Legacy and Heritage Contract Act</w:t>
            </w:r>
            <w:r w:rsidRPr="00F52884">
              <w:rPr>
                <w:rFonts w:cstheme="minorHAnsi"/>
                <w:szCs w:val="23"/>
                <w:lang w:val="en-US"/>
              </w:rPr>
              <w:t>,</w:t>
            </w:r>
            <w:r w:rsidRPr="00F52884">
              <w:rPr>
                <w:rFonts w:cstheme="minorHAnsi"/>
                <w:i/>
                <w:iCs/>
                <w:szCs w:val="23"/>
                <w:lang w:val="en-US"/>
              </w:rPr>
              <w:t xml:space="preserve"> </w:t>
            </w:r>
            <w:r w:rsidRPr="00F52884">
              <w:rPr>
                <w:rFonts w:cstheme="minorHAnsi"/>
                <w:szCs w:val="23"/>
                <w:lang w:val="en-US"/>
              </w:rPr>
              <w:t>SBC 2003, c 86</w:t>
            </w:r>
          </w:p>
          <w:p w14:paraId="0415BF51" w14:textId="0E8C2696" w:rsidR="00B8348C" w:rsidRPr="00F52884" w:rsidRDefault="00B8348C" w:rsidP="000C25A3">
            <w:pPr>
              <w:spacing w:before="60" w:after="60"/>
              <w:rPr>
                <w:rFonts w:cstheme="minorHAnsi"/>
                <w:i/>
                <w:szCs w:val="23"/>
              </w:rPr>
            </w:pPr>
            <w:r w:rsidRPr="00F52884">
              <w:rPr>
                <w:rFonts w:cstheme="minorHAnsi"/>
                <w:i/>
                <w:iCs/>
                <w:szCs w:val="23"/>
                <w:lang w:val="en-US"/>
              </w:rPr>
              <w:t>Clean Energy Act</w:t>
            </w:r>
            <w:r w:rsidRPr="00F52884">
              <w:rPr>
                <w:rFonts w:cstheme="minorHAnsi"/>
                <w:szCs w:val="23"/>
                <w:lang w:val="en-US"/>
              </w:rPr>
              <w:t>,</w:t>
            </w:r>
            <w:r w:rsidRPr="00F52884">
              <w:rPr>
                <w:rFonts w:cstheme="minorHAnsi"/>
                <w:i/>
                <w:iCs/>
                <w:szCs w:val="23"/>
                <w:lang w:val="en-US"/>
              </w:rPr>
              <w:t xml:space="preserve"> </w:t>
            </w:r>
            <w:r w:rsidRPr="00F52884">
              <w:rPr>
                <w:rFonts w:cstheme="minorHAnsi"/>
                <w:szCs w:val="23"/>
                <w:lang w:val="en-US"/>
              </w:rPr>
              <w:t>SBC 2010, c 22</w:t>
            </w:r>
          </w:p>
          <w:p w14:paraId="51593EEC" w14:textId="31B0F60D" w:rsidR="00B8348C" w:rsidRPr="00F52884" w:rsidRDefault="00B8348C" w:rsidP="000C25A3">
            <w:pPr>
              <w:spacing w:before="60" w:after="60"/>
              <w:rPr>
                <w:rFonts w:cstheme="minorHAnsi"/>
                <w:i/>
                <w:szCs w:val="23"/>
              </w:rPr>
            </w:pPr>
            <w:r w:rsidRPr="00F52884">
              <w:rPr>
                <w:rFonts w:cstheme="minorHAnsi"/>
                <w:i/>
                <w:iCs/>
                <w:szCs w:val="23"/>
                <w:lang w:val="en-US"/>
              </w:rPr>
              <w:t>Utilities Commission Act</w:t>
            </w:r>
            <w:r w:rsidRPr="00F52884">
              <w:rPr>
                <w:rFonts w:cstheme="minorHAnsi"/>
                <w:szCs w:val="23"/>
                <w:lang w:val="en-US"/>
              </w:rPr>
              <w:t>,</w:t>
            </w:r>
            <w:r w:rsidRPr="00F52884">
              <w:rPr>
                <w:rFonts w:cstheme="minorHAnsi"/>
                <w:i/>
                <w:iCs/>
                <w:szCs w:val="23"/>
                <w:lang w:val="en-US"/>
              </w:rPr>
              <w:t xml:space="preserve"> </w:t>
            </w:r>
            <w:r w:rsidRPr="00F52884">
              <w:rPr>
                <w:rFonts w:cstheme="minorHAnsi"/>
                <w:szCs w:val="23"/>
                <w:lang w:val="en-US"/>
              </w:rPr>
              <w:t>RSBC 1996, c 473</w:t>
            </w:r>
          </w:p>
          <w:p w14:paraId="67CFBBEC" w14:textId="6CDC14FB" w:rsidR="00B8348C" w:rsidRPr="00F52884" w:rsidRDefault="00B8348C" w:rsidP="000C25A3">
            <w:pPr>
              <w:spacing w:before="60" w:after="60"/>
              <w:rPr>
                <w:rFonts w:cstheme="minorHAnsi"/>
                <w:szCs w:val="23"/>
              </w:rPr>
            </w:pPr>
            <w:r w:rsidRPr="00F52884">
              <w:rPr>
                <w:rFonts w:cstheme="minorHAnsi"/>
                <w:i/>
                <w:iCs/>
                <w:szCs w:val="23"/>
                <w:lang w:val="en-US"/>
              </w:rPr>
              <w:t xml:space="preserve">Hydro and Power Authority Act, </w:t>
            </w:r>
            <w:r w:rsidRPr="00F52884">
              <w:rPr>
                <w:rFonts w:cstheme="minorHAnsi"/>
                <w:szCs w:val="23"/>
                <w:lang w:val="en-US"/>
              </w:rPr>
              <w:t>RSBC 1996, c 212</w:t>
            </w:r>
          </w:p>
        </w:tc>
      </w:tr>
      <w:tr w:rsidR="00B8348C" w:rsidRPr="00F52884" w14:paraId="04F0E304" w14:textId="77777777" w:rsidTr="00FA2285">
        <w:trPr>
          <w:trHeight w:val="42"/>
          <w:jc w:val="center"/>
        </w:trPr>
        <w:tc>
          <w:tcPr>
            <w:tcW w:w="10339"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C85D2B3"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5AA23B3B" w14:textId="77777777" w:rsidTr="00FA2285">
        <w:trPr>
          <w:trHeight w:val="2784"/>
          <w:jc w:val="center"/>
        </w:trPr>
        <w:tc>
          <w:tcPr>
            <w:tcW w:w="10339" w:type="dxa"/>
            <w:gridSpan w:val="3"/>
            <w:tcBorders>
              <w:top w:val="single" w:sz="4" w:space="0" w:color="C0C0C0"/>
              <w:left w:val="single" w:sz="4" w:space="0" w:color="C0C0C0"/>
              <w:bottom w:val="single" w:sz="4" w:space="0" w:color="C0C0C0"/>
              <w:right w:val="single" w:sz="4" w:space="0" w:color="C0C0C0"/>
            </w:tcBorders>
          </w:tcPr>
          <w:p w14:paraId="2841B698" w14:textId="77777777" w:rsidR="00B8348C" w:rsidRPr="00F52884" w:rsidRDefault="00B8348C" w:rsidP="000C25A3">
            <w:pPr>
              <w:pStyle w:val="NormalWeb"/>
              <w:spacing w:before="120" w:beforeAutospacing="0" w:after="120" w:afterAutospacing="0"/>
              <w:rPr>
                <w:rFonts w:asciiTheme="minorHAnsi" w:hAnsiTheme="minorHAnsi" w:cstheme="minorHAnsi"/>
                <w:szCs w:val="23"/>
                <w:lang w:val="fr-FR"/>
              </w:rPr>
            </w:pPr>
            <w:r w:rsidRPr="00F52884">
              <w:rPr>
                <w:rFonts w:asciiTheme="minorHAnsi" w:hAnsiTheme="minorHAnsi" w:cstheme="minorHAnsi"/>
                <w:szCs w:val="23"/>
                <w:lang w:val="fr-CA"/>
              </w:rPr>
              <w:lastRenderedPageBreak/>
              <w:t>En Colombie-Britannique, les services publics d’électricité distribuent l’électricité en tant que monopoles réglementés dans la zone où ils assurent le service.</w:t>
            </w:r>
          </w:p>
          <w:p w14:paraId="7C06AA26" w14:textId="77777777" w:rsidR="00B8348C" w:rsidRPr="00F52884" w:rsidRDefault="00B8348C" w:rsidP="000C25A3">
            <w:pPr>
              <w:pStyle w:val="NormalWeb"/>
              <w:spacing w:before="120" w:beforeAutospacing="0" w:after="120" w:afterAutospacing="0"/>
              <w:rPr>
                <w:rFonts w:asciiTheme="minorHAnsi" w:hAnsiTheme="minorHAnsi" w:cstheme="minorHAnsi"/>
                <w:szCs w:val="23"/>
                <w:lang w:val="fr-FR"/>
              </w:rPr>
            </w:pPr>
            <w:r w:rsidRPr="00F52884">
              <w:rPr>
                <w:rFonts w:asciiTheme="minorHAnsi" w:hAnsiTheme="minorHAnsi" w:cstheme="minorHAnsi"/>
                <w:szCs w:val="23"/>
                <w:lang w:val="fr-CA"/>
              </w:rPr>
              <w:t xml:space="preserve">La plupart des centrales et des installations de transport et de distribution d’électricité de la Colombie-Britannique sont la propriété de la société d’État British Columbia Hydro and Power </w:t>
            </w:r>
            <w:proofErr w:type="spellStart"/>
            <w:r w:rsidRPr="00F52884">
              <w:rPr>
                <w:rFonts w:asciiTheme="minorHAnsi" w:hAnsiTheme="minorHAnsi" w:cstheme="minorHAnsi"/>
                <w:szCs w:val="23"/>
                <w:lang w:val="fr-CA"/>
              </w:rPr>
              <w:t>Authority</w:t>
            </w:r>
            <w:proofErr w:type="spellEnd"/>
            <w:r w:rsidRPr="00F52884">
              <w:rPr>
                <w:rFonts w:asciiTheme="minorHAnsi" w:hAnsiTheme="minorHAnsi" w:cstheme="minorHAnsi"/>
                <w:szCs w:val="23"/>
                <w:lang w:val="fr-CA"/>
              </w:rPr>
              <w:t xml:space="preserve"> (« BC Hydro »). BC Hydro reçoit un traitement différentié en vertu de la loi provinciale et, dans certains cas, est exemptée des examens de la British Columbia Utilities Commission. BC Hydro n’est pas autorisée à disposer (en les vendant, par exemple) de ses biens patrimoniaux, quels qu’ils soient, à moins qu’ils ne soient plus utilisés ou utiles.</w:t>
            </w:r>
          </w:p>
          <w:p w14:paraId="26BA7834" w14:textId="77777777" w:rsidR="00B8348C" w:rsidRPr="00F52884" w:rsidRDefault="00B8348C" w:rsidP="000C25A3">
            <w:pPr>
              <w:pStyle w:val="NormalWeb"/>
              <w:spacing w:before="120" w:beforeAutospacing="0" w:after="120" w:afterAutospacing="0"/>
              <w:rPr>
                <w:rFonts w:asciiTheme="minorHAnsi" w:hAnsiTheme="minorHAnsi" w:cstheme="minorHAnsi"/>
                <w:szCs w:val="23"/>
                <w:lang w:val="fr-FR"/>
              </w:rPr>
            </w:pPr>
            <w:r w:rsidRPr="00F52884">
              <w:rPr>
                <w:rFonts w:asciiTheme="minorHAnsi" w:hAnsiTheme="minorHAnsi" w:cstheme="minorHAnsi"/>
                <w:szCs w:val="23"/>
                <w:lang w:val="fr-CA"/>
              </w:rPr>
              <w:t>Sous réserve d’une directive du lieutenant-gouverneur en conseil, le prix de vente de l’électricité dans la Colombie-Britannique est fixé par la British Columbia Utilities Commission.</w:t>
            </w:r>
          </w:p>
        </w:tc>
      </w:tr>
    </w:tbl>
    <w:p w14:paraId="1CC72632" w14:textId="77777777" w:rsidR="00B8348C" w:rsidRPr="00F52884" w:rsidRDefault="00B8348C" w:rsidP="000C25A3">
      <w:pPr>
        <w:ind w:left="-360"/>
        <w:rPr>
          <w:rFonts w:cstheme="minorHAnsi"/>
          <w:szCs w:val="23"/>
          <w:lang w:val="fr-FR"/>
        </w:rPr>
      </w:pPr>
    </w:p>
    <w:p w14:paraId="1F1104E3" w14:textId="77777777" w:rsidR="00B8348C" w:rsidRPr="00F52884" w:rsidRDefault="00B8348C" w:rsidP="000C25A3">
      <w:pPr>
        <w:ind w:left="-360"/>
        <w:rPr>
          <w:rFonts w:cstheme="minorHAnsi"/>
          <w:szCs w:val="23"/>
          <w:lang w:val="fr-FR"/>
        </w:rPr>
      </w:pPr>
    </w:p>
    <w:p w14:paraId="6AF53F32" w14:textId="42ED4889" w:rsidR="00B8348C" w:rsidRPr="00F52884" w:rsidRDefault="00B8348C" w:rsidP="000C25A3">
      <w:pPr>
        <w:spacing w:before="60" w:after="60"/>
        <w:ind w:left="-360"/>
        <w:rPr>
          <w:rFonts w:cstheme="minorHAnsi"/>
          <w:b/>
          <w:szCs w:val="23"/>
        </w:rPr>
      </w:pPr>
      <w:r w:rsidRPr="00F52884">
        <w:rPr>
          <w:rFonts w:cstheme="minorHAnsi"/>
          <w:b/>
          <w:bCs/>
          <w:szCs w:val="23"/>
          <w:lang w:val="fr-CA"/>
        </w:rPr>
        <w:t>6.</w:t>
      </w:r>
      <w:r w:rsidR="00110B78" w:rsidRPr="00F52884">
        <w:rPr>
          <w:rFonts w:cstheme="minorHAnsi"/>
          <w:szCs w:val="23"/>
          <w:lang w:val="fr-CA"/>
        </w:rPr>
        <w:t xml:space="preserve">  </w:t>
      </w:r>
      <w:r w:rsidRPr="00F52884">
        <w:rPr>
          <w:rFonts w:cstheme="minorHAnsi"/>
          <w:b/>
          <w:bCs/>
          <w:szCs w:val="23"/>
          <w:lang w:val="fr-CA"/>
        </w:rPr>
        <w:t>COLOMBIE-BRITANNIQUE</w:t>
      </w:r>
    </w:p>
    <w:tbl>
      <w:tblPr>
        <w:tblW w:w="10368" w:type="dxa"/>
        <w:jc w:val="center"/>
        <w:tblCellMar>
          <w:top w:w="14" w:type="dxa"/>
          <w:left w:w="86" w:type="dxa"/>
          <w:bottom w:w="14" w:type="dxa"/>
          <w:right w:w="86" w:type="dxa"/>
        </w:tblCellMar>
        <w:tblLook w:val="0000" w:firstRow="0" w:lastRow="0" w:firstColumn="0" w:lastColumn="0" w:noHBand="0" w:noVBand="0"/>
      </w:tblPr>
      <w:tblGrid>
        <w:gridCol w:w="2520"/>
        <w:gridCol w:w="7848"/>
      </w:tblGrid>
      <w:tr w:rsidR="00B8348C" w:rsidRPr="00F52884" w14:paraId="4A8DC34A"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5D864CFC"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848" w:type="dxa"/>
            <w:tcBorders>
              <w:top w:val="single" w:sz="4" w:space="0" w:color="C0C0C0"/>
              <w:left w:val="nil"/>
              <w:bottom w:val="single" w:sz="4" w:space="0" w:color="C0C0C0"/>
              <w:right w:val="single" w:sz="4" w:space="0" w:color="FFFFFF"/>
            </w:tcBorders>
            <w:vAlign w:val="center"/>
          </w:tcPr>
          <w:p w14:paraId="04444813"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D315AF" w14:paraId="4822E1D8"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3B89C52D" w14:textId="77777777" w:rsidR="00B8348C" w:rsidRPr="00F52884" w:rsidDel="006D1EBF"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848" w:type="dxa"/>
            <w:tcBorders>
              <w:top w:val="single" w:sz="4" w:space="0" w:color="C0C0C0"/>
              <w:left w:val="nil"/>
              <w:bottom w:val="single" w:sz="4" w:space="0" w:color="C0C0C0"/>
              <w:right w:val="single" w:sz="4" w:space="0" w:color="FFFFFF"/>
            </w:tcBorders>
            <w:vAlign w:val="center"/>
          </w:tcPr>
          <w:p w14:paraId="2F5E1A47" w14:textId="77777777" w:rsidR="00B8348C" w:rsidRPr="00F52884" w:rsidRDefault="00B8348C" w:rsidP="000C25A3">
            <w:pPr>
              <w:spacing w:before="60" w:after="60"/>
              <w:rPr>
                <w:rFonts w:cstheme="minorHAnsi"/>
                <w:szCs w:val="23"/>
                <w:lang w:val="fr-FR"/>
              </w:rPr>
            </w:pPr>
            <w:r w:rsidRPr="00F52884">
              <w:rPr>
                <w:rFonts w:cstheme="minorHAnsi"/>
                <w:szCs w:val="23"/>
                <w:lang w:val="fr-CA"/>
              </w:rPr>
              <w:t>Boissons, commerce de gros de spiritueux, magasins de vin et de bière, services de commerce de détail</w:t>
            </w:r>
          </w:p>
        </w:tc>
      </w:tr>
      <w:tr w:rsidR="00B8348C" w:rsidRPr="00F52884" w14:paraId="45BED488"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D3F0351"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848" w:type="dxa"/>
            <w:tcBorders>
              <w:top w:val="single" w:sz="4" w:space="0" w:color="C0C0C0"/>
              <w:left w:val="nil"/>
              <w:bottom w:val="single" w:sz="4" w:space="0" w:color="C0C0C0"/>
              <w:right w:val="single" w:sz="4" w:space="0" w:color="FFFFFF"/>
            </w:tcBorders>
            <w:vAlign w:val="center"/>
          </w:tcPr>
          <w:p w14:paraId="756F312F" w14:textId="77777777" w:rsidR="00B8348C" w:rsidRPr="00F52884" w:rsidRDefault="00B8348C" w:rsidP="000C25A3">
            <w:pPr>
              <w:spacing w:before="60" w:after="60"/>
              <w:rPr>
                <w:rFonts w:cstheme="minorHAnsi"/>
                <w:szCs w:val="23"/>
              </w:rPr>
            </w:pPr>
            <w:r w:rsidRPr="00F52884">
              <w:rPr>
                <w:rFonts w:cstheme="minorHAnsi"/>
                <w:szCs w:val="23"/>
                <w:lang w:val="fr-CA"/>
              </w:rPr>
              <w:t>CPC 24 (autre que 244), 62112, 62226, 63107</w:t>
            </w:r>
          </w:p>
        </w:tc>
      </w:tr>
      <w:tr w:rsidR="00B8348C" w:rsidRPr="00D315AF" w14:paraId="2BC2ACBE" w14:textId="77777777" w:rsidTr="00FA2285">
        <w:trPr>
          <w:trHeight w:val="42"/>
          <w:jc w:val="center"/>
        </w:trPr>
        <w:tc>
          <w:tcPr>
            <w:tcW w:w="2520" w:type="dxa"/>
            <w:tcBorders>
              <w:top w:val="single" w:sz="4" w:space="0" w:color="C0C0C0"/>
              <w:left w:val="nil"/>
              <w:bottom w:val="single" w:sz="4" w:space="0" w:color="C0C0C0"/>
              <w:right w:val="single" w:sz="4" w:space="0" w:color="FFFFFF"/>
            </w:tcBorders>
          </w:tcPr>
          <w:p w14:paraId="44EC3402" w14:textId="521DCD3B"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48" w:type="dxa"/>
            <w:tcBorders>
              <w:top w:val="single" w:sz="4" w:space="0" w:color="C0C0C0"/>
              <w:left w:val="single" w:sz="4" w:space="0" w:color="FFFFFF"/>
              <w:bottom w:val="single" w:sz="4" w:space="0" w:color="C0C0C0"/>
              <w:right w:val="single" w:sz="4" w:space="0" w:color="C0C0C0"/>
            </w:tcBorders>
          </w:tcPr>
          <w:p w14:paraId="3493F8F5" w14:textId="169615C3"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 xml:space="preserve">Article 201 (Traitement non discriminatoire) (applicable seulement au paragraphe 2 de la description), article 301 (Droit d’entrée et de sortie) </w:t>
            </w:r>
          </w:p>
        </w:tc>
      </w:tr>
      <w:tr w:rsidR="00B8348C" w:rsidRPr="00F52884" w14:paraId="7FC818C7" w14:textId="77777777" w:rsidTr="00FA2285">
        <w:trPr>
          <w:trHeight w:val="42"/>
          <w:jc w:val="center"/>
        </w:trPr>
        <w:tc>
          <w:tcPr>
            <w:tcW w:w="10368"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669B16A"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24267C1C" w14:textId="77777777" w:rsidTr="00FA2285">
        <w:trPr>
          <w:trHeight w:val="273"/>
          <w:jc w:val="center"/>
        </w:trPr>
        <w:tc>
          <w:tcPr>
            <w:tcW w:w="10368" w:type="dxa"/>
            <w:gridSpan w:val="2"/>
            <w:tcBorders>
              <w:top w:val="single" w:sz="4" w:space="0" w:color="C0C0C0"/>
              <w:left w:val="single" w:sz="4" w:space="0" w:color="C0C0C0"/>
              <w:bottom w:val="single" w:sz="4" w:space="0" w:color="C0C0C0"/>
              <w:right w:val="single" w:sz="4" w:space="0" w:color="C0C0C0"/>
            </w:tcBorders>
          </w:tcPr>
          <w:p w14:paraId="3A6B925D" w14:textId="304C172E" w:rsidR="00B8348C" w:rsidRPr="00F52884" w:rsidRDefault="00B8348C" w:rsidP="000C25A3">
            <w:pPr>
              <w:spacing w:before="60" w:after="60"/>
              <w:rPr>
                <w:rFonts w:cstheme="minorHAnsi"/>
                <w:szCs w:val="23"/>
              </w:rPr>
            </w:pPr>
            <w:r w:rsidRPr="00F52884">
              <w:rPr>
                <w:rFonts w:cstheme="minorHAnsi"/>
                <w:i/>
                <w:iCs/>
                <w:szCs w:val="23"/>
                <w:lang w:val="en-US"/>
              </w:rPr>
              <w:t>Liquor Control and Licensing Act</w:t>
            </w:r>
            <w:r w:rsidRPr="00F52884">
              <w:rPr>
                <w:rFonts w:cstheme="minorHAnsi"/>
                <w:szCs w:val="23"/>
                <w:lang w:val="en-US"/>
              </w:rPr>
              <w:t>, SBC 2015, c 19</w:t>
            </w:r>
          </w:p>
          <w:p w14:paraId="4BDACE3B" w14:textId="72220385" w:rsidR="00B8348C" w:rsidRPr="00F52884" w:rsidRDefault="00B8348C" w:rsidP="000C25A3">
            <w:pPr>
              <w:spacing w:before="60" w:after="60"/>
              <w:rPr>
                <w:rFonts w:cstheme="minorHAnsi"/>
                <w:szCs w:val="23"/>
              </w:rPr>
            </w:pPr>
            <w:r w:rsidRPr="00F52884">
              <w:rPr>
                <w:rFonts w:cstheme="minorHAnsi"/>
                <w:i/>
                <w:iCs/>
                <w:szCs w:val="23"/>
                <w:lang w:val="en-US"/>
              </w:rPr>
              <w:t>Liquor Distribution Act</w:t>
            </w:r>
            <w:r w:rsidRPr="00F52884">
              <w:rPr>
                <w:rFonts w:cstheme="minorHAnsi"/>
                <w:szCs w:val="23"/>
                <w:lang w:val="en-US"/>
              </w:rPr>
              <w:t xml:space="preserve">, RSBC 1996, c 268 </w:t>
            </w:r>
          </w:p>
        </w:tc>
      </w:tr>
      <w:tr w:rsidR="00B8348C" w:rsidRPr="00F52884" w14:paraId="4631CF20" w14:textId="77777777" w:rsidTr="00FA2285">
        <w:trPr>
          <w:trHeight w:val="49"/>
          <w:jc w:val="center"/>
        </w:trPr>
        <w:tc>
          <w:tcPr>
            <w:tcW w:w="10368"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3740D5E"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346DA7E7" w14:textId="77777777" w:rsidTr="00FA2285">
        <w:trPr>
          <w:trHeight w:val="44"/>
          <w:jc w:val="center"/>
        </w:trPr>
        <w:tc>
          <w:tcPr>
            <w:tcW w:w="10368" w:type="dxa"/>
            <w:gridSpan w:val="2"/>
            <w:tcBorders>
              <w:top w:val="single" w:sz="4" w:space="0" w:color="C0C0C0"/>
              <w:left w:val="single" w:sz="4" w:space="0" w:color="C0C0C0"/>
              <w:bottom w:val="single" w:sz="4" w:space="0" w:color="C0C0C0"/>
              <w:right w:val="single" w:sz="4" w:space="0" w:color="C0C0C0"/>
            </w:tcBorders>
          </w:tcPr>
          <w:p w14:paraId="7FE3E1C0" w14:textId="1DEDEDEB" w:rsidR="00B8348C" w:rsidRPr="00F52884" w:rsidRDefault="00B8348C" w:rsidP="00B8348C">
            <w:pPr>
              <w:pStyle w:val="NormalWeb"/>
              <w:numPr>
                <w:ilvl w:val="0"/>
                <w:numId w:val="134"/>
              </w:numPr>
              <w:spacing w:before="120" w:beforeAutospacing="0" w:after="120" w:afterAutospacing="0"/>
              <w:ind w:left="366"/>
              <w:rPr>
                <w:rFonts w:asciiTheme="minorHAnsi" w:hAnsiTheme="minorHAnsi" w:cstheme="minorHAnsi"/>
                <w:szCs w:val="23"/>
                <w:lang w:val="fr-FR"/>
              </w:rPr>
            </w:pPr>
            <w:r w:rsidRPr="00F52884">
              <w:rPr>
                <w:rFonts w:asciiTheme="minorHAnsi" w:hAnsiTheme="minorHAnsi" w:cstheme="minorHAnsi"/>
                <w:szCs w:val="23"/>
                <w:lang w:val="fr-CA"/>
              </w:rPr>
              <w:t>Les mesures susmentionnées permettent à la Colombie-Britannique de réglementer et d’autoriser l’importation, l’achat, la production, la distribution, l’</w:t>
            </w:r>
            <w:proofErr w:type="spellStart"/>
            <w:r w:rsidRPr="00F52884">
              <w:rPr>
                <w:rFonts w:asciiTheme="minorHAnsi" w:hAnsiTheme="minorHAnsi" w:cstheme="minorHAnsi"/>
                <w:szCs w:val="23"/>
                <w:lang w:val="fr-CA"/>
              </w:rPr>
              <w:t>approvisonnement</w:t>
            </w:r>
            <w:proofErr w:type="spellEnd"/>
            <w:r w:rsidRPr="00F52884">
              <w:rPr>
                <w:rFonts w:asciiTheme="minorHAnsi" w:hAnsiTheme="minorHAnsi" w:cstheme="minorHAnsi"/>
                <w:szCs w:val="23"/>
                <w:lang w:val="fr-CA"/>
              </w:rPr>
              <w:t>, la commercialisation et la vente de boissons alcoolisées et de réaliser ces activités, y compris par l’intermédiaire de monopoles provinciaux.</w:t>
            </w:r>
          </w:p>
          <w:p w14:paraId="64588EDD" w14:textId="77777777" w:rsidR="00B8348C" w:rsidRPr="00F52884" w:rsidRDefault="00B8348C" w:rsidP="00B8348C">
            <w:pPr>
              <w:pStyle w:val="NormalWeb"/>
              <w:numPr>
                <w:ilvl w:val="0"/>
                <w:numId w:val="134"/>
              </w:numPr>
              <w:spacing w:before="120" w:beforeAutospacing="0" w:after="120" w:afterAutospacing="0"/>
              <w:ind w:left="360"/>
              <w:rPr>
                <w:rFonts w:asciiTheme="minorHAnsi" w:hAnsiTheme="minorHAnsi" w:cstheme="minorHAnsi"/>
                <w:szCs w:val="23"/>
                <w:lang w:val="fr-FR"/>
              </w:rPr>
            </w:pPr>
            <w:r w:rsidRPr="00F52884">
              <w:rPr>
                <w:rFonts w:asciiTheme="minorHAnsi" w:hAnsiTheme="minorHAnsi" w:cstheme="minorHAnsi"/>
                <w:szCs w:val="23"/>
                <w:lang w:val="fr-CA"/>
              </w:rPr>
              <w:t>La Colombie-Britannique peut maintenir des mesures obligeant les points de vente privés de vin (existant le 4 octobre 1987) à privilégier les vins de la Colombie-Britannique, si ces mesures préférentielles ne sont pas plus exigeantes qu’elles ne l’étaient le 4 octobre 1987. La Colombie-Britannique peut maintenir ou adopter une mesure ayant pour effet de permettre à un producteur de boissons alcoolisées de vendre dans ses locaux uniquement les boissons alcoolisées qui y sont produites.</w:t>
            </w:r>
          </w:p>
        </w:tc>
      </w:tr>
    </w:tbl>
    <w:p w14:paraId="6DCF06CE" w14:textId="77777777" w:rsidR="00B8348C" w:rsidRPr="00F52884" w:rsidRDefault="00B8348C" w:rsidP="000C25A3">
      <w:pPr>
        <w:pStyle w:val="Heading3"/>
        <w:rPr>
          <w:rFonts w:asciiTheme="minorHAnsi" w:hAnsiTheme="minorHAnsi" w:cstheme="minorHAnsi"/>
          <w:sz w:val="23"/>
          <w:szCs w:val="23"/>
          <w:lang w:val="fr-FR"/>
        </w:rPr>
      </w:pPr>
    </w:p>
    <w:p w14:paraId="4290AC89" w14:textId="4E66606E" w:rsidR="00181B02" w:rsidRDefault="00181B02" w:rsidP="00181B02">
      <w:pPr>
        <w:ind w:left="-284"/>
        <w:rPr>
          <w:rFonts w:ascii="Arial" w:hAnsi="Arial" w:cs="Arial"/>
          <w:b/>
          <w:bCs/>
          <w:szCs w:val="23"/>
          <w:lang w:val="fr-CA"/>
        </w:rPr>
      </w:pPr>
      <w:r>
        <w:rPr>
          <w:rFonts w:ascii="Arial" w:hAnsi="Arial" w:cs="Arial"/>
          <w:b/>
          <w:bCs/>
          <w:szCs w:val="23"/>
          <w:lang w:val="fr-CA"/>
        </w:rPr>
        <w:t>7.  COLOMBIE-BRITANNIQUE</w:t>
      </w:r>
    </w:p>
    <w:tbl>
      <w:tblPr>
        <w:tblW w:w="10188" w:type="dxa"/>
        <w:jc w:val="center"/>
        <w:tblCellMar>
          <w:top w:w="14" w:type="dxa"/>
          <w:left w:w="86" w:type="dxa"/>
          <w:bottom w:w="14" w:type="dxa"/>
          <w:right w:w="86" w:type="dxa"/>
        </w:tblCellMar>
        <w:tblLook w:val="04A0" w:firstRow="1" w:lastRow="0" w:firstColumn="1" w:lastColumn="0" w:noHBand="0" w:noVBand="1"/>
      </w:tblPr>
      <w:tblGrid>
        <w:gridCol w:w="2340"/>
        <w:gridCol w:w="7848"/>
      </w:tblGrid>
      <w:tr w:rsidR="00181B02" w14:paraId="240B2E02" w14:textId="77777777" w:rsidTr="00181B02">
        <w:trPr>
          <w:trHeight w:val="42"/>
          <w:jc w:val="center"/>
        </w:trPr>
        <w:tc>
          <w:tcPr>
            <w:tcW w:w="2340" w:type="dxa"/>
            <w:tcBorders>
              <w:top w:val="single" w:sz="4" w:space="0" w:color="C0C0C0"/>
              <w:left w:val="nil"/>
              <w:bottom w:val="single" w:sz="4" w:space="0" w:color="C0C0C0"/>
              <w:right w:val="single" w:sz="4" w:space="0" w:color="FFFFFF"/>
            </w:tcBorders>
            <w:vAlign w:val="center"/>
            <w:hideMark/>
          </w:tcPr>
          <w:p w14:paraId="50436698" w14:textId="77777777" w:rsidR="00181B02" w:rsidRDefault="00181B02">
            <w:pPr>
              <w:spacing w:line="256" w:lineRule="auto"/>
              <w:rPr>
                <w:rFonts w:ascii="Arial" w:hAnsi="Arial" w:cs="Arial"/>
                <w:b/>
                <w:szCs w:val="23"/>
              </w:rPr>
            </w:pPr>
            <w:r>
              <w:rPr>
                <w:rFonts w:ascii="Arial" w:hAnsi="Arial" w:cs="Arial"/>
                <w:szCs w:val="23"/>
                <w:lang w:val="fr-CA"/>
              </w:rPr>
              <w:br w:type="page"/>
            </w:r>
            <w:r>
              <w:rPr>
                <w:rFonts w:ascii="Arial" w:hAnsi="Arial" w:cs="Arial"/>
                <w:b/>
                <w:bCs/>
                <w:szCs w:val="23"/>
                <w:lang w:val="fr-CA"/>
              </w:rPr>
              <w:t xml:space="preserve">Secteur : </w:t>
            </w:r>
          </w:p>
        </w:tc>
        <w:tc>
          <w:tcPr>
            <w:tcW w:w="7848" w:type="dxa"/>
            <w:tcBorders>
              <w:top w:val="single" w:sz="4" w:space="0" w:color="C0C0C0"/>
              <w:left w:val="nil"/>
              <w:bottom w:val="single" w:sz="4" w:space="0" w:color="C0C0C0"/>
              <w:right w:val="single" w:sz="4" w:space="0" w:color="FFFFFF"/>
            </w:tcBorders>
            <w:vAlign w:val="center"/>
            <w:hideMark/>
          </w:tcPr>
          <w:p w14:paraId="44C3BBDF" w14:textId="77777777" w:rsidR="00181B02" w:rsidRDefault="00181B02">
            <w:pPr>
              <w:spacing w:line="256" w:lineRule="auto"/>
              <w:rPr>
                <w:rFonts w:ascii="Arial" w:hAnsi="Arial" w:cs="Arial"/>
                <w:szCs w:val="23"/>
              </w:rPr>
            </w:pPr>
            <w:r>
              <w:rPr>
                <w:rFonts w:ascii="Arial" w:hAnsi="Arial" w:cs="Arial"/>
                <w:szCs w:val="23"/>
                <w:lang w:val="fr-CA"/>
              </w:rPr>
              <w:t xml:space="preserve">Énergie </w:t>
            </w:r>
          </w:p>
        </w:tc>
      </w:tr>
      <w:tr w:rsidR="00181B02" w:rsidRPr="00D315AF" w14:paraId="3E551F0B" w14:textId="77777777" w:rsidTr="00181B02">
        <w:trPr>
          <w:trHeight w:val="246"/>
          <w:jc w:val="center"/>
        </w:trPr>
        <w:tc>
          <w:tcPr>
            <w:tcW w:w="2340" w:type="dxa"/>
            <w:tcBorders>
              <w:top w:val="single" w:sz="4" w:space="0" w:color="C0C0C0"/>
              <w:left w:val="nil"/>
              <w:bottom w:val="single" w:sz="4" w:space="0" w:color="C0C0C0"/>
              <w:right w:val="single" w:sz="4" w:space="0" w:color="FFFFFF"/>
            </w:tcBorders>
            <w:vAlign w:val="center"/>
            <w:hideMark/>
          </w:tcPr>
          <w:p w14:paraId="5BF0CDF4" w14:textId="77777777" w:rsidR="00181B02" w:rsidRDefault="00181B02">
            <w:pPr>
              <w:spacing w:line="256" w:lineRule="auto"/>
              <w:rPr>
                <w:rFonts w:ascii="Arial" w:hAnsi="Arial" w:cs="Arial"/>
                <w:b/>
                <w:szCs w:val="23"/>
              </w:rPr>
            </w:pPr>
            <w:r>
              <w:rPr>
                <w:rFonts w:ascii="Arial" w:hAnsi="Arial" w:cs="Arial"/>
                <w:b/>
                <w:bCs/>
                <w:szCs w:val="23"/>
                <w:lang w:val="fr-CA"/>
              </w:rPr>
              <w:t xml:space="preserve">Sous-secteur : </w:t>
            </w:r>
          </w:p>
        </w:tc>
        <w:tc>
          <w:tcPr>
            <w:tcW w:w="7848" w:type="dxa"/>
            <w:tcBorders>
              <w:top w:val="single" w:sz="4" w:space="0" w:color="C0C0C0"/>
              <w:left w:val="nil"/>
              <w:bottom w:val="single" w:sz="4" w:space="0" w:color="C0C0C0"/>
              <w:right w:val="single" w:sz="4" w:space="0" w:color="FFFFFF"/>
            </w:tcBorders>
            <w:vAlign w:val="center"/>
            <w:hideMark/>
          </w:tcPr>
          <w:p w14:paraId="4019F191" w14:textId="77777777" w:rsidR="00181B02" w:rsidRDefault="00181B02">
            <w:pPr>
              <w:spacing w:line="256" w:lineRule="auto"/>
              <w:rPr>
                <w:rFonts w:ascii="Arial" w:hAnsi="Arial" w:cs="Arial"/>
                <w:szCs w:val="23"/>
                <w:lang w:val="fr-CA"/>
              </w:rPr>
            </w:pPr>
            <w:r>
              <w:rPr>
                <w:rFonts w:ascii="Arial" w:hAnsi="Arial" w:cs="Arial"/>
                <w:szCs w:val="23"/>
                <w:lang w:val="fr-CA"/>
              </w:rPr>
              <w:t xml:space="preserve">Services annexes à la distribution d’énergie </w:t>
            </w:r>
          </w:p>
        </w:tc>
      </w:tr>
      <w:tr w:rsidR="00181B02" w14:paraId="72FBAC7C" w14:textId="77777777" w:rsidTr="00181B02">
        <w:trPr>
          <w:trHeight w:val="42"/>
          <w:jc w:val="center"/>
        </w:trPr>
        <w:tc>
          <w:tcPr>
            <w:tcW w:w="2340" w:type="dxa"/>
            <w:tcBorders>
              <w:top w:val="single" w:sz="4" w:space="0" w:color="C0C0C0"/>
              <w:left w:val="nil"/>
              <w:bottom w:val="single" w:sz="4" w:space="0" w:color="C0C0C0"/>
              <w:right w:val="single" w:sz="4" w:space="0" w:color="FFFFFF"/>
            </w:tcBorders>
            <w:vAlign w:val="center"/>
            <w:hideMark/>
          </w:tcPr>
          <w:p w14:paraId="6294BAE4" w14:textId="77777777" w:rsidR="00181B02" w:rsidRDefault="00181B02">
            <w:pPr>
              <w:spacing w:line="256" w:lineRule="auto"/>
              <w:rPr>
                <w:rFonts w:ascii="Arial" w:hAnsi="Arial" w:cs="Arial"/>
                <w:b/>
                <w:szCs w:val="23"/>
                <w:lang w:val="en-US"/>
              </w:rPr>
            </w:pPr>
            <w:r>
              <w:rPr>
                <w:rFonts w:ascii="Arial" w:hAnsi="Arial" w:cs="Arial"/>
                <w:b/>
                <w:bCs/>
                <w:szCs w:val="23"/>
                <w:lang w:val="fr-CA"/>
              </w:rPr>
              <w:lastRenderedPageBreak/>
              <w:t xml:space="preserve">Classification de l’industrie : </w:t>
            </w:r>
          </w:p>
        </w:tc>
        <w:tc>
          <w:tcPr>
            <w:tcW w:w="7848" w:type="dxa"/>
            <w:tcBorders>
              <w:top w:val="single" w:sz="4" w:space="0" w:color="C0C0C0"/>
              <w:left w:val="nil"/>
              <w:bottom w:val="single" w:sz="4" w:space="0" w:color="C0C0C0"/>
              <w:right w:val="single" w:sz="4" w:space="0" w:color="FFFFFF"/>
            </w:tcBorders>
            <w:vAlign w:val="center"/>
            <w:hideMark/>
          </w:tcPr>
          <w:p w14:paraId="7ED2AB1E" w14:textId="77777777" w:rsidR="00181B02" w:rsidRDefault="00181B02">
            <w:pPr>
              <w:spacing w:line="256" w:lineRule="auto"/>
              <w:rPr>
                <w:rFonts w:ascii="Arial" w:hAnsi="Arial" w:cs="Arial"/>
                <w:szCs w:val="23"/>
              </w:rPr>
            </w:pPr>
            <w:r>
              <w:rPr>
                <w:rFonts w:ascii="Arial" w:hAnsi="Arial" w:cs="Arial"/>
                <w:szCs w:val="23"/>
                <w:lang w:val="fr-CA"/>
              </w:rPr>
              <w:t>CPC 887</w:t>
            </w:r>
          </w:p>
        </w:tc>
      </w:tr>
      <w:tr w:rsidR="00181B02" w:rsidRPr="00D315AF" w14:paraId="178F12CE" w14:textId="77777777" w:rsidTr="00181B02">
        <w:trPr>
          <w:trHeight w:val="42"/>
          <w:jc w:val="center"/>
        </w:trPr>
        <w:tc>
          <w:tcPr>
            <w:tcW w:w="2340" w:type="dxa"/>
            <w:tcBorders>
              <w:top w:val="single" w:sz="4" w:space="0" w:color="C0C0C0"/>
              <w:left w:val="nil"/>
              <w:bottom w:val="single" w:sz="4" w:space="0" w:color="C0C0C0"/>
              <w:right w:val="single" w:sz="4" w:space="0" w:color="FFFFFF"/>
            </w:tcBorders>
            <w:hideMark/>
          </w:tcPr>
          <w:p w14:paraId="3C15045D" w14:textId="77777777" w:rsidR="00181B02" w:rsidRDefault="00181B02">
            <w:pPr>
              <w:spacing w:line="256" w:lineRule="auto"/>
              <w:rPr>
                <w:rFonts w:ascii="Arial" w:hAnsi="Arial" w:cs="Arial"/>
                <w:b/>
                <w:szCs w:val="23"/>
              </w:rPr>
            </w:pPr>
            <w:r>
              <w:rPr>
                <w:rFonts w:ascii="Arial" w:hAnsi="Arial" w:cs="Arial"/>
                <w:b/>
                <w:bCs/>
                <w:szCs w:val="23"/>
                <w:lang w:val="fr-CA"/>
              </w:rPr>
              <w:t>Type d’exception :</w:t>
            </w:r>
          </w:p>
        </w:tc>
        <w:tc>
          <w:tcPr>
            <w:tcW w:w="7848" w:type="dxa"/>
            <w:tcBorders>
              <w:top w:val="single" w:sz="4" w:space="0" w:color="C0C0C0"/>
              <w:left w:val="single" w:sz="4" w:space="0" w:color="FFFFFF"/>
              <w:bottom w:val="single" w:sz="4" w:space="0" w:color="C0C0C0"/>
              <w:right w:val="single" w:sz="4" w:space="0" w:color="C0C0C0"/>
            </w:tcBorders>
            <w:hideMark/>
          </w:tcPr>
          <w:p w14:paraId="0D552C3F" w14:textId="77777777" w:rsidR="00181B02" w:rsidRDefault="00181B02">
            <w:pPr>
              <w:spacing w:line="256" w:lineRule="auto"/>
              <w:rPr>
                <w:rFonts w:ascii="Arial" w:hAnsi="Arial" w:cs="Arial"/>
                <w:szCs w:val="23"/>
                <w:lang w:val="fr-CA"/>
              </w:rPr>
            </w:pPr>
            <w:r>
              <w:rPr>
                <w:rFonts w:ascii="Arial" w:hAnsi="Arial" w:cs="Arial"/>
                <w:szCs w:val="23"/>
                <w:lang w:val="fr-CA"/>
              </w:rPr>
              <w:t xml:space="preserve">Annexe 309 (Fournisseurs de services de transport d’électricité et commerce des services de transport d’électricité) </w:t>
            </w:r>
          </w:p>
        </w:tc>
      </w:tr>
      <w:tr w:rsidR="00181B02" w14:paraId="7EB3C0AE" w14:textId="77777777" w:rsidTr="00181B02">
        <w:trPr>
          <w:trHeight w:val="42"/>
          <w:jc w:val="center"/>
        </w:trPr>
        <w:tc>
          <w:tcPr>
            <w:tcW w:w="10188"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66D118DD" w14:textId="77777777" w:rsidR="00181B02" w:rsidRDefault="00181B02">
            <w:pPr>
              <w:spacing w:line="256" w:lineRule="auto"/>
              <w:rPr>
                <w:rFonts w:ascii="Arial" w:hAnsi="Arial" w:cs="Arial"/>
                <w:b/>
                <w:szCs w:val="23"/>
                <w:lang w:val="en-US"/>
              </w:rPr>
            </w:pPr>
            <w:r>
              <w:rPr>
                <w:rFonts w:ascii="Arial" w:hAnsi="Arial" w:cs="Arial"/>
                <w:b/>
                <w:bCs/>
                <w:szCs w:val="23"/>
                <w:lang w:val="fr-CA"/>
              </w:rPr>
              <w:t xml:space="preserve">Mesures : </w:t>
            </w:r>
          </w:p>
        </w:tc>
      </w:tr>
      <w:tr w:rsidR="00181B02" w14:paraId="349ADFE9" w14:textId="77777777" w:rsidTr="00181B02">
        <w:trPr>
          <w:trHeight w:val="273"/>
          <w:jc w:val="center"/>
        </w:trPr>
        <w:tc>
          <w:tcPr>
            <w:tcW w:w="10188" w:type="dxa"/>
            <w:gridSpan w:val="2"/>
            <w:tcBorders>
              <w:top w:val="single" w:sz="4" w:space="0" w:color="C0C0C0"/>
              <w:left w:val="single" w:sz="4" w:space="0" w:color="C0C0C0"/>
              <w:bottom w:val="single" w:sz="4" w:space="0" w:color="C0C0C0"/>
              <w:right w:val="single" w:sz="4" w:space="0" w:color="C0C0C0"/>
            </w:tcBorders>
            <w:hideMark/>
          </w:tcPr>
          <w:p w14:paraId="50F3D0B7" w14:textId="77777777" w:rsidR="00181B02" w:rsidRDefault="00181B02">
            <w:pPr>
              <w:pStyle w:val="NormalWeb"/>
              <w:spacing w:line="256" w:lineRule="auto"/>
              <w:rPr>
                <w:rFonts w:ascii="Arial" w:eastAsia="Times New Roman" w:hAnsi="Arial" w:cs="Arial"/>
                <w:szCs w:val="23"/>
                <w:lang w:eastAsia="en-US"/>
              </w:rPr>
            </w:pPr>
            <w:r>
              <w:rPr>
                <w:rFonts w:ascii="Arial" w:eastAsia="Times New Roman" w:hAnsi="Arial" w:cs="Arial"/>
                <w:i/>
                <w:iCs/>
                <w:szCs w:val="23"/>
                <w:lang w:val="en-US" w:eastAsia="en-US"/>
              </w:rPr>
              <w:t>Utilities Commission Act</w:t>
            </w:r>
            <w:r>
              <w:rPr>
                <w:rFonts w:ascii="Arial" w:eastAsia="Times New Roman" w:hAnsi="Arial" w:cs="Arial"/>
                <w:szCs w:val="23"/>
                <w:lang w:val="en-US" w:eastAsia="en-US"/>
              </w:rPr>
              <w:t>,</w:t>
            </w:r>
            <w:r>
              <w:rPr>
                <w:rFonts w:ascii="Arial" w:eastAsia="Times New Roman" w:hAnsi="Arial" w:cs="Arial"/>
                <w:i/>
                <w:iCs/>
                <w:szCs w:val="23"/>
                <w:lang w:val="en-US" w:eastAsia="en-US"/>
              </w:rPr>
              <w:t xml:space="preserve"> </w:t>
            </w:r>
            <w:r>
              <w:rPr>
                <w:rFonts w:ascii="Arial" w:eastAsia="Times New Roman" w:hAnsi="Arial" w:cs="Arial"/>
                <w:szCs w:val="23"/>
                <w:lang w:val="en-US" w:eastAsia="en-US"/>
              </w:rPr>
              <w:t xml:space="preserve">RSBC 1996, </w:t>
            </w:r>
            <w:proofErr w:type="spellStart"/>
            <w:r>
              <w:rPr>
                <w:rFonts w:ascii="Arial" w:eastAsia="Times New Roman" w:hAnsi="Arial" w:cs="Arial"/>
                <w:szCs w:val="23"/>
                <w:lang w:val="en-US" w:eastAsia="en-US"/>
              </w:rPr>
              <w:t>ch.</w:t>
            </w:r>
            <w:proofErr w:type="spellEnd"/>
            <w:r>
              <w:rPr>
                <w:rFonts w:ascii="Arial" w:eastAsia="Times New Roman" w:hAnsi="Arial" w:cs="Arial"/>
                <w:szCs w:val="23"/>
                <w:lang w:val="en-US" w:eastAsia="en-US"/>
              </w:rPr>
              <w:t> 473</w:t>
            </w:r>
          </w:p>
        </w:tc>
      </w:tr>
      <w:tr w:rsidR="00181B02" w14:paraId="18044F44" w14:textId="77777777" w:rsidTr="00181B02">
        <w:trPr>
          <w:trHeight w:val="49"/>
          <w:jc w:val="center"/>
        </w:trPr>
        <w:tc>
          <w:tcPr>
            <w:tcW w:w="10188"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348CC8E9" w14:textId="77777777" w:rsidR="00181B02" w:rsidRDefault="00181B02">
            <w:pPr>
              <w:spacing w:line="256" w:lineRule="auto"/>
              <w:rPr>
                <w:rFonts w:ascii="Arial" w:eastAsia="Times New Roman" w:hAnsi="Arial" w:cs="Arial"/>
                <w:b/>
                <w:szCs w:val="23"/>
              </w:rPr>
            </w:pPr>
            <w:r>
              <w:rPr>
                <w:rFonts w:ascii="Arial" w:hAnsi="Arial" w:cs="Arial"/>
                <w:b/>
                <w:bCs/>
                <w:szCs w:val="23"/>
                <w:lang w:val="fr-CA"/>
              </w:rPr>
              <w:t>Description :</w:t>
            </w:r>
          </w:p>
        </w:tc>
      </w:tr>
      <w:tr w:rsidR="00181B02" w:rsidRPr="00D315AF" w14:paraId="52A3F4E0" w14:textId="77777777" w:rsidTr="00181B02">
        <w:trPr>
          <w:trHeight w:val="44"/>
          <w:jc w:val="center"/>
        </w:trPr>
        <w:tc>
          <w:tcPr>
            <w:tcW w:w="10188" w:type="dxa"/>
            <w:gridSpan w:val="2"/>
            <w:tcBorders>
              <w:top w:val="single" w:sz="4" w:space="0" w:color="C0C0C0"/>
              <w:left w:val="single" w:sz="4" w:space="0" w:color="C0C0C0"/>
              <w:bottom w:val="single" w:sz="4" w:space="0" w:color="C0C0C0"/>
              <w:right w:val="single" w:sz="4" w:space="0" w:color="C0C0C0"/>
            </w:tcBorders>
            <w:hideMark/>
          </w:tcPr>
          <w:p w14:paraId="78619527" w14:textId="77777777" w:rsidR="00181B02" w:rsidRDefault="00181B02">
            <w:pPr>
              <w:spacing w:before="120" w:line="256" w:lineRule="auto"/>
              <w:rPr>
                <w:rFonts w:ascii="Arial" w:hAnsi="Arial" w:cs="Arial"/>
                <w:szCs w:val="23"/>
                <w:lang w:val="fr-CA"/>
              </w:rPr>
            </w:pPr>
            <w:r>
              <w:rPr>
                <w:rFonts w:ascii="Arial" w:hAnsi="Arial" w:cs="Arial"/>
                <w:szCs w:val="23"/>
                <w:lang w:val="fr-CA"/>
              </w:rPr>
              <w:t xml:space="preserve">La plupart des centrales et des installations de transport et de distribution d’électricité de la Colombie-Britannique sont la propriété de la société d’État British Columbia Hydro and Power </w:t>
            </w:r>
            <w:proofErr w:type="spellStart"/>
            <w:r>
              <w:rPr>
                <w:rFonts w:ascii="Arial" w:hAnsi="Arial" w:cs="Arial"/>
                <w:szCs w:val="23"/>
                <w:lang w:val="fr-CA"/>
              </w:rPr>
              <w:t>Authority</w:t>
            </w:r>
            <w:proofErr w:type="spellEnd"/>
            <w:r>
              <w:rPr>
                <w:rFonts w:ascii="Arial" w:hAnsi="Arial" w:cs="Arial"/>
                <w:szCs w:val="23"/>
                <w:lang w:val="fr-CA"/>
              </w:rPr>
              <w:t xml:space="preserve"> (« BC Hydro »).  La ligne 71 est une</w:t>
            </w:r>
            <w:r>
              <w:rPr>
                <w:rFonts w:ascii="Arial" w:hAnsi="Arial" w:cs="Arial"/>
                <w:color w:val="000000"/>
                <w:szCs w:val="23"/>
                <w:lang w:val="fr-CA"/>
              </w:rPr>
              <w:t xml:space="preserve"> ligne de transport de 230 kV qui s’étend de la station hydroélectrique </w:t>
            </w:r>
            <w:proofErr w:type="spellStart"/>
            <w:r>
              <w:rPr>
                <w:rFonts w:ascii="Arial" w:hAnsi="Arial" w:cs="Arial"/>
                <w:color w:val="000000"/>
                <w:szCs w:val="23"/>
                <w:lang w:val="fr-CA"/>
              </w:rPr>
              <w:t>Waneta</w:t>
            </w:r>
            <w:proofErr w:type="spellEnd"/>
            <w:r>
              <w:rPr>
                <w:rFonts w:ascii="Arial" w:hAnsi="Arial" w:cs="Arial"/>
                <w:color w:val="000000"/>
                <w:szCs w:val="23"/>
                <w:lang w:val="fr-CA"/>
              </w:rPr>
              <w:t xml:space="preserve"> jusqu’à la sous-station </w:t>
            </w:r>
            <w:proofErr w:type="spellStart"/>
            <w:r>
              <w:rPr>
                <w:rFonts w:ascii="Arial" w:hAnsi="Arial" w:cs="Arial"/>
                <w:color w:val="000000"/>
                <w:szCs w:val="23"/>
                <w:lang w:val="fr-CA"/>
              </w:rPr>
              <w:t>Nelway</w:t>
            </w:r>
            <w:proofErr w:type="spellEnd"/>
            <w:r>
              <w:rPr>
                <w:rFonts w:ascii="Arial" w:hAnsi="Arial" w:cs="Arial"/>
                <w:color w:val="000000"/>
                <w:szCs w:val="23"/>
                <w:lang w:val="fr-CA"/>
              </w:rPr>
              <w:t>, et qui se poursuit jusqu’à la frontière internationale entre la Colombie-Britannique et les États-Unis, où elle se branche au système de transport de la Bonneville Power Administration.</w:t>
            </w:r>
            <w:r>
              <w:rPr>
                <w:rFonts w:ascii="Arial" w:hAnsi="Arial" w:cs="Arial"/>
                <w:szCs w:val="23"/>
                <w:lang w:val="fr-CA"/>
              </w:rPr>
              <w:t xml:space="preserve">  Conformément à un accord commercial existant, Teck </w:t>
            </w:r>
            <w:proofErr w:type="spellStart"/>
            <w:r>
              <w:rPr>
                <w:rFonts w:ascii="Arial" w:hAnsi="Arial" w:cs="Arial"/>
                <w:szCs w:val="23"/>
                <w:lang w:val="fr-CA"/>
              </w:rPr>
              <w:t>Metals</w:t>
            </w:r>
            <w:proofErr w:type="spellEnd"/>
            <w:r>
              <w:rPr>
                <w:rFonts w:ascii="Arial" w:hAnsi="Arial" w:cs="Arial"/>
                <w:szCs w:val="23"/>
                <w:lang w:val="fr-CA"/>
              </w:rPr>
              <w:t xml:space="preserve"> Ltd. </w:t>
            </w:r>
            <w:proofErr w:type="gramStart"/>
            <w:r>
              <w:rPr>
                <w:rFonts w:ascii="Arial" w:hAnsi="Arial" w:cs="Arial"/>
                <w:szCs w:val="23"/>
                <w:lang w:val="fr-CA"/>
              </w:rPr>
              <w:t>cédera</w:t>
            </w:r>
            <w:proofErr w:type="gramEnd"/>
            <w:r>
              <w:rPr>
                <w:rFonts w:ascii="Arial" w:hAnsi="Arial" w:cs="Arial"/>
                <w:szCs w:val="23"/>
                <w:lang w:val="fr-CA"/>
              </w:rPr>
              <w:t xml:space="preserve"> la propriété de la ligne 71 à BC Hydro dans l’avenir, et BC Hydro accorde à Teck </w:t>
            </w:r>
            <w:proofErr w:type="spellStart"/>
            <w:r>
              <w:rPr>
                <w:rFonts w:ascii="Arial" w:hAnsi="Arial" w:cs="Arial"/>
                <w:szCs w:val="23"/>
                <w:lang w:val="fr-CA"/>
              </w:rPr>
              <w:t>Metals</w:t>
            </w:r>
            <w:proofErr w:type="spellEnd"/>
            <w:r>
              <w:rPr>
                <w:rFonts w:ascii="Arial" w:hAnsi="Arial" w:cs="Arial"/>
                <w:szCs w:val="23"/>
                <w:lang w:val="fr-CA"/>
              </w:rPr>
              <w:t xml:space="preserve"> Ltd. </w:t>
            </w:r>
            <w:proofErr w:type="gramStart"/>
            <w:r>
              <w:rPr>
                <w:rFonts w:ascii="Arial" w:hAnsi="Arial" w:cs="Arial"/>
                <w:szCs w:val="23"/>
                <w:lang w:val="fr-CA"/>
              </w:rPr>
              <w:t>un</w:t>
            </w:r>
            <w:proofErr w:type="gramEnd"/>
            <w:r>
              <w:rPr>
                <w:rFonts w:ascii="Arial" w:hAnsi="Arial" w:cs="Arial"/>
                <w:szCs w:val="23"/>
                <w:lang w:val="fr-CA"/>
              </w:rPr>
              <w:t xml:space="preserve"> accès préférentiel à la ligne 71 en vue de son utilisation. </w:t>
            </w:r>
          </w:p>
        </w:tc>
      </w:tr>
    </w:tbl>
    <w:p w14:paraId="4A14AEB1" w14:textId="77777777" w:rsidR="00EA3915" w:rsidRDefault="00EA3915">
      <w:pPr>
        <w:rPr>
          <w:rFonts w:cstheme="minorHAnsi"/>
          <w:szCs w:val="23"/>
          <w:lang w:val="fr-CA"/>
        </w:rPr>
      </w:pPr>
    </w:p>
    <w:p w14:paraId="35F58683" w14:textId="77777777" w:rsidR="00EA3915" w:rsidRDefault="00EA3915">
      <w:pPr>
        <w:rPr>
          <w:rFonts w:cstheme="minorHAnsi"/>
          <w:szCs w:val="23"/>
          <w:lang w:val="fr-CA"/>
        </w:rPr>
      </w:pPr>
    </w:p>
    <w:p w14:paraId="6D8D769D"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8. </w:t>
      </w:r>
      <w:r w:rsidRPr="00EA3915">
        <w:rPr>
          <w:rFonts w:ascii="Arial" w:eastAsia="Times New Roman" w:hAnsi="Arial" w:cs="Arial"/>
          <w:b/>
          <w:bCs/>
          <w:szCs w:val="23"/>
          <w:lang w:val="fr-CA"/>
        </w:rPr>
        <w:t>COLOMBIE-BRITANNIQUE</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37A5CD6D"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670C5474"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5F10CF6A"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22F1F737"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D315AF" w14:paraId="26BDDB2E"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EC69D45"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548C55A1"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EA3915" w:rsidRPr="00EA3915" w14:paraId="0BD17B8B"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5C8E3772"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56F1F20B"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1ADF83D6"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D315AF" w14:paraId="37FDA887"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7E7D2BF4"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230C3324"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2612BD87"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201 (Traitement non discriminatoire) (applicable seulement au paragraphe 2 de la description), article 301 (Droit d’entrée et de sortie)</w:t>
            </w:r>
          </w:p>
        </w:tc>
      </w:tr>
      <w:tr w:rsidR="00EA3915" w:rsidRPr="00EA3915" w14:paraId="72789A7A"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19371DA2"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Mesures</w:t>
            </w:r>
            <w:proofErr w:type="spellEnd"/>
            <w:r w:rsidRPr="00EA3915">
              <w:rPr>
                <w:rFonts w:ascii="Arial" w:eastAsia="Calibri" w:hAnsi="Arial" w:cs="Arial"/>
                <w:b/>
                <w:szCs w:val="24"/>
                <w:lang w:eastAsia="en-CA" w:bidi="en-US"/>
              </w:rPr>
              <w:t xml:space="preserve"> :</w:t>
            </w:r>
            <w:proofErr w:type="gramEnd"/>
            <w:r w:rsidRPr="00EA3915">
              <w:rPr>
                <w:rFonts w:ascii="Arial" w:eastAsia="Calibri" w:hAnsi="Arial" w:cs="Arial"/>
                <w:b/>
                <w:szCs w:val="24"/>
                <w:lang w:eastAsia="en-CA" w:bidi="en-US"/>
              </w:rPr>
              <w:t xml:space="preserve"> </w:t>
            </w:r>
          </w:p>
        </w:tc>
      </w:tr>
      <w:tr w:rsidR="00EA3915" w:rsidRPr="00EA3915" w14:paraId="627D1AC4"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7CB373B"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Cannabis Distribution Act</w:t>
            </w:r>
            <w:r w:rsidRPr="00EA3915">
              <w:rPr>
                <w:rFonts w:ascii="Arial" w:eastAsia="Calibri" w:hAnsi="Arial" w:cs="Arial"/>
                <w:bCs/>
                <w:szCs w:val="24"/>
                <w:lang w:eastAsia="en-CA" w:bidi="en-US"/>
              </w:rPr>
              <w:t xml:space="preserve">, SBC 2018, </w:t>
            </w:r>
            <w:proofErr w:type="spellStart"/>
            <w:r w:rsidRPr="00EA3915">
              <w:rPr>
                <w:rFonts w:ascii="Arial" w:eastAsia="Calibri" w:hAnsi="Arial" w:cs="Arial"/>
                <w:bCs/>
                <w:szCs w:val="24"/>
                <w:lang w:eastAsia="en-CA" w:bidi="en-US"/>
              </w:rPr>
              <w:t>ch.</w:t>
            </w:r>
            <w:proofErr w:type="spellEnd"/>
            <w:r w:rsidRPr="00EA3915">
              <w:rPr>
                <w:rFonts w:ascii="Arial" w:eastAsia="Calibri" w:hAnsi="Arial" w:cs="Arial"/>
                <w:bCs/>
                <w:szCs w:val="24"/>
                <w:lang w:eastAsia="en-CA" w:bidi="en-US"/>
              </w:rPr>
              <w:t> 28</w:t>
            </w:r>
          </w:p>
          <w:p w14:paraId="6A127E1D"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Cannabis Control and Licensing Act</w:t>
            </w:r>
            <w:r w:rsidRPr="00EA3915">
              <w:rPr>
                <w:rFonts w:ascii="Arial" w:eastAsia="Calibri" w:hAnsi="Arial" w:cs="Arial"/>
                <w:bCs/>
                <w:szCs w:val="24"/>
                <w:lang w:eastAsia="en-CA" w:bidi="en-US"/>
              </w:rPr>
              <w:t xml:space="preserve">, SBC 2018, </w:t>
            </w:r>
            <w:proofErr w:type="spellStart"/>
            <w:r w:rsidRPr="00EA3915">
              <w:rPr>
                <w:rFonts w:ascii="Arial" w:eastAsia="Calibri" w:hAnsi="Arial" w:cs="Arial"/>
                <w:bCs/>
                <w:szCs w:val="24"/>
                <w:lang w:eastAsia="en-CA" w:bidi="en-US"/>
              </w:rPr>
              <w:t>ch.</w:t>
            </w:r>
            <w:proofErr w:type="spellEnd"/>
            <w:r w:rsidRPr="00EA3915">
              <w:rPr>
                <w:rFonts w:ascii="Arial" w:eastAsia="Calibri" w:hAnsi="Arial" w:cs="Arial"/>
                <w:bCs/>
                <w:szCs w:val="24"/>
                <w:lang w:eastAsia="en-CA" w:bidi="en-US"/>
              </w:rPr>
              <w:t> 29</w:t>
            </w:r>
          </w:p>
        </w:tc>
      </w:tr>
      <w:tr w:rsidR="00EA3915" w:rsidRPr="00EA3915" w14:paraId="55324C10"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7478B12F"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p>
        </w:tc>
      </w:tr>
      <w:tr w:rsidR="00EA3915" w:rsidRPr="00D315AF" w14:paraId="520E5BEF"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059CE28C"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1. Les mesures susmentionnées permettent à la Colombie-Britannique de réglementer et d’autoriser l’importation, l’exportation, l’achat, la distribution, l’approvisionnement, la commercialisation et la vente de cannabis et de réaliser ces activités, y compris par l’intermédiaire de monopoles provinciaux. </w:t>
            </w:r>
          </w:p>
          <w:p w14:paraId="6EABDB70"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2. Il est interdit aux producteurs fédéraux et aux agents des producteurs fédéraux de détenir des licences de vente au détail.</w:t>
            </w:r>
          </w:p>
        </w:tc>
      </w:tr>
    </w:tbl>
    <w:p w14:paraId="3A450E63" w14:textId="43BC9D90" w:rsidR="00B8348C" w:rsidRPr="00F52884" w:rsidRDefault="00B8348C">
      <w:pPr>
        <w:rPr>
          <w:rFonts w:eastAsia="Times New Roman" w:cstheme="minorHAnsi"/>
          <w:b/>
          <w:bCs/>
          <w:szCs w:val="23"/>
          <w:lang w:val="fr-FR"/>
        </w:rPr>
      </w:pPr>
      <w:r w:rsidRPr="00F52884">
        <w:rPr>
          <w:rFonts w:cstheme="minorHAnsi"/>
          <w:szCs w:val="23"/>
          <w:lang w:val="fr-CA"/>
        </w:rPr>
        <w:br w:type="page"/>
      </w:r>
    </w:p>
    <w:p w14:paraId="0645C80E" w14:textId="77777777" w:rsidR="00B8348C" w:rsidRPr="00F52884" w:rsidRDefault="00B8348C" w:rsidP="00F52884">
      <w:pPr>
        <w:pStyle w:val="Heading3"/>
        <w:jc w:val="center"/>
        <w:rPr>
          <w:rFonts w:asciiTheme="minorHAnsi" w:hAnsiTheme="minorHAnsi" w:cstheme="minorHAnsi"/>
          <w:sz w:val="24"/>
          <w:szCs w:val="24"/>
          <w:lang w:val="fr-FR"/>
        </w:rPr>
      </w:pPr>
      <w:bookmarkStart w:id="286" w:name="_Toc476566341"/>
      <w:bookmarkStart w:id="287" w:name="_Toc156311794"/>
      <w:r w:rsidRPr="00F52884">
        <w:rPr>
          <w:rFonts w:asciiTheme="minorHAnsi" w:hAnsiTheme="minorHAnsi" w:cstheme="minorHAnsi"/>
          <w:sz w:val="24"/>
          <w:szCs w:val="24"/>
          <w:lang w:val="fr-CA"/>
        </w:rPr>
        <w:lastRenderedPageBreak/>
        <w:t>Liste de l’Île-du-Prince-Édouard</w:t>
      </w:r>
      <w:bookmarkEnd w:id="286"/>
      <w:bookmarkEnd w:id="287"/>
    </w:p>
    <w:p w14:paraId="3E187DA1" w14:textId="77777777" w:rsidR="00B8348C" w:rsidRPr="00F52884" w:rsidRDefault="00B8348C" w:rsidP="000C25A3">
      <w:pPr>
        <w:contextualSpacing/>
        <w:jc w:val="center"/>
        <w:outlineLvl w:val="2"/>
        <w:rPr>
          <w:rFonts w:eastAsia="Times New Roman" w:cstheme="minorHAnsi"/>
          <w:b/>
          <w:sz w:val="24"/>
          <w:szCs w:val="24"/>
          <w:lang w:val="fr-FR"/>
        </w:rPr>
      </w:pPr>
    </w:p>
    <w:p w14:paraId="4C985A56"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w:t>
      </w:r>
    </w:p>
    <w:p w14:paraId="0BCE6EB6" w14:textId="77777777" w:rsidR="00B8348C" w:rsidRPr="00F52884" w:rsidRDefault="00B8348C" w:rsidP="000C25A3">
      <w:pPr>
        <w:rPr>
          <w:rFonts w:cstheme="minorHAnsi"/>
          <w:szCs w:val="23"/>
          <w:lang w:val="fr-FR"/>
        </w:rPr>
      </w:pPr>
    </w:p>
    <w:p w14:paraId="0979EAF3" w14:textId="00792C64" w:rsidR="00B8348C" w:rsidRPr="00F52884" w:rsidRDefault="00B8348C" w:rsidP="00110B78">
      <w:pPr>
        <w:spacing w:before="60" w:after="60"/>
        <w:ind w:left="-360"/>
        <w:rPr>
          <w:rFonts w:cstheme="minorHAnsi"/>
          <w:b/>
          <w:caps/>
          <w:szCs w:val="23"/>
          <w:lang w:val="fr-FR"/>
        </w:rPr>
      </w:pPr>
      <w:r w:rsidRPr="00F52884">
        <w:rPr>
          <w:rFonts w:cstheme="minorHAnsi"/>
          <w:b/>
          <w:bCs/>
          <w:caps/>
          <w:szCs w:val="23"/>
          <w:lang w:val="fr-CA"/>
        </w:rPr>
        <w:t xml:space="preserve">1.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252" w:type="dxa"/>
        <w:jc w:val="center"/>
        <w:tblCellMar>
          <w:top w:w="14" w:type="dxa"/>
          <w:left w:w="86" w:type="dxa"/>
          <w:bottom w:w="14" w:type="dxa"/>
          <w:right w:w="86" w:type="dxa"/>
        </w:tblCellMar>
        <w:tblLook w:val="0000" w:firstRow="0" w:lastRow="0" w:firstColumn="0" w:lastColumn="0" w:noHBand="0" w:noVBand="0"/>
      </w:tblPr>
      <w:tblGrid>
        <w:gridCol w:w="2520"/>
        <w:gridCol w:w="7353"/>
        <w:gridCol w:w="379"/>
      </w:tblGrid>
      <w:tr w:rsidR="00B8348C" w:rsidRPr="00F52884" w14:paraId="168A3D00" w14:textId="77777777" w:rsidTr="00110B78">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253733E9"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732" w:type="dxa"/>
            <w:gridSpan w:val="2"/>
            <w:tcBorders>
              <w:top w:val="single" w:sz="4" w:space="0" w:color="C0C0C0"/>
              <w:left w:val="single" w:sz="4" w:space="0" w:color="FFFFFF"/>
              <w:bottom w:val="single" w:sz="4" w:space="0" w:color="C0C0C0"/>
              <w:right w:val="nil"/>
            </w:tcBorders>
            <w:vAlign w:val="center"/>
          </w:tcPr>
          <w:p w14:paraId="51CF3DFF" w14:textId="77777777" w:rsidR="00B8348C" w:rsidRPr="00F52884" w:rsidRDefault="00B8348C" w:rsidP="000C25A3">
            <w:pPr>
              <w:spacing w:before="60" w:after="60"/>
              <w:rPr>
                <w:rFonts w:cstheme="minorHAnsi"/>
                <w:szCs w:val="23"/>
              </w:rPr>
            </w:pPr>
            <w:r w:rsidRPr="00F52884">
              <w:rPr>
                <w:rFonts w:cstheme="minorHAnsi"/>
                <w:szCs w:val="23"/>
                <w:lang w:val="fr-CA"/>
              </w:rPr>
              <w:t>Services fournis aux entreprises</w:t>
            </w:r>
          </w:p>
        </w:tc>
      </w:tr>
      <w:tr w:rsidR="00B8348C" w:rsidRPr="00F52884" w14:paraId="76586483" w14:textId="77777777" w:rsidTr="00110B78">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5052E8EA"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32" w:type="dxa"/>
            <w:gridSpan w:val="2"/>
            <w:tcBorders>
              <w:top w:val="single" w:sz="4" w:space="0" w:color="C0C0C0"/>
              <w:left w:val="single" w:sz="4" w:space="0" w:color="FFFFFF"/>
              <w:bottom w:val="single" w:sz="4" w:space="0" w:color="C0C0C0"/>
              <w:right w:val="nil"/>
            </w:tcBorders>
            <w:vAlign w:val="center"/>
          </w:tcPr>
          <w:p w14:paraId="17BE3087" w14:textId="77777777" w:rsidR="00B8348C" w:rsidRPr="00F52884" w:rsidRDefault="00B8348C" w:rsidP="000C25A3">
            <w:pPr>
              <w:spacing w:before="60" w:after="60"/>
              <w:rPr>
                <w:rFonts w:cstheme="minorHAnsi"/>
                <w:szCs w:val="23"/>
              </w:rPr>
            </w:pPr>
            <w:r w:rsidRPr="00F52884">
              <w:rPr>
                <w:rFonts w:cstheme="minorHAnsi"/>
                <w:szCs w:val="23"/>
                <w:lang w:val="fr-CA"/>
              </w:rPr>
              <w:t>Services d’architecture</w:t>
            </w:r>
          </w:p>
        </w:tc>
      </w:tr>
      <w:tr w:rsidR="00B8348C" w:rsidRPr="00F52884" w14:paraId="5B3CCC29" w14:textId="77777777" w:rsidTr="00110B78">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3814DBA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single" w:sz="4" w:space="0" w:color="FFFFFF"/>
              <w:bottom w:val="single" w:sz="4" w:space="0" w:color="C0C0C0"/>
              <w:right w:val="nil"/>
            </w:tcBorders>
            <w:vAlign w:val="center"/>
          </w:tcPr>
          <w:p w14:paraId="133B0BB5" w14:textId="77777777" w:rsidR="00B8348C" w:rsidRPr="00F52884" w:rsidRDefault="00B8348C" w:rsidP="000C25A3">
            <w:pPr>
              <w:spacing w:before="60" w:after="60"/>
              <w:rPr>
                <w:rFonts w:cstheme="minorHAnsi"/>
                <w:b/>
                <w:szCs w:val="23"/>
              </w:rPr>
            </w:pPr>
            <w:r w:rsidRPr="00F52884">
              <w:rPr>
                <w:rFonts w:cstheme="minorHAnsi"/>
                <w:szCs w:val="23"/>
                <w:lang w:val="fr-CA"/>
              </w:rPr>
              <w:t>CPC 8671</w:t>
            </w:r>
          </w:p>
        </w:tc>
      </w:tr>
      <w:tr w:rsidR="00B8348C" w:rsidRPr="00F52884" w14:paraId="22170E55" w14:textId="77777777" w:rsidTr="00110B78">
        <w:trPr>
          <w:trHeight w:val="42"/>
          <w:jc w:val="center"/>
        </w:trPr>
        <w:tc>
          <w:tcPr>
            <w:tcW w:w="2520" w:type="dxa"/>
            <w:tcBorders>
              <w:top w:val="single" w:sz="4" w:space="0" w:color="C0C0C0"/>
              <w:left w:val="nil"/>
              <w:bottom w:val="single" w:sz="4" w:space="0" w:color="C0C0C0"/>
              <w:right w:val="single" w:sz="4" w:space="0" w:color="FFFFFF"/>
            </w:tcBorders>
          </w:tcPr>
          <w:p w14:paraId="46711D95"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bottom w:val="single" w:sz="4" w:space="0" w:color="C0C0C0"/>
              <w:right w:val="single" w:sz="4" w:space="0" w:color="C0C0C0"/>
            </w:tcBorders>
          </w:tcPr>
          <w:p w14:paraId="7C88AB0D" w14:textId="1660C7BE"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75CF9E12" w14:textId="77777777" w:rsidTr="00110B78">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698D890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D6EC526" w14:textId="77777777" w:rsidTr="00110B78">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8F01D63" w14:textId="2152B2C1" w:rsidR="00B8348C" w:rsidRPr="00B04E29"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 xml:space="preserve">Architects Act, </w:t>
            </w:r>
            <w:r w:rsidRPr="00F52884">
              <w:rPr>
                <w:rFonts w:eastAsia="Times New Roman" w:cstheme="minorHAnsi"/>
                <w:sz w:val="23"/>
                <w:szCs w:val="23"/>
                <w:lang w:val="en-US"/>
              </w:rPr>
              <w:t>RSPEI 1988, c </w:t>
            </w:r>
            <w:r w:rsidRPr="00B04E29">
              <w:rPr>
                <w:rFonts w:eastAsia="Times New Roman" w:cstheme="minorHAnsi"/>
                <w:sz w:val="23"/>
                <w:szCs w:val="23"/>
              </w:rPr>
              <w:t>A-18.1</w:t>
            </w:r>
            <w:r w:rsidRPr="00B04E29">
              <w:rPr>
                <w:rFonts w:eastAsia="Times New Roman" w:cstheme="minorHAnsi"/>
                <w:i/>
                <w:iCs/>
                <w:sz w:val="23"/>
                <w:szCs w:val="23"/>
              </w:rPr>
              <w:t xml:space="preserve"> </w:t>
            </w:r>
          </w:p>
          <w:p w14:paraId="6EA43AC0" w14:textId="304A4874" w:rsidR="00B8348C" w:rsidRPr="00F52884" w:rsidRDefault="00B8348C" w:rsidP="00B8348C">
            <w:pPr>
              <w:pStyle w:val="NoSpacing"/>
              <w:spacing w:before="60" w:after="60"/>
              <w:rPr>
                <w:rFonts w:cstheme="minorHAnsi"/>
                <w:i/>
                <w:sz w:val="23"/>
                <w:szCs w:val="23"/>
                <w:lang w:val="fr-FR"/>
              </w:rPr>
            </w:pPr>
            <w:r w:rsidRPr="00F52884">
              <w:rPr>
                <w:rFonts w:eastAsia="Times New Roman" w:cstheme="minorHAnsi"/>
                <w:i/>
                <w:sz w:val="23"/>
                <w:szCs w:val="23"/>
                <w:lang w:val="fr-CA"/>
              </w:rPr>
              <w:t>Règlements de l’</w:t>
            </w:r>
            <w:proofErr w:type="spellStart"/>
            <w:r w:rsidRPr="00F52884">
              <w:rPr>
                <w:rFonts w:eastAsia="Times New Roman" w:cstheme="minorHAnsi"/>
                <w:i/>
                <w:sz w:val="23"/>
                <w:szCs w:val="23"/>
                <w:lang w:val="fr-CA"/>
              </w:rPr>
              <w:t>Architects</w:t>
            </w:r>
            <w:proofErr w:type="spellEnd"/>
            <w:r w:rsidRPr="00F52884">
              <w:rPr>
                <w:rFonts w:eastAsia="Times New Roman" w:cstheme="minorHAnsi"/>
                <w:i/>
                <w:sz w:val="23"/>
                <w:szCs w:val="23"/>
                <w:lang w:val="fr-CA"/>
              </w:rPr>
              <w:t xml:space="preserve"> Association of Prince Edward Island</w:t>
            </w:r>
          </w:p>
        </w:tc>
      </w:tr>
      <w:tr w:rsidR="00B8348C" w:rsidRPr="00F52884" w14:paraId="1B4D6CE6" w14:textId="77777777" w:rsidTr="00110B78">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0D8DFDC7"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29829F49" w14:textId="77777777" w:rsidTr="00110B78">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457707A" w14:textId="77777777" w:rsidR="00B8348C" w:rsidRPr="00F52884" w:rsidRDefault="00B8348C" w:rsidP="000C25A3">
            <w:pPr>
              <w:spacing w:before="60" w:after="60"/>
              <w:rPr>
                <w:rFonts w:cstheme="minorHAnsi"/>
                <w:szCs w:val="23"/>
                <w:lang w:val="fr-FR"/>
              </w:rPr>
            </w:pPr>
            <w:r w:rsidRPr="00F52884">
              <w:rPr>
                <w:rFonts w:cstheme="minorHAnsi"/>
                <w:szCs w:val="23"/>
                <w:lang w:val="fr-CA"/>
              </w:rPr>
              <w:t xml:space="preserve">Au moins deux tiers des partenaires, des dirigeants ou des directeurs d’une entreprise </w:t>
            </w:r>
            <w:proofErr w:type="gramStart"/>
            <w:r w:rsidRPr="00F52884">
              <w:rPr>
                <w:rFonts w:cstheme="minorHAnsi"/>
                <w:szCs w:val="23"/>
                <w:lang w:val="fr-CA"/>
              </w:rPr>
              <w:t>non résidente</w:t>
            </w:r>
            <w:proofErr w:type="gramEnd"/>
            <w:r w:rsidRPr="00F52884">
              <w:rPr>
                <w:rFonts w:cstheme="minorHAnsi"/>
                <w:szCs w:val="23"/>
                <w:lang w:val="fr-CA"/>
              </w:rPr>
              <w:t xml:space="preserve"> qui demande un certificat autorisant la pratique de l’architecture à l’Île-du-Prince-Édouard doivent être des architectes; et au moins la majorité des actions émises de chaque catégorie d’actions avec droit de vote doivent être la propriété effective d’architectes et être inscrites à leur nom.  </w:t>
            </w:r>
          </w:p>
        </w:tc>
      </w:tr>
    </w:tbl>
    <w:p w14:paraId="13257862" w14:textId="77777777" w:rsidR="00B8348C" w:rsidRPr="00F52884" w:rsidRDefault="00B8348C" w:rsidP="000C25A3">
      <w:pPr>
        <w:rPr>
          <w:rFonts w:cstheme="minorHAnsi"/>
          <w:b/>
          <w:szCs w:val="23"/>
          <w:lang w:val="fr-FR"/>
        </w:rPr>
      </w:pPr>
    </w:p>
    <w:p w14:paraId="1F87F84F" w14:textId="77777777" w:rsidR="00B8348C" w:rsidRPr="00F52884" w:rsidRDefault="00B8348C" w:rsidP="000C25A3">
      <w:pPr>
        <w:rPr>
          <w:rFonts w:cstheme="minorHAnsi"/>
          <w:b/>
          <w:szCs w:val="23"/>
          <w:lang w:val="fr-FR"/>
        </w:rPr>
      </w:pPr>
    </w:p>
    <w:p w14:paraId="3E4DA4B9" w14:textId="4C7F16FE"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2.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6B9E355F"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43B5259F"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17712B7E" w14:textId="77777777" w:rsidR="00B8348C" w:rsidRPr="00F52884" w:rsidRDefault="00B8348C" w:rsidP="000C25A3">
            <w:pPr>
              <w:spacing w:before="60" w:after="60"/>
              <w:rPr>
                <w:rFonts w:cstheme="minorHAnsi"/>
                <w:szCs w:val="23"/>
              </w:rPr>
            </w:pPr>
            <w:r w:rsidRPr="00F52884">
              <w:rPr>
                <w:rFonts w:cstheme="minorHAnsi"/>
                <w:szCs w:val="23"/>
                <w:lang w:val="fr-CA"/>
              </w:rPr>
              <w:t>Services de distribution</w:t>
            </w:r>
          </w:p>
        </w:tc>
      </w:tr>
      <w:tr w:rsidR="00B8348C" w:rsidRPr="00D315AF" w14:paraId="4B51D3C3"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2F726AFC"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537F078F" w14:textId="77777777" w:rsidR="00B8348C" w:rsidRPr="00F52884" w:rsidRDefault="00B8348C" w:rsidP="000C25A3">
            <w:pPr>
              <w:spacing w:before="60" w:after="60"/>
              <w:rPr>
                <w:rFonts w:cstheme="minorHAnsi"/>
                <w:szCs w:val="23"/>
                <w:lang w:val="fr-FR"/>
              </w:rPr>
            </w:pPr>
            <w:r w:rsidRPr="00F52884">
              <w:rPr>
                <w:rFonts w:cstheme="minorHAnsi"/>
                <w:szCs w:val="23"/>
                <w:lang w:val="fr-CA"/>
              </w:rPr>
              <w:t>Commerce de détail de carburants pour automobiles</w:t>
            </w:r>
          </w:p>
        </w:tc>
      </w:tr>
      <w:tr w:rsidR="00B8348C" w:rsidRPr="00F52884" w14:paraId="1AD23C2F"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1D35BF6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31FB900E" w14:textId="77777777" w:rsidR="00B8348C" w:rsidRPr="00F52884" w:rsidRDefault="00B8348C" w:rsidP="000C25A3">
            <w:pPr>
              <w:spacing w:before="60" w:after="60"/>
              <w:rPr>
                <w:rFonts w:cstheme="minorHAnsi"/>
                <w:b/>
                <w:szCs w:val="23"/>
              </w:rPr>
            </w:pPr>
            <w:r w:rsidRPr="00F52884">
              <w:rPr>
                <w:rFonts w:cstheme="minorHAnsi"/>
                <w:szCs w:val="23"/>
                <w:lang w:val="fr-CA"/>
              </w:rPr>
              <w:t>CPC 613</w:t>
            </w:r>
          </w:p>
        </w:tc>
      </w:tr>
      <w:tr w:rsidR="00B8348C" w:rsidRPr="00D315AF" w14:paraId="3D147FFB" w14:textId="77777777" w:rsidTr="00FA2285">
        <w:trPr>
          <w:trHeight w:val="42"/>
          <w:jc w:val="center"/>
        </w:trPr>
        <w:tc>
          <w:tcPr>
            <w:tcW w:w="2520" w:type="dxa"/>
            <w:tcBorders>
              <w:top w:val="single" w:sz="4" w:space="0" w:color="C0C0C0"/>
              <w:left w:val="nil"/>
              <w:bottom w:val="single" w:sz="4" w:space="0" w:color="C0C0C0"/>
              <w:right w:val="single" w:sz="4" w:space="0" w:color="FFFFFF"/>
            </w:tcBorders>
          </w:tcPr>
          <w:p w14:paraId="0E5B9B6A"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6B65D7CB" w14:textId="77777777"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312 (Accès aux marchés – Investissement)</w:t>
            </w:r>
          </w:p>
        </w:tc>
      </w:tr>
      <w:tr w:rsidR="00B8348C" w:rsidRPr="00F52884" w14:paraId="51523093"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567E9620"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7E6CA32C"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91E6745" w14:textId="3DA89F82" w:rsidR="00B8348C" w:rsidRPr="00F52884" w:rsidRDefault="00B8348C" w:rsidP="000C25A3">
            <w:pPr>
              <w:spacing w:before="60" w:after="60"/>
              <w:rPr>
                <w:rFonts w:cstheme="minorHAnsi"/>
                <w:szCs w:val="23"/>
              </w:rPr>
            </w:pPr>
            <w:r w:rsidRPr="00F52884">
              <w:rPr>
                <w:rFonts w:cstheme="minorHAnsi"/>
                <w:i/>
                <w:iCs/>
                <w:szCs w:val="23"/>
                <w:lang w:val="en-US"/>
              </w:rPr>
              <w:t>Petroleum Products Act</w:t>
            </w:r>
            <w:r w:rsidRPr="00F52884">
              <w:rPr>
                <w:rFonts w:cstheme="minorHAnsi"/>
                <w:szCs w:val="23"/>
                <w:lang w:val="en-US"/>
              </w:rPr>
              <w:t>, RSPEI 1988, c </w:t>
            </w:r>
            <w:r w:rsidRPr="00B04E29">
              <w:rPr>
                <w:rFonts w:cstheme="minorHAnsi"/>
                <w:szCs w:val="23"/>
              </w:rPr>
              <w:t>P-5.1</w:t>
            </w:r>
          </w:p>
        </w:tc>
      </w:tr>
      <w:tr w:rsidR="00B8348C" w:rsidRPr="00F52884" w14:paraId="6AFB5D7F"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28BCB869"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2BF1F3F0"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483ECAAC" w14:textId="77777777"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 xml:space="preserve">Au moment d’accorder à un commerçant un permis d’exploitation d’un poste d’essence, l’Island </w:t>
            </w:r>
            <w:proofErr w:type="spellStart"/>
            <w:r w:rsidRPr="00F52884">
              <w:rPr>
                <w:rFonts w:eastAsia="Times New Roman" w:cstheme="minorHAnsi"/>
                <w:szCs w:val="23"/>
                <w:lang w:val="fr-CA"/>
              </w:rPr>
              <w:t>Regulatory</w:t>
            </w:r>
            <w:proofErr w:type="spellEnd"/>
            <w:r w:rsidRPr="00F52884">
              <w:rPr>
                <w:rFonts w:eastAsia="Times New Roman" w:cstheme="minorHAnsi"/>
                <w:szCs w:val="23"/>
                <w:lang w:val="fr-CA"/>
              </w:rPr>
              <w:t xml:space="preserve"> and </w:t>
            </w:r>
            <w:proofErr w:type="spellStart"/>
            <w:r w:rsidRPr="00F52884">
              <w:rPr>
                <w:rFonts w:eastAsia="Times New Roman" w:cstheme="minorHAnsi"/>
                <w:szCs w:val="23"/>
                <w:lang w:val="fr-CA"/>
              </w:rPr>
              <w:t>Appeals</w:t>
            </w:r>
            <w:proofErr w:type="spellEnd"/>
            <w:r w:rsidRPr="00F52884">
              <w:rPr>
                <w:rFonts w:eastAsia="Times New Roman" w:cstheme="minorHAnsi"/>
                <w:szCs w:val="23"/>
                <w:lang w:val="fr-CA"/>
              </w:rPr>
              <w:t xml:space="preserve"> Commission prend en considération la nécessité, la commodité et l’intérêt publics en appliquant des critères qu’elle juge appropriés. </w:t>
            </w:r>
          </w:p>
        </w:tc>
      </w:tr>
    </w:tbl>
    <w:p w14:paraId="7C2814A7" w14:textId="77777777" w:rsidR="00B8348C" w:rsidRPr="00F52884" w:rsidRDefault="00B8348C" w:rsidP="000C25A3">
      <w:pPr>
        <w:rPr>
          <w:rFonts w:cstheme="minorHAnsi"/>
          <w:szCs w:val="23"/>
          <w:lang w:val="fr-FR"/>
        </w:rPr>
      </w:pPr>
    </w:p>
    <w:p w14:paraId="28AD3C09" w14:textId="77777777" w:rsidR="00B8348C" w:rsidRPr="00F52884" w:rsidRDefault="00B8348C" w:rsidP="000C25A3">
      <w:pPr>
        <w:rPr>
          <w:rFonts w:cstheme="minorHAnsi"/>
          <w:szCs w:val="23"/>
          <w:lang w:val="fr-FR"/>
        </w:rPr>
      </w:pPr>
    </w:p>
    <w:p w14:paraId="18E4F85E" w14:textId="11FEA1D4"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3.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2533E4E6" w14:textId="77777777" w:rsidTr="00110B78">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2318F27C" w14:textId="77777777" w:rsidR="00B8348C" w:rsidRPr="00F52884" w:rsidRDefault="00B8348C" w:rsidP="000C25A3">
            <w:pPr>
              <w:spacing w:before="60" w:after="60"/>
              <w:rPr>
                <w:rFonts w:cstheme="minorHAnsi"/>
                <w:b/>
                <w:szCs w:val="23"/>
              </w:rPr>
            </w:pPr>
            <w:r w:rsidRPr="00F52884">
              <w:rPr>
                <w:rFonts w:cstheme="minorHAnsi"/>
                <w:szCs w:val="23"/>
                <w:lang w:val="fr-CA"/>
              </w:rPr>
              <w:lastRenderedPageBreak/>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0F1B4BB4" w14:textId="77777777" w:rsidR="00B8348C" w:rsidRPr="00F52884" w:rsidRDefault="00B8348C" w:rsidP="000C25A3">
            <w:pPr>
              <w:spacing w:before="60" w:after="60"/>
              <w:rPr>
                <w:rFonts w:cstheme="minorHAnsi"/>
                <w:szCs w:val="23"/>
              </w:rPr>
            </w:pPr>
            <w:r w:rsidRPr="00F52884">
              <w:rPr>
                <w:rFonts w:cstheme="minorHAnsi"/>
                <w:szCs w:val="23"/>
                <w:lang w:val="fr-CA"/>
              </w:rPr>
              <w:t>Tous les secteurs</w:t>
            </w:r>
          </w:p>
        </w:tc>
      </w:tr>
      <w:tr w:rsidR="00B8348C" w:rsidRPr="00F52884" w14:paraId="3DB72414" w14:textId="77777777" w:rsidTr="00110B78">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52E12159"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21C92C59" w14:textId="77777777" w:rsidR="00B8348C" w:rsidRPr="00F52884" w:rsidRDefault="00B8348C" w:rsidP="000C25A3">
            <w:pPr>
              <w:spacing w:before="60" w:after="60"/>
              <w:rPr>
                <w:rFonts w:cstheme="minorHAnsi"/>
                <w:szCs w:val="23"/>
              </w:rPr>
            </w:pPr>
            <w:r w:rsidRPr="00F52884">
              <w:rPr>
                <w:rFonts w:cstheme="minorHAnsi"/>
                <w:szCs w:val="23"/>
                <w:lang w:val="fr-CA"/>
              </w:rPr>
              <w:t>Tous les sous-secteurs</w:t>
            </w:r>
          </w:p>
        </w:tc>
      </w:tr>
      <w:tr w:rsidR="00B8348C" w:rsidRPr="00F52884" w14:paraId="3955A290" w14:textId="77777777" w:rsidTr="00110B78">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35EFF3A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51620B3A" w14:textId="77777777" w:rsidR="00B8348C" w:rsidRPr="00F52884" w:rsidRDefault="00B8348C" w:rsidP="000C25A3">
            <w:pPr>
              <w:spacing w:before="60" w:after="60"/>
              <w:rPr>
                <w:rFonts w:cstheme="minorHAnsi"/>
                <w:b/>
                <w:szCs w:val="23"/>
              </w:rPr>
            </w:pPr>
          </w:p>
        </w:tc>
      </w:tr>
      <w:tr w:rsidR="00B8348C" w:rsidRPr="00D315AF" w14:paraId="1CB507DD" w14:textId="77777777" w:rsidTr="00110B78">
        <w:trPr>
          <w:trHeight w:val="42"/>
          <w:jc w:val="center"/>
        </w:trPr>
        <w:tc>
          <w:tcPr>
            <w:tcW w:w="2430" w:type="dxa"/>
            <w:tcBorders>
              <w:top w:val="single" w:sz="4" w:space="0" w:color="C0C0C0"/>
              <w:left w:val="nil"/>
              <w:bottom w:val="single" w:sz="4" w:space="0" w:color="C0C0C0"/>
              <w:right w:val="single" w:sz="4" w:space="0" w:color="FFFFFF"/>
            </w:tcBorders>
          </w:tcPr>
          <w:p w14:paraId="254A36C5"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2B23EFD8" w14:textId="79066B81"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312 (Accès aux marchés – Investissement)</w:t>
            </w:r>
          </w:p>
        </w:tc>
      </w:tr>
      <w:tr w:rsidR="00B8348C" w:rsidRPr="00F52884" w14:paraId="339DB9EF" w14:textId="77777777" w:rsidTr="00110B78">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67FB6D51"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21976B72" w14:textId="77777777" w:rsidTr="00110B78">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4F2C2D1" w14:textId="5FE9707C" w:rsidR="00B8348C" w:rsidRPr="00B04E29" w:rsidRDefault="00B8348C" w:rsidP="000C25A3">
            <w:pPr>
              <w:autoSpaceDE w:val="0"/>
              <w:autoSpaceDN w:val="0"/>
              <w:adjustRightInd w:val="0"/>
              <w:spacing w:before="60" w:after="60"/>
              <w:ind w:left="6"/>
              <w:rPr>
                <w:rFonts w:cstheme="minorHAnsi"/>
                <w:szCs w:val="23"/>
              </w:rPr>
            </w:pPr>
            <w:r w:rsidRPr="00F52884">
              <w:rPr>
                <w:rFonts w:cstheme="minorHAnsi"/>
                <w:i/>
                <w:iCs/>
                <w:szCs w:val="23"/>
                <w:lang w:val="en-US"/>
              </w:rPr>
              <w:t>Prince Edward Island Lands Protection Act</w:t>
            </w:r>
            <w:r w:rsidRPr="00F52884">
              <w:rPr>
                <w:rFonts w:cstheme="minorHAnsi"/>
                <w:szCs w:val="23"/>
                <w:lang w:val="en-US"/>
              </w:rPr>
              <w:t xml:space="preserve">, RSPEI 1988, c </w:t>
            </w:r>
            <w:r w:rsidRPr="00B04E29">
              <w:rPr>
                <w:rFonts w:cstheme="minorHAnsi"/>
                <w:szCs w:val="23"/>
              </w:rPr>
              <w:t xml:space="preserve">L-5 </w:t>
            </w:r>
          </w:p>
          <w:p w14:paraId="3028A039" w14:textId="198D3046" w:rsidR="00B8348C" w:rsidRPr="00F52884" w:rsidRDefault="00B8348C" w:rsidP="000C25A3">
            <w:pPr>
              <w:autoSpaceDE w:val="0"/>
              <w:autoSpaceDN w:val="0"/>
              <w:adjustRightInd w:val="0"/>
              <w:spacing w:before="60" w:after="60"/>
              <w:ind w:left="6"/>
              <w:rPr>
                <w:rFonts w:cstheme="minorHAnsi"/>
                <w:szCs w:val="23"/>
                <w:lang w:val="fr-CA"/>
              </w:rPr>
            </w:pPr>
            <w:r w:rsidRPr="00F52884">
              <w:rPr>
                <w:rFonts w:cstheme="minorHAnsi"/>
                <w:szCs w:val="23"/>
                <w:lang w:val="fr-CA"/>
              </w:rPr>
              <w:t>Règlements sur les droits applicables et sur la désignation des terres</w:t>
            </w:r>
          </w:p>
        </w:tc>
      </w:tr>
      <w:tr w:rsidR="00B8348C" w:rsidRPr="00F52884" w14:paraId="64F6696C" w14:textId="77777777" w:rsidTr="00110B78">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4901CBDB"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BE5462C" w14:textId="77777777" w:rsidTr="00110B78">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C373E68" w14:textId="2C51DD14" w:rsidR="00B8348C" w:rsidRPr="00F52884" w:rsidRDefault="00B8348C" w:rsidP="00B8348C">
            <w:pPr>
              <w:pStyle w:val="ListParagraph"/>
              <w:numPr>
                <w:ilvl w:val="0"/>
                <w:numId w:val="121"/>
              </w:numPr>
              <w:autoSpaceDE w:val="0"/>
              <w:autoSpaceDN w:val="0"/>
              <w:adjustRightInd w:val="0"/>
              <w:spacing w:before="120" w:after="120"/>
              <w:ind w:left="432" w:hanging="432"/>
              <w:contextualSpacing w:val="0"/>
              <w:rPr>
                <w:rFonts w:cstheme="minorHAnsi"/>
                <w:szCs w:val="23"/>
                <w:lang w:val="fr-FR"/>
              </w:rPr>
            </w:pPr>
            <w:r w:rsidRPr="00F52884">
              <w:rPr>
                <w:rFonts w:cstheme="minorHAnsi"/>
                <w:szCs w:val="23"/>
                <w:lang w:val="fr-CA"/>
              </w:rPr>
              <w:t>Les non-résidents doivent présenter une demande pour acquérir plus de cinq acres de terres ou une terre ayant plus de 165 pieds de rivage et obtenir la permission du lieutenant-gouverneur en conseil. Les rivages comprennent les terres bordant un océan, un fleuve, une rivière, un lac, un étang ou un marécage.</w:t>
            </w:r>
          </w:p>
          <w:p w14:paraId="4E620461" w14:textId="77777777" w:rsidR="00B8348C" w:rsidRPr="00F52884" w:rsidRDefault="00B8348C" w:rsidP="00B8348C">
            <w:pPr>
              <w:pStyle w:val="ListParagraph"/>
              <w:numPr>
                <w:ilvl w:val="0"/>
                <w:numId w:val="121"/>
              </w:numPr>
              <w:autoSpaceDE w:val="0"/>
              <w:autoSpaceDN w:val="0"/>
              <w:adjustRightInd w:val="0"/>
              <w:spacing w:before="120" w:after="120"/>
              <w:ind w:left="432" w:hanging="432"/>
              <w:contextualSpacing w:val="0"/>
              <w:rPr>
                <w:rFonts w:cstheme="minorHAnsi"/>
                <w:szCs w:val="23"/>
                <w:lang w:val="fr-FR"/>
              </w:rPr>
            </w:pPr>
            <w:r w:rsidRPr="00F52884">
              <w:rPr>
                <w:rFonts w:cstheme="minorHAnsi"/>
                <w:szCs w:val="23"/>
                <w:lang w:val="fr-CA"/>
              </w:rPr>
              <w:t xml:space="preserve">Le gouvernement de l’Île-du-Prince-Édouard délivre les permis aux non-résidents au titre de la </w:t>
            </w:r>
            <w:r w:rsidRPr="00F52884">
              <w:rPr>
                <w:rFonts w:cstheme="minorHAnsi"/>
                <w:iCs/>
                <w:szCs w:val="23"/>
                <w:lang w:val="fr-CA"/>
              </w:rPr>
              <w:t>Loi</w:t>
            </w:r>
            <w:r w:rsidRPr="00F52884">
              <w:rPr>
                <w:rFonts w:cstheme="minorHAnsi"/>
                <w:szCs w:val="23"/>
                <w:lang w:val="fr-CA"/>
              </w:rPr>
              <w:t xml:space="preserve"> et peut imposer des conditions plus onéreuses, y compris la désignation du terrain dans le cadre du programme de désignation des terres à des fins agricoles ou de non-exploitation. </w:t>
            </w:r>
          </w:p>
          <w:p w14:paraId="214EECF5" w14:textId="77777777" w:rsidR="00B8348C" w:rsidRPr="00F52884" w:rsidRDefault="00B8348C" w:rsidP="00B8348C">
            <w:pPr>
              <w:pStyle w:val="ListParagraph"/>
              <w:numPr>
                <w:ilvl w:val="0"/>
                <w:numId w:val="121"/>
              </w:numPr>
              <w:autoSpaceDE w:val="0"/>
              <w:autoSpaceDN w:val="0"/>
              <w:adjustRightInd w:val="0"/>
              <w:spacing w:before="120" w:after="120"/>
              <w:ind w:left="432" w:hanging="432"/>
              <w:contextualSpacing w:val="0"/>
              <w:rPr>
                <w:rFonts w:cstheme="minorHAnsi"/>
                <w:szCs w:val="23"/>
                <w:lang w:val="fr-FR"/>
              </w:rPr>
            </w:pPr>
            <w:r w:rsidRPr="00F52884">
              <w:rPr>
                <w:rFonts w:cstheme="minorHAnsi"/>
                <w:szCs w:val="23"/>
                <w:lang w:val="fr-CA"/>
              </w:rPr>
              <w:t>Seuls les résidents de l’Île-du-Prince-Édouard sont admissibles à un allégement de la taxe foncière applicable aux biens immobiliers non commerciaux.</w:t>
            </w:r>
          </w:p>
        </w:tc>
      </w:tr>
    </w:tbl>
    <w:p w14:paraId="55C1F7A6" w14:textId="77777777" w:rsidR="00B8348C" w:rsidRPr="00F52884" w:rsidRDefault="00B8348C" w:rsidP="000C25A3">
      <w:pPr>
        <w:rPr>
          <w:rFonts w:cstheme="minorHAnsi"/>
          <w:szCs w:val="23"/>
          <w:lang w:val="fr-FR"/>
        </w:rPr>
      </w:pPr>
    </w:p>
    <w:p w14:paraId="0D468A47" w14:textId="77777777" w:rsidR="00B8348C" w:rsidRPr="00F52884" w:rsidRDefault="00B8348C" w:rsidP="000C25A3">
      <w:pPr>
        <w:rPr>
          <w:rFonts w:cstheme="minorHAnsi"/>
          <w:szCs w:val="23"/>
          <w:lang w:val="fr-FR"/>
        </w:rPr>
      </w:pPr>
    </w:p>
    <w:p w14:paraId="663379A4" w14:textId="59B181B0"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4.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4C4912F6" w14:textId="77777777" w:rsidTr="00110B78">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5FCE7D17"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0FA1C682" w14:textId="77777777" w:rsidR="00B8348C" w:rsidRPr="00F52884" w:rsidRDefault="00B8348C" w:rsidP="000C25A3">
            <w:pPr>
              <w:spacing w:before="60" w:after="60"/>
              <w:rPr>
                <w:rFonts w:cstheme="minorHAnsi"/>
                <w:szCs w:val="23"/>
              </w:rPr>
            </w:pPr>
            <w:r w:rsidRPr="00F52884">
              <w:rPr>
                <w:rFonts w:cstheme="minorHAnsi"/>
                <w:szCs w:val="23"/>
                <w:lang w:val="fr-CA"/>
              </w:rPr>
              <w:t>Services fournis aux entreprises</w:t>
            </w:r>
          </w:p>
        </w:tc>
      </w:tr>
      <w:tr w:rsidR="00B8348C" w:rsidRPr="00D315AF" w14:paraId="5DA2B0C1" w14:textId="77777777" w:rsidTr="00110B78">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2A6947E0"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23F7346B"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d’information en matière de crédit</w:t>
            </w:r>
          </w:p>
        </w:tc>
      </w:tr>
      <w:tr w:rsidR="00B8348C" w:rsidRPr="00F52884" w14:paraId="5F4381BE" w14:textId="77777777" w:rsidTr="00110B78">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4563CBAE"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2089BDCF" w14:textId="77777777" w:rsidR="00B8348C" w:rsidRPr="00F52884" w:rsidRDefault="00B8348C" w:rsidP="000C25A3">
            <w:pPr>
              <w:spacing w:before="60" w:after="60"/>
              <w:rPr>
                <w:rFonts w:cstheme="minorHAnsi"/>
                <w:b/>
                <w:szCs w:val="23"/>
              </w:rPr>
            </w:pPr>
            <w:r w:rsidRPr="00F52884">
              <w:rPr>
                <w:rFonts w:cstheme="minorHAnsi"/>
                <w:szCs w:val="23"/>
                <w:lang w:val="fr-CA"/>
              </w:rPr>
              <w:t>CPC 87901</w:t>
            </w:r>
          </w:p>
        </w:tc>
      </w:tr>
      <w:tr w:rsidR="00B8348C" w:rsidRPr="00D315AF" w14:paraId="77FA62C3" w14:textId="77777777" w:rsidTr="00110B78">
        <w:trPr>
          <w:trHeight w:val="42"/>
          <w:jc w:val="center"/>
        </w:trPr>
        <w:tc>
          <w:tcPr>
            <w:tcW w:w="2430" w:type="dxa"/>
            <w:tcBorders>
              <w:top w:val="single" w:sz="4" w:space="0" w:color="C0C0C0"/>
              <w:left w:val="nil"/>
              <w:bottom w:val="single" w:sz="4" w:space="0" w:color="C0C0C0"/>
              <w:right w:val="single" w:sz="4" w:space="0" w:color="FFFFFF"/>
            </w:tcBorders>
          </w:tcPr>
          <w:p w14:paraId="3BD5442B"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7FA4FFE8" w14:textId="65A6E373"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307 (Accès aux marchés – Services)</w:t>
            </w:r>
          </w:p>
        </w:tc>
      </w:tr>
      <w:tr w:rsidR="00B8348C" w:rsidRPr="00F52884" w14:paraId="66064A32" w14:textId="77777777" w:rsidTr="00110B78">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5BABB9D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6D971893" w14:textId="77777777" w:rsidTr="00110B78">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A59441F" w14:textId="6CDEA4D7" w:rsidR="00B8348C" w:rsidRPr="00F52884" w:rsidRDefault="00B8348C" w:rsidP="000C25A3">
            <w:pPr>
              <w:autoSpaceDE w:val="0"/>
              <w:autoSpaceDN w:val="0"/>
              <w:adjustRightInd w:val="0"/>
              <w:spacing w:before="60" w:after="60"/>
              <w:rPr>
                <w:rFonts w:cstheme="minorHAnsi"/>
                <w:szCs w:val="23"/>
              </w:rPr>
            </w:pPr>
            <w:r w:rsidRPr="00F52884">
              <w:rPr>
                <w:rFonts w:cstheme="minorHAnsi"/>
                <w:i/>
                <w:iCs/>
                <w:szCs w:val="23"/>
                <w:lang w:val="en-US"/>
              </w:rPr>
              <w:t>Consumer Reporting Act</w:t>
            </w:r>
            <w:r w:rsidRPr="00F52884">
              <w:rPr>
                <w:rFonts w:cstheme="minorHAnsi"/>
                <w:szCs w:val="23"/>
                <w:lang w:val="en-US"/>
              </w:rPr>
              <w:t>, RSPEI 1988, c </w:t>
            </w:r>
            <w:r w:rsidRPr="00B04E29">
              <w:rPr>
                <w:rFonts w:cstheme="minorHAnsi"/>
                <w:szCs w:val="23"/>
              </w:rPr>
              <w:t>C-20</w:t>
            </w:r>
          </w:p>
        </w:tc>
      </w:tr>
      <w:tr w:rsidR="00B8348C" w:rsidRPr="00F52884" w14:paraId="274D70FF" w14:textId="77777777" w:rsidTr="00110B78">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5896ABE6"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242AAC4D" w14:textId="77777777" w:rsidTr="00110B78">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60F4A354" w14:textId="3466AC17"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 xml:space="preserve">Toute agence d’information sur la consommation enregistrée sous le régime de la </w:t>
            </w:r>
            <w:r w:rsidRPr="00F52884">
              <w:rPr>
                <w:rFonts w:eastAsia="Times New Roman" w:cstheme="minorHAnsi"/>
                <w:iCs/>
                <w:szCs w:val="23"/>
                <w:lang w:val="fr-CA"/>
              </w:rPr>
              <w:t>Loi</w:t>
            </w:r>
            <w:r w:rsidRPr="00F52884">
              <w:rPr>
                <w:rFonts w:eastAsia="Times New Roman" w:cstheme="minorHAnsi"/>
                <w:szCs w:val="23"/>
                <w:lang w:val="fr-CA"/>
              </w:rPr>
              <w:t xml:space="preserve"> est exploitée depuis un lieu d’affaires fixe à l’Île-du-Prince-Édouard.</w:t>
            </w:r>
          </w:p>
        </w:tc>
      </w:tr>
    </w:tbl>
    <w:p w14:paraId="1420D733" w14:textId="77777777" w:rsidR="00B8348C" w:rsidRPr="00F52884" w:rsidRDefault="00B8348C" w:rsidP="000C25A3">
      <w:pPr>
        <w:rPr>
          <w:rFonts w:cstheme="minorHAnsi"/>
          <w:szCs w:val="23"/>
          <w:lang w:val="fr-FR"/>
        </w:rPr>
      </w:pPr>
    </w:p>
    <w:p w14:paraId="4AEC6F1B" w14:textId="77777777" w:rsidR="00B8348C" w:rsidRPr="00F52884" w:rsidRDefault="00B8348C" w:rsidP="000C25A3">
      <w:pPr>
        <w:rPr>
          <w:rFonts w:cstheme="minorHAnsi"/>
          <w:b/>
          <w:caps/>
          <w:szCs w:val="23"/>
          <w:lang w:val="fr-FR"/>
        </w:rPr>
      </w:pPr>
    </w:p>
    <w:p w14:paraId="6B6F45C2" w14:textId="6761AA41"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5.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162" w:type="dxa"/>
        <w:jc w:val="center"/>
        <w:tblCellMar>
          <w:top w:w="14" w:type="dxa"/>
          <w:left w:w="86" w:type="dxa"/>
          <w:bottom w:w="14" w:type="dxa"/>
          <w:right w:w="86" w:type="dxa"/>
        </w:tblCellMar>
        <w:tblLook w:val="0000" w:firstRow="0" w:lastRow="0" w:firstColumn="0" w:lastColumn="0" w:noHBand="0" w:noVBand="0"/>
      </w:tblPr>
      <w:tblGrid>
        <w:gridCol w:w="2340"/>
        <w:gridCol w:w="7443"/>
        <w:gridCol w:w="379"/>
      </w:tblGrid>
      <w:tr w:rsidR="00B8348C" w:rsidRPr="00F52884" w14:paraId="0D9ABA33" w14:textId="77777777" w:rsidTr="00110B78">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26D41359" w14:textId="77777777" w:rsidR="00B8348C" w:rsidRPr="00F52884" w:rsidRDefault="00B8348C" w:rsidP="000C25A3">
            <w:pPr>
              <w:spacing w:before="60" w:after="60"/>
              <w:rPr>
                <w:rFonts w:cstheme="minorHAnsi"/>
                <w:b/>
                <w:szCs w:val="23"/>
              </w:rPr>
            </w:pPr>
            <w:r w:rsidRPr="00F52884">
              <w:rPr>
                <w:rFonts w:cstheme="minorHAnsi"/>
                <w:szCs w:val="23"/>
                <w:lang w:val="fr-CA"/>
              </w:rPr>
              <w:lastRenderedPageBreak/>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30F6F827" w14:textId="77777777" w:rsidR="00B8348C" w:rsidRPr="00F52884" w:rsidRDefault="00B8348C" w:rsidP="000C25A3">
            <w:pPr>
              <w:spacing w:before="60" w:after="60"/>
              <w:rPr>
                <w:rFonts w:cstheme="minorHAnsi"/>
                <w:szCs w:val="23"/>
              </w:rPr>
            </w:pPr>
            <w:r w:rsidRPr="00F52884">
              <w:rPr>
                <w:rFonts w:cstheme="minorHAnsi"/>
                <w:szCs w:val="23"/>
                <w:lang w:val="fr-CA"/>
              </w:rPr>
              <w:t>Agriculture</w:t>
            </w:r>
          </w:p>
        </w:tc>
      </w:tr>
      <w:tr w:rsidR="00B8348C" w:rsidRPr="00D315AF" w14:paraId="67C4A2DA" w14:textId="77777777" w:rsidTr="00110B78">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03E5FBB1"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28F55B84" w14:textId="77777777" w:rsidR="00B8348C" w:rsidRPr="00F52884" w:rsidRDefault="00B8348C" w:rsidP="000C25A3">
            <w:pPr>
              <w:spacing w:before="60" w:after="60"/>
              <w:rPr>
                <w:rFonts w:cstheme="minorHAnsi"/>
                <w:szCs w:val="23"/>
                <w:lang w:val="fr-FR"/>
              </w:rPr>
            </w:pPr>
            <w:r w:rsidRPr="00F52884">
              <w:rPr>
                <w:rFonts w:cstheme="minorHAnsi"/>
                <w:szCs w:val="23"/>
                <w:lang w:val="fr-CA"/>
              </w:rPr>
              <w:t>Produits de l’agriculture, animaux vivants et produits du règne animal, viandes, produits laitiers, produits alimentaires</w:t>
            </w:r>
          </w:p>
        </w:tc>
      </w:tr>
      <w:tr w:rsidR="00B8348C" w:rsidRPr="00F52884" w14:paraId="5D0201ED" w14:textId="77777777" w:rsidTr="00110B78">
        <w:trPr>
          <w:gridAfter w:val="1"/>
          <w:wAfter w:w="379"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7DA88578"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45154B99" w14:textId="77777777" w:rsidR="00B8348C" w:rsidRPr="00F52884" w:rsidRDefault="00B8348C" w:rsidP="000C25A3">
            <w:pPr>
              <w:spacing w:before="60" w:after="60"/>
              <w:rPr>
                <w:rFonts w:cstheme="minorHAnsi"/>
                <w:b/>
                <w:szCs w:val="23"/>
              </w:rPr>
            </w:pPr>
            <w:r w:rsidRPr="00F52884">
              <w:rPr>
                <w:rFonts w:cstheme="minorHAnsi"/>
                <w:szCs w:val="23"/>
                <w:lang w:val="fr-CA"/>
              </w:rPr>
              <w:t>CPC 01, 02, 21, 22, 239, 6221, 62112</w:t>
            </w:r>
          </w:p>
        </w:tc>
      </w:tr>
      <w:tr w:rsidR="00B8348C" w:rsidRPr="00D315AF" w14:paraId="515CEF8B" w14:textId="77777777" w:rsidTr="00110B78">
        <w:trPr>
          <w:trHeight w:val="42"/>
          <w:jc w:val="center"/>
        </w:trPr>
        <w:tc>
          <w:tcPr>
            <w:tcW w:w="2340" w:type="dxa"/>
            <w:tcBorders>
              <w:top w:val="single" w:sz="4" w:space="0" w:color="C0C0C0"/>
              <w:left w:val="nil"/>
              <w:bottom w:val="single" w:sz="4" w:space="0" w:color="C0C0C0"/>
              <w:right w:val="single" w:sz="4" w:space="0" w:color="FFFFFF"/>
            </w:tcBorders>
          </w:tcPr>
          <w:p w14:paraId="3110B6AB"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693C823B" w14:textId="2901A3D9"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301 (Droit d’entrée et de sortie), article 313 (Prescriptions de résultats)</w:t>
            </w:r>
          </w:p>
        </w:tc>
      </w:tr>
      <w:tr w:rsidR="00B8348C" w:rsidRPr="00F52884" w14:paraId="4663889A" w14:textId="77777777" w:rsidTr="00110B78">
        <w:trPr>
          <w:trHeight w:val="42"/>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755E86BA"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78F4D75" w14:textId="77777777" w:rsidTr="00110B78">
        <w:trPr>
          <w:trHeight w:val="273"/>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737C5FAC" w14:textId="4472507E"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Natural Products Marketing Act</w:t>
            </w:r>
            <w:r w:rsidRPr="00F52884">
              <w:rPr>
                <w:rFonts w:eastAsia="Times New Roman" w:cstheme="minorHAnsi"/>
                <w:sz w:val="23"/>
                <w:szCs w:val="23"/>
                <w:lang w:val="en-US"/>
              </w:rPr>
              <w:t>, RSPEI 1988, c N-3</w:t>
            </w:r>
          </w:p>
          <w:p w14:paraId="056F40A0" w14:textId="7EE06B4C"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sz w:val="23"/>
                <w:szCs w:val="23"/>
                <w:lang w:val="en-US"/>
              </w:rPr>
              <w:t>[</w:t>
            </w:r>
            <w:proofErr w:type="spellStart"/>
            <w:r w:rsidRPr="00F52884">
              <w:rPr>
                <w:rFonts w:eastAsia="Times New Roman" w:cstheme="minorHAnsi"/>
                <w:sz w:val="23"/>
                <w:szCs w:val="23"/>
                <w:lang w:val="en-US"/>
              </w:rPr>
              <w:t>Abrogée</w:t>
            </w:r>
            <w:proofErr w:type="spellEnd"/>
            <w:r w:rsidRPr="00F52884">
              <w:rPr>
                <w:rFonts w:eastAsia="Times New Roman" w:cstheme="minorHAnsi"/>
                <w:sz w:val="23"/>
                <w:szCs w:val="23"/>
                <w:lang w:val="en-US"/>
              </w:rPr>
              <w:t>]</w:t>
            </w:r>
            <w:r w:rsidRPr="00F52884">
              <w:rPr>
                <w:rFonts w:eastAsia="Times New Roman" w:cstheme="minorHAnsi"/>
                <w:i/>
                <w:iCs/>
                <w:sz w:val="23"/>
                <w:szCs w:val="23"/>
                <w:lang w:val="en-US"/>
              </w:rPr>
              <w:t>Agricultural Products Standards Act</w:t>
            </w:r>
            <w:r w:rsidRPr="00F52884">
              <w:rPr>
                <w:rFonts w:eastAsia="Times New Roman" w:cstheme="minorHAnsi"/>
                <w:sz w:val="23"/>
                <w:szCs w:val="23"/>
                <w:lang w:val="en-US"/>
              </w:rPr>
              <w:t>, RSPEI 1988, c A-9</w:t>
            </w:r>
          </w:p>
          <w:p w14:paraId="180EE669" w14:textId="54467D5E"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Dairy Producers Act</w:t>
            </w:r>
            <w:r w:rsidRPr="00F52884">
              <w:rPr>
                <w:rFonts w:eastAsia="Times New Roman" w:cstheme="minorHAnsi"/>
                <w:sz w:val="23"/>
                <w:szCs w:val="23"/>
                <w:lang w:val="en-US"/>
              </w:rPr>
              <w:t>, RSPEI 1988, c D-2</w:t>
            </w:r>
          </w:p>
          <w:p w14:paraId="0EAA0B09" w14:textId="07D9DFDC"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Agricultural Insurance Act</w:t>
            </w:r>
            <w:r w:rsidRPr="00F52884">
              <w:rPr>
                <w:rFonts w:eastAsia="Times New Roman" w:cstheme="minorHAnsi"/>
                <w:sz w:val="23"/>
                <w:szCs w:val="23"/>
                <w:lang w:val="en-US"/>
              </w:rPr>
              <w:t>, RSPEI 1988, c A-8.2</w:t>
            </w:r>
          </w:p>
          <w:p w14:paraId="2C761749" w14:textId="4AC6FD70"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Animal Health and Protection Act</w:t>
            </w:r>
            <w:r w:rsidRPr="00F52884">
              <w:rPr>
                <w:rFonts w:eastAsia="Times New Roman" w:cstheme="minorHAnsi"/>
                <w:sz w:val="23"/>
                <w:szCs w:val="23"/>
                <w:lang w:val="en-US"/>
              </w:rPr>
              <w:t>, RSPEI 1988, c A-11.1</w:t>
            </w:r>
          </w:p>
          <w:p w14:paraId="49681C24" w14:textId="4EFE52FE"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Grain Elevators Corporation Act</w:t>
            </w:r>
            <w:r w:rsidRPr="00F52884">
              <w:rPr>
                <w:rFonts w:eastAsia="Times New Roman" w:cstheme="minorHAnsi"/>
                <w:sz w:val="23"/>
                <w:szCs w:val="23"/>
                <w:lang w:val="en-US"/>
              </w:rPr>
              <w:t>, RSPEI 1988, c G-5</w:t>
            </w:r>
          </w:p>
          <w:p w14:paraId="3A0C7C00" w14:textId="0703897A"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Plant Health Act</w:t>
            </w:r>
            <w:r w:rsidRPr="00F52884">
              <w:rPr>
                <w:rFonts w:eastAsia="Times New Roman" w:cstheme="minorHAnsi"/>
                <w:sz w:val="23"/>
                <w:szCs w:val="23"/>
                <w:lang w:val="en-US"/>
              </w:rPr>
              <w:t>, RSPEI 1988, c P-9.1</w:t>
            </w:r>
          </w:p>
          <w:p w14:paraId="0BFDED8F" w14:textId="1CB0AAE3" w:rsidR="00B8348C" w:rsidRPr="00F52884" w:rsidRDefault="00B8348C" w:rsidP="000C25A3">
            <w:pPr>
              <w:pStyle w:val="NoSpacing"/>
              <w:spacing w:before="60" w:after="60"/>
              <w:rPr>
                <w:rFonts w:cstheme="minorHAnsi"/>
                <w:sz w:val="23"/>
                <w:szCs w:val="23"/>
              </w:rPr>
            </w:pPr>
            <w:r w:rsidRPr="00F52884">
              <w:rPr>
                <w:rFonts w:eastAsia="Times New Roman" w:cstheme="minorHAnsi"/>
                <w:i/>
                <w:iCs/>
                <w:sz w:val="23"/>
                <w:szCs w:val="23"/>
                <w:lang w:val="en-US"/>
              </w:rPr>
              <w:t>Animal Welfare Act</w:t>
            </w:r>
            <w:r w:rsidRPr="00F52884">
              <w:rPr>
                <w:rFonts w:eastAsia="Times New Roman" w:cstheme="minorHAnsi"/>
                <w:sz w:val="23"/>
                <w:szCs w:val="23"/>
                <w:lang w:val="en-US"/>
              </w:rPr>
              <w:t xml:space="preserve">, SPEI 2015 (non </w:t>
            </w:r>
            <w:proofErr w:type="spellStart"/>
            <w:r w:rsidRPr="00F52884">
              <w:rPr>
                <w:rFonts w:eastAsia="Times New Roman" w:cstheme="minorHAnsi"/>
                <w:sz w:val="23"/>
                <w:szCs w:val="23"/>
                <w:lang w:val="en-US"/>
              </w:rPr>
              <w:t>proclamée</w:t>
            </w:r>
            <w:proofErr w:type="spellEnd"/>
            <w:r w:rsidRPr="00F52884">
              <w:rPr>
                <w:rFonts w:eastAsia="Times New Roman" w:cstheme="minorHAnsi"/>
                <w:sz w:val="23"/>
                <w:szCs w:val="23"/>
                <w:lang w:val="en-US"/>
              </w:rPr>
              <w:t>)</w:t>
            </w:r>
          </w:p>
        </w:tc>
      </w:tr>
      <w:tr w:rsidR="00B8348C" w:rsidRPr="00F52884" w14:paraId="459BF5AF" w14:textId="77777777" w:rsidTr="00110B78">
        <w:trPr>
          <w:trHeight w:val="49"/>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F9B586C"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4697A26" w14:textId="77777777" w:rsidTr="00110B78">
        <w:trPr>
          <w:trHeight w:val="66"/>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0B2D1B3C" w14:textId="0204F465" w:rsidR="00B8348C" w:rsidRPr="00F52884" w:rsidRDefault="00B8348C" w:rsidP="00B8348C">
            <w:pPr>
              <w:pStyle w:val="ListParagraph"/>
              <w:numPr>
                <w:ilvl w:val="0"/>
                <w:numId w:val="122"/>
              </w:numPr>
              <w:autoSpaceDE w:val="0"/>
              <w:autoSpaceDN w:val="0"/>
              <w:adjustRightInd w:val="0"/>
              <w:spacing w:before="120" w:after="120"/>
              <w:ind w:left="366"/>
              <w:contextualSpacing w:val="0"/>
              <w:rPr>
                <w:rFonts w:cstheme="minorHAnsi"/>
                <w:szCs w:val="23"/>
                <w:lang w:val="fr-FR"/>
              </w:rPr>
            </w:pPr>
            <w:r w:rsidRPr="00F52884">
              <w:rPr>
                <w:rFonts w:cstheme="minorHAnsi"/>
                <w:szCs w:val="23"/>
                <w:lang w:val="fr-CA"/>
              </w:rPr>
              <w:t>Les mesures susmentionnées permettent au gouvernement de l’Île-du-Prince-Édouard de réglementer et d’accorder diverses autorisations à l’égard de toute question relative à la commercialisation, y compris l’achat, la vente, le conditionnement, le classement, l’entreposage, la transformation, l’expédition pour la vente ou l’entreposage, la promotion, la recherche ou la mise en vente de produits alimentaires et de produits de poissons, notamment de volailles, d’œufs, de produits laitiers, de porcs, de bovins, de pommes de terre et de dindes. Cela comprend la production et le transport requis pour assurer l’application de ces lois. L’exception visant Droit d’entrée et de sortie est limitée aux produits de poissons et de l’aquaculture.</w:t>
            </w:r>
          </w:p>
          <w:p w14:paraId="5C7A8C69" w14:textId="13207347" w:rsidR="00B8348C" w:rsidRPr="00F52884" w:rsidRDefault="00B8348C" w:rsidP="00B8348C">
            <w:pPr>
              <w:pStyle w:val="ListParagraph"/>
              <w:numPr>
                <w:ilvl w:val="0"/>
                <w:numId w:val="122"/>
              </w:numPr>
              <w:spacing w:before="120" w:after="120"/>
              <w:ind w:left="366"/>
              <w:contextualSpacing w:val="0"/>
              <w:rPr>
                <w:rFonts w:cstheme="minorHAnsi"/>
                <w:szCs w:val="23"/>
                <w:lang w:val="fr-FR"/>
              </w:rPr>
            </w:pPr>
            <w:r w:rsidRPr="00F52884">
              <w:rPr>
                <w:rFonts w:cstheme="minorHAnsi"/>
                <w:szCs w:val="23"/>
                <w:lang w:val="fr-CA"/>
              </w:rPr>
              <w:t>Sans restreindre la portée générale de ce qui précède, ces mesures peuvent supposer la prise de décisions discrétionnaires fondées sur divers facteurs, l’imposition de prescriptions de résultats, le droit d’entrée et de sortie ou encore la discrimination en faveur de résidents de l’Île-du-Prince-Édouard ou d’entités établies selon la législation du Canada ou d’une province ou d’un territoire du Canada qui ont un lieu d’affaires à l’Île-du-Prince-Édouard et y effectuent des opérations commerciales substantielles.</w:t>
            </w:r>
          </w:p>
        </w:tc>
      </w:tr>
    </w:tbl>
    <w:p w14:paraId="3D7FF41F" w14:textId="77777777" w:rsidR="00B8348C" w:rsidRPr="00F52884" w:rsidRDefault="00B8348C" w:rsidP="000C25A3">
      <w:pPr>
        <w:rPr>
          <w:rFonts w:cstheme="minorHAnsi"/>
          <w:szCs w:val="23"/>
          <w:lang w:val="fr-FR"/>
        </w:rPr>
      </w:pPr>
    </w:p>
    <w:p w14:paraId="70C52DD0" w14:textId="77777777" w:rsidR="00B8348C" w:rsidRPr="00F52884" w:rsidRDefault="00B8348C" w:rsidP="000C25A3">
      <w:pPr>
        <w:rPr>
          <w:rFonts w:cstheme="minorHAnsi"/>
          <w:szCs w:val="23"/>
          <w:lang w:val="fr-FR"/>
        </w:rPr>
      </w:pPr>
    </w:p>
    <w:p w14:paraId="577B7B9F" w14:textId="0688F82E"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6.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04C42496" w14:textId="77777777" w:rsidTr="00FA228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74274BA"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0B84E7FA" w14:textId="77777777" w:rsidR="00B8348C" w:rsidRPr="00F52884" w:rsidRDefault="00B8348C" w:rsidP="000C25A3">
            <w:pPr>
              <w:spacing w:before="60" w:after="60"/>
              <w:rPr>
                <w:rFonts w:cstheme="minorHAnsi"/>
                <w:szCs w:val="23"/>
              </w:rPr>
            </w:pPr>
            <w:r w:rsidRPr="00F52884">
              <w:rPr>
                <w:rFonts w:cstheme="minorHAnsi"/>
                <w:szCs w:val="23"/>
                <w:lang w:val="fr-CA"/>
              </w:rPr>
              <w:t>Pêches, aquaculture</w:t>
            </w:r>
          </w:p>
        </w:tc>
      </w:tr>
      <w:tr w:rsidR="00B8348C" w:rsidRPr="00D315AF" w14:paraId="5D18EF86" w14:textId="77777777" w:rsidTr="00FA228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73BC3BE5"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1752C33E"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commerce de gros de produits de la pêche, services annexes à la pêche</w:t>
            </w:r>
          </w:p>
        </w:tc>
      </w:tr>
      <w:tr w:rsidR="00B8348C" w:rsidRPr="00F52884" w14:paraId="2C984C62" w14:textId="77777777" w:rsidTr="00FA228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20A9C4E5" w14:textId="77777777" w:rsidR="00B8348C" w:rsidRPr="00F52884" w:rsidRDefault="00B8348C" w:rsidP="000C25A3">
            <w:pPr>
              <w:spacing w:before="60" w:after="60"/>
              <w:rPr>
                <w:rFonts w:cstheme="minorHAnsi"/>
                <w:szCs w:val="23"/>
              </w:rPr>
            </w:pPr>
            <w:r w:rsidRPr="00F52884">
              <w:rPr>
                <w:rFonts w:cstheme="minorHAnsi"/>
                <w:b/>
                <w:bCs/>
                <w:szCs w:val="23"/>
                <w:lang w:val="fr-CA"/>
              </w:rPr>
              <w:lastRenderedPageBreak/>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2BF3372C" w14:textId="77777777" w:rsidR="00B8348C" w:rsidRPr="00F52884" w:rsidRDefault="00B8348C" w:rsidP="000C25A3">
            <w:pPr>
              <w:spacing w:before="60" w:after="60"/>
              <w:rPr>
                <w:rFonts w:cstheme="minorHAnsi"/>
                <w:b/>
                <w:szCs w:val="23"/>
              </w:rPr>
            </w:pPr>
            <w:r w:rsidRPr="00F52884">
              <w:rPr>
                <w:rFonts w:cstheme="minorHAnsi"/>
                <w:szCs w:val="23"/>
                <w:lang w:val="fr-CA"/>
              </w:rPr>
              <w:t>CPC 04, 62224, 882</w:t>
            </w:r>
          </w:p>
        </w:tc>
      </w:tr>
      <w:tr w:rsidR="00B8348C" w:rsidRPr="00D315AF" w14:paraId="4C018BEC" w14:textId="77777777" w:rsidTr="00FA2285">
        <w:trPr>
          <w:trHeight w:val="42"/>
          <w:jc w:val="center"/>
        </w:trPr>
        <w:tc>
          <w:tcPr>
            <w:tcW w:w="2430" w:type="dxa"/>
            <w:tcBorders>
              <w:top w:val="single" w:sz="4" w:space="0" w:color="C0C0C0"/>
              <w:left w:val="nil"/>
              <w:bottom w:val="single" w:sz="4" w:space="0" w:color="C0C0C0"/>
              <w:right w:val="single" w:sz="4" w:space="0" w:color="FFFFFF"/>
            </w:tcBorders>
          </w:tcPr>
          <w:p w14:paraId="69B70452"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2D2DAAE3" w14:textId="1EB7DC16"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301 (Droit d’entrée et de sortie), article 313 (Prescriptions de résultats)</w:t>
            </w:r>
          </w:p>
        </w:tc>
      </w:tr>
      <w:tr w:rsidR="00B8348C" w:rsidRPr="00F52884" w14:paraId="2BD67DDB" w14:textId="77777777" w:rsidTr="00FA228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7261C52F"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D227F61" w14:textId="77777777" w:rsidTr="00FA228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EA7160B" w14:textId="616B6753"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Fisheries Act</w:t>
            </w:r>
            <w:r w:rsidRPr="00F52884">
              <w:rPr>
                <w:rFonts w:eastAsia="Times New Roman" w:cstheme="minorHAnsi"/>
                <w:sz w:val="23"/>
                <w:szCs w:val="23"/>
                <w:lang w:val="en-US"/>
              </w:rPr>
              <w:t>, RSPEI 1988, c F-13.01</w:t>
            </w:r>
          </w:p>
          <w:p w14:paraId="4B059BE2" w14:textId="2E098714"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Fish Inspection Act</w:t>
            </w:r>
            <w:r w:rsidRPr="00F52884">
              <w:rPr>
                <w:rFonts w:eastAsia="Times New Roman" w:cstheme="minorHAnsi"/>
                <w:sz w:val="23"/>
                <w:szCs w:val="23"/>
                <w:lang w:val="en-US"/>
              </w:rPr>
              <w:t>, RSPEI 1988, c F-13</w:t>
            </w:r>
          </w:p>
          <w:p w14:paraId="3139F88E" w14:textId="4CA798FF"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Certified Fisheries Organizations Support Act</w:t>
            </w:r>
            <w:r w:rsidRPr="00F52884">
              <w:rPr>
                <w:rFonts w:eastAsia="Times New Roman" w:cstheme="minorHAnsi"/>
                <w:sz w:val="23"/>
                <w:szCs w:val="23"/>
                <w:lang w:val="en-US"/>
              </w:rPr>
              <w:t>, RSPEI 1988, c C-2.1</w:t>
            </w:r>
          </w:p>
          <w:p w14:paraId="1801360E" w14:textId="7B06F219" w:rsidR="00B8348C" w:rsidRPr="00F52884" w:rsidRDefault="00B8348C" w:rsidP="000C25A3">
            <w:pPr>
              <w:pStyle w:val="NoSpacing"/>
              <w:spacing w:before="60" w:after="60"/>
              <w:rPr>
                <w:rFonts w:eastAsia="Times New Roman" w:cstheme="minorHAnsi"/>
                <w:sz w:val="23"/>
                <w:szCs w:val="23"/>
              </w:rPr>
            </w:pPr>
            <w:r w:rsidRPr="00F52884">
              <w:rPr>
                <w:rFonts w:eastAsia="Times New Roman" w:cstheme="minorHAnsi"/>
                <w:i/>
                <w:iCs/>
                <w:sz w:val="23"/>
                <w:szCs w:val="23"/>
                <w:lang w:val="en-US"/>
              </w:rPr>
              <w:t>Natural Products Marketing Act</w:t>
            </w:r>
            <w:r w:rsidRPr="00F52884">
              <w:rPr>
                <w:rFonts w:eastAsia="Times New Roman" w:cstheme="minorHAnsi"/>
                <w:sz w:val="23"/>
                <w:szCs w:val="23"/>
                <w:lang w:val="en-US"/>
              </w:rPr>
              <w:t>, RSPEI 1988, c N-3</w:t>
            </w:r>
          </w:p>
          <w:p w14:paraId="01838218" w14:textId="52C472CD" w:rsidR="00B8348C" w:rsidRPr="00F52884" w:rsidRDefault="00B8348C" w:rsidP="000C25A3">
            <w:pPr>
              <w:pStyle w:val="NoSpacing"/>
              <w:spacing w:before="60" w:after="60"/>
              <w:rPr>
                <w:rFonts w:cstheme="minorHAnsi"/>
                <w:sz w:val="23"/>
                <w:szCs w:val="23"/>
              </w:rPr>
            </w:pPr>
            <w:r w:rsidRPr="00F52884">
              <w:rPr>
                <w:rFonts w:eastAsia="Times New Roman" w:cstheme="minorHAnsi"/>
                <w:i/>
                <w:iCs/>
                <w:sz w:val="23"/>
                <w:szCs w:val="23"/>
                <w:lang w:val="en-US"/>
              </w:rPr>
              <w:t>Plant Health Act</w:t>
            </w:r>
            <w:r w:rsidRPr="00F52884">
              <w:rPr>
                <w:rFonts w:eastAsia="Times New Roman" w:cstheme="minorHAnsi"/>
                <w:sz w:val="23"/>
                <w:szCs w:val="23"/>
                <w:lang w:val="en-US"/>
              </w:rPr>
              <w:t>, RSPEI 1988, c </w:t>
            </w:r>
            <w:r w:rsidRPr="00B04E29">
              <w:rPr>
                <w:rFonts w:eastAsia="Times New Roman" w:cstheme="minorHAnsi"/>
                <w:sz w:val="23"/>
                <w:szCs w:val="23"/>
              </w:rPr>
              <w:t>P-9.1</w:t>
            </w:r>
          </w:p>
        </w:tc>
      </w:tr>
      <w:tr w:rsidR="00B8348C" w:rsidRPr="00F52884" w14:paraId="29493B96" w14:textId="77777777" w:rsidTr="00FA228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1F7D699C"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6C337F8" w14:textId="77777777" w:rsidTr="00FA228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97FA445" w14:textId="39C8A62E" w:rsidR="00B8348C" w:rsidRPr="00F52884" w:rsidRDefault="00B8348C" w:rsidP="00B8348C">
            <w:pPr>
              <w:pStyle w:val="ListParagraph"/>
              <w:numPr>
                <w:ilvl w:val="0"/>
                <w:numId w:val="123"/>
              </w:numPr>
              <w:autoSpaceDE w:val="0"/>
              <w:autoSpaceDN w:val="0"/>
              <w:adjustRightInd w:val="0"/>
              <w:spacing w:before="120" w:after="120"/>
              <w:ind w:left="366" w:hanging="366"/>
              <w:contextualSpacing w:val="0"/>
              <w:rPr>
                <w:rFonts w:cstheme="minorHAnsi"/>
                <w:szCs w:val="23"/>
                <w:lang w:val="fr-FR"/>
              </w:rPr>
            </w:pPr>
            <w:r w:rsidRPr="00F52884">
              <w:rPr>
                <w:rFonts w:cstheme="minorHAnsi"/>
                <w:szCs w:val="23"/>
                <w:lang w:val="fr-CA"/>
              </w:rPr>
              <w:t xml:space="preserve">Ces mesures permettent au gouvernement de l’Île-du-Prince-Édouard de réglementer et d’accorder diverses autorisations à l’égard de toute question relative aux ressources et aux produits de la pêche, y compris le maintien et la mise en valeur des ressources de la pêche, l’achat et la transformation du poisson, et tout autre aspect ou question en vue d’assurer l’application intégrale de ces </w:t>
            </w:r>
            <w:proofErr w:type="gramStart"/>
            <w:r w:rsidRPr="00F52884">
              <w:rPr>
                <w:rFonts w:cstheme="minorHAnsi"/>
                <w:iCs/>
                <w:szCs w:val="23"/>
                <w:lang w:val="fr-CA"/>
              </w:rPr>
              <w:t>Lois</w:t>
            </w:r>
            <w:r w:rsidRPr="00F52884">
              <w:rPr>
                <w:rFonts w:cstheme="minorHAnsi"/>
                <w:szCs w:val="23"/>
                <w:lang w:val="fr-CA"/>
              </w:rPr>
              <w:t>,.</w:t>
            </w:r>
            <w:proofErr w:type="gramEnd"/>
          </w:p>
          <w:p w14:paraId="30CDEB28" w14:textId="619C04C1" w:rsidR="00B8348C" w:rsidRPr="00F52884" w:rsidRDefault="00B8348C" w:rsidP="00B8348C">
            <w:pPr>
              <w:pStyle w:val="ListParagraph"/>
              <w:numPr>
                <w:ilvl w:val="0"/>
                <w:numId w:val="123"/>
              </w:numPr>
              <w:autoSpaceDE w:val="0"/>
              <w:autoSpaceDN w:val="0"/>
              <w:adjustRightInd w:val="0"/>
              <w:spacing w:before="120" w:after="120"/>
              <w:ind w:left="366" w:hanging="366"/>
              <w:contextualSpacing w:val="0"/>
              <w:rPr>
                <w:rFonts w:cstheme="minorHAnsi"/>
                <w:szCs w:val="23"/>
                <w:lang w:val="fr-FR"/>
              </w:rPr>
            </w:pPr>
            <w:r w:rsidRPr="00F52884">
              <w:rPr>
                <w:rFonts w:cstheme="minorHAnsi"/>
                <w:szCs w:val="23"/>
                <w:lang w:val="fr-CA"/>
              </w:rPr>
              <w:t>Sans restreindre la portée générale de ce qui précède, ces mesures peuvent supposer la prise de décisions discrétionnaires fondées sur divers facteurs, l’imposition de prescriptions de résultats, le droit d’entrée et de sortie ou encore la discrimination en faveur de résidents de l’Île-du-Prince-Édouard ou d’entités établies selon la législation du Canada ou d’une province ou d’un territoire du Canada qui ont un lieu d’affaires à l’Île-du-Prince-Édouard et y effectuent des opérations commerciales substantielles.</w:t>
            </w:r>
          </w:p>
        </w:tc>
      </w:tr>
    </w:tbl>
    <w:p w14:paraId="6A470826" w14:textId="77777777" w:rsidR="00B8348C" w:rsidRPr="00F52884" w:rsidRDefault="00B8348C" w:rsidP="000C25A3">
      <w:pPr>
        <w:rPr>
          <w:rFonts w:cstheme="minorHAnsi"/>
          <w:szCs w:val="23"/>
          <w:lang w:val="fr-FR"/>
        </w:rPr>
      </w:pPr>
    </w:p>
    <w:p w14:paraId="42107897" w14:textId="77777777" w:rsidR="00B8348C" w:rsidRPr="00F52884" w:rsidRDefault="00B8348C" w:rsidP="000C25A3">
      <w:pPr>
        <w:rPr>
          <w:rFonts w:cstheme="minorHAnsi"/>
          <w:szCs w:val="23"/>
          <w:lang w:val="fr-FR"/>
        </w:rPr>
      </w:pPr>
    </w:p>
    <w:p w14:paraId="0CEF0A15" w14:textId="346291A5"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7.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22E1A1C3" w14:textId="77777777" w:rsidTr="00110B78">
        <w:trPr>
          <w:trHeight w:val="363"/>
          <w:jc w:val="center"/>
        </w:trPr>
        <w:tc>
          <w:tcPr>
            <w:tcW w:w="2430" w:type="dxa"/>
            <w:tcBorders>
              <w:top w:val="single" w:sz="4" w:space="0" w:color="C0C0C0"/>
              <w:left w:val="nil"/>
              <w:bottom w:val="single" w:sz="4" w:space="0" w:color="C0C0C0"/>
              <w:right w:val="single" w:sz="4" w:space="0" w:color="FFFFFF"/>
            </w:tcBorders>
            <w:vAlign w:val="center"/>
          </w:tcPr>
          <w:p w14:paraId="49627735"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61841334"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D315AF" w14:paraId="728429DD" w14:textId="77777777" w:rsidTr="00110B78">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45077095"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4976ED8E" w14:textId="77777777" w:rsidR="00B8348C" w:rsidRPr="00F52884" w:rsidRDefault="00B8348C" w:rsidP="000C25A3">
            <w:pPr>
              <w:spacing w:before="60" w:after="60"/>
              <w:rPr>
                <w:rFonts w:cstheme="minorHAnsi"/>
                <w:szCs w:val="23"/>
                <w:lang w:val="fr-FR"/>
              </w:rPr>
            </w:pPr>
            <w:r w:rsidRPr="00F52884">
              <w:rPr>
                <w:rFonts w:cstheme="minorHAnsi"/>
                <w:szCs w:val="23"/>
                <w:lang w:val="fr-CA"/>
              </w:rPr>
              <w:t>Électricité, pétrole et gaz naturel, services annexes à la distribution d’énergie</w:t>
            </w:r>
          </w:p>
        </w:tc>
      </w:tr>
      <w:tr w:rsidR="00B8348C" w:rsidRPr="00F52884" w14:paraId="4B602ACA" w14:textId="77777777" w:rsidTr="00110B78">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346F5DA"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64527BB1" w14:textId="77777777" w:rsidR="00B8348C" w:rsidRPr="00F52884" w:rsidRDefault="00B8348C" w:rsidP="000C25A3">
            <w:pPr>
              <w:spacing w:before="60" w:after="60"/>
              <w:rPr>
                <w:rFonts w:cstheme="minorHAnsi"/>
                <w:b/>
                <w:szCs w:val="23"/>
              </w:rPr>
            </w:pPr>
            <w:r w:rsidRPr="00F52884">
              <w:rPr>
                <w:rFonts w:cstheme="minorHAnsi"/>
                <w:szCs w:val="23"/>
                <w:lang w:val="fr-CA"/>
              </w:rPr>
              <w:t>CPC 17, 120, 887</w:t>
            </w:r>
          </w:p>
        </w:tc>
      </w:tr>
      <w:tr w:rsidR="00B8348C" w:rsidRPr="00D315AF" w14:paraId="468D4220" w14:textId="77777777" w:rsidTr="00110B78">
        <w:trPr>
          <w:trHeight w:val="42"/>
          <w:jc w:val="center"/>
        </w:trPr>
        <w:tc>
          <w:tcPr>
            <w:tcW w:w="2430" w:type="dxa"/>
            <w:tcBorders>
              <w:top w:val="single" w:sz="4" w:space="0" w:color="C0C0C0"/>
              <w:left w:val="nil"/>
              <w:bottom w:val="single" w:sz="4" w:space="0" w:color="C0C0C0"/>
              <w:right w:val="single" w:sz="4" w:space="0" w:color="FFFFFF"/>
            </w:tcBorders>
          </w:tcPr>
          <w:p w14:paraId="43565A07"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62C8A5CB" w14:textId="788FCA6F"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301 (Droit d’entrée et de sortie), article 313 (Prescriptions de résultats)</w:t>
            </w:r>
          </w:p>
        </w:tc>
      </w:tr>
      <w:tr w:rsidR="00B8348C" w:rsidRPr="00F52884" w14:paraId="7A46D9CE" w14:textId="77777777" w:rsidTr="00110B78">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42E9640"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36649846" w14:textId="77777777" w:rsidTr="00110B78">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B1EBBC2" w14:textId="315DFBCE"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Energy Corporation Act</w:t>
            </w:r>
            <w:r w:rsidRPr="00F52884">
              <w:rPr>
                <w:rFonts w:eastAsia="Times New Roman" w:cstheme="minorHAnsi"/>
                <w:sz w:val="23"/>
                <w:szCs w:val="23"/>
                <w:lang w:val="en-US"/>
              </w:rPr>
              <w:t>, RSPEI 1988, c E-7</w:t>
            </w:r>
          </w:p>
          <w:p w14:paraId="3515C823" w14:textId="56462C74"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Renewable Energy Act</w:t>
            </w:r>
            <w:r w:rsidRPr="00F52884">
              <w:rPr>
                <w:rFonts w:eastAsia="Times New Roman" w:cstheme="minorHAnsi"/>
                <w:sz w:val="23"/>
                <w:szCs w:val="23"/>
                <w:lang w:val="en-US"/>
              </w:rPr>
              <w:t>, RSPEI 1988, c R-12.1</w:t>
            </w:r>
          </w:p>
          <w:p w14:paraId="1FABA535" w14:textId="1BAAED2D"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Oil and Natural Gas Act</w:t>
            </w:r>
            <w:r w:rsidRPr="00F52884">
              <w:rPr>
                <w:rFonts w:eastAsia="Times New Roman" w:cstheme="minorHAnsi"/>
                <w:sz w:val="23"/>
                <w:szCs w:val="23"/>
                <w:lang w:val="en-US"/>
              </w:rPr>
              <w:t>, RSPEI 1988, c O-5</w:t>
            </w:r>
          </w:p>
          <w:p w14:paraId="16EDA877" w14:textId="4789A24F"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Electric Power Act</w:t>
            </w:r>
            <w:r w:rsidRPr="00F52884">
              <w:rPr>
                <w:rFonts w:eastAsia="Times New Roman" w:cstheme="minorHAnsi"/>
                <w:sz w:val="23"/>
                <w:szCs w:val="23"/>
                <w:lang w:val="en-US"/>
              </w:rPr>
              <w:t>, RSPEI 1988, c </w:t>
            </w:r>
            <w:r w:rsidRPr="00B04E29">
              <w:rPr>
                <w:rFonts w:eastAsia="Times New Roman" w:cstheme="minorHAnsi"/>
                <w:sz w:val="23"/>
                <w:szCs w:val="23"/>
              </w:rPr>
              <w:t>E-4</w:t>
            </w:r>
          </w:p>
        </w:tc>
      </w:tr>
      <w:tr w:rsidR="00B8348C" w:rsidRPr="00F52884" w14:paraId="4B7292F2" w14:textId="77777777" w:rsidTr="00110B78">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4C32945D"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73193E1E" w14:textId="77777777" w:rsidTr="00110B78">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57C1B9E" w14:textId="06249E06" w:rsidR="00B8348C" w:rsidRPr="00F52884" w:rsidRDefault="00B8348C" w:rsidP="00B8348C">
            <w:pPr>
              <w:pStyle w:val="ListParagraph"/>
              <w:numPr>
                <w:ilvl w:val="0"/>
                <w:numId w:val="124"/>
              </w:numPr>
              <w:autoSpaceDE w:val="0"/>
              <w:autoSpaceDN w:val="0"/>
              <w:adjustRightInd w:val="0"/>
              <w:spacing w:before="120" w:after="120"/>
              <w:ind w:left="366"/>
              <w:contextualSpacing w:val="0"/>
              <w:rPr>
                <w:rFonts w:cstheme="minorHAnsi"/>
                <w:szCs w:val="23"/>
                <w:lang w:val="fr-FR"/>
              </w:rPr>
            </w:pPr>
            <w:r w:rsidRPr="00F52884">
              <w:rPr>
                <w:rFonts w:cstheme="minorHAnsi"/>
                <w:szCs w:val="23"/>
                <w:lang w:val="fr-CA"/>
              </w:rPr>
              <w:lastRenderedPageBreak/>
              <w:t xml:space="preserve">Ces mesures permettent au gouvernement de l’Île-du-Prince-Édouard de réglementer et d’accorder diverses autorisations à l’égard de toute question relative à l’énergie et à la filière énergétique, le pétrole brut et le gaz naturel et les sources d’énergie renouvelable, y compris la production, l’accumulation, le transport, la distribution, la fourniture, l’achat, l’utilisation et l’aliénation de l’énergie ainsi que le forage de puits, la production et la conservation du pétrole et du gaz naturel, et de façon générale pour assurer l’application de ces </w:t>
            </w:r>
            <w:r w:rsidRPr="00F52884">
              <w:rPr>
                <w:rFonts w:cstheme="minorHAnsi"/>
                <w:iCs/>
                <w:szCs w:val="23"/>
                <w:lang w:val="fr-CA"/>
              </w:rPr>
              <w:t>Lois</w:t>
            </w:r>
            <w:r w:rsidRPr="00F52884">
              <w:rPr>
                <w:rFonts w:cstheme="minorHAnsi"/>
                <w:szCs w:val="23"/>
                <w:lang w:val="fr-CA"/>
              </w:rPr>
              <w:t>.</w:t>
            </w:r>
          </w:p>
          <w:p w14:paraId="053C3DBD" w14:textId="45CF002E" w:rsidR="00B8348C" w:rsidRPr="00F52884" w:rsidRDefault="00B8348C" w:rsidP="00B8348C">
            <w:pPr>
              <w:pStyle w:val="ListParagraph"/>
              <w:numPr>
                <w:ilvl w:val="0"/>
                <w:numId w:val="124"/>
              </w:numPr>
              <w:spacing w:before="120" w:after="120"/>
              <w:ind w:left="366"/>
              <w:contextualSpacing w:val="0"/>
              <w:rPr>
                <w:rFonts w:cstheme="minorHAnsi"/>
                <w:szCs w:val="23"/>
                <w:lang w:val="fr-FR"/>
              </w:rPr>
            </w:pPr>
            <w:r w:rsidRPr="00F52884">
              <w:rPr>
                <w:rFonts w:cstheme="minorHAnsi"/>
                <w:szCs w:val="23"/>
                <w:lang w:val="fr-CA"/>
              </w:rPr>
              <w:t>Sans restreindre la portée générale de ce qui précède, ces mesures peuvent supposer la prise de décisions discrétionnaires fondées sur divers facteurs, l’imposition de prescriptions de résultats, le droit d’entrée et de sortie ou encore la discrimination en faveur de résidents de l’Île-du-Prince-Édouard ou d’entités établies selon la législation du Canada ou d’une province ou d’un territoire du Canada qui ont un lieu d’affaires à l’Île-du-Prince-Édouard et y effectuent des opérations commerciales substantielles.</w:t>
            </w:r>
          </w:p>
        </w:tc>
      </w:tr>
    </w:tbl>
    <w:p w14:paraId="2A710986" w14:textId="77777777" w:rsidR="00B8348C" w:rsidRPr="00F52884" w:rsidRDefault="00B8348C" w:rsidP="000C25A3">
      <w:pPr>
        <w:rPr>
          <w:rFonts w:cstheme="minorHAnsi"/>
          <w:szCs w:val="23"/>
          <w:lang w:val="fr-FR"/>
        </w:rPr>
      </w:pPr>
    </w:p>
    <w:p w14:paraId="4D8720A3" w14:textId="77777777" w:rsidR="00B8348C" w:rsidRPr="00F52884" w:rsidRDefault="00B8348C" w:rsidP="000C25A3">
      <w:pPr>
        <w:rPr>
          <w:rFonts w:cstheme="minorHAnsi"/>
          <w:szCs w:val="23"/>
          <w:lang w:val="fr-FR"/>
        </w:rPr>
      </w:pPr>
    </w:p>
    <w:p w14:paraId="53FBE794" w14:textId="01E4F89F"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8.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D315AF" w14:paraId="763BE04B" w14:textId="77777777" w:rsidTr="00110B78">
        <w:trPr>
          <w:trHeight w:val="363"/>
          <w:jc w:val="center"/>
        </w:trPr>
        <w:tc>
          <w:tcPr>
            <w:tcW w:w="2430" w:type="dxa"/>
            <w:tcBorders>
              <w:top w:val="single" w:sz="4" w:space="0" w:color="C0C0C0"/>
              <w:left w:val="nil"/>
              <w:bottom w:val="single" w:sz="4" w:space="0" w:color="C0C0C0"/>
              <w:right w:val="single" w:sz="4" w:space="0" w:color="FFFFFF"/>
            </w:tcBorders>
            <w:vAlign w:val="center"/>
          </w:tcPr>
          <w:p w14:paraId="01EFF4DB"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6D913219" w14:textId="77777777" w:rsidR="00B8348C" w:rsidRPr="00F52884" w:rsidRDefault="00B8348C" w:rsidP="000C25A3">
            <w:pPr>
              <w:spacing w:before="60" w:after="60"/>
              <w:rPr>
                <w:rFonts w:cstheme="minorHAnsi"/>
                <w:szCs w:val="23"/>
                <w:lang w:val="fr-FR"/>
              </w:rPr>
            </w:pPr>
            <w:r w:rsidRPr="00F52884">
              <w:rPr>
                <w:rFonts w:cstheme="minorHAnsi"/>
                <w:szCs w:val="23"/>
                <w:lang w:val="fr-CA"/>
              </w:rPr>
              <w:t>Agriculture, sylviculture et produits de la pêche</w:t>
            </w:r>
          </w:p>
        </w:tc>
      </w:tr>
      <w:tr w:rsidR="00B8348C" w:rsidRPr="00D315AF" w14:paraId="59731612" w14:textId="77777777" w:rsidTr="00110B78">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72188DB6"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330171AF"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Sylviculture et produits de l’exploitation forestière</w:t>
            </w:r>
          </w:p>
        </w:tc>
      </w:tr>
      <w:tr w:rsidR="00B8348C" w:rsidRPr="00F52884" w14:paraId="6EFA71B0" w14:textId="77777777" w:rsidTr="00110B78">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2F22A60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5F482D30" w14:textId="77777777" w:rsidR="00B8348C" w:rsidRPr="00F52884" w:rsidRDefault="00B8348C" w:rsidP="000C25A3">
            <w:pPr>
              <w:spacing w:before="60" w:after="60"/>
              <w:rPr>
                <w:rFonts w:cstheme="minorHAnsi"/>
                <w:b/>
                <w:szCs w:val="23"/>
              </w:rPr>
            </w:pPr>
            <w:r w:rsidRPr="00F52884">
              <w:rPr>
                <w:rFonts w:cstheme="minorHAnsi"/>
                <w:szCs w:val="23"/>
                <w:lang w:val="fr-CA"/>
              </w:rPr>
              <w:t>CPC 03</w:t>
            </w:r>
          </w:p>
        </w:tc>
      </w:tr>
      <w:tr w:rsidR="00B8348C" w:rsidRPr="00D315AF" w14:paraId="684C9D27" w14:textId="77777777" w:rsidTr="00110B78">
        <w:trPr>
          <w:trHeight w:val="42"/>
          <w:jc w:val="center"/>
        </w:trPr>
        <w:tc>
          <w:tcPr>
            <w:tcW w:w="2430" w:type="dxa"/>
            <w:tcBorders>
              <w:top w:val="single" w:sz="4" w:space="0" w:color="C0C0C0"/>
              <w:left w:val="nil"/>
              <w:bottom w:val="single" w:sz="4" w:space="0" w:color="C0C0C0"/>
              <w:right w:val="single" w:sz="4" w:space="0" w:color="FFFFFF"/>
            </w:tcBorders>
          </w:tcPr>
          <w:p w14:paraId="18E85251"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23AABE20" w14:textId="1981AB4E"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301 (Droit d’entrée et de sortie), article 313 (Prescriptions de résultats)</w:t>
            </w:r>
          </w:p>
        </w:tc>
      </w:tr>
      <w:tr w:rsidR="00B8348C" w:rsidRPr="00F52884" w14:paraId="4EDE0731" w14:textId="77777777" w:rsidTr="00110B78">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5E35BE9A"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77D82B0A" w14:textId="77777777" w:rsidTr="00110B78">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6C6B632" w14:textId="3C19C764"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Forest Management Act</w:t>
            </w:r>
            <w:r w:rsidRPr="00F52884">
              <w:rPr>
                <w:rFonts w:eastAsia="Times New Roman" w:cstheme="minorHAnsi"/>
                <w:sz w:val="23"/>
                <w:szCs w:val="23"/>
                <w:lang w:val="en-US"/>
              </w:rPr>
              <w:t>, RSPEI 1988, c F-14</w:t>
            </w:r>
          </w:p>
          <w:p w14:paraId="00487C60" w14:textId="2D93D1DE" w:rsidR="00B8348C" w:rsidRPr="00F52884" w:rsidRDefault="00B8348C" w:rsidP="000C25A3">
            <w:pPr>
              <w:pStyle w:val="NoSpacing"/>
              <w:spacing w:before="60" w:after="60"/>
              <w:rPr>
                <w:rFonts w:eastAsia="Times New Roman" w:cstheme="minorHAnsi"/>
                <w:i/>
                <w:sz w:val="23"/>
                <w:szCs w:val="23"/>
              </w:rPr>
            </w:pPr>
            <w:r w:rsidRPr="00F52884">
              <w:rPr>
                <w:rFonts w:eastAsia="Times New Roman" w:cstheme="minorHAnsi"/>
                <w:i/>
                <w:iCs/>
                <w:sz w:val="23"/>
                <w:szCs w:val="23"/>
                <w:lang w:val="en-US"/>
              </w:rPr>
              <w:t>Public Forest Council Act</w:t>
            </w:r>
            <w:r w:rsidRPr="00F52884">
              <w:rPr>
                <w:rFonts w:eastAsia="Times New Roman" w:cstheme="minorHAnsi"/>
                <w:sz w:val="23"/>
                <w:szCs w:val="23"/>
                <w:lang w:val="en-US"/>
              </w:rPr>
              <w:t>, RSPEI 1988, c </w:t>
            </w:r>
            <w:r w:rsidRPr="00B04E29">
              <w:rPr>
                <w:rFonts w:eastAsia="Times New Roman" w:cstheme="minorHAnsi"/>
                <w:sz w:val="23"/>
                <w:szCs w:val="23"/>
              </w:rPr>
              <w:t>P-29.1</w:t>
            </w:r>
          </w:p>
        </w:tc>
      </w:tr>
      <w:tr w:rsidR="00B8348C" w:rsidRPr="00F52884" w14:paraId="5AF2013D" w14:textId="77777777" w:rsidTr="00110B78">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AF8195E"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046C5268" w14:textId="77777777" w:rsidTr="00110B78">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126760D" w14:textId="3766EED0" w:rsidR="00B8348C" w:rsidRPr="00F52884" w:rsidRDefault="00B8348C" w:rsidP="00B8348C">
            <w:pPr>
              <w:pStyle w:val="ListParagraph"/>
              <w:numPr>
                <w:ilvl w:val="0"/>
                <w:numId w:val="125"/>
              </w:numPr>
              <w:autoSpaceDE w:val="0"/>
              <w:autoSpaceDN w:val="0"/>
              <w:adjustRightInd w:val="0"/>
              <w:spacing w:before="120" w:after="120"/>
              <w:ind w:left="366"/>
              <w:contextualSpacing w:val="0"/>
              <w:rPr>
                <w:rFonts w:eastAsia="Times New Roman" w:cstheme="minorHAnsi"/>
                <w:szCs w:val="23"/>
                <w:lang w:val="fr-FR"/>
              </w:rPr>
            </w:pPr>
            <w:r w:rsidRPr="00F52884">
              <w:rPr>
                <w:rFonts w:eastAsia="Times New Roman" w:cstheme="minorHAnsi"/>
                <w:szCs w:val="23"/>
                <w:lang w:val="fr-CA"/>
              </w:rPr>
              <w:t xml:space="preserve">Ces mesures permettent au gouvernement de l’Île-du-Prince-Édouard de réglementer et d’accorder diverses autorisations à l’égard de toute question relative aux produits forestiers, y compris la conservation, la protection, la récolte, l’extraction et la vente des produits forestiers, la délivrance des permis, l’agrément des sylviculteurs, l’importation de végétaux ou de matières végétales, les droits ou autres frais, et de façon générale pour assurer l’application de ces </w:t>
            </w:r>
            <w:r w:rsidRPr="00F52884">
              <w:rPr>
                <w:rFonts w:eastAsia="Times New Roman" w:cstheme="minorHAnsi"/>
                <w:iCs/>
                <w:szCs w:val="23"/>
                <w:lang w:val="fr-CA"/>
              </w:rPr>
              <w:t>Lois</w:t>
            </w:r>
            <w:r w:rsidRPr="00F52884">
              <w:rPr>
                <w:rFonts w:eastAsia="Times New Roman" w:cstheme="minorHAnsi"/>
                <w:szCs w:val="23"/>
                <w:lang w:val="fr-CA"/>
              </w:rPr>
              <w:t>.</w:t>
            </w:r>
          </w:p>
          <w:p w14:paraId="0B8B91FD" w14:textId="02E4824D" w:rsidR="00B8348C" w:rsidRPr="00F52884" w:rsidRDefault="00B8348C" w:rsidP="00B8348C">
            <w:pPr>
              <w:pStyle w:val="ListParagraph"/>
              <w:numPr>
                <w:ilvl w:val="0"/>
                <w:numId w:val="125"/>
              </w:numPr>
              <w:spacing w:before="120" w:after="120"/>
              <w:ind w:left="366" w:hanging="366"/>
              <w:contextualSpacing w:val="0"/>
              <w:rPr>
                <w:rFonts w:eastAsia="Times New Roman" w:cstheme="minorHAnsi"/>
                <w:szCs w:val="23"/>
                <w:lang w:val="fr-FR"/>
              </w:rPr>
            </w:pPr>
            <w:r w:rsidRPr="00F52884">
              <w:rPr>
                <w:rFonts w:eastAsia="Times New Roman" w:cstheme="minorHAnsi"/>
                <w:szCs w:val="23"/>
                <w:lang w:val="fr-CA"/>
              </w:rPr>
              <w:t>Sans restreindre la portée générale de ce qui précède, ces mesures peuvent supposer la prise de décisions discrétionnaires fondées sur divers facteurs, l’imposition de prescriptions de résultats, le droit d’entrée et de sortie ou encore la discrimination en faveur de résidents de l’Île-du-Prince-Édouard ou d’entités établies selon la législation du Canada ou d’une province ou d’un territoire du Canada qui ont un lieu d’affaires à l’Île-du-Prince-Édouard et y effectuent des opérations commerciales substantielles.</w:t>
            </w:r>
          </w:p>
        </w:tc>
      </w:tr>
    </w:tbl>
    <w:p w14:paraId="4AA21BCC" w14:textId="77777777" w:rsidR="00B8348C" w:rsidRPr="00F52884" w:rsidRDefault="00B8348C" w:rsidP="000C25A3">
      <w:pPr>
        <w:rPr>
          <w:rFonts w:cstheme="minorHAnsi"/>
          <w:szCs w:val="23"/>
          <w:lang w:val="fr-FR"/>
        </w:rPr>
      </w:pPr>
    </w:p>
    <w:p w14:paraId="48114DE8" w14:textId="77777777" w:rsidR="00B8348C" w:rsidRPr="00F52884" w:rsidRDefault="00B8348C" w:rsidP="000C25A3">
      <w:pPr>
        <w:rPr>
          <w:rFonts w:cstheme="minorHAnsi"/>
          <w:szCs w:val="23"/>
          <w:lang w:val="fr-FR"/>
        </w:rPr>
      </w:pPr>
    </w:p>
    <w:p w14:paraId="5AE68D3A" w14:textId="4DA6851C" w:rsidR="00B8348C" w:rsidRPr="00F52884" w:rsidRDefault="00B8348C" w:rsidP="00110B78">
      <w:pPr>
        <w:spacing w:before="60" w:after="60"/>
        <w:ind w:left="-360"/>
        <w:rPr>
          <w:rFonts w:cstheme="minorHAnsi"/>
          <w:b/>
          <w:caps/>
          <w:szCs w:val="23"/>
        </w:rPr>
      </w:pPr>
      <w:r w:rsidRPr="00F52884">
        <w:rPr>
          <w:rFonts w:cstheme="minorHAnsi"/>
          <w:b/>
          <w:bCs/>
          <w:caps/>
          <w:szCs w:val="23"/>
          <w:lang w:val="fr-CA"/>
        </w:rPr>
        <w:t xml:space="preserve">9. </w:t>
      </w:r>
      <w:r w:rsidR="00110B78" w:rsidRPr="00F52884">
        <w:rPr>
          <w:rFonts w:cstheme="minorHAnsi"/>
          <w:b/>
          <w:bCs/>
          <w:caps/>
          <w:szCs w:val="23"/>
          <w:lang w:val="fr-CA"/>
        </w:rPr>
        <w:t xml:space="preserve"> </w:t>
      </w:r>
      <w:r w:rsidRPr="00F52884">
        <w:rPr>
          <w:rFonts w:cstheme="minorHAnsi"/>
          <w:b/>
          <w:bCs/>
          <w:caps/>
          <w:szCs w:val="23"/>
          <w:lang w:val="fr-CA"/>
        </w:rPr>
        <w:t>Île-du-Prince-Édouard</w:t>
      </w:r>
    </w:p>
    <w:tbl>
      <w:tblPr>
        <w:tblW w:w="10162" w:type="dxa"/>
        <w:jc w:val="center"/>
        <w:tblCellMar>
          <w:top w:w="14" w:type="dxa"/>
          <w:left w:w="86" w:type="dxa"/>
          <w:bottom w:w="14" w:type="dxa"/>
          <w:right w:w="86" w:type="dxa"/>
        </w:tblCellMar>
        <w:tblLook w:val="0000" w:firstRow="0" w:lastRow="0" w:firstColumn="0" w:lastColumn="0" w:noHBand="0" w:noVBand="0"/>
      </w:tblPr>
      <w:tblGrid>
        <w:gridCol w:w="2340"/>
        <w:gridCol w:w="7443"/>
        <w:gridCol w:w="379"/>
      </w:tblGrid>
      <w:tr w:rsidR="00B8348C" w:rsidRPr="00F52884" w14:paraId="11F20C72" w14:textId="77777777" w:rsidTr="00110B78">
        <w:trPr>
          <w:trHeight w:val="363"/>
          <w:jc w:val="center"/>
        </w:trPr>
        <w:tc>
          <w:tcPr>
            <w:tcW w:w="2340" w:type="dxa"/>
            <w:tcBorders>
              <w:top w:val="single" w:sz="4" w:space="0" w:color="C0C0C0"/>
              <w:left w:val="nil"/>
              <w:bottom w:val="single" w:sz="4" w:space="0" w:color="C0C0C0"/>
              <w:right w:val="single" w:sz="4" w:space="0" w:color="FFFFFF"/>
            </w:tcBorders>
            <w:vAlign w:val="center"/>
          </w:tcPr>
          <w:p w14:paraId="59C4E301" w14:textId="77777777" w:rsidR="00B8348C" w:rsidRPr="00F52884" w:rsidRDefault="00B8348C" w:rsidP="000C25A3">
            <w:pPr>
              <w:spacing w:before="60" w:after="60"/>
              <w:rPr>
                <w:rFonts w:cstheme="minorHAnsi"/>
                <w:b/>
                <w:szCs w:val="23"/>
              </w:rPr>
            </w:pPr>
            <w:r w:rsidRPr="00F52884">
              <w:rPr>
                <w:rFonts w:cstheme="minorHAnsi"/>
                <w:szCs w:val="23"/>
                <w:lang w:val="fr-CA"/>
              </w:rPr>
              <w:lastRenderedPageBreak/>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71457DA5"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D315AF" w14:paraId="2788E5E3" w14:textId="77777777" w:rsidTr="00110B78">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0DD41B4D"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1D28210E"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Services de courtage, services de commerce de gros, services de commerce de détail (spiritueux, vin et bière; magasins de spiritueux, de vin et de bière), fabrication de boissons alcoolisées</w:t>
            </w:r>
          </w:p>
        </w:tc>
      </w:tr>
      <w:tr w:rsidR="00B8348C" w:rsidRPr="00F52884" w14:paraId="39B0180F" w14:textId="77777777" w:rsidTr="00110B78">
        <w:trPr>
          <w:gridAfter w:val="1"/>
          <w:wAfter w:w="379"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49E7FA19"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6372799B" w14:textId="77777777" w:rsidR="00B8348C" w:rsidRPr="00F52884" w:rsidRDefault="00B8348C" w:rsidP="000C25A3">
            <w:pPr>
              <w:spacing w:before="60" w:after="60"/>
              <w:rPr>
                <w:rFonts w:cstheme="minorHAnsi"/>
                <w:b/>
                <w:szCs w:val="23"/>
              </w:rPr>
            </w:pPr>
            <w:r w:rsidRPr="00F52884">
              <w:rPr>
                <w:rFonts w:cstheme="minorHAnsi"/>
                <w:szCs w:val="23"/>
                <w:lang w:val="fr-CA"/>
              </w:rPr>
              <w:t>CPC 24, 62112, 62226, 63107</w:t>
            </w:r>
          </w:p>
        </w:tc>
      </w:tr>
      <w:tr w:rsidR="00B8348C" w:rsidRPr="00D315AF" w14:paraId="606771B1" w14:textId="77777777" w:rsidTr="00110B78">
        <w:trPr>
          <w:trHeight w:val="42"/>
          <w:jc w:val="center"/>
        </w:trPr>
        <w:tc>
          <w:tcPr>
            <w:tcW w:w="2340" w:type="dxa"/>
            <w:tcBorders>
              <w:top w:val="single" w:sz="4" w:space="0" w:color="C0C0C0"/>
              <w:left w:val="nil"/>
              <w:bottom w:val="single" w:sz="4" w:space="0" w:color="C0C0C0"/>
              <w:right w:val="single" w:sz="4" w:space="0" w:color="FFFFFF"/>
            </w:tcBorders>
          </w:tcPr>
          <w:p w14:paraId="3397CEBE" w14:textId="7777777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61E319F3" w14:textId="007B89B1"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301 (Droit d’entrée et de sortie), article 313 (Prescriptions de résultats)</w:t>
            </w:r>
          </w:p>
        </w:tc>
      </w:tr>
      <w:tr w:rsidR="00B8348C" w:rsidRPr="00F52884" w14:paraId="315E5791" w14:textId="77777777" w:rsidTr="00110B78">
        <w:trPr>
          <w:trHeight w:val="42"/>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7B817B26"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6A65F317" w14:textId="77777777" w:rsidTr="00110B78">
        <w:trPr>
          <w:trHeight w:val="273"/>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0B522BC6" w14:textId="35F1311E" w:rsidR="00B8348C" w:rsidRPr="00F52884" w:rsidRDefault="00B8348C" w:rsidP="000C25A3">
            <w:pPr>
              <w:pStyle w:val="NoSpacing"/>
              <w:spacing w:before="60" w:after="60"/>
              <w:rPr>
                <w:rFonts w:eastAsia="Times New Roman" w:cstheme="minorHAnsi"/>
                <w:i/>
                <w:sz w:val="23"/>
                <w:szCs w:val="23"/>
              </w:rPr>
            </w:pPr>
            <w:r w:rsidRPr="00F52884">
              <w:rPr>
                <w:rFonts w:cstheme="minorHAnsi"/>
                <w:i/>
                <w:iCs/>
                <w:sz w:val="23"/>
                <w:szCs w:val="23"/>
                <w:lang w:val="en-US"/>
              </w:rPr>
              <w:t>Liquor Control Act</w:t>
            </w:r>
            <w:r w:rsidRPr="00F52884">
              <w:rPr>
                <w:rFonts w:cstheme="minorHAnsi"/>
                <w:sz w:val="23"/>
                <w:szCs w:val="23"/>
                <w:lang w:val="en-US"/>
              </w:rPr>
              <w:t>, RSPEI 1988, c </w:t>
            </w:r>
            <w:r w:rsidRPr="00B04E29">
              <w:rPr>
                <w:rFonts w:cstheme="minorHAnsi"/>
                <w:sz w:val="23"/>
                <w:szCs w:val="23"/>
              </w:rPr>
              <w:t>L-14</w:t>
            </w:r>
          </w:p>
        </w:tc>
      </w:tr>
      <w:tr w:rsidR="00B8348C" w:rsidRPr="00F52884" w14:paraId="78CB9F09" w14:textId="77777777" w:rsidTr="00110B78">
        <w:trPr>
          <w:trHeight w:val="49"/>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642BA0FB"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2FE4448" w14:textId="77777777" w:rsidTr="00110B78">
        <w:trPr>
          <w:trHeight w:val="66"/>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36A12504" w14:textId="3728E8CA" w:rsidR="00B8348C" w:rsidRPr="00F52884" w:rsidRDefault="00B8348C" w:rsidP="00B8348C">
            <w:pPr>
              <w:pStyle w:val="ListParagraph"/>
              <w:numPr>
                <w:ilvl w:val="0"/>
                <w:numId w:val="126"/>
              </w:numPr>
              <w:autoSpaceDE w:val="0"/>
              <w:autoSpaceDN w:val="0"/>
              <w:adjustRightInd w:val="0"/>
              <w:spacing w:before="120" w:after="120"/>
              <w:ind w:left="366" w:hanging="366"/>
              <w:contextualSpacing w:val="0"/>
              <w:rPr>
                <w:rFonts w:eastAsia="Times New Roman" w:cstheme="minorHAnsi"/>
                <w:szCs w:val="23"/>
                <w:lang w:val="fr-FR"/>
              </w:rPr>
            </w:pPr>
            <w:r w:rsidRPr="00F52884">
              <w:rPr>
                <w:rFonts w:eastAsia="Times New Roman" w:cstheme="minorHAnsi"/>
                <w:szCs w:val="23"/>
                <w:lang w:val="fr-CA"/>
              </w:rPr>
              <w:t xml:space="preserve">La Prince Edward Island </w:t>
            </w:r>
            <w:proofErr w:type="spellStart"/>
            <w:r w:rsidRPr="00F52884">
              <w:rPr>
                <w:rFonts w:eastAsia="Times New Roman" w:cstheme="minorHAnsi"/>
                <w:szCs w:val="23"/>
                <w:lang w:val="fr-CA"/>
              </w:rPr>
              <w:t>Liquor</w:t>
            </w:r>
            <w:proofErr w:type="spellEnd"/>
            <w:r w:rsidRPr="00F52884">
              <w:rPr>
                <w:rFonts w:eastAsia="Times New Roman" w:cstheme="minorHAnsi"/>
                <w:szCs w:val="23"/>
                <w:lang w:val="fr-CA"/>
              </w:rPr>
              <w:t xml:space="preserve"> Control Commission (« PEILCC ») est une société d’État du gouvernement de l’Île-du-Prince-Édouard qui est le seul importateur de boissons alcoolisées de la province; l’achat, la distribution et la vente de boissons alcoolisées relèvent de son autorité. La PEILCC tient un entrepôt et des bureaux, ainsi qu’un centre de distribution accessible aux titulaires de licences. La PEILCC approvisionne et gère les magasins de vins et de spiritueux et</w:t>
            </w:r>
            <w:r w:rsidR="00592D28">
              <w:rPr>
                <w:rFonts w:eastAsia="Times New Roman" w:cstheme="minorHAnsi"/>
                <w:szCs w:val="23"/>
                <w:lang w:val="fr-CA"/>
              </w:rPr>
              <w:t xml:space="preserve"> </w:t>
            </w:r>
            <w:r w:rsidRPr="00F52884">
              <w:rPr>
                <w:rFonts w:eastAsia="Times New Roman" w:cstheme="minorHAnsi"/>
                <w:szCs w:val="23"/>
                <w:lang w:val="fr-CA"/>
              </w:rPr>
              <w:t>le centre de distribution accessible aux titulaires de licences.</w:t>
            </w:r>
          </w:p>
          <w:p w14:paraId="5F15D0F6" w14:textId="00F61C13" w:rsidR="00B8348C" w:rsidRPr="00F52884" w:rsidRDefault="00B8348C" w:rsidP="00B8348C">
            <w:pPr>
              <w:pStyle w:val="ListParagraph"/>
              <w:numPr>
                <w:ilvl w:val="0"/>
                <w:numId w:val="126"/>
              </w:numPr>
              <w:spacing w:before="120" w:after="120"/>
              <w:ind w:left="366"/>
              <w:contextualSpacing w:val="0"/>
              <w:rPr>
                <w:rFonts w:eastAsia="Times New Roman" w:cstheme="minorHAnsi"/>
                <w:szCs w:val="23"/>
                <w:lang w:val="fr-FR"/>
              </w:rPr>
            </w:pPr>
            <w:r w:rsidRPr="00F52884">
              <w:rPr>
                <w:rFonts w:eastAsia="Times New Roman" w:cstheme="minorHAnsi"/>
                <w:szCs w:val="23"/>
                <w:lang w:val="fr-CA"/>
              </w:rPr>
              <w:t>Sans restreindre la portée générale de ce qui précède, ces mesures peuvent supposer la prise de décisions discrétionnaires fondées sur divers facteurs, l’imposition de prescriptions de résultats, le droit d’entrée et de sortie ou encore la discrimination en faveur de résidents de l’Île-du-Prince-Édouard ou d’entités établies selon la législation du Canada ou d’une province ou d’un territoire du Canada qui ont un lieu d’affaires à l’Île-du-Prince-Édouard et y effectuent des opérations commerciales substantielles.</w:t>
            </w:r>
          </w:p>
        </w:tc>
      </w:tr>
    </w:tbl>
    <w:p w14:paraId="4F8E72F8" w14:textId="77777777" w:rsidR="00B8348C" w:rsidRPr="00F52884" w:rsidRDefault="00B8348C" w:rsidP="000C25A3">
      <w:pPr>
        <w:contextualSpacing/>
        <w:jc w:val="center"/>
        <w:outlineLvl w:val="2"/>
        <w:rPr>
          <w:rFonts w:eastAsia="Times New Roman" w:cstheme="minorHAnsi"/>
          <w:b/>
          <w:szCs w:val="23"/>
          <w:lang w:val="fr-FR"/>
        </w:rPr>
      </w:pPr>
    </w:p>
    <w:p w14:paraId="24F73029" w14:textId="77777777" w:rsidR="00EA3915" w:rsidRDefault="00EA3915">
      <w:pPr>
        <w:rPr>
          <w:rFonts w:eastAsia="Times New Roman" w:cstheme="minorHAnsi"/>
          <w:b/>
          <w:bCs/>
          <w:szCs w:val="23"/>
          <w:lang w:val="fr-CA"/>
        </w:rPr>
      </w:pPr>
    </w:p>
    <w:p w14:paraId="43EEA5E6"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10. </w:t>
      </w:r>
      <w:r w:rsidRPr="00EA3915">
        <w:rPr>
          <w:rFonts w:ascii="Arial" w:eastAsia="Times New Roman" w:hAnsi="Arial" w:cs="Arial"/>
          <w:b/>
          <w:bCs/>
          <w:szCs w:val="23"/>
          <w:lang w:val="fr-CA"/>
        </w:rPr>
        <w:t>ÎLE-DU-PRINCE-ÉDOUARD</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7D1013FA"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355F3249"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2018EA2C"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76DC50AE"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D315AF" w14:paraId="52677CB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CDB45E5"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33154792"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de commerce de gros, y compris à forfait ou sous contrat; Services de commerce de détail, y compris à forfait ou sous contrat</w:t>
            </w:r>
          </w:p>
        </w:tc>
      </w:tr>
      <w:tr w:rsidR="00EA3915" w:rsidRPr="00EA3915" w14:paraId="29AF7F60"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7292A30"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314450E0"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D, E</w:t>
            </w:r>
          </w:p>
        </w:tc>
        <w:tc>
          <w:tcPr>
            <w:tcW w:w="390" w:type="dxa"/>
            <w:tcBorders>
              <w:top w:val="nil"/>
              <w:left w:val="nil"/>
              <w:bottom w:val="single" w:sz="8" w:space="0" w:color="C0C0C0"/>
              <w:right w:val="nil"/>
            </w:tcBorders>
            <w:vAlign w:val="center"/>
            <w:hideMark/>
          </w:tcPr>
          <w:p w14:paraId="24DF6842"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D315AF" w14:paraId="480F4B98"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4CB63FB8"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06B75861"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42C62F3F"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201 (Traitement non discriminatoire), article 301 (Droit d’entrée et de sortie) (</w:t>
            </w:r>
            <w:r w:rsidRPr="00EA3915">
              <w:rPr>
                <w:rFonts w:ascii="Arial" w:eastAsia="Calibri" w:hAnsi="Arial" w:cs="Arial"/>
                <w:bCs/>
                <w:i/>
                <w:iCs/>
                <w:szCs w:val="24"/>
                <w:lang w:val="fr-CA" w:eastAsia="en-CA" w:bidi="en-US"/>
              </w:rPr>
              <w:t>applicable au paragraphe 3 de la description</w:t>
            </w:r>
            <w:r w:rsidRPr="00EA3915">
              <w:rPr>
                <w:rFonts w:ascii="Arial" w:eastAsia="Calibri" w:hAnsi="Arial" w:cs="Arial"/>
                <w:bCs/>
                <w:szCs w:val="24"/>
                <w:lang w:val="fr-CA" w:eastAsia="en-CA" w:bidi="en-US"/>
              </w:rPr>
              <w:t>)</w:t>
            </w:r>
          </w:p>
        </w:tc>
      </w:tr>
      <w:tr w:rsidR="00EA3915" w:rsidRPr="00EA3915" w14:paraId="134D5C60"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0DD3D98B"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Mesures</w:t>
            </w:r>
            <w:proofErr w:type="spellEnd"/>
            <w:r w:rsidRPr="00EA3915">
              <w:rPr>
                <w:rFonts w:ascii="Arial" w:eastAsia="Calibri" w:hAnsi="Arial" w:cs="Arial"/>
                <w:b/>
                <w:szCs w:val="24"/>
                <w:lang w:eastAsia="en-CA" w:bidi="en-US"/>
              </w:rPr>
              <w:t xml:space="preserve"> :</w:t>
            </w:r>
            <w:proofErr w:type="gramEnd"/>
            <w:r w:rsidRPr="00EA3915">
              <w:rPr>
                <w:rFonts w:ascii="Arial" w:eastAsia="Calibri" w:hAnsi="Arial" w:cs="Arial"/>
                <w:b/>
                <w:szCs w:val="24"/>
                <w:lang w:eastAsia="en-CA" w:bidi="en-US"/>
              </w:rPr>
              <w:t xml:space="preserve"> </w:t>
            </w:r>
          </w:p>
        </w:tc>
      </w:tr>
      <w:tr w:rsidR="00EA3915" w:rsidRPr="00EA3915" w14:paraId="63CA1240"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9DD8F2B"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Cannabis Management Corporation Act</w:t>
            </w:r>
            <w:r w:rsidRPr="00EA3915">
              <w:rPr>
                <w:rFonts w:ascii="Arial" w:eastAsia="Calibri" w:hAnsi="Arial" w:cs="Arial"/>
                <w:bCs/>
                <w:szCs w:val="24"/>
                <w:lang w:eastAsia="en-CA" w:bidi="en-US"/>
              </w:rPr>
              <w:t>, R.S.P.E.I. 1988, C-1.3</w:t>
            </w:r>
          </w:p>
        </w:tc>
      </w:tr>
      <w:tr w:rsidR="00EA3915" w:rsidRPr="00EA3915" w14:paraId="417EAA08"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5A2B12D7"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p>
        </w:tc>
      </w:tr>
      <w:tr w:rsidR="00EA3915" w:rsidRPr="00D315AF" w14:paraId="0ECE26A5"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334DCC46"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1. Les mesures nommées confèrent à la Prince Edward Island Cannabis Management Corporation le pouvoir d’acheter, d’importer et de vendre du cannabis; de contrôler la possession, </w:t>
            </w:r>
            <w:r w:rsidRPr="00EA3915">
              <w:rPr>
                <w:rFonts w:ascii="Arial" w:eastAsia="Calibri" w:hAnsi="Arial" w:cs="Arial"/>
                <w:bCs/>
                <w:szCs w:val="24"/>
                <w:lang w:val="fr-CA" w:eastAsia="en-CA" w:bidi="en-US"/>
              </w:rPr>
              <w:lastRenderedPageBreak/>
              <w:t>la vente et la livraison de cannabis; ainsi que d’établir, de maintenir et d’exploiter des magasins de cannabis.</w:t>
            </w:r>
          </w:p>
          <w:p w14:paraId="4AA26B53"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2. La Prince Edward Island Cannabis Management Corporation se réserve le droit de privilégier la promotion et la commercialisation du cannabis produit localement.</w:t>
            </w:r>
          </w:p>
          <w:p w14:paraId="53FC3D72"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3. Ces mesures exigent également que les consommateurs de la province achètent du cannabis et des produits à base de cannabis uniquement auprès de détaillants autorisés par la Prince Edward Island Cannabis Management Corporation. Il est entendu qu’aucune restriction concernant l’importation ou l’exportation n’est imposée aux producteurs de cannabis autorisés.</w:t>
            </w:r>
          </w:p>
        </w:tc>
      </w:tr>
    </w:tbl>
    <w:p w14:paraId="26DD74C1" w14:textId="3CC67805" w:rsidR="00B8348C" w:rsidRPr="00F52884" w:rsidRDefault="00B8348C">
      <w:pPr>
        <w:rPr>
          <w:rFonts w:eastAsia="Times New Roman" w:cstheme="minorHAnsi"/>
          <w:b/>
          <w:szCs w:val="23"/>
          <w:lang w:val="fr-FR"/>
        </w:rPr>
      </w:pPr>
      <w:r w:rsidRPr="00F52884">
        <w:rPr>
          <w:rFonts w:eastAsia="Times New Roman" w:cstheme="minorHAnsi"/>
          <w:b/>
          <w:bCs/>
          <w:szCs w:val="23"/>
          <w:lang w:val="fr-CA"/>
        </w:rPr>
        <w:lastRenderedPageBreak/>
        <w:br w:type="page"/>
      </w:r>
    </w:p>
    <w:p w14:paraId="18D4CFBB" w14:textId="77777777" w:rsidR="00B8348C" w:rsidRPr="00F52884" w:rsidRDefault="00B8348C" w:rsidP="00F52884">
      <w:pPr>
        <w:pStyle w:val="Heading3"/>
        <w:jc w:val="center"/>
        <w:rPr>
          <w:rFonts w:asciiTheme="minorHAnsi" w:hAnsiTheme="minorHAnsi" w:cstheme="minorHAnsi"/>
          <w:sz w:val="24"/>
          <w:szCs w:val="24"/>
          <w:lang w:val="fr-FR"/>
        </w:rPr>
      </w:pPr>
      <w:bookmarkStart w:id="288" w:name="_Toc476566342"/>
      <w:bookmarkStart w:id="289" w:name="_Toc156311795"/>
      <w:r w:rsidRPr="00F52884">
        <w:rPr>
          <w:rFonts w:asciiTheme="minorHAnsi" w:hAnsiTheme="minorHAnsi" w:cstheme="minorHAnsi"/>
          <w:sz w:val="24"/>
          <w:szCs w:val="24"/>
          <w:lang w:val="fr-CA"/>
        </w:rPr>
        <w:lastRenderedPageBreak/>
        <w:t>Liste de la Saskatchewan</w:t>
      </w:r>
      <w:bookmarkEnd w:id="288"/>
      <w:bookmarkEnd w:id="289"/>
    </w:p>
    <w:p w14:paraId="3731F494" w14:textId="77777777" w:rsidR="00B8348C" w:rsidRPr="00F52884" w:rsidRDefault="00B8348C" w:rsidP="000C25A3">
      <w:pPr>
        <w:contextualSpacing/>
        <w:jc w:val="center"/>
        <w:rPr>
          <w:rFonts w:eastAsia="Times New Roman" w:cstheme="minorHAnsi"/>
          <w:sz w:val="24"/>
          <w:szCs w:val="24"/>
          <w:lang w:val="fr-FR"/>
        </w:rPr>
      </w:pPr>
    </w:p>
    <w:p w14:paraId="12809BB9" w14:textId="77777777" w:rsidR="00B8348C" w:rsidRPr="00F52884" w:rsidRDefault="00B8348C" w:rsidP="000C25A3">
      <w:pPr>
        <w:contextualSpacing/>
        <w:jc w:val="center"/>
        <w:rPr>
          <w:rFonts w:eastAsia="Times New Roman" w:cstheme="minorHAnsi"/>
          <w:b/>
          <w:sz w:val="24"/>
          <w:szCs w:val="24"/>
          <w:lang w:val="fr-FR"/>
        </w:rPr>
      </w:pPr>
      <w:r w:rsidRPr="00F52884">
        <w:rPr>
          <w:rFonts w:eastAsia="Times New Roman" w:cstheme="minorHAnsi"/>
          <w:b/>
          <w:bCs/>
          <w:sz w:val="24"/>
          <w:szCs w:val="24"/>
          <w:lang w:val="fr-CA"/>
        </w:rPr>
        <w:t>Annexe I</w:t>
      </w:r>
    </w:p>
    <w:p w14:paraId="6AE2C665" w14:textId="77777777" w:rsidR="00B8348C" w:rsidRPr="00F52884" w:rsidRDefault="00B8348C" w:rsidP="000C25A3">
      <w:pPr>
        <w:contextualSpacing/>
        <w:jc w:val="center"/>
        <w:rPr>
          <w:rFonts w:eastAsia="Times New Roman" w:cstheme="minorHAnsi"/>
          <w:szCs w:val="23"/>
          <w:lang w:val="fr-FR"/>
        </w:rPr>
      </w:pPr>
    </w:p>
    <w:p w14:paraId="18E207C1" w14:textId="1198ACB7" w:rsidR="00B8348C" w:rsidRPr="00F52884" w:rsidRDefault="00B8348C" w:rsidP="000C25A3">
      <w:pPr>
        <w:spacing w:before="60" w:after="60"/>
        <w:ind w:left="-360"/>
        <w:rPr>
          <w:rFonts w:cstheme="minorHAnsi"/>
          <w:b/>
          <w:caps/>
          <w:szCs w:val="23"/>
          <w:lang w:val="fr-FR"/>
        </w:rPr>
      </w:pPr>
      <w:r w:rsidRPr="00F52884">
        <w:rPr>
          <w:rFonts w:cstheme="minorHAnsi"/>
          <w:b/>
          <w:bCs/>
          <w:caps/>
          <w:szCs w:val="23"/>
          <w:lang w:val="fr-CA"/>
        </w:rPr>
        <w:t xml:space="preserve">1. </w:t>
      </w:r>
      <w:r w:rsidR="00110B78" w:rsidRPr="00F52884">
        <w:rPr>
          <w:rFonts w:cstheme="minorHAnsi"/>
          <w:b/>
          <w:bCs/>
          <w:caps/>
          <w:szCs w:val="23"/>
          <w:lang w:val="fr-CA"/>
        </w:rPr>
        <w:t xml:space="preserve"> </w:t>
      </w:r>
      <w:r w:rsidRPr="00F52884">
        <w:rPr>
          <w:rFonts w:cstheme="minorHAnsi"/>
          <w:b/>
          <w:bCs/>
          <w:caps/>
          <w:szCs w:val="23"/>
          <w:lang w:val="fr-CA"/>
        </w:rPr>
        <w:t>Saskatchewan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90"/>
        <w:gridCol w:w="7353"/>
        <w:gridCol w:w="379"/>
      </w:tblGrid>
      <w:tr w:rsidR="00B8348C" w:rsidRPr="00F52884" w14:paraId="7471A939" w14:textId="77777777" w:rsidTr="00110B78">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25042B8"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 xml:space="preserve">Secteur : </w:t>
            </w:r>
          </w:p>
        </w:tc>
        <w:tc>
          <w:tcPr>
            <w:tcW w:w="7822" w:type="dxa"/>
            <w:gridSpan w:val="3"/>
            <w:tcBorders>
              <w:top w:val="single" w:sz="4" w:space="0" w:color="C0C0C0"/>
              <w:left w:val="single" w:sz="4" w:space="0" w:color="FFFFFF"/>
              <w:bottom w:val="single" w:sz="4" w:space="0" w:color="C0C0C0"/>
              <w:right w:val="nil"/>
            </w:tcBorders>
            <w:vAlign w:val="center"/>
          </w:tcPr>
          <w:p w14:paraId="4C1C4AE2" w14:textId="77777777" w:rsidR="00B8348C" w:rsidRPr="00F52884" w:rsidRDefault="00B8348C" w:rsidP="000C25A3">
            <w:pPr>
              <w:spacing w:before="60" w:after="60"/>
              <w:rPr>
                <w:rFonts w:cstheme="minorHAnsi"/>
                <w:szCs w:val="23"/>
              </w:rPr>
            </w:pPr>
            <w:r w:rsidRPr="00F52884">
              <w:rPr>
                <w:rFonts w:cstheme="minorHAnsi"/>
                <w:szCs w:val="23"/>
                <w:lang w:val="fr-CA"/>
              </w:rPr>
              <w:t>Pêches</w:t>
            </w:r>
          </w:p>
        </w:tc>
      </w:tr>
      <w:tr w:rsidR="00B8348C" w:rsidRPr="00D315AF" w14:paraId="2B222E6A" w14:textId="77777777" w:rsidTr="00110B78">
        <w:trPr>
          <w:trHeight w:val="246"/>
          <w:jc w:val="center"/>
        </w:trPr>
        <w:tc>
          <w:tcPr>
            <w:tcW w:w="2520" w:type="dxa"/>
            <w:gridSpan w:val="2"/>
            <w:tcBorders>
              <w:top w:val="single" w:sz="4" w:space="0" w:color="C0C0C0"/>
              <w:left w:val="nil"/>
              <w:bottom w:val="single" w:sz="4" w:space="0" w:color="C0C0C0"/>
              <w:right w:val="single" w:sz="4" w:space="0" w:color="FFFFFF"/>
            </w:tcBorders>
            <w:vAlign w:val="center"/>
          </w:tcPr>
          <w:p w14:paraId="4775E9D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32" w:type="dxa"/>
            <w:gridSpan w:val="2"/>
            <w:tcBorders>
              <w:top w:val="single" w:sz="4" w:space="0" w:color="C0C0C0"/>
              <w:left w:val="nil"/>
              <w:bottom w:val="single" w:sz="4" w:space="0" w:color="C0C0C0"/>
              <w:right w:val="single" w:sz="4" w:space="0" w:color="FFFFFF"/>
            </w:tcBorders>
            <w:vAlign w:val="center"/>
          </w:tcPr>
          <w:p w14:paraId="1198B9F2" w14:textId="77777777" w:rsidR="00B8348C" w:rsidRPr="00F52884" w:rsidRDefault="00B8348C" w:rsidP="000C25A3">
            <w:pPr>
              <w:spacing w:before="60" w:after="60"/>
              <w:ind w:left="-86"/>
              <w:rPr>
                <w:rFonts w:cstheme="minorHAnsi"/>
                <w:szCs w:val="23"/>
                <w:lang w:val="fr-FR"/>
              </w:rPr>
            </w:pPr>
            <w:r w:rsidRPr="00F52884">
              <w:rPr>
                <w:rFonts w:cstheme="minorHAnsi"/>
                <w:szCs w:val="23"/>
                <w:lang w:val="fr-CA"/>
              </w:rPr>
              <w:t>Services annexes à la pêche</w:t>
            </w:r>
          </w:p>
        </w:tc>
      </w:tr>
      <w:tr w:rsidR="00B8348C" w:rsidRPr="00F52884" w14:paraId="7FFEAF06" w14:textId="77777777" w:rsidTr="00110B78">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95B6682"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gridSpan w:val="2"/>
            <w:tcBorders>
              <w:top w:val="single" w:sz="4" w:space="0" w:color="C0C0C0"/>
              <w:left w:val="single" w:sz="4" w:space="0" w:color="FFFFFF"/>
              <w:bottom w:val="single" w:sz="4" w:space="0" w:color="C0C0C0"/>
              <w:right w:val="nil"/>
            </w:tcBorders>
            <w:vAlign w:val="center"/>
          </w:tcPr>
          <w:p w14:paraId="22786671" w14:textId="77777777" w:rsidR="00B8348C" w:rsidRPr="00F52884" w:rsidRDefault="00B8348C" w:rsidP="000C25A3">
            <w:pPr>
              <w:spacing w:before="60" w:after="60"/>
              <w:ind w:left="4"/>
              <w:rPr>
                <w:rFonts w:cstheme="minorHAnsi"/>
                <w:szCs w:val="23"/>
              </w:rPr>
            </w:pPr>
            <w:r w:rsidRPr="00F52884">
              <w:rPr>
                <w:rFonts w:cstheme="minorHAnsi"/>
                <w:szCs w:val="23"/>
                <w:lang w:val="fr-CA"/>
              </w:rPr>
              <w:t>CPC 882</w:t>
            </w:r>
          </w:p>
        </w:tc>
      </w:tr>
      <w:tr w:rsidR="00B8348C" w:rsidRPr="00D315AF" w14:paraId="6164A1EC" w14:textId="77777777" w:rsidTr="00110B78">
        <w:trPr>
          <w:trHeight w:val="42"/>
          <w:jc w:val="center"/>
        </w:trPr>
        <w:tc>
          <w:tcPr>
            <w:tcW w:w="2430" w:type="dxa"/>
            <w:tcBorders>
              <w:top w:val="single" w:sz="4" w:space="0" w:color="C0C0C0"/>
              <w:left w:val="nil"/>
              <w:bottom w:val="single" w:sz="4" w:space="0" w:color="C0C0C0"/>
              <w:right w:val="single" w:sz="4" w:space="0" w:color="FFFFFF"/>
            </w:tcBorders>
          </w:tcPr>
          <w:p w14:paraId="688D7F4D" w14:textId="7C9FC603" w:rsidR="00B8348C" w:rsidRPr="00F52884" w:rsidRDefault="00B8348C" w:rsidP="000C25A3">
            <w:pPr>
              <w:spacing w:before="60" w:after="60"/>
              <w:ind w:left="4"/>
              <w:rPr>
                <w:rFonts w:cstheme="minorHAnsi"/>
                <w:szCs w:val="23"/>
              </w:rPr>
            </w:pPr>
            <w:r w:rsidRPr="00F52884">
              <w:rPr>
                <w:rFonts w:cstheme="minorHAnsi"/>
                <w:b/>
                <w:bCs/>
                <w:szCs w:val="23"/>
                <w:lang w:val="fr-CA"/>
              </w:rPr>
              <w:t>Type d’exception :</w:t>
            </w:r>
            <w:r w:rsidRPr="00F52884">
              <w:rPr>
                <w:rFonts w:cstheme="minorHAnsi"/>
                <w:szCs w:val="23"/>
                <w:lang w:val="fr-CA"/>
              </w:rPr>
              <w:t xml:space="preserve"> </w:t>
            </w:r>
          </w:p>
        </w:tc>
        <w:tc>
          <w:tcPr>
            <w:tcW w:w="7822" w:type="dxa"/>
            <w:gridSpan w:val="3"/>
            <w:tcBorders>
              <w:top w:val="single" w:sz="4" w:space="0" w:color="C0C0C0"/>
              <w:left w:val="single" w:sz="4" w:space="0" w:color="FFFFFF"/>
              <w:bottom w:val="single" w:sz="4" w:space="0" w:color="C0C0C0"/>
              <w:right w:val="single" w:sz="4" w:space="0" w:color="C0C0C0"/>
            </w:tcBorders>
          </w:tcPr>
          <w:p w14:paraId="17598C36" w14:textId="6B464E7B" w:rsidR="00B8348C" w:rsidRPr="00F52884" w:rsidRDefault="00B8348C" w:rsidP="00B8348C">
            <w:pPr>
              <w:spacing w:before="60" w:after="60"/>
              <w:ind w:left="4"/>
              <w:rPr>
                <w:rFonts w:cstheme="minorHAnsi"/>
                <w:szCs w:val="23"/>
                <w:lang w:val="fr-FR"/>
              </w:rPr>
            </w:pPr>
            <w:r w:rsidRPr="00F52884">
              <w:rPr>
                <w:rFonts w:cstheme="minorHAnsi"/>
                <w:szCs w:val="23"/>
                <w:lang w:val="fr-CA"/>
              </w:rPr>
              <w:t>Article 201 (Traitement non discriminatoire), article 312 (Accès aux marchés – Investissement)</w:t>
            </w:r>
          </w:p>
        </w:tc>
      </w:tr>
      <w:tr w:rsidR="00B8348C" w:rsidRPr="00F52884" w14:paraId="0725EC44" w14:textId="77777777" w:rsidTr="00110B78">
        <w:trPr>
          <w:trHeight w:val="42"/>
          <w:jc w:val="center"/>
        </w:trPr>
        <w:tc>
          <w:tcPr>
            <w:tcW w:w="1025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CA4BE50"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09A22A79" w14:textId="77777777" w:rsidTr="00110B78">
        <w:trPr>
          <w:trHeight w:val="273"/>
          <w:jc w:val="center"/>
        </w:trPr>
        <w:tc>
          <w:tcPr>
            <w:tcW w:w="10252" w:type="dxa"/>
            <w:gridSpan w:val="4"/>
            <w:tcBorders>
              <w:top w:val="single" w:sz="4" w:space="0" w:color="C0C0C0"/>
              <w:left w:val="single" w:sz="4" w:space="0" w:color="C0C0C0"/>
              <w:bottom w:val="single" w:sz="4" w:space="0" w:color="C0C0C0"/>
              <w:right w:val="single" w:sz="4" w:space="0" w:color="C0C0C0"/>
            </w:tcBorders>
          </w:tcPr>
          <w:p w14:paraId="54E5A114" w14:textId="033DAD36" w:rsidR="00B8348C" w:rsidRPr="00F52884" w:rsidRDefault="00B8348C" w:rsidP="000C25A3">
            <w:pPr>
              <w:spacing w:before="60" w:after="60"/>
              <w:rPr>
                <w:rFonts w:cstheme="minorHAnsi"/>
                <w:szCs w:val="23"/>
              </w:rPr>
            </w:pPr>
            <w:r w:rsidRPr="00F52884">
              <w:rPr>
                <w:rFonts w:cstheme="minorHAnsi"/>
                <w:i/>
                <w:iCs/>
                <w:szCs w:val="23"/>
              </w:rPr>
              <w:t>The Fisheries Act (Saskatchewan), 1994</w:t>
            </w:r>
            <w:r w:rsidRPr="00F52884">
              <w:rPr>
                <w:rFonts w:cstheme="minorHAnsi"/>
                <w:szCs w:val="23"/>
              </w:rPr>
              <w:t>, SS 1994, c F-16.1</w:t>
            </w:r>
          </w:p>
          <w:p w14:paraId="086154D6" w14:textId="702AB313" w:rsidR="00B8348C" w:rsidRPr="00B04E29" w:rsidRDefault="00B8348C" w:rsidP="000C25A3">
            <w:pPr>
              <w:spacing w:before="60" w:after="60"/>
              <w:rPr>
                <w:rFonts w:cstheme="minorHAnsi"/>
                <w:szCs w:val="23"/>
              </w:rPr>
            </w:pPr>
            <w:r w:rsidRPr="00F52884">
              <w:rPr>
                <w:rFonts w:cstheme="minorHAnsi"/>
                <w:i/>
                <w:iCs/>
                <w:szCs w:val="23"/>
              </w:rPr>
              <w:t>The Fisheries Regulations</w:t>
            </w:r>
            <w:r w:rsidRPr="00F52884">
              <w:rPr>
                <w:rFonts w:cstheme="minorHAnsi"/>
                <w:szCs w:val="23"/>
              </w:rPr>
              <w:t>, RRS, c </w:t>
            </w:r>
            <w:r w:rsidRPr="00B04E29">
              <w:rPr>
                <w:rFonts w:cstheme="minorHAnsi"/>
                <w:szCs w:val="23"/>
              </w:rPr>
              <w:t>F-16.1, Reg 1</w:t>
            </w:r>
          </w:p>
          <w:p w14:paraId="19003DAF" w14:textId="77777777" w:rsidR="00B8348C" w:rsidRPr="00F52884" w:rsidRDefault="00B8348C" w:rsidP="000C25A3">
            <w:pPr>
              <w:spacing w:before="60" w:after="60"/>
              <w:rPr>
                <w:rFonts w:cstheme="minorHAnsi"/>
                <w:szCs w:val="23"/>
                <w:lang w:val="fr-FR"/>
              </w:rPr>
            </w:pPr>
            <w:r w:rsidRPr="00F52884">
              <w:rPr>
                <w:rFonts w:cstheme="minorHAnsi"/>
                <w:szCs w:val="23"/>
                <w:lang w:val="fr-CA"/>
              </w:rPr>
              <w:t>Critères d’admissibilité aux permis de pêche commerciale (politique n</w:t>
            </w:r>
            <w:r w:rsidRPr="00F52884">
              <w:rPr>
                <w:rFonts w:cstheme="minorHAnsi"/>
                <w:szCs w:val="23"/>
                <w:vertAlign w:val="superscript"/>
                <w:lang w:val="fr-CA"/>
              </w:rPr>
              <w:t>o</w:t>
            </w:r>
            <w:r w:rsidRPr="00F52884">
              <w:rPr>
                <w:rFonts w:cstheme="minorHAnsi"/>
                <w:szCs w:val="23"/>
                <w:lang w:val="fr-CA"/>
              </w:rPr>
              <w:t> 3420.02)</w:t>
            </w:r>
          </w:p>
          <w:p w14:paraId="394B0EEF" w14:textId="77777777" w:rsidR="00B8348C" w:rsidRPr="00F52884" w:rsidRDefault="00B8348C" w:rsidP="000C25A3">
            <w:pPr>
              <w:spacing w:before="60" w:after="60"/>
              <w:rPr>
                <w:rFonts w:cstheme="minorHAnsi"/>
                <w:szCs w:val="23"/>
                <w:lang w:val="fr-FR"/>
              </w:rPr>
            </w:pPr>
            <w:r w:rsidRPr="00F52884">
              <w:rPr>
                <w:rFonts w:cstheme="minorHAnsi"/>
                <w:szCs w:val="23"/>
                <w:lang w:val="fr-CA"/>
              </w:rPr>
              <w:t>Coopératives de pêche commerciale (politique n</w:t>
            </w:r>
            <w:r w:rsidRPr="00F52884">
              <w:rPr>
                <w:rFonts w:cstheme="minorHAnsi"/>
                <w:szCs w:val="23"/>
                <w:vertAlign w:val="superscript"/>
                <w:lang w:val="fr-CA"/>
              </w:rPr>
              <w:t>o</w:t>
            </w:r>
            <w:r w:rsidRPr="00F52884">
              <w:rPr>
                <w:rFonts w:cstheme="minorHAnsi"/>
                <w:szCs w:val="23"/>
                <w:lang w:val="fr-CA"/>
              </w:rPr>
              <w:t> F &amp; W 2003.2)</w:t>
            </w:r>
          </w:p>
          <w:p w14:paraId="0F88AEAF" w14:textId="77777777" w:rsidR="00B8348C" w:rsidRPr="00F52884" w:rsidRDefault="00B8348C" w:rsidP="000C25A3">
            <w:pPr>
              <w:spacing w:before="60" w:after="60"/>
              <w:rPr>
                <w:rFonts w:cstheme="minorHAnsi"/>
                <w:szCs w:val="23"/>
                <w:lang w:val="fr-FR"/>
              </w:rPr>
            </w:pPr>
            <w:r w:rsidRPr="00F52884">
              <w:rPr>
                <w:rFonts w:cstheme="minorHAnsi"/>
                <w:szCs w:val="23"/>
                <w:lang w:val="fr-CA"/>
              </w:rPr>
              <w:t>Lignes directrices sur les critères d’admissibilité aux permis de pêche commerciale aux filets</w:t>
            </w:r>
          </w:p>
        </w:tc>
      </w:tr>
      <w:tr w:rsidR="00B8348C" w:rsidRPr="00F52884" w14:paraId="26F09E42" w14:textId="77777777" w:rsidTr="00110B78">
        <w:trPr>
          <w:trHeight w:val="49"/>
          <w:jc w:val="center"/>
        </w:trPr>
        <w:tc>
          <w:tcPr>
            <w:tcW w:w="1025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D440E98"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6A2070D7" w14:textId="77777777" w:rsidTr="00110B78">
        <w:trPr>
          <w:trHeight w:val="66"/>
          <w:jc w:val="center"/>
        </w:trPr>
        <w:tc>
          <w:tcPr>
            <w:tcW w:w="10252" w:type="dxa"/>
            <w:gridSpan w:val="4"/>
            <w:tcBorders>
              <w:top w:val="single" w:sz="4" w:space="0" w:color="C0C0C0"/>
              <w:left w:val="single" w:sz="4" w:space="0" w:color="C0C0C0"/>
              <w:bottom w:val="single" w:sz="4" w:space="0" w:color="C0C0C0"/>
              <w:right w:val="single" w:sz="4" w:space="0" w:color="C0C0C0"/>
            </w:tcBorders>
          </w:tcPr>
          <w:p w14:paraId="77F416ED"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Seul un résident de la Saskatchewan peut obtenir un permis de pêche commerciale. Les permis peuvent être réservés aux résidents de la région d’une pêche locale.</w:t>
            </w:r>
          </w:p>
        </w:tc>
      </w:tr>
    </w:tbl>
    <w:p w14:paraId="7995D3ED" w14:textId="77777777" w:rsidR="00B8348C" w:rsidRPr="00F52884" w:rsidRDefault="00B8348C" w:rsidP="000C25A3">
      <w:pPr>
        <w:rPr>
          <w:rFonts w:cstheme="minorHAnsi"/>
          <w:b/>
          <w:szCs w:val="23"/>
          <w:lang w:val="fr-FR"/>
        </w:rPr>
      </w:pPr>
    </w:p>
    <w:p w14:paraId="03F0138D" w14:textId="77777777" w:rsidR="00B8348C" w:rsidRPr="00F52884" w:rsidRDefault="00B8348C" w:rsidP="000C25A3">
      <w:pPr>
        <w:rPr>
          <w:rFonts w:cstheme="minorHAnsi"/>
          <w:b/>
          <w:szCs w:val="23"/>
          <w:lang w:val="fr-FR"/>
        </w:rPr>
      </w:pPr>
    </w:p>
    <w:p w14:paraId="2C2AC3CB" w14:textId="6BE45114" w:rsidR="00B8348C" w:rsidRPr="00F52884" w:rsidRDefault="00110B78" w:rsidP="000C25A3">
      <w:pPr>
        <w:spacing w:before="60" w:after="60"/>
        <w:ind w:left="-360"/>
        <w:rPr>
          <w:rFonts w:cstheme="minorHAnsi"/>
          <w:b/>
          <w:caps/>
          <w:szCs w:val="23"/>
        </w:rPr>
      </w:pPr>
      <w:r w:rsidRPr="00F52884">
        <w:rPr>
          <w:rFonts w:cstheme="minorHAnsi"/>
          <w:b/>
          <w:bCs/>
          <w:caps/>
          <w:szCs w:val="23"/>
          <w:lang w:val="fr-CA"/>
        </w:rPr>
        <w:t xml:space="preserve">2.  </w:t>
      </w:r>
      <w:r w:rsidR="00B8348C" w:rsidRPr="00F52884">
        <w:rPr>
          <w:rFonts w:cstheme="minorHAnsi"/>
          <w:b/>
          <w:bCs/>
          <w:caps/>
          <w:szCs w:val="23"/>
          <w:lang w:val="fr-CA"/>
        </w:rPr>
        <w:t>Saskatchewan</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90"/>
        <w:gridCol w:w="7353"/>
        <w:gridCol w:w="379"/>
      </w:tblGrid>
      <w:tr w:rsidR="00B8348C" w:rsidRPr="00F52884" w14:paraId="12619413"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FA605BA"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822" w:type="dxa"/>
            <w:gridSpan w:val="3"/>
            <w:tcBorders>
              <w:top w:val="single" w:sz="4" w:space="0" w:color="C0C0C0"/>
              <w:left w:val="single" w:sz="4" w:space="0" w:color="FFFFFF"/>
              <w:bottom w:val="single" w:sz="4" w:space="0" w:color="C0C0C0"/>
              <w:right w:val="nil"/>
            </w:tcBorders>
            <w:vAlign w:val="center"/>
          </w:tcPr>
          <w:p w14:paraId="1F36BF9C" w14:textId="77777777" w:rsidR="00B8348C" w:rsidRPr="00F52884" w:rsidRDefault="00B8348C" w:rsidP="000C25A3">
            <w:pPr>
              <w:spacing w:before="60" w:after="60"/>
              <w:rPr>
                <w:rFonts w:cstheme="minorHAnsi"/>
                <w:szCs w:val="23"/>
              </w:rPr>
            </w:pPr>
            <w:r w:rsidRPr="00F52884">
              <w:rPr>
                <w:rFonts w:cstheme="minorHAnsi"/>
                <w:szCs w:val="23"/>
                <w:lang w:val="fr-CA"/>
              </w:rPr>
              <w:t>Tourisme</w:t>
            </w:r>
          </w:p>
        </w:tc>
      </w:tr>
      <w:tr w:rsidR="00B8348C" w:rsidRPr="00D315AF" w14:paraId="4C8D2D9C" w14:textId="77777777" w:rsidTr="00FA2285">
        <w:trPr>
          <w:trHeight w:val="858"/>
          <w:jc w:val="center"/>
        </w:trPr>
        <w:tc>
          <w:tcPr>
            <w:tcW w:w="2610" w:type="dxa"/>
            <w:gridSpan w:val="2"/>
            <w:tcBorders>
              <w:top w:val="single" w:sz="4" w:space="0" w:color="C0C0C0"/>
              <w:left w:val="nil"/>
              <w:bottom w:val="single" w:sz="4" w:space="0" w:color="C0C0C0"/>
              <w:right w:val="single" w:sz="4" w:space="0" w:color="FFFFFF"/>
            </w:tcBorders>
            <w:vAlign w:val="center"/>
          </w:tcPr>
          <w:p w14:paraId="447A4C8F"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32" w:type="dxa"/>
            <w:gridSpan w:val="2"/>
            <w:tcBorders>
              <w:top w:val="single" w:sz="4" w:space="0" w:color="C0C0C0"/>
              <w:left w:val="nil"/>
              <w:bottom w:val="single" w:sz="4" w:space="0" w:color="C0C0C0"/>
              <w:right w:val="single" w:sz="4" w:space="0" w:color="FFFFFF"/>
            </w:tcBorders>
            <w:vAlign w:val="center"/>
          </w:tcPr>
          <w:p w14:paraId="22D7D182" w14:textId="77777777" w:rsidR="00B8348C" w:rsidRPr="00F52884" w:rsidRDefault="00B8348C" w:rsidP="000C25A3">
            <w:pPr>
              <w:spacing w:before="60" w:after="60"/>
              <w:ind w:left="-86"/>
              <w:rPr>
                <w:rFonts w:cstheme="minorHAnsi"/>
                <w:szCs w:val="23"/>
                <w:lang w:val="fr-FR"/>
              </w:rPr>
            </w:pPr>
            <w:r w:rsidRPr="00F52884">
              <w:rPr>
                <w:rFonts w:cstheme="minorHAnsi"/>
                <w:szCs w:val="23"/>
                <w:lang w:val="fr-CA"/>
              </w:rPr>
              <w:t>Services annexes à la chasse; services annexes à la pêche; services de guides touristiques, chasse pour compte propre</w:t>
            </w:r>
          </w:p>
        </w:tc>
      </w:tr>
      <w:tr w:rsidR="00B8348C" w:rsidRPr="00F52884" w14:paraId="6C2E4693"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5F1B9B2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gridSpan w:val="2"/>
            <w:tcBorders>
              <w:top w:val="single" w:sz="4" w:space="0" w:color="C0C0C0"/>
              <w:left w:val="single" w:sz="4" w:space="0" w:color="FFFFFF"/>
              <w:bottom w:val="single" w:sz="4" w:space="0" w:color="C0C0C0"/>
              <w:right w:val="nil"/>
            </w:tcBorders>
            <w:vAlign w:val="center"/>
          </w:tcPr>
          <w:p w14:paraId="411C0D12" w14:textId="77777777" w:rsidR="00B8348C" w:rsidRPr="00F52884" w:rsidRDefault="00B8348C" w:rsidP="000C25A3">
            <w:pPr>
              <w:spacing w:before="60" w:after="60"/>
              <w:ind w:left="4"/>
              <w:rPr>
                <w:rFonts w:cstheme="minorHAnsi"/>
                <w:szCs w:val="23"/>
              </w:rPr>
            </w:pPr>
            <w:r w:rsidRPr="00F52884">
              <w:rPr>
                <w:rFonts w:cstheme="minorHAnsi"/>
                <w:szCs w:val="23"/>
                <w:lang w:val="fr-CA"/>
              </w:rPr>
              <w:t>CPC 7472, 8813, 8820, 96419</w:t>
            </w:r>
          </w:p>
        </w:tc>
      </w:tr>
      <w:tr w:rsidR="00B8348C" w:rsidRPr="00F52884" w14:paraId="0906217C" w14:textId="77777777" w:rsidTr="00FA2285">
        <w:trPr>
          <w:trHeight w:val="42"/>
          <w:jc w:val="center"/>
        </w:trPr>
        <w:tc>
          <w:tcPr>
            <w:tcW w:w="2520" w:type="dxa"/>
            <w:tcBorders>
              <w:top w:val="single" w:sz="4" w:space="0" w:color="C0C0C0"/>
              <w:left w:val="nil"/>
              <w:bottom w:val="single" w:sz="4" w:space="0" w:color="C0C0C0"/>
              <w:right w:val="single" w:sz="4" w:space="0" w:color="FFFFFF"/>
            </w:tcBorders>
          </w:tcPr>
          <w:p w14:paraId="465669D7" w14:textId="3124E48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3"/>
            <w:tcBorders>
              <w:top w:val="single" w:sz="4" w:space="0" w:color="C0C0C0"/>
              <w:left w:val="single" w:sz="4" w:space="0" w:color="FFFFFF"/>
              <w:bottom w:val="single" w:sz="4" w:space="0" w:color="C0C0C0"/>
              <w:right w:val="single" w:sz="4" w:space="0" w:color="C0C0C0"/>
            </w:tcBorders>
          </w:tcPr>
          <w:p w14:paraId="7C27416E" w14:textId="4E1130CA"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515FA74" w14:textId="77777777" w:rsidTr="00FA2285">
        <w:trPr>
          <w:trHeight w:val="42"/>
          <w:jc w:val="center"/>
        </w:trPr>
        <w:tc>
          <w:tcPr>
            <w:tcW w:w="1034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B3F43B9"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7B7B744E" w14:textId="77777777" w:rsidTr="00FA2285">
        <w:trPr>
          <w:trHeight w:val="273"/>
          <w:jc w:val="center"/>
        </w:trPr>
        <w:tc>
          <w:tcPr>
            <w:tcW w:w="10342" w:type="dxa"/>
            <w:gridSpan w:val="4"/>
            <w:tcBorders>
              <w:top w:val="single" w:sz="4" w:space="0" w:color="C0C0C0"/>
              <w:left w:val="single" w:sz="4" w:space="0" w:color="C0C0C0"/>
              <w:bottom w:val="single" w:sz="4" w:space="0" w:color="C0C0C0"/>
              <w:right w:val="single" w:sz="4" w:space="0" w:color="C0C0C0"/>
            </w:tcBorders>
          </w:tcPr>
          <w:p w14:paraId="473623B5" w14:textId="0489966B" w:rsidR="00B8348C" w:rsidRPr="00F52884" w:rsidRDefault="00B8348C" w:rsidP="000C25A3">
            <w:pPr>
              <w:spacing w:before="60" w:after="60"/>
              <w:rPr>
                <w:rFonts w:cstheme="minorHAnsi"/>
                <w:szCs w:val="23"/>
              </w:rPr>
            </w:pPr>
            <w:r w:rsidRPr="00F52884">
              <w:rPr>
                <w:rFonts w:cstheme="minorHAnsi"/>
                <w:i/>
                <w:iCs/>
                <w:szCs w:val="23"/>
              </w:rPr>
              <w:t>The Wildlife Act, 1998</w:t>
            </w:r>
            <w:r w:rsidRPr="00F52884">
              <w:rPr>
                <w:rFonts w:cstheme="minorHAnsi"/>
                <w:szCs w:val="23"/>
              </w:rPr>
              <w:t>, SS 1998, c W-13.12</w:t>
            </w:r>
          </w:p>
          <w:p w14:paraId="0304C25B" w14:textId="2D5C42F7" w:rsidR="00B8348C" w:rsidRPr="00F52884" w:rsidRDefault="00B8348C" w:rsidP="000C25A3">
            <w:pPr>
              <w:spacing w:before="60" w:after="60"/>
              <w:rPr>
                <w:rFonts w:cstheme="minorHAnsi"/>
                <w:szCs w:val="23"/>
              </w:rPr>
            </w:pPr>
            <w:r w:rsidRPr="00F52884">
              <w:rPr>
                <w:rFonts w:cstheme="minorHAnsi"/>
                <w:i/>
                <w:iCs/>
                <w:szCs w:val="23"/>
                <w:lang w:val="en-US"/>
              </w:rPr>
              <w:t>The Wildlife Regulations, 1981</w:t>
            </w:r>
            <w:r w:rsidRPr="00F52884">
              <w:rPr>
                <w:rFonts w:cstheme="minorHAnsi"/>
                <w:szCs w:val="23"/>
                <w:lang w:val="en-US"/>
              </w:rPr>
              <w:t>, RRS, c </w:t>
            </w:r>
            <w:r w:rsidRPr="00F52884">
              <w:rPr>
                <w:rFonts w:cstheme="minorHAnsi"/>
                <w:szCs w:val="23"/>
              </w:rPr>
              <w:t>W-13.12, Reg 1</w:t>
            </w:r>
          </w:p>
          <w:p w14:paraId="68A0CA3D" w14:textId="4781CB22" w:rsidR="00B8348C" w:rsidRPr="00B04E29" w:rsidRDefault="00B8348C" w:rsidP="00B8348C">
            <w:pPr>
              <w:spacing w:before="60" w:after="60"/>
              <w:rPr>
                <w:rFonts w:cstheme="minorHAnsi"/>
                <w:szCs w:val="23"/>
              </w:rPr>
            </w:pPr>
            <w:r w:rsidRPr="00F52884">
              <w:rPr>
                <w:rFonts w:cstheme="minorHAnsi"/>
                <w:i/>
                <w:iCs/>
                <w:szCs w:val="23"/>
                <w:lang w:val="en-US"/>
              </w:rPr>
              <w:t>The Outfitter and Guide Regulations, 2004</w:t>
            </w:r>
            <w:r w:rsidRPr="00F52884">
              <w:rPr>
                <w:rFonts w:cstheme="minorHAnsi"/>
                <w:szCs w:val="23"/>
                <w:lang w:val="en-US"/>
              </w:rPr>
              <w:t>, RRS, c </w:t>
            </w:r>
            <w:r w:rsidRPr="00B04E29">
              <w:rPr>
                <w:rFonts w:cstheme="minorHAnsi"/>
                <w:szCs w:val="23"/>
              </w:rPr>
              <w:t>N-3.1, Reg 3</w:t>
            </w:r>
          </w:p>
        </w:tc>
      </w:tr>
      <w:tr w:rsidR="00B8348C" w:rsidRPr="00F52884" w14:paraId="3F8F7D8A" w14:textId="77777777" w:rsidTr="00FA2285">
        <w:trPr>
          <w:trHeight w:val="49"/>
          <w:jc w:val="center"/>
        </w:trPr>
        <w:tc>
          <w:tcPr>
            <w:tcW w:w="1034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A29C5A1"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0C75D9F3" w14:textId="77777777" w:rsidTr="00FA2285">
        <w:trPr>
          <w:trHeight w:val="66"/>
          <w:jc w:val="center"/>
        </w:trPr>
        <w:tc>
          <w:tcPr>
            <w:tcW w:w="10342" w:type="dxa"/>
            <w:gridSpan w:val="4"/>
            <w:tcBorders>
              <w:top w:val="single" w:sz="4" w:space="0" w:color="C0C0C0"/>
              <w:left w:val="single" w:sz="4" w:space="0" w:color="C0C0C0"/>
              <w:bottom w:val="single" w:sz="4" w:space="0" w:color="C0C0C0"/>
              <w:right w:val="single" w:sz="4" w:space="0" w:color="C0C0C0"/>
            </w:tcBorders>
          </w:tcPr>
          <w:p w14:paraId="7ECFFEFB" w14:textId="77777777" w:rsidR="00B8348C" w:rsidRPr="00F52884" w:rsidRDefault="00B8348C" w:rsidP="000C25A3">
            <w:pPr>
              <w:spacing w:before="60" w:after="60"/>
              <w:rPr>
                <w:rFonts w:cstheme="minorHAnsi"/>
                <w:szCs w:val="23"/>
                <w:lang w:val="fr-FR"/>
              </w:rPr>
            </w:pPr>
            <w:r w:rsidRPr="00F52884">
              <w:rPr>
                <w:rFonts w:cstheme="minorHAnsi"/>
                <w:szCs w:val="23"/>
                <w:lang w:val="fr-CA"/>
              </w:rPr>
              <w:t>Une personne qui veut obtenir un permis de pourvoyeur doit être un résident de la Saskatchewan et avoir un siège social dans la province.</w:t>
            </w:r>
          </w:p>
        </w:tc>
      </w:tr>
    </w:tbl>
    <w:p w14:paraId="2036EF02" w14:textId="77777777" w:rsidR="00B8348C" w:rsidRPr="00384094" w:rsidRDefault="00B8348C" w:rsidP="000C25A3">
      <w:pPr>
        <w:ind w:left="-360"/>
        <w:rPr>
          <w:rFonts w:cstheme="minorHAnsi"/>
          <w:szCs w:val="23"/>
          <w:lang w:val="fr-CA"/>
        </w:rPr>
      </w:pPr>
    </w:p>
    <w:p w14:paraId="767BEE40" w14:textId="77777777" w:rsidR="00B8348C" w:rsidRPr="00F52884" w:rsidRDefault="00B8348C" w:rsidP="000C25A3">
      <w:pPr>
        <w:rPr>
          <w:rFonts w:cstheme="minorHAnsi"/>
          <w:szCs w:val="23"/>
          <w:lang w:val="fr-FR"/>
        </w:rPr>
      </w:pPr>
    </w:p>
    <w:p w14:paraId="0B6FF4E1" w14:textId="3BB175B2" w:rsidR="00B8348C" w:rsidRPr="00F52884" w:rsidRDefault="00B8348C" w:rsidP="000C25A3">
      <w:pPr>
        <w:spacing w:before="60" w:after="60"/>
        <w:ind w:left="-360"/>
        <w:rPr>
          <w:rFonts w:cstheme="minorHAnsi"/>
          <w:b/>
          <w:caps/>
          <w:szCs w:val="23"/>
        </w:rPr>
      </w:pPr>
      <w:r w:rsidRPr="00F52884">
        <w:rPr>
          <w:rFonts w:cstheme="minorHAnsi"/>
          <w:b/>
          <w:bCs/>
          <w:caps/>
          <w:szCs w:val="23"/>
          <w:lang w:val="fr-CA"/>
        </w:rPr>
        <w:t xml:space="preserve">3. </w:t>
      </w:r>
      <w:r w:rsidR="00110B78" w:rsidRPr="00F52884">
        <w:rPr>
          <w:rFonts w:cstheme="minorHAnsi"/>
          <w:b/>
          <w:bCs/>
          <w:caps/>
          <w:szCs w:val="23"/>
          <w:lang w:val="fr-CA"/>
        </w:rPr>
        <w:t xml:space="preserve"> </w:t>
      </w:r>
      <w:r w:rsidRPr="00F52884">
        <w:rPr>
          <w:rFonts w:cstheme="minorHAnsi"/>
          <w:b/>
          <w:bCs/>
          <w:caps/>
          <w:szCs w:val="23"/>
          <w:lang w:val="fr-CA"/>
        </w:rPr>
        <w:t>Saskatchewan</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54FBC640"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6112174E"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0E14F4B0" w14:textId="77777777" w:rsidR="00B8348C" w:rsidRPr="00F52884" w:rsidRDefault="00B8348C" w:rsidP="000C25A3">
            <w:pPr>
              <w:spacing w:before="60" w:after="60"/>
              <w:rPr>
                <w:rFonts w:cstheme="minorHAnsi"/>
                <w:szCs w:val="23"/>
              </w:rPr>
            </w:pPr>
            <w:r w:rsidRPr="00F52884">
              <w:rPr>
                <w:rFonts w:cstheme="minorHAnsi"/>
                <w:szCs w:val="23"/>
                <w:lang w:val="fr-CA"/>
              </w:rPr>
              <w:t>Services immobiliers</w:t>
            </w:r>
          </w:p>
        </w:tc>
      </w:tr>
      <w:tr w:rsidR="00B8348C" w:rsidRPr="00D315AF" w14:paraId="57C6A8D1"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59F15592"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1A6CB774"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immobiliers se rapportant à des biens propres ou loués; services immobiliers à forfait ou sous contrat</w:t>
            </w:r>
          </w:p>
        </w:tc>
      </w:tr>
      <w:tr w:rsidR="00B8348C" w:rsidRPr="00F52884" w14:paraId="718CB02D"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7B47454B"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783A599C" w14:textId="77777777" w:rsidR="00B8348C" w:rsidRPr="00F52884" w:rsidRDefault="00B8348C" w:rsidP="000C25A3">
            <w:pPr>
              <w:spacing w:before="60" w:after="60"/>
              <w:ind w:left="4"/>
              <w:rPr>
                <w:rFonts w:cstheme="minorHAnsi"/>
                <w:szCs w:val="23"/>
              </w:rPr>
            </w:pPr>
            <w:r w:rsidRPr="00F52884">
              <w:rPr>
                <w:rFonts w:cstheme="minorHAnsi"/>
                <w:szCs w:val="23"/>
                <w:lang w:val="fr-CA"/>
              </w:rPr>
              <w:t>CPC 8210, 822</w:t>
            </w:r>
          </w:p>
        </w:tc>
      </w:tr>
      <w:tr w:rsidR="00B8348C" w:rsidRPr="00F52884" w14:paraId="57454353" w14:textId="77777777" w:rsidTr="00FA2285">
        <w:trPr>
          <w:trHeight w:val="42"/>
          <w:jc w:val="center"/>
        </w:trPr>
        <w:tc>
          <w:tcPr>
            <w:tcW w:w="2520" w:type="dxa"/>
            <w:tcBorders>
              <w:top w:val="single" w:sz="4" w:space="0" w:color="C0C0C0"/>
              <w:left w:val="nil"/>
              <w:bottom w:val="single" w:sz="4" w:space="0" w:color="C0C0C0"/>
              <w:right w:val="single" w:sz="4" w:space="0" w:color="FFFFFF"/>
            </w:tcBorders>
          </w:tcPr>
          <w:p w14:paraId="3D4FADF3" w14:textId="595AA32E"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34D12A01" w14:textId="0DFA7FCC"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C02200F"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734B4A0"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766E5ABD"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5894D9A8" w14:textId="5E0563A3" w:rsidR="00B8348C" w:rsidRPr="00B04E29" w:rsidRDefault="00B8348C" w:rsidP="000C25A3">
            <w:pPr>
              <w:spacing w:before="60" w:after="60"/>
              <w:rPr>
                <w:rFonts w:cstheme="minorHAnsi"/>
                <w:szCs w:val="23"/>
              </w:rPr>
            </w:pPr>
            <w:r w:rsidRPr="00F52884">
              <w:rPr>
                <w:rFonts w:cstheme="minorHAnsi"/>
                <w:i/>
                <w:iCs/>
                <w:szCs w:val="23"/>
              </w:rPr>
              <w:t>The Real Estate Act</w:t>
            </w:r>
            <w:r w:rsidRPr="00F52884">
              <w:rPr>
                <w:rFonts w:cstheme="minorHAnsi"/>
                <w:szCs w:val="23"/>
              </w:rPr>
              <w:t>, SS 1995, c </w:t>
            </w:r>
            <w:r w:rsidRPr="00B04E29">
              <w:rPr>
                <w:rFonts w:cstheme="minorHAnsi"/>
                <w:szCs w:val="23"/>
              </w:rPr>
              <w:t>R-1.3</w:t>
            </w:r>
          </w:p>
          <w:p w14:paraId="616EE5AF" w14:textId="77777777" w:rsidR="00B8348C" w:rsidRPr="00F52884" w:rsidRDefault="00B8348C" w:rsidP="000C25A3">
            <w:pPr>
              <w:spacing w:before="60" w:after="60"/>
              <w:rPr>
                <w:rFonts w:cstheme="minorHAnsi"/>
                <w:szCs w:val="23"/>
                <w:lang w:val="fr-FR"/>
              </w:rPr>
            </w:pPr>
            <w:r w:rsidRPr="00F52884">
              <w:rPr>
                <w:rFonts w:cstheme="minorHAnsi"/>
                <w:szCs w:val="23"/>
                <w:lang w:val="fr-CA"/>
              </w:rPr>
              <w:t xml:space="preserve">Politiques et règlements de la Real </w:t>
            </w:r>
            <w:proofErr w:type="spellStart"/>
            <w:r w:rsidRPr="00F52884">
              <w:rPr>
                <w:rFonts w:cstheme="minorHAnsi"/>
                <w:szCs w:val="23"/>
                <w:lang w:val="fr-CA"/>
              </w:rPr>
              <w:t>Estate</w:t>
            </w:r>
            <w:proofErr w:type="spellEnd"/>
            <w:r w:rsidRPr="00F52884">
              <w:rPr>
                <w:rFonts w:cstheme="minorHAnsi"/>
                <w:szCs w:val="23"/>
                <w:lang w:val="fr-CA"/>
              </w:rPr>
              <w:t xml:space="preserve"> Commission</w:t>
            </w:r>
          </w:p>
        </w:tc>
      </w:tr>
      <w:tr w:rsidR="00B8348C" w:rsidRPr="00F52884" w14:paraId="35F7C985"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9C01A5"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175B9A34"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7DFABE18" w14:textId="77777777" w:rsidR="00B8348C" w:rsidRPr="00F52884" w:rsidRDefault="00B8348C" w:rsidP="000C25A3">
            <w:pPr>
              <w:spacing w:before="60" w:after="60"/>
              <w:rPr>
                <w:rFonts w:cstheme="minorHAnsi"/>
                <w:szCs w:val="23"/>
                <w:lang w:val="fr-FR"/>
              </w:rPr>
            </w:pPr>
            <w:r w:rsidRPr="00F52884">
              <w:rPr>
                <w:rFonts w:cstheme="minorHAnsi"/>
                <w:szCs w:val="23"/>
                <w:lang w:val="fr-CA"/>
              </w:rPr>
              <w:t>Toute firme de courtage et toute personne désignée dans le certificat d’enregistrement d’une firme de courtage doit avoir un bureau en Saskatchewan et être titulaire d’un compte en fiducie dans un établissement financier de la province pour y déposer toutes les sommes reçues dans le cadre de transactions immobilières.</w:t>
            </w:r>
          </w:p>
        </w:tc>
      </w:tr>
    </w:tbl>
    <w:p w14:paraId="30377D8E" w14:textId="77777777" w:rsidR="00B8348C" w:rsidRPr="00F52884" w:rsidRDefault="00B8348C" w:rsidP="000C25A3">
      <w:pPr>
        <w:ind w:left="-360"/>
        <w:rPr>
          <w:rFonts w:cstheme="minorHAnsi"/>
          <w:szCs w:val="23"/>
          <w:lang w:val="fr-FR"/>
        </w:rPr>
      </w:pPr>
    </w:p>
    <w:p w14:paraId="5BD8810F" w14:textId="77777777" w:rsidR="00B8348C" w:rsidRPr="00F52884" w:rsidRDefault="00B8348C" w:rsidP="000C25A3">
      <w:pPr>
        <w:ind w:left="-360"/>
        <w:rPr>
          <w:rFonts w:cstheme="minorHAnsi"/>
          <w:szCs w:val="23"/>
          <w:lang w:val="fr-FR"/>
        </w:rPr>
      </w:pPr>
    </w:p>
    <w:p w14:paraId="1BDBF970" w14:textId="5FA4E7EF" w:rsidR="00B8348C" w:rsidRPr="00F52884" w:rsidRDefault="00B8348C" w:rsidP="000C25A3">
      <w:pPr>
        <w:spacing w:before="60" w:after="60"/>
        <w:ind w:left="-360"/>
        <w:rPr>
          <w:rFonts w:cstheme="minorHAnsi"/>
          <w:b/>
          <w:caps/>
          <w:szCs w:val="23"/>
        </w:rPr>
      </w:pPr>
      <w:r w:rsidRPr="00F52884">
        <w:rPr>
          <w:rFonts w:cstheme="minorHAnsi"/>
          <w:b/>
          <w:bCs/>
          <w:caps/>
          <w:szCs w:val="23"/>
          <w:lang w:val="fr-CA"/>
        </w:rPr>
        <w:t xml:space="preserve">4. </w:t>
      </w:r>
      <w:r w:rsidR="00110B78" w:rsidRPr="00F52884">
        <w:rPr>
          <w:rFonts w:cstheme="minorHAnsi"/>
          <w:b/>
          <w:bCs/>
          <w:caps/>
          <w:szCs w:val="23"/>
          <w:lang w:val="fr-CA"/>
        </w:rPr>
        <w:t xml:space="preserve"> </w:t>
      </w:r>
      <w:r w:rsidRPr="00F52884">
        <w:rPr>
          <w:rFonts w:cstheme="minorHAnsi"/>
          <w:b/>
          <w:bCs/>
          <w:caps/>
          <w:szCs w:val="23"/>
          <w:lang w:val="fr-CA"/>
        </w:rPr>
        <w:t>Saskatchewan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3B660390" w14:textId="77777777" w:rsidTr="00110B78">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60FD011F"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6520EE62" w14:textId="77777777" w:rsidR="00B8348C" w:rsidRPr="00F52884" w:rsidRDefault="00B8348C" w:rsidP="000C25A3">
            <w:pPr>
              <w:spacing w:before="60" w:after="60"/>
              <w:rPr>
                <w:rFonts w:cstheme="minorHAnsi"/>
                <w:szCs w:val="23"/>
              </w:rPr>
            </w:pPr>
            <w:r w:rsidRPr="00F52884">
              <w:rPr>
                <w:rFonts w:cstheme="minorHAnsi"/>
                <w:szCs w:val="23"/>
                <w:lang w:val="fr-CA"/>
              </w:rPr>
              <w:t>Tourisme</w:t>
            </w:r>
          </w:p>
        </w:tc>
      </w:tr>
      <w:tr w:rsidR="00B8348C" w:rsidRPr="00D315AF" w14:paraId="3A43BBF6" w14:textId="77777777" w:rsidTr="00110B78">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53A37C9C"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41F04995"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annexes à la chasse; services de guides touristiques; chasse pour compte propre</w:t>
            </w:r>
          </w:p>
        </w:tc>
      </w:tr>
      <w:tr w:rsidR="00B8348C" w:rsidRPr="00F52884" w14:paraId="0B7F12C8" w14:textId="77777777" w:rsidTr="00110B78">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38E963F"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2026CC79" w14:textId="77777777" w:rsidR="00B8348C" w:rsidRPr="00F52884" w:rsidRDefault="00B8348C" w:rsidP="000C25A3">
            <w:pPr>
              <w:spacing w:before="60" w:after="60"/>
              <w:ind w:left="4"/>
              <w:rPr>
                <w:rFonts w:cstheme="minorHAnsi"/>
                <w:szCs w:val="23"/>
              </w:rPr>
            </w:pPr>
            <w:r w:rsidRPr="00F52884">
              <w:rPr>
                <w:rFonts w:cstheme="minorHAnsi"/>
                <w:szCs w:val="23"/>
                <w:lang w:val="fr-CA"/>
              </w:rPr>
              <w:t>CPC 7472, 8813, 96419</w:t>
            </w:r>
          </w:p>
        </w:tc>
      </w:tr>
      <w:tr w:rsidR="00B8348C" w:rsidRPr="00F52884" w14:paraId="2A6B1500" w14:textId="77777777" w:rsidTr="00110B78">
        <w:trPr>
          <w:trHeight w:val="42"/>
          <w:jc w:val="center"/>
        </w:trPr>
        <w:tc>
          <w:tcPr>
            <w:tcW w:w="2430" w:type="dxa"/>
            <w:tcBorders>
              <w:top w:val="single" w:sz="4" w:space="0" w:color="C0C0C0"/>
              <w:left w:val="nil"/>
              <w:bottom w:val="single" w:sz="4" w:space="0" w:color="C0C0C0"/>
              <w:right w:val="single" w:sz="4" w:space="0" w:color="FFFFFF"/>
            </w:tcBorders>
          </w:tcPr>
          <w:p w14:paraId="25002773" w14:textId="0FCC5CB4"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11F62160" w14:textId="481B84CE"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D634A22" w14:textId="77777777" w:rsidTr="00110B78">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9117285"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7EA8B743" w14:textId="77777777" w:rsidTr="00110B78">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51FD0D2" w14:textId="62C2B00C" w:rsidR="00B8348C" w:rsidRPr="00F52884" w:rsidRDefault="00B8348C" w:rsidP="000C25A3">
            <w:pPr>
              <w:spacing w:before="60" w:after="60"/>
              <w:rPr>
                <w:rFonts w:cstheme="minorHAnsi"/>
                <w:szCs w:val="23"/>
              </w:rPr>
            </w:pPr>
            <w:r w:rsidRPr="00F52884">
              <w:rPr>
                <w:rFonts w:cstheme="minorHAnsi"/>
                <w:i/>
                <w:iCs/>
                <w:szCs w:val="23"/>
              </w:rPr>
              <w:t>The Wildlife Act, 1998</w:t>
            </w:r>
            <w:r w:rsidRPr="00F52884">
              <w:rPr>
                <w:rFonts w:cstheme="minorHAnsi"/>
                <w:szCs w:val="23"/>
              </w:rPr>
              <w:t>, SS 1998, c W-13.12</w:t>
            </w:r>
          </w:p>
          <w:p w14:paraId="709AD34A" w14:textId="61E894B3" w:rsidR="00B8348C" w:rsidRPr="00B04E29" w:rsidRDefault="00B8348C" w:rsidP="000C25A3">
            <w:pPr>
              <w:spacing w:before="60" w:after="60"/>
              <w:rPr>
                <w:rFonts w:cstheme="minorHAnsi"/>
                <w:szCs w:val="23"/>
              </w:rPr>
            </w:pPr>
            <w:r w:rsidRPr="00F52884">
              <w:rPr>
                <w:rFonts w:cstheme="minorHAnsi"/>
                <w:i/>
                <w:iCs/>
                <w:szCs w:val="23"/>
              </w:rPr>
              <w:t>The Wildlife Regulations, 1981</w:t>
            </w:r>
            <w:r w:rsidRPr="00F52884">
              <w:rPr>
                <w:rFonts w:cstheme="minorHAnsi"/>
                <w:szCs w:val="23"/>
              </w:rPr>
              <w:t>, RRS, c </w:t>
            </w:r>
            <w:r w:rsidRPr="00B04E29">
              <w:rPr>
                <w:rFonts w:cstheme="minorHAnsi"/>
                <w:szCs w:val="23"/>
              </w:rPr>
              <w:t>W-13.12, Reg 1</w:t>
            </w:r>
          </w:p>
        </w:tc>
      </w:tr>
      <w:tr w:rsidR="00B8348C" w:rsidRPr="00F52884" w14:paraId="6A0A662B" w14:textId="77777777" w:rsidTr="00110B78">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8B8F6F"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1B129F17" w14:textId="77777777" w:rsidTr="00110B78">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2BFE7F73"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Pour obtenir un permis relatif aux fourrures, il faut être un résident de la Saskatchewan.</w:t>
            </w:r>
          </w:p>
          <w:p w14:paraId="5D6C33F8"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Un résident de la Saskatchewan s’entend d’un résident canadien dont le lieu de résidence principal se trouve en Saskatchewan et qui a résidé dans la province au cours des trois mois ayant précédé la date de la demande de permis.</w:t>
            </w:r>
          </w:p>
        </w:tc>
      </w:tr>
    </w:tbl>
    <w:p w14:paraId="346E01B5" w14:textId="77777777" w:rsidR="00B8348C" w:rsidRPr="00F52884" w:rsidRDefault="00B8348C" w:rsidP="000C25A3">
      <w:pPr>
        <w:rPr>
          <w:rFonts w:cstheme="minorHAnsi"/>
          <w:b/>
          <w:szCs w:val="23"/>
          <w:lang w:val="fr-FR"/>
        </w:rPr>
      </w:pPr>
    </w:p>
    <w:p w14:paraId="7B445A1C" w14:textId="77777777" w:rsidR="00B8348C" w:rsidRPr="00F52884" w:rsidRDefault="00B8348C" w:rsidP="000C25A3">
      <w:pPr>
        <w:rPr>
          <w:rFonts w:cstheme="minorHAnsi"/>
          <w:szCs w:val="23"/>
          <w:lang w:val="fr-FR"/>
        </w:rPr>
      </w:pPr>
      <w:r w:rsidRPr="00F52884">
        <w:rPr>
          <w:rFonts w:cstheme="minorHAnsi"/>
          <w:szCs w:val="23"/>
          <w:lang w:val="fr-CA"/>
        </w:rPr>
        <w:tab/>
      </w:r>
    </w:p>
    <w:p w14:paraId="0841F0D1" w14:textId="0785576B" w:rsidR="00B8348C" w:rsidRPr="00F52884" w:rsidRDefault="00B8348C" w:rsidP="000C25A3">
      <w:pPr>
        <w:spacing w:before="60" w:after="60"/>
        <w:ind w:left="-360"/>
        <w:rPr>
          <w:rFonts w:cstheme="minorHAnsi"/>
          <w:b/>
          <w:caps/>
          <w:szCs w:val="23"/>
        </w:rPr>
      </w:pPr>
      <w:r w:rsidRPr="00F52884">
        <w:rPr>
          <w:rFonts w:cstheme="minorHAnsi"/>
          <w:b/>
          <w:bCs/>
          <w:caps/>
          <w:szCs w:val="23"/>
          <w:lang w:val="fr-CA"/>
        </w:rPr>
        <w:lastRenderedPageBreak/>
        <w:t xml:space="preserve">5. </w:t>
      </w:r>
      <w:r w:rsidR="00110B78" w:rsidRPr="00F52884">
        <w:rPr>
          <w:rFonts w:cstheme="minorHAnsi"/>
          <w:b/>
          <w:bCs/>
          <w:caps/>
          <w:szCs w:val="23"/>
          <w:lang w:val="fr-CA"/>
        </w:rPr>
        <w:t xml:space="preserve"> </w:t>
      </w:r>
      <w:r w:rsidRPr="00F52884">
        <w:rPr>
          <w:rFonts w:cstheme="minorHAnsi"/>
          <w:b/>
          <w:bCs/>
          <w:caps/>
          <w:szCs w:val="23"/>
          <w:lang w:val="fr-CA"/>
        </w:rPr>
        <w:t>Saskatchewan</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46C41D06"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64C03327"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3C7745F8" w14:textId="77777777" w:rsidR="00B8348C" w:rsidRPr="00F52884" w:rsidRDefault="00B8348C" w:rsidP="000C25A3">
            <w:pPr>
              <w:spacing w:before="60" w:after="60"/>
              <w:rPr>
                <w:rFonts w:cstheme="minorHAnsi"/>
                <w:szCs w:val="23"/>
              </w:rPr>
            </w:pPr>
            <w:r w:rsidRPr="00F52884">
              <w:rPr>
                <w:rFonts w:cstheme="minorHAnsi"/>
                <w:szCs w:val="23"/>
                <w:lang w:val="fr-CA"/>
              </w:rPr>
              <w:t>Tous les secteurs</w:t>
            </w:r>
          </w:p>
        </w:tc>
      </w:tr>
      <w:tr w:rsidR="00B8348C" w:rsidRPr="00F52884" w14:paraId="418B323E"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6C9A5887"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78431BB7" w14:textId="77777777" w:rsidR="00B8348C" w:rsidRPr="00F52884" w:rsidRDefault="00B8348C" w:rsidP="000C25A3">
            <w:pPr>
              <w:spacing w:before="60" w:after="60"/>
              <w:rPr>
                <w:rFonts w:cstheme="minorHAnsi"/>
                <w:szCs w:val="23"/>
              </w:rPr>
            </w:pPr>
            <w:r w:rsidRPr="00F52884">
              <w:rPr>
                <w:rFonts w:cstheme="minorHAnsi"/>
                <w:szCs w:val="23"/>
                <w:lang w:val="fr-CA"/>
              </w:rPr>
              <w:t>Tous les sous-secteurs</w:t>
            </w:r>
          </w:p>
        </w:tc>
      </w:tr>
      <w:tr w:rsidR="00B8348C" w:rsidRPr="00F52884" w14:paraId="187A0E5D"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14134A9E"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43225DEC" w14:textId="77777777" w:rsidR="00B8348C" w:rsidRPr="00F52884" w:rsidRDefault="00B8348C" w:rsidP="000C25A3">
            <w:pPr>
              <w:spacing w:before="60" w:after="60"/>
              <w:ind w:left="4"/>
              <w:rPr>
                <w:rFonts w:cstheme="minorHAnsi"/>
                <w:szCs w:val="23"/>
              </w:rPr>
            </w:pPr>
          </w:p>
        </w:tc>
      </w:tr>
      <w:tr w:rsidR="00B8348C" w:rsidRPr="00F52884" w14:paraId="5D04BBC7" w14:textId="77777777" w:rsidTr="00FA2285">
        <w:trPr>
          <w:trHeight w:val="42"/>
          <w:jc w:val="center"/>
        </w:trPr>
        <w:tc>
          <w:tcPr>
            <w:tcW w:w="2520" w:type="dxa"/>
            <w:tcBorders>
              <w:top w:val="single" w:sz="4" w:space="0" w:color="C0C0C0"/>
              <w:left w:val="nil"/>
              <w:bottom w:val="single" w:sz="4" w:space="0" w:color="C0C0C0"/>
              <w:right w:val="single" w:sz="4" w:space="0" w:color="FFFFFF"/>
            </w:tcBorders>
          </w:tcPr>
          <w:p w14:paraId="1D85C148" w14:textId="329D76C9"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2F54A32D" w14:textId="46F49FF4"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F2487E1"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9A4B79B"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0793DBEF"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177DA306" w14:textId="31A93C18" w:rsidR="00B8348C" w:rsidRPr="00B04E29" w:rsidRDefault="00B8348C" w:rsidP="000C25A3">
            <w:pPr>
              <w:spacing w:before="60" w:after="60"/>
              <w:rPr>
                <w:rFonts w:cstheme="minorHAnsi"/>
                <w:szCs w:val="23"/>
              </w:rPr>
            </w:pPr>
            <w:r w:rsidRPr="00F52884">
              <w:rPr>
                <w:rFonts w:cstheme="minorHAnsi"/>
                <w:i/>
                <w:iCs/>
                <w:szCs w:val="23"/>
              </w:rPr>
              <w:t>The Co-operatives Act, 1996</w:t>
            </w:r>
            <w:r w:rsidRPr="00F52884">
              <w:rPr>
                <w:rFonts w:cstheme="minorHAnsi"/>
                <w:szCs w:val="23"/>
              </w:rPr>
              <w:t>, SS 1996, c </w:t>
            </w:r>
            <w:r w:rsidRPr="00B04E29">
              <w:rPr>
                <w:rFonts w:cstheme="minorHAnsi"/>
                <w:szCs w:val="23"/>
              </w:rPr>
              <w:t>C-37.3</w:t>
            </w:r>
          </w:p>
          <w:p w14:paraId="49E3E051" w14:textId="77777777" w:rsidR="00B8348C" w:rsidRPr="00F52884" w:rsidRDefault="00B8348C" w:rsidP="000C25A3">
            <w:pPr>
              <w:spacing w:before="60" w:after="60"/>
              <w:rPr>
                <w:rFonts w:cstheme="minorHAnsi"/>
                <w:szCs w:val="23"/>
                <w:lang w:val="fr-FR"/>
              </w:rPr>
            </w:pPr>
            <w:r w:rsidRPr="00F52884">
              <w:rPr>
                <w:rFonts w:cstheme="minorHAnsi"/>
                <w:szCs w:val="23"/>
                <w:lang w:val="fr-CA"/>
              </w:rPr>
              <w:t>Lois d’intérêt privé de l’Assemblée législative de la Saskatchewan instituant des personnes morales</w:t>
            </w:r>
          </w:p>
          <w:p w14:paraId="462153AD" w14:textId="77777777" w:rsidR="00B8348C" w:rsidRPr="00F52884" w:rsidRDefault="00B8348C" w:rsidP="000C25A3">
            <w:pPr>
              <w:spacing w:before="60" w:after="60"/>
              <w:rPr>
                <w:rFonts w:cstheme="minorHAnsi"/>
                <w:szCs w:val="23"/>
                <w:lang w:val="fr-FR"/>
              </w:rPr>
            </w:pPr>
            <w:r w:rsidRPr="00F52884">
              <w:rPr>
                <w:rFonts w:cstheme="minorHAnsi"/>
                <w:szCs w:val="23"/>
                <w:lang w:val="fr-CA"/>
              </w:rPr>
              <w:t>Pratiques et politiques du registraire des coopératives</w:t>
            </w:r>
          </w:p>
        </w:tc>
      </w:tr>
      <w:tr w:rsidR="00B8348C" w:rsidRPr="00F52884" w14:paraId="2E9513FA"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E690942"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29E8E612"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282C1FFC"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Une coopérative doit avoir un bureau enregistré en Saskatchewan.</w:t>
            </w:r>
          </w:p>
          <w:p w14:paraId="3FD3C8EF"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L’adhésion peut être réservée aux résidents canadiens de la Saskatchewan.</w:t>
            </w:r>
          </w:p>
          <w:p w14:paraId="3AD0501E"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La coopérative doit compter au moins cinq administrateurs et la majorité des administrateurs doivent être résidents canadiens. Les administrateurs sont nommés parmi les membres de la coopérative.</w:t>
            </w:r>
          </w:p>
          <w:p w14:paraId="649E59D3"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registrateur peut restreindre les activités qu’une coopérative peut exercer dans la province.</w:t>
            </w:r>
          </w:p>
        </w:tc>
      </w:tr>
    </w:tbl>
    <w:p w14:paraId="66CF0206" w14:textId="77777777" w:rsidR="00B8348C" w:rsidRPr="00F52884" w:rsidRDefault="00B8348C" w:rsidP="000C25A3">
      <w:pPr>
        <w:rPr>
          <w:rFonts w:cstheme="minorHAnsi"/>
          <w:szCs w:val="23"/>
          <w:lang w:val="fr-FR"/>
        </w:rPr>
      </w:pPr>
    </w:p>
    <w:p w14:paraId="2E8D96F1" w14:textId="77777777" w:rsidR="00B8348C" w:rsidRPr="00F52884" w:rsidRDefault="00B8348C" w:rsidP="000C25A3">
      <w:pPr>
        <w:rPr>
          <w:rFonts w:cstheme="minorHAnsi"/>
          <w:szCs w:val="23"/>
          <w:lang w:val="fr-FR"/>
        </w:rPr>
      </w:pPr>
    </w:p>
    <w:p w14:paraId="08E47192" w14:textId="7B22F345" w:rsidR="00B8348C" w:rsidRPr="00F52884" w:rsidRDefault="00B8348C" w:rsidP="000C25A3">
      <w:pPr>
        <w:spacing w:before="60" w:after="60"/>
        <w:ind w:left="-360"/>
        <w:rPr>
          <w:rFonts w:cstheme="minorHAnsi"/>
          <w:b/>
          <w:caps/>
          <w:szCs w:val="23"/>
        </w:rPr>
      </w:pPr>
      <w:r w:rsidRPr="00F52884">
        <w:rPr>
          <w:rFonts w:cstheme="minorHAnsi"/>
          <w:b/>
          <w:bCs/>
          <w:caps/>
          <w:szCs w:val="23"/>
          <w:lang w:val="fr-CA"/>
        </w:rPr>
        <w:t xml:space="preserve">6. </w:t>
      </w:r>
      <w:r w:rsidR="00110B78" w:rsidRPr="00F52884">
        <w:rPr>
          <w:rFonts w:cstheme="minorHAnsi"/>
          <w:b/>
          <w:bCs/>
          <w:caps/>
          <w:szCs w:val="23"/>
          <w:lang w:val="fr-CA"/>
        </w:rPr>
        <w:t xml:space="preserve"> </w:t>
      </w:r>
      <w:r w:rsidRPr="00F52884">
        <w:rPr>
          <w:rFonts w:cstheme="minorHAnsi"/>
          <w:b/>
          <w:bCs/>
          <w:caps/>
          <w:szCs w:val="23"/>
          <w:lang w:val="fr-CA"/>
        </w:rPr>
        <w:t>Saskatchewan</w:t>
      </w:r>
    </w:p>
    <w:tbl>
      <w:tblPr>
        <w:tblW w:w="10342" w:type="dxa"/>
        <w:jc w:val="center"/>
        <w:tblCellMar>
          <w:top w:w="14" w:type="dxa"/>
          <w:left w:w="86" w:type="dxa"/>
          <w:bottom w:w="14" w:type="dxa"/>
          <w:right w:w="86" w:type="dxa"/>
        </w:tblCellMar>
        <w:tblLook w:val="0000" w:firstRow="0" w:lastRow="0" w:firstColumn="0" w:lastColumn="0" w:noHBand="0" w:noVBand="0"/>
      </w:tblPr>
      <w:tblGrid>
        <w:gridCol w:w="2520"/>
        <w:gridCol w:w="7443"/>
        <w:gridCol w:w="379"/>
      </w:tblGrid>
      <w:tr w:rsidR="00B8348C" w:rsidRPr="00F52884" w14:paraId="4791AC36"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3EE5B599"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0D7473F8" w14:textId="77777777" w:rsidR="00B8348C" w:rsidRPr="00F52884" w:rsidRDefault="00B8348C" w:rsidP="000C25A3">
            <w:pPr>
              <w:spacing w:before="60" w:after="60"/>
              <w:rPr>
                <w:rFonts w:cstheme="minorHAnsi"/>
                <w:szCs w:val="23"/>
              </w:rPr>
            </w:pPr>
            <w:r w:rsidRPr="00F52884">
              <w:rPr>
                <w:rFonts w:cstheme="minorHAnsi"/>
                <w:szCs w:val="23"/>
                <w:lang w:val="fr-CA"/>
              </w:rPr>
              <w:t>Tous les secteurs</w:t>
            </w:r>
          </w:p>
        </w:tc>
      </w:tr>
      <w:tr w:rsidR="00B8348C" w:rsidRPr="00F52884" w14:paraId="51557722"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3A887985"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20AABE5B" w14:textId="77777777" w:rsidR="00B8348C" w:rsidRPr="00F52884" w:rsidRDefault="00B8348C" w:rsidP="000C25A3">
            <w:pPr>
              <w:spacing w:before="60" w:after="60"/>
              <w:rPr>
                <w:rFonts w:cstheme="minorHAnsi"/>
                <w:szCs w:val="23"/>
              </w:rPr>
            </w:pPr>
            <w:r w:rsidRPr="00F52884">
              <w:rPr>
                <w:rFonts w:cstheme="minorHAnsi"/>
                <w:szCs w:val="23"/>
                <w:lang w:val="fr-CA"/>
              </w:rPr>
              <w:t>Tous les sous-secteurs</w:t>
            </w:r>
          </w:p>
        </w:tc>
      </w:tr>
      <w:tr w:rsidR="00B8348C" w:rsidRPr="00F52884" w14:paraId="60E14A42"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56C83788"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5A0730A0" w14:textId="77777777" w:rsidR="00B8348C" w:rsidRPr="00F52884" w:rsidRDefault="00B8348C" w:rsidP="000C25A3">
            <w:pPr>
              <w:spacing w:before="60" w:after="60"/>
              <w:ind w:left="4"/>
              <w:rPr>
                <w:rFonts w:cstheme="minorHAnsi"/>
                <w:szCs w:val="23"/>
              </w:rPr>
            </w:pPr>
          </w:p>
        </w:tc>
      </w:tr>
      <w:tr w:rsidR="00B8348C" w:rsidRPr="00F52884" w14:paraId="654BD874" w14:textId="77777777" w:rsidTr="00FA2285">
        <w:trPr>
          <w:trHeight w:val="42"/>
          <w:jc w:val="center"/>
        </w:trPr>
        <w:tc>
          <w:tcPr>
            <w:tcW w:w="2520" w:type="dxa"/>
            <w:tcBorders>
              <w:top w:val="single" w:sz="4" w:space="0" w:color="C0C0C0"/>
              <w:left w:val="nil"/>
              <w:bottom w:val="single" w:sz="4" w:space="0" w:color="C0C0C0"/>
              <w:right w:val="single" w:sz="4" w:space="0" w:color="FFFFFF"/>
            </w:tcBorders>
          </w:tcPr>
          <w:p w14:paraId="3DEAA18A" w14:textId="44732023"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6D44039F" w14:textId="5EE05AA1"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264138D1"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BBD759"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D315AF" w14:paraId="756951C7"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2F2D6858" w14:textId="6001C760" w:rsidR="00B8348C" w:rsidRPr="00B04E29" w:rsidRDefault="00B8348C" w:rsidP="000C25A3">
            <w:pPr>
              <w:spacing w:before="60" w:after="60"/>
              <w:rPr>
                <w:rFonts w:cstheme="minorHAnsi"/>
                <w:szCs w:val="23"/>
              </w:rPr>
            </w:pPr>
            <w:r w:rsidRPr="00F52884">
              <w:rPr>
                <w:rFonts w:cstheme="minorHAnsi"/>
                <w:i/>
                <w:iCs/>
                <w:szCs w:val="23"/>
              </w:rPr>
              <w:t>The Non-profit Corporations Act, 1995</w:t>
            </w:r>
            <w:r w:rsidRPr="00F52884">
              <w:rPr>
                <w:rFonts w:cstheme="minorHAnsi"/>
                <w:szCs w:val="23"/>
              </w:rPr>
              <w:t>, SS 1995, c </w:t>
            </w:r>
            <w:r w:rsidRPr="00B04E29">
              <w:rPr>
                <w:rFonts w:cstheme="minorHAnsi"/>
                <w:szCs w:val="23"/>
              </w:rPr>
              <w:t>N-4.2</w:t>
            </w:r>
          </w:p>
          <w:p w14:paraId="7C08B734" w14:textId="77777777" w:rsidR="00B8348C" w:rsidRPr="00F52884" w:rsidRDefault="00B8348C" w:rsidP="000C25A3">
            <w:pPr>
              <w:spacing w:before="60" w:after="60"/>
              <w:rPr>
                <w:rFonts w:cstheme="minorHAnsi"/>
                <w:szCs w:val="23"/>
                <w:lang w:val="fr-FR"/>
              </w:rPr>
            </w:pPr>
            <w:r w:rsidRPr="00F52884">
              <w:rPr>
                <w:rFonts w:cstheme="minorHAnsi"/>
                <w:szCs w:val="23"/>
                <w:lang w:val="fr-CA"/>
              </w:rPr>
              <w:t>Lois d’intérêt privé de l’Assemblée législative de la Saskatchewan instituant des personnes morales</w:t>
            </w:r>
          </w:p>
        </w:tc>
      </w:tr>
      <w:tr w:rsidR="00B8348C" w:rsidRPr="00F52884" w14:paraId="350FB49C"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473444A"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D315AF" w14:paraId="611027F2"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6908376" w14:textId="77777777" w:rsidR="00B8348C" w:rsidRPr="00F52884" w:rsidRDefault="00B8348C" w:rsidP="000C25A3">
            <w:pPr>
              <w:pStyle w:val="NormalWeb"/>
              <w:shd w:val="clear" w:color="auto" w:fill="FFFFFF"/>
              <w:spacing w:before="60" w:beforeAutospacing="0" w:after="60" w:afterAutospacing="0" w:line="288" w:lineRule="atLeast"/>
              <w:ind w:right="150"/>
              <w:rPr>
                <w:rFonts w:asciiTheme="minorHAnsi" w:hAnsiTheme="minorHAnsi" w:cstheme="minorHAnsi"/>
                <w:szCs w:val="23"/>
                <w:lang w:val="fr-FR"/>
              </w:rPr>
            </w:pPr>
            <w:r w:rsidRPr="00F52884">
              <w:rPr>
                <w:rFonts w:asciiTheme="minorHAnsi" w:hAnsiTheme="minorHAnsi" w:cstheme="minorHAnsi"/>
                <w:szCs w:val="23"/>
                <w:lang w:val="fr-CA"/>
              </w:rPr>
              <w:t>Au moins un administrateur d’une société doit résider en Saskatchewan.</w:t>
            </w:r>
          </w:p>
        </w:tc>
      </w:tr>
    </w:tbl>
    <w:p w14:paraId="43D96633" w14:textId="77777777" w:rsidR="00B8348C" w:rsidRPr="00F52884" w:rsidRDefault="00B8348C" w:rsidP="000C25A3">
      <w:pPr>
        <w:rPr>
          <w:rFonts w:cstheme="minorHAnsi"/>
          <w:b/>
          <w:szCs w:val="23"/>
          <w:lang w:val="fr-FR"/>
        </w:rPr>
      </w:pPr>
    </w:p>
    <w:p w14:paraId="063292F7" w14:textId="77777777" w:rsidR="00B8348C" w:rsidRPr="00F52884" w:rsidRDefault="00B8348C" w:rsidP="000C25A3">
      <w:pPr>
        <w:rPr>
          <w:rFonts w:cstheme="minorHAnsi"/>
          <w:b/>
          <w:szCs w:val="23"/>
          <w:lang w:val="fr-FR"/>
        </w:rPr>
      </w:pPr>
    </w:p>
    <w:p w14:paraId="0D8A511F" w14:textId="77777777" w:rsidR="00B8348C" w:rsidRPr="00F52884" w:rsidRDefault="00B8348C" w:rsidP="000C25A3">
      <w:pPr>
        <w:rPr>
          <w:rFonts w:cstheme="minorHAnsi"/>
          <w:b/>
          <w:szCs w:val="23"/>
          <w:lang w:val="fr-FR"/>
        </w:rPr>
      </w:pPr>
    </w:p>
    <w:p w14:paraId="0E56C0A5" w14:textId="77777777" w:rsidR="00B8348C" w:rsidRPr="00F52884" w:rsidRDefault="00B8348C" w:rsidP="000C25A3">
      <w:pPr>
        <w:rPr>
          <w:rFonts w:cstheme="minorHAnsi"/>
          <w:b/>
          <w:szCs w:val="23"/>
          <w:lang w:val="fr-FR"/>
        </w:rPr>
      </w:pPr>
    </w:p>
    <w:p w14:paraId="7CC27EA6" w14:textId="77777777" w:rsidR="00B8348C" w:rsidRPr="00F52884" w:rsidRDefault="00B8348C" w:rsidP="000C25A3">
      <w:pPr>
        <w:ind w:left="-360"/>
        <w:rPr>
          <w:rFonts w:cstheme="minorHAnsi"/>
          <w:b/>
          <w:szCs w:val="23"/>
          <w:lang w:val="fr-FR"/>
        </w:rPr>
      </w:pPr>
    </w:p>
    <w:p w14:paraId="4C81A289" w14:textId="1A0C6DE7" w:rsidR="00B8348C" w:rsidRPr="00F52884" w:rsidRDefault="00426057" w:rsidP="000C25A3">
      <w:pPr>
        <w:spacing w:before="60" w:after="60"/>
        <w:ind w:left="-360"/>
        <w:rPr>
          <w:rFonts w:cstheme="minorHAnsi"/>
          <w:b/>
          <w:caps/>
          <w:szCs w:val="23"/>
        </w:rPr>
      </w:pPr>
      <w:r>
        <w:rPr>
          <w:rFonts w:cstheme="minorHAnsi"/>
          <w:b/>
          <w:bCs/>
          <w:caps/>
          <w:szCs w:val="23"/>
          <w:lang w:val="fr-CA"/>
        </w:rPr>
        <w:lastRenderedPageBreak/>
        <w:t>7</w:t>
      </w:r>
      <w:r w:rsidR="00B8348C" w:rsidRPr="00F52884">
        <w:rPr>
          <w:rFonts w:cstheme="minorHAnsi"/>
          <w:b/>
          <w:bCs/>
          <w:caps/>
          <w:szCs w:val="23"/>
          <w:lang w:val="fr-CA"/>
        </w:rPr>
        <w:t>.</w:t>
      </w:r>
      <w:r w:rsidR="00110B78" w:rsidRPr="00F52884">
        <w:rPr>
          <w:rFonts w:cstheme="minorHAnsi"/>
          <w:b/>
          <w:bCs/>
          <w:caps/>
          <w:szCs w:val="23"/>
          <w:lang w:val="fr-CA"/>
        </w:rPr>
        <w:t xml:space="preserve">  </w:t>
      </w:r>
      <w:r w:rsidR="00B8348C" w:rsidRPr="00F52884">
        <w:rPr>
          <w:rFonts w:cstheme="minorHAnsi"/>
          <w:b/>
          <w:bCs/>
          <w:caps/>
          <w:szCs w:val="23"/>
          <w:lang w:val="fr-CA"/>
        </w:rPr>
        <w:t>Saskatchewan</w:t>
      </w:r>
    </w:p>
    <w:tbl>
      <w:tblPr>
        <w:tblW w:w="10342" w:type="dxa"/>
        <w:jc w:val="center"/>
        <w:tblCellMar>
          <w:top w:w="14" w:type="dxa"/>
          <w:left w:w="86" w:type="dxa"/>
          <w:bottom w:w="14" w:type="dxa"/>
          <w:right w:w="86" w:type="dxa"/>
        </w:tblCellMar>
        <w:tblLook w:val="04A0" w:firstRow="1" w:lastRow="0" w:firstColumn="1" w:lastColumn="0" w:noHBand="0" w:noVBand="1"/>
      </w:tblPr>
      <w:tblGrid>
        <w:gridCol w:w="2520"/>
        <w:gridCol w:w="7443"/>
        <w:gridCol w:w="379"/>
      </w:tblGrid>
      <w:tr w:rsidR="00B8348C" w:rsidRPr="00F52884" w14:paraId="21B1452D"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44541E8"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0FFE167C"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F52884" w14:paraId="2AD0A892" w14:textId="77777777" w:rsidTr="00FA2285">
        <w:trPr>
          <w:trHeight w:val="246"/>
          <w:jc w:val="center"/>
        </w:trPr>
        <w:tc>
          <w:tcPr>
            <w:tcW w:w="2520" w:type="dxa"/>
            <w:tcBorders>
              <w:top w:val="single" w:sz="4" w:space="0" w:color="C0C0C0"/>
              <w:left w:val="nil"/>
              <w:bottom w:val="single" w:sz="4" w:space="0" w:color="C0C0C0"/>
              <w:right w:val="single" w:sz="4" w:space="0" w:color="FFFFFF"/>
            </w:tcBorders>
            <w:vAlign w:val="center"/>
            <w:hideMark/>
          </w:tcPr>
          <w:p w14:paraId="28B796AE"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261C680E" w14:textId="77777777" w:rsidR="00B8348C" w:rsidRPr="00F52884" w:rsidRDefault="00B8348C" w:rsidP="000C25A3">
            <w:pPr>
              <w:spacing w:before="60" w:after="60"/>
              <w:rPr>
                <w:rFonts w:cstheme="minorHAnsi"/>
                <w:szCs w:val="23"/>
              </w:rPr>
            </w:pPr>
            <w:r w:rsidRPr="00F52884">
              <w:rPr>
                <w:rFonts w:cstheme="minorHAnsi"/>
                <w:szCs w:val="23"/>
                <w:lang w:val="fr-CA"/>
              </w:rPr>
              <w:t>Boissons; transports de courrier</w:t>
            </w:r>
          </w:p>
        </w:tc>
      </w:tr>
      <w:tr w:rsidR="00B8348C" w:rsidRPr="00F52884" w14:paraId="4398488D" w14:textId="77777777" w:rsidTr="00FA228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1DFA77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1C27F2BF" w14:textId="77777777" w:rsidR="00B8348C" w:rsidRPr="00F52884" w:rsidRDefault="00B8348C" w:rsidP="000C25A3">
            <w:pPr>
              <w:spacing w:before="60" w:after="60"/>
              <w:ind w:left="4"/>
              <w:rPr>
                <w:rFonts w:cstheme="minorHAnsi"/>
                <w:szCs w:val="23"/>
              </w:rPr>
            </w:pPr>
            <w:r w:rsidRPr="00F52884">
              <w:rPr>
                <w:rFonts w:cstheme="minorHAnsi"/>
                <w:szCs w:val="23"/>
                <w:lang w:val="fr-CA"/>
              </w:rPr>
              <w:t>CPC 24, 71235, 73210</w:t>
            </w:r>
          </w:p>
        </w:tc>
      </w:tr>
      <w:tr w:rsidR="00B8348C" w:rsidRPr="00F52884" w14:paraId="205AF38D" w14:textId="77777777" w:rsidTr="00FA2285">
        <w:trPr>
          <w:trHeight w:val="42"/>
          <w:jc w:val="center"/>
        </w:trPr>
        <w:tc>
          <w:tcPr>
            <w:tcW w:w="2520" w:type="dxa"/>
            <w:tcBorders>
              <w:top w:val="single" w:sz="4" w:space="0" w:color="C0C0C0"/>
              <w:left w:val="nil"/>
              <w:bottom w:val="single" w:sz="4" w:space="0" w:color="C0C0C0"/>
              <w:right w:val="single" w:sz="4" w:space="0" w:color="FFFFFF"/>
            </w:tcBorders>
            <w:hideMark/>
          </w:tcPr>
          <w:p w14:paraId="442427C8" w14:textId="35313BAC"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3A170656" w14:textId="51EA396C"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7855F02" w14:textId="77777777" w:rsidTr="00FA2285">
        <w:trPr>
          <w:trHeight w:val="42"/>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5C3E27AF"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7142BE89" w14:textId="77777777" w:rsidTr="00FA2285">
        <w:trPr>
          <w:trHeight w:val="273"/>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329AA1ED" w14:textId="21A9CCFC" w:rsidR="00B8348C" w:rsidRPr="00F52884" w:rsidRDefault="00B8348C" w:rsidP="000C25A3">
            <w:pPr>
              <w:spacing w:before="60" w:after="60"/>
              <w:rPr>
                <w:rFonts w:cstheme="minorHAnsi"/>
                <w:szCs w:val="23"/>
              </w:rPr>
            </w:pPr>
            <w:r w:rsidRPr="00F52884">
              <w:rPr>
                <w:rFonts w:cstheme="minorHAnsi"/>
                <w:i/>
                <w:iCs/>
                <w:szCs w:val="23"/>
                <w:lang w:val="en-US"/>
              </w:rPr>
              <w:t>The Alcohol Control Regulations, 2016</w:t>
            </w:r>
            <w:r w:rsidRPr="00F52884">
              <w:rPr>
                <w:rFonts w:cstheme="minorHAnsi"/>
                <w:szCs w:val="23"/>
                <w:lang w:val="en-US"/>
              </w:rPr>
              <w:t>, RRS, c </w:t>
            </w:r>
            <w:r w:rsidRPr="00B04E29">
              <w:rPr>
                <w:rFonts w:cstheme="minorHAnsi"/>
                <w:szCs w:val="23"/>
              </w:rPr>
              <w:t>A-18.011, Reg 7</w:t>
            </w:r>
          </w:p>
        </w:tc>
      </w:tr>
      <w:tr w:rsidR="00B8348C" w:rsidRPr="00F52884" w14:paraId="65C6DED3" w14:textId="77777777" w:rsidTr="00FA2285">
        <w:trPr>
          <w:trHeight w:val="49"/>
          <w:jc w:val="center"/>
        </w:trPr>
        <w:tc>
          <w:tcPr>
            <w:tcW w:w="1034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28948BE0"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D315AF" w14:paraId="72272DAD" w14:textId="77777777" w:rsidTr="00FA2285">
        <w:trPr>
          <w:trHeight w:val="66"/>
          <w:jc w:val="center"/>
        </w:trPr>
        <w:tc>
          <w:tcPr>
            <w:tcW w:w="10342" w:type="dxa"/>
            <w:gridSpan w:val="3"/>
            <w:tcBorders>
              <w:top w:val="single" w:sz="4" w:space="0" w:color="C0C0C0"/>
              <w:left w:val="single" w:sz="4" w:space="0" w:color="C0C0C0"/>
              <w:bottom w:val="single" w:sz="4" w:space="0" w:color="C0C0C0"/>
              <w:right w:val="single" w:sz="4" w:space="0" w:color="C0C0C0"/>
            </w:tcBorders>
          </w:tcPr>
          <w:p w14:paraId="195F2550" w14:textId="7D582108" w:rsidR="00B8348C" w:rsidRPr="00F52884" w:rsidRDefault="00B8348C" w:rsidP="000C25A3">
            <w:pPr>
              <w:spacing w:before="60" w:after="60"/>
              <w:rPr>
                <w:rFonts w:cstheme="minorHAnsi"/>
                <w:szCs w:val="23"/>
                <w:lang w:val="fr-FR"/>
              </w:rPr>
            </w:pPr>
            <w:r w:rsidRPr="00F52884">
              <w:rPr>
                <w:rFonts w:cstheme="minorHAnsi"/>
                <w:szCs w:val="23"/>
                <w:lang w:val="fr-CA"/>
              </w:rPr>
              <w:t>La Saskatchewan se réserve le droit d’adopter ou de maintenir toute mesure autorisant la vente directe aux consommateurs avec d’autres Parties sur une base réciproque.</w:t>
            </w:r>
          </w:p>
        </w:tc>
      </w:tr>
    </w:tbl>
    <w:p w14:paraId="641027DA" w14:textId="77777777" w:rsidR="00B8348C" w:rsidRPr="00F52884" w:rsidRDefault="00B8348C" w:rsidP="000C25A3">
      <w:pPr>
        <w:rPr>
          <w:rFonts w:cstheme="minorHAnsi"/>
          <w:szCs w:val="23"/>
          <w:lang w:val="fr-FR"/>
        </w:rPr>
      </w:pPr>
      <w:r w:rsidRPr="00F52884">
        <w:rPr>
          <w:rFonts w:cstheme="minorHAnsi"/>
          <w:szCs w:val="23"/>
          <w:lang w:val="fr-CA"/>
        </w:rPr>
        <w:br w:type="page"/>
      </w:r>
    </w:p>
    <w:p w14:paraId="5AD5C683" w14:textId="77777777" w:rsidR="00B8348C" w:rsidRPr="00B04E29" w:rsidRDefault="00B8348C" w:rsidP="00F52884">
      <w:pPr>
        <w:pStyle w:val="Heading3"/>
        <w:jc w:val="center"/>
        <w:rPr>
          <w:rFonts w:asciiTheme="minorHAnsi" w:hAnsiTheme="minorHAnsi" w:cstheme="minorHAnsi"/>
          <w:sz w:val="24"/>
          <w:szCs w:val="24"/>
          <w:lang w:val="fr-CA"/>
        </w:rPr>
      </w:pPr>
      <w:bookmarkStart w:id="290" w:name="_Toc476566343"/>
      <w:bookmarkStart w:id="291" w:name="_Toc156311796"/>
      <w:r w:rsidRPr="00F52884">
        <w:rPr>
          <w:rFonts w:asciiTheme="minorHAnsi" w:hAnsiTheme="minorHAnsi" w:cstheme="minorHAnsi"/>
          <w:sz w:val="24"/>
          <w:szCs w:val="24"/>
          <w:lang w:val="fr-CA"/>
        </w:rPr>
        <w:lastRenderedPageBreak/>
        <w:t>Liste de l’Alberta</w:t>
      </w:r>
      <w:bookmarkEnd w:id="290"/>
      <w:bookmarkEnd w:id="291"/>
    </w:p>
    <w:p w14:paraId="562D7425" w14:textId="77777777" w:rsidR="00B8348C" w:rsidRPr="00B04E29" w:rsidRDefault="00B8348C" w:rsidP="000C25A3">
      <w:pPr>
        <w:pStyle w:val="Header"/>
        <w:rPr>
          <w:rFonts w:cstheme="minorHAnsi"/>
          <w:b/>
          <w:sz w:val="24"/>
          <w:szCs w:val="24"/>
          <w:u w:val="single"/>
          <w:lang w:val="fr-CA"/>
        </w:rPr>
      </w:pPr>
    </w:p>
    <w:p w14:paraId="28CD8024" w14:textId="77777777" w:rsidR="00B8348C" w:rsidRPr="00B04E29" w:rsidRDefault="00B8348C" w:rsidP="000C25A3">
      <w:pPr>
        <w:pStyle w:val="Header"/>
        <w:jc w:val="center"/>
        <w:rPr>
          <w:rFonts w:cstheme="minorHAnsi"/>
          <w:b/>
          <w:sz w:val="24"/>
          <w:szCs w:val="24"/>
          <w:lang w:val="fr-CA"/>
        </w:rPr>
      </w:pPr>
      <w:r w:rsidRPr="00F52884">
        <w:rPr>
          <w:rFonts w:cstheme="minorHAnsi"/>
          <w:b/>
          <w:bCs/>
          <w:sz w:val="24"/>
          <w:szCs w:val="24"/>
          <w:lang w:val="fr-CA"/>
        </w:rPr>
        <w:t>Annexe I</w:t>
      </w:r>
    </w:p>
    <w:p w14:paraId="6EB9B09A" w14:textId="77777777" w:rsidR="00B8348C" w:rsidRPr="00B04E29" w:rsidRDefault="00B8348C" w:rsidP="000C25A3">
      <w:pPr>
        <w:rPr>
          <w:rFonts w:cstheme="minorHAnsi"/>
          <w:szCs w:val="23"/>
          <w:lang w:val="fr-CA"/>
        </w:rPr>
      </w:pPr>
    </w:p>
    <w:p w14:paraId="79DFDA2B" w14:textId="13821DFD" w:rsidR="00B8348C" w:rsidRPr="00F119D6" w:rsidRDefault="00167455" w:rsidP="00F119D6">
      <w:pPr>
        <w:pStyle w:val="ListParagraph"/>
        <w:spacing w:before="60" w:after="60"/>
        <w:ind w:left="-360"/>
        <w:rPr>
          <w:rFonts w:cstheme="minorHAnsi"/>
          <w:b/>
          <w:szCs w:val="23"/>
          <w:lang w:val="fr-FR"/>
        </w:rPr>
      </w:pPr>
      <w:r w:rsidRPr="00F52884">
        <w:rPr>
          <w:rFonts w:cstheme="minorHAnsi"/>
          <w:b/>
          <w:bCs/>
          <w:caps/>
          <w:szCs w:val="23"/>
          <w:lang w:val="fr-CA"/>
        </w:rPr>
        <w:t xml:space="preserve">1.  </w:t>
      </w:r>
      <w:r w:rsidR="00B8348C" w:rsidRPr="00F119D6">
        <w:rPr>
          <w:rFonts w:cstheme="minorHAnsi"/>
          <w:b/>
          <w:bCs/>
          <w:caps/>
          <w:szCs w:val="23"/>
          <w:lang w:val="fr-CA"/>
        </w:rPr>
        <w:t xml:space="preserve">Alberta </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62F097F7" w14:textId="77777777" w:rsidTr="0016745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1BC190F2"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6BE247FD"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D315AF" w14:paraId="4EDD6212" w14:textId="77777777" w:rsidTr="0016745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4302BDAA"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5B3301EA" w14:textId="77777777" w:rsidR="00B8348C" w:rsidRPr="00F52884" w:rsidRDefault="00B8348C" w:rsidP="000C25A3">
            <w:pPr>
              <w:spacing w:before="60" w:after="60"/>
              <w:rPr>
                <w:rFonts w:cstheme="minorHAnsi"/>
                <w:szCs w:val="23"/>
                <w:lang w:val="fr-FR"/>
              </w:rPr>
            </w:pPr>
            <w:r w:rsidRPr="00F52884">
              <w:rPr>
                <w:rFonts w:cstheme="minorHAnsi"/>
                <w:szCs w:val="23"/>
                <w:lang w:val="fr-CA"/>
              </w:rPr>
              <w:t>Boissons; services de courtage; services de commerce de gros; services de commerce de détail (spiritueux, vin et bière; magasins de bière, de vin et de spiritueux); fabrication d’aliments et de boissons, à forfait ou sous contrat</w:t>
            </w:r>
          </w:p>
        </w:tc>
      </w:tr>
      <w:tr w:rsidR="00B8348C" w:rsidRPr="00F52884" w14:paraId="26D1D1CF" w14:textId="77777777" w:rsidTr="0016745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1E08343E"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3BC8F0FC" w14:textId="77777777" w:rsidR="00B8348C" w:rsidRPr="00F52884" w:rsidRDefault="00B8348C" w:rsidP="000C25A3">
            <w:pPr>
              <w:spacing w:before="60" w:after="60"/>
              <w:ind w:left="4"/>
              <w:rPr>
                <w:rFonts w:cstheme="minorHAnsi"/>
                <w:szCs w:val="23"/>
              </w:rPr>
            </w:pPr>
            <w:r w:rsidRPr="00F52884">
              <w:rPr>
                <w:rFonts w:cstheme="minorHAnsi"/>
                <w:szCs w:val="23"/>
                <w:lang w:val="fr-CA"/>
              </w:rPr>
              <w:t>CPC 24 (autre que 244), 62112, 62226, 63107, 643, 88411</w:t>
            </w:r>
          </w:p>
        </w:tc>
      </w:tr>
      <w:tr w:rsidR="00B8348C" w:rsidRPr="00D315AF" w14:paraId="2FEB1280" w14:textId="77777777" w:rsidTr="00167455">
        <w:trPr>
          <w:trHeight w:val="42"/>
          <w:jc w:val="center"/>
        </w:trPr>
        <w:tc>
          <w:tcPr>
            <w:tcW w:w="2430" w:type="dxa"/>
            <w:tcBorders>
              <w:top w:val="single" w:sz="4" w:space="0" w:color="C0C0C0"/>
              <w:left w:val="nil"/>
              <w:bottom w:val="single" w:sz="4" w:space="0" w:color="C0C0C0"/>
              <w:right w:val="single" w:sz="4" w:space="0" w:color="FFFFFF"/>
            </w:tcBorders>
          </w:tcPr>
          <w:p w14:paraId="5A6AB901" w14:textId="0FFDD364"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r w:rsidRPr="00F52884">
              <w:rPr>
                <w:rFonts w:asciiTheme="minorHAnsi" w:hAnsiTheme="minorHAnsi" w:cstheme="minorHAnsi"/>
                <w:sz w:val="23"/>
                <w:szCs w:val="23"/>
                <w:lang w:val="fr-CA"/>
              </w:rPr>
              <w:tab/>
            </w:r>
          </w:p>
        </w:tc>
        <w:tc>
          <w:tcPr>
            <w:tcW w:w="7822" w:type="dxa"/>
            <w:gridSpan w:val="2"/>
            <w:tcBorders>
              <w:top w:val="single" w:sz="4" w:space="0" w:color="C0C0C0"/>
              <w:left w:val="single" w:sz="4" w:space="0" w:color="FFFFFF"/>
              <w:bottom w:val="single" w:sz="4" w:space="0" w:color="C0C0C0"/>
              <w:right w:val="single" w:sz="4" w:space="0" w:color="C0C0C0"/>
            </w:tcBorders>
          </w:tcPr>
          <w:p w14:paraId="4B484E27" w14:textId="77777777"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301 (Droit d’entrée et de sortie)</w:t>
            </w:r>
          </w:p>
        </w:tc>
      </w:tr>
      <w:tr w:rsidR="00B8348C" w:rsidRPr="00F52884" w14:paraId="4C473923"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831744A"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F52884" w:rsidRPr="00D315AF" w14:paraId="60AB8610"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6367D006" w14:textId="17A34C8B" w:rsidR="00B8348C" w:rsidRPr="00F52884" w:rsidRDefault="00B8348C" w:rsidP="000C25A3">
            <w:pPr>
              <w:spacing w:before="60" w:after="60"/>
              <w:rPr>
                <w:rFonts w:cstheme="minorHAnsi"/>
                <w:szCs w:val="23"/>
              </w:rPr>
            </w:pPr>
            <w:r w:rsidRPr="00F52884">
              <w:rPr>
                <w:rFonts w:cstheme="minorHAnsi"/>
                <w:i/>
                <w:iCs/>
                <w:szCs w:val="23"/>
                <w:lang w:val="en-US"/>
              </w:rPr>
              <w:t>Gaming and Liquor Act</w:t>
            </w:r>
            <w:r w:rsidRPr="00F52884">
              <w:rPr>
                <w:rFonts w:cstheme="minorHAnsi"/>
                <w:szCs w:val="23"/>
                <w:lang w:val="en-US"/>
              </w:rPr>
              <w:t>, RSA 2000, c G-1</w:t>
            </w:r>
          </w:p>
          <w:p w14:paraId="20A46DFE" w14:textId="5821F1D8" w:rsidR="00B8348C" w:rsidRPr="00B04E29" w:rsidRDefault="00B8348C" w:rsidP="000C25A3">
            <w:pPr>
              <w:spacing w:before="60" w:after="60"/>
              <w:rPr>
                <w:rFonts w:cstheme="minorHAnsi"/>
                <w:szCs w:val="23"/>
              </w:rPr>
            </w:pPr>
            <w:r w:rsidRPr="00F52884">
              <w:rPr>
                <w:rFonts w:cstheme="minorHAnsi"/>
                <w:i/>
                <w:iCs/>
                <w:szCs w:val="23"/>
                <w:lang w:val="en-US"/>
              </w:rPr>
              <w:t>Gaming and Liquor Regulation</w:t>
            </w:r>
            <w:r w:rsidRPr="00F52884">
              <w:rPr>
                <w:rFonts w:cstheme="minorHAnsi"/>
                <w:szCs w:val="23"/>
                <w:lang w:val="en-US"/>
              </w:rPr>
              <w:t xml:space="preserve">, Alta </w:t>
            </w:r>
            <w:r w:rsidRPr="00B04E29">
              <w:rPr>
                <w:rFonts w:cstheme="minorHAnsi"/>
                <w:szCs w:val="23"/>
              </w:rPr>
              <w:t>Reg 143/96</w:t>
            </w:r>
          </w:p>
          <w:p w14:paraId="5F1C6DC2" w14:textId="2947CD54" w:rsidR="00B8348C" w:rsidRPr="00F52884" w:rsidRDefault="00B8348C" w:rsidP="000C25A3">
            <w:pPr>
              <w:spacing w:before="60" w:after="60"/>
              <w:rPr>
                <w:rFonts w:cstheme="minorHAnsi"/>
                <w:szCs w:val="23"/>
                <w:lang w:val="fr-CA"/>
              </w:rPr>
            </w:pPr>
            <w:r w:rsidRPr="00F52884">
              <w:rPr>
                <w:rFonts w:cstheme="minorHAnsi"/>
                <w:szCs w:val="23"/>
                <w:lang w:val="fr-CA"/>
              </w:rPr>
              <w:t xml:space="preserve">Politiques de l'Alberta Gaming and </w:t>
            </w:r>
            <w:proofErr w:type="spellStart"/>
            <w:r w:rsidRPr="00F52884">
              <w:rPr>
                <w:rFonts w:cstheme="minorHAnsi"/>
                <w:szCs w:val="23"/>
                <w:lang w:val="fr-CA"/>
              </w:rPr>
              <w:t>Liquor</w:t>
            </w:r>
            <w:proofErr w:type="spellEnd"/>
            <w:r w:rsidRPr="00F52884">
              <w:rPr>
                <w:rFonts w:cstheme="minorHAnsi"/>
                <w:szCs w:val="23"/>
                <w:lang w:val="fr-CA"/>
              </w:rPr>
              <w:t xml:space="preserve"> Commission</w:t>
            </w:r>
          </w:p>
        </w:tc>
      </w:tr>
      <w:tr w:rsidR="00B8348C" w:rsidRPr="00F52884" w14:paraId="391C2961"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F4304CE" w14:textId="77777777" w:rsidR="00B8348C" w:rsidRPr="00F52884" w:rsidRDefault="00B8348C" w:rsidP="000C25A3">
            <w:pPr>
              <w:spacing w:before="60" w:after="60"/>
              <w:rPr>
                <w:rFonts w:cstheme="minorHAnsi"/>
                <w:b/>
                <w:szCs w:val="23"/>
              </w:rPr>
            </w:pPr>
            <w:proofErr w:type="gramStart"/>
            <w:r w:rsidRPr="00F52884">
              <w:rPr>
                <w:rFonts w:cstheme="minorHAnsi"/>
                <w:b/>
                <w:bCs/>
                <w:szCs w:val="23"/>
              </w:rPr>
              <w:t>Description :</w:t>
            </w:r>
            <w:proofErr w:type="gramEnd"/>
          </w:p>
        </w:tc>
      </w:tr>
      <w:tr w:rsidR="00B8348C" w:rsidRPr="00D315AF" w14:paraId="3BE82684"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86C4037" w14:textId="77777777" w:rsidR="00B8348C" w:rsidRPr="00F52884" w:rsidRDefault="00B8348C" w:rsidP="000C25A3">
            <w:pPr>
              <w:spacing w:before="60" w:after="60"/>
              <w:rPr>
                <w:rFonts w:cstheme="minorHAnsi"/>
                <w:szCs w:val="23"/>
                <w:lang w:val="fr-FR"/>
              </w:rPr>
            </w:pPr>
            <w:r w:rsidRPr="00F52884">
              <w:rPr>
                <w:rFonts w:cstheme="minorHAnsi"/>
                <w:szCs w:val="23"/>
                <w:lang w:val="fr-CA"/>
              </w:rPr>
              <w:t>Les mesures susmentionnées permettent à l’Alberta d’exercer un contrôle sur la fabrication, l’importation, la vente, l’achat, la possession, l’entreposage, le transport, l’utilisation et la consommation de spiritueux, notamment au moyen de permis et de licences qui peuvent être assortis de restrictions en ce qui concerne l’établissement, l’exploitation et l’exercice de ces activités.</w:t>
            </w:r>
          </w:p>
        </w:tc>
      </w:tr>
    </w:tbl>
    <w:p w14:paraId="541A7A0E" w14:textId="77777777" w:rsidR="00B8348C" w:rsidRDefault="00B8348C" w:rsidP="000C25A3">
      <w:pPr>
        <w:rPr>
          <w:rFonts w:cstheme="minorHAnsi"/>
          <w:b/>
          <w:szCs w:val="23"/>
          <w:lang w:val="fr-FR"/>
        </w:rPr>
      </w:pPr>
    </w:p>
    <w:p w14:paraId="47E30C9A" w14:textId="77777777" w:rsidR="00EA3915" w:rsidRDefault="00EA3915" w:rsidP="000C25A3">
      <w:pPr>
        <w:rPr>
          <w:rFonts w:cstheme="minorHAnsi"/>
          <w:b/>
          <w:szCs w:val="23"/>
          <w:lang w:val="fr-FR"/>
        </w:rPr>
      </w:pPr>
    </w:p>
    <w:p w14:paraId="5506D23E"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2. ALBERTA</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133B6CF7"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01BC7243"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357830BC"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5EF25F35"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D315AF" w14:paraId="57F1959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9D00B1B"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6D4700AB"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EA3915" w:rsidRPr="00EA3915" w14:paraId="6C2149B1"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A055451"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69808EAD"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03EE683B"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D315AF" w14:paraId="2EA0FD6C"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5414F639"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4336CA57"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27FD3915"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301 (Droit d’entrée et de sortie)</w:t>
            </w:r>
          </w:p>
          <w:p w14:paraId="3883AD6D" w14:textId="77777777" w:rsidR="00EA3915" w:rsidRPr="00EA3915" w:rsidRDefault="00EA3915" w:rsidP="00EA3915">
            <w:pPr>
              <w:spacing w:before="60" w:after="60"/>
              <w:rPr>
                <w:rFonts w:ascii="Arial" w:eastAsia="Calibri" w:hAnsi="Arial" w:cs="Arial"/>
                <w:bCs/>
                <w:szCs w:val="24"/>
                <w:lang w:val="fr-CA" w:eastAsia="en-CA"/>
              </w:rPr>
            </w:pPr>
          </w:p>
        </w:tc>
      </w:tr>
      <w:tr w:rsidR="00EA3915" w:rsidRPr="00EA3915" w14:paraId="7EA00EE1"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7126F55E"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Mesures</w:t>
            </w:r>
            <w:proofErr w:type="spellEnd"/>
            <w:r w:rsidRPr="00EA3915">
              <w:rPr>
                <w:rFonts w:ascii="Arial" w:eastAsia="Calibri" w:hAnsi="Arial" w:cs="Arial"/>
                <w:b/>
                <w:szCs w:val="24"/>
                <w:lang w:eastAsia="en-CA" w:bidi="en-US"/>
              </w:rPr>
              <w:t xml:space="preserve"> :</w:t>
            </w:r>
            <w:proofErr w:type="gramEnd"/>
            <w:r w:rsidRPr="00EA3915">
              <w:rPr>
                <w:rFonts w:ascii="Arial" w:eastAsia="Calibri" w:hAnsi="Arial" w:cs="Arial"/>
                <w:b/>
                <w:szCs w:val="24"/>
                <w:lang w:eastAsia="en-CA" w:bidi="en-US"/>
              </w:rPr>
              <w:t xml:space="preserve"> </w:t>
            </w:r>
          </w:p>
        </w:tc>
      </w:tr>
      <w:tr w:rsidR="00EA3915" w:rsidRPr="00EA3915" w14:paraId="7A8C8EEC"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5D67D821"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Gaming, Liquor and Cannabis Act</w:t>
            </w:r>
            <w:r w:rsidRPr="00EA3915">
              <w:rPr>
                <w:rFonts w:ascii="Arial" w:eastAsia="Calibri" w:hAnsi="Arial" w:cs="Arial"/>
                <w:bCs/>
                <w:szCs w:val="24"/>
                <w:lang w:eastAsia="en-CA" w:bidi="en-US"/>
              </w:rPr>
              <w:t xml:space="preserve">, RSA 2000, </w:t>
            </w:r>
            <w:proofErr w:type="spellStart"/>
            <w:r w:rsidRPr="00EA3915">
              <w:rPr>
                <w:rFonts w:ascii="Arial" w:eastAsia="Calibri" w:hAnsi="Arial" w:cs="Arial"/>
                <w:bCs/>
                <w:szCs w:val="24"/>
                <w:lang w:eastAsia="en-CA" w:bidi="en-US"/>
              </w:rPr>
              <w:t>ch.</w:t>
            </w:r>
            <w:proofErr w:type="spellEnd"/>
            <w:r w:rsidRPr="00EA3915">
              <w:rPr>
                <w:rFonts w:ascii="Arial" w:eastAsia="Calibri" w:hAnsi="Arial" w:cs="Arial"/>
                <w:bCs/>
                <w:szCs w:val="24"/>
                <w:lang w:eastAsia="en-CA" w:bidi="en-US"/>
              </w:rPr>
              <w:t> G-1</w:t>
            </w:r>
          </w:p>
          <w:p w14:paraId="73DB56B5" w14:textId="77777777" w:rsidR="00EA3915" w:rsidRPr="00EA3915" w:rsidRDefault="00EA3915" w:rsidP="00EA3915">
            <w:pPr>
              <w:spacing w:after="60"/>
              <w:rPr>
                <w:rFonts w:ascii="Arial" w:eastAsia="Calibri" w:hAnsi="Arial" w:cs="Arial"/>
                <w:bCs/>
                <w:szCs w:val="24"/>
                <w:lang w:eastAsia="en-CA" w:bidi="en-US"/>
              </w:rPr>
            </w:pPr>
            <w:r w:rsidRPr="00EA3915">
              <w:rPr>
                <w:rFonts w:ascii="Arial" w:eastAsia="Calibri" w:hAnsi="Arial" w:cs="Arial"/>
                <w:bCs/>
                <w:i/>
                <w:iCs/>
                <w:szCs w:val="24"/>
                <w:lang w:eastAsia="en-CA" w:bidi="en-US"/>
              </w:rPr>
              <w:t>Gaming, Liquor and Cannabis Regulation</w:t>
            </w:r>
            <w:r w:rsidRPr="00EA3915">
              <w:rPr>
                <w:rFonts w:ascii="Arial" w:eastAsia="Calibri" w:hAnsi="Arial" w:cs="Arial"/>
                <w:bCs/>
                <w:szCs w:val="24"/>
                <w:lang w:eastAsia="en-CA" w:bidi="en-US"/>
              </w:rPr>
              <w:t xml:space="preserve">, </w:t>
            </w:r>
            <w:proofErr w:type="spellStart"/>
            <w:r w:rsidRPr="00EA3915">
              <w:rPr>
                <w:rFonts w:ascii="Arial" w:eastAsia="Calibri" w:hAnsi="Arial" w:cs="Arial"/>
                <w:bCs/>
                <w:szCs w:val="24"/>
                <w:lang w:eastAsia="en-CA" w:bidi="en-US"/>
              </w:rPr>
              <w:t>règl</w:t>
            </w:r>
            <w:proofErr w:type="spellEnd"/>
            <w:r w:rsidRPr="00EA3915">
              <w:rPr>
                <w:rFonts w:ascii="Arial" w:eastAsia="Calibri" w:hAnsi="Arial" w:cs="Arial"/>
                <w:bCs/>
                <w:szCs w:val="24"/>
                <w:lang w:eastAsia="en-CA" w:bidi="en-US"/>
              </w:rPr>
              <w:t xml:space="preserve">. de </w:t>
            </w:r>
            <w:proofErr w:type="spellStart"/>
            <w:r w:rsidRPr="00EA3915">
              <w:rPr>
                <w:rFonts w:ascii="Arial" w:eastAsia="Calibri" w:hAnsi="Arial" w:cs="Arial"/>
                <w:bCs/>
                <w:szCs w:val="24"/>
                <w:lang w:eastAsia="en-CA" w:bidi="en-US"/>
              </w:rPr>
              <w:t>l’Alberta</w:t>
            </w:r>
            <w:proofErr w:type="spellEnd"/>
            <w:r w:rsidRPr="00EA3915">
              <w:rPr>
                <w:rFonts w:ascii="Arial" w:eastAsia="Calibri" w:hAnsi="Arial" w:cs="Arial"/>
                <w:bCs/>
                <w:szCs w:val="24"/>
                <w:lang w:eastAsia="en-CA" w:bidi="en-US"/>
              </w:rPr>
              <w:t> 143/96</w:t>
            </w:r>
          </w:p>
          <w:p w14:paraId="409A4D19" w14:textId="77777777" w:rsidR="00EA3915" w:rsidRPr="00EA3915" w:rsidRDefault="00EA3915" w:rsidP="00EA3915">
            <w:pPr>
              <w:spacing w:after="60"/>
              <w:rPr>
                <w:rFonts w:ascii="Arial" w:eastAsia="Calibri" w:hAnsi="Arial" w:cs="Arial"/>
                <w:bCs/>
                <w:szCs w:val="24"/>
                <w:lang w:eastAsia="en-CA" w:bidi="en-US"/>
              </w:rPr>
            </w:pPr>
            <w:r w:rsidRPr="00EA3915">
              <w:rPr>
                <w:rFonts w:ascii="Arial" w:eastAsia="Calibri" w:hAnsi="Arial" w:cs="Arial"/>
                <w:bCs/>
                <w:szCs w:val="24"/>
                <w:lang w:eastAsia="en-CA" w:bidi="en-US"/>
              </w:rPr>
              <w:lastRenderedPageBreak/>
              <w:t xml:space="preserve">Politiques de </w:t>
            </w:r>
            <w:proofErr w:type="spellStart"/>
            <w:r w:rsidRPr="00EA3915">
              <w:rPr>
                <w:rFonts w:ascii="Arial" w:eastAsia="Calibri" w:hAnsi="Arial" w:cs="Arial"/>
                <w:bCs/>
                <w:szCs w:val="24"/>
                <w:lang w:eastAsia="en-CA" w:bidi="en-US"/>
              </w:rPr>
              <w:t>l’Alberta</w:t>
            </w:r>
            <w:proofErr w:type="spellEnd"/>
            <w:r w:rsidRPr="00EA3915">
              <w:rPr>
                <w:rFonts w:ascii="Arial" w:eastAsia="Calibri" w:hAnsi="Arial" w:cs="Arial"/>
                <w:bCs/>
                <w:szCs w:val="24"/>
                <w:lang w:eastAsia="en-CA" w:bidi="en-US"/>
              </w:rPr>
              <w:t xml:space="preserve"> Gaming, Liquor and Cannabis Board</w:t>
            </w:r>
          </w:p>
        </w:tc>
      </w:tr>
      <w:tr w:rsidR="00EA3915" w:rsidRPr="00EA3915" w14:paraId="1601CFB2"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7D53E193"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lastRenderedPageBreak/>
              <w:t>Description :</w:t>
            </w:r>
            <w:proofErr w:type="gramEnd"/>
          </w:p>
        </w:tc>
      </w:tr>
      <w:tr w:rsidR="00EA3915" w:rsidRPr="00D315AF" w14:paraId="62BB7143"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5E89ACEA"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Les mesures susmentionnées permettent à l’Alberta d’exercer un contrôle sur l’importation, la vente, l’achat, l’entreposage, le transport, la possession, l’utilisation et la consommation de cannabis à des fins non médicales, notamment au moyen de permis et de licences qui peuvent être assortis de restrictions en ce qui concerne l’établissement, l’exploitation et l’exercice de ces activités.</w:t>
            </w:r>
          </w:p>
        </w:tc>
      </w:tr>
    </w:tbl>
    <w:p w14:paraId="090AC200" w14:textId="77777777" w:rsidR="00EA3915" w:rsidRPr="00F52884" w:rsidRDefault="00EA3915" w:rsidP="000C25A3">
      <w:pPr>
        <w:rPr>
          <w:rFonts w:cstheme="minorHAnsi"/>
          <w:b/>
          <w:szCs w:val="23"/>
          <w:lang w:val="fr-FR"/>
        </w:rPr>
      </w:pPr>
    </w:p>
    <w:p w14:paraId="16C95EB4" w14:textId="77777777" w:rsidR="00B8348C" w:rsidRPr="00F52884" w:rsidRDefault="00B8348C" w:rsidP="000C25A3">
      <w:pPr>
        <w:rPr>
          <w:rFonts w:cstheme="minorHAnsi"/>
          <w:b/>
          <w:szCs w:val="23"/>
          <w:lang w:val="fr-FR"/>
        </w:rPr>
      </w:pPr>
    </w:p>
    <w:p w14:paraId="2EFCA0C6" w14:textId="62CE562D" w:rsidR="00B8348C" w:rsidRDefault="00B8348C">
      <w:pPr>
        <w:rPr>
          <w:rFonts w:eastAsia="Times New Roman" w:cstheme="minorHAnsi"/>
          <w:b/>
          <w:bCs/>
          <w:szCs w:val="23"/>
          <w:lang w:val="fr-FR"/>
        </w:rPr>
      </w:pPr>
    </w:p>
    <w:p w14:paraId="20CCF522" w14:textId="71E4EBB2" w:rsidR="00890A89" w:rsidRDefault="00890A89">
      <w:pPr>
        <w:rPr>
          <w:rFonts w:eastAsia="Times New Roman" w:cstheme="minorHAnsi"/>
          <w:b/>
          <w:bCs/>
          <w:szCs w:val="23"/>
          <w:lang w:val="fr-FR"/>
        </w:rPr>
      </w:pPr>
    </w:p>
    <w:p w14:paraId="7632FD67" w14:textId="65A7E04E" w:rsidR="00890A89" w:rsidRDefault="00890A89">
      <w:pPr>
        <w:rPr>
          <w:rFonts w:eastAsia="Times New Roman" w:cstheme="minorHAnsi"/>
          <w:b/>
          <w:bCs/>
          <w:szCs w:val="23"/>
          <w:lang w:val="fr-FR"/>
        </w:rPr>
      </w:pPr>
    </w:p>
    <w:p w14:paraId="74550E83" w14:textId="7E1AB34B" w:rsidR="00890A89" w:rsidRDefault="00890A89">
      <w:pPr>
        <w:rPr>
          <w:rFonts w:eastAsia="Times New Roman" w:cstheme="minorHAnsi"/>
          <w:b/>
          <w:bCs/>
          <w:szCs w:val="23"/>
          <w:lang w:val="fr-FR"/>
        </w:rPr>
      </w:pPr>
    </w:p>
    <w:p w14:paraId="615D4040" w14:textId="5176C8C4" w:rsidR="00890A89" w:rsidRDefault="00890A89">
      <w:pPr>
        <w:rPr>
          <w:rFonts w:eastAsia="Times New Roman" w:cstheme="minorHAnsi"/>
          <w:b/>
          <w:bCs/>
          <w:szCs w:val="23"/>
          <w:lang w:val="fr-FR"/>
        </w:rPr>
      </w:pPr>
    </w:p>
    <w:p w14:paraId="5500E829" w14:textId="1ED74862" w:rsidR="00890A89" w:rsidRDefault="00890A89">
      <w:pPr>
        <w:rPr>
          <w:rFonts w:eastAsia="Times New Roman" w:cstheme="minorHAnsi"/>
          <w:b/>
          <w:bCs/>
          <w:szCs w:val="23"/>
          <w:lang w:val="fr-FR"/>
        </w:rPr>
      </w:pPr>
    </w:p>
    <w:p w14:paraId="4400A920" w14:textId="6864FC13" w:rsidR="00890A89" w:rsidRDefault="00890A89">
      <w:pPr>
        <w:rPr>
          <w:rFonts w:eastAsia="Times New Roman" w:cstheme="minorHAnsi"/>
          <w:b/>
          <w:bCs/>
          <w:szCs w:val="23"/>
          <w:lang w:val="fr-FR"/>
        </w:rPr>
      </w:pPr>
    </w:p>
    <w:p w14:paraId="052761BD" w14:textId="52DD344D" w:rsidR="00890A89" w:rsidRDefault="00890A89">
      <w:pPr>
        <w:rPr>
          <w:rFonts w:eastAsia="Times New Roman" w:cstheme="minorHAnsi"/>
          <w:b/>
          <w:bCs/>
          <w:szCs w:val="23"/>
          <w:lang w:val="fr-FR"/>
        </w:rPr>
      </w:pPr>
    </w:p>
    <w:p w14:paraId="0B2C40FF" w14:textId="3BC63401" w:rsidR="00890A89" w:rsidRDefault="00890A89">
      <w:pPr>
        <w:rPr>
          <w:rFonts w:eastAsia="Times New Roman" w:cstheme="minorHAnsi"/>
          <w:b/>
          <w:bCs/>
          <w:szCs w:val="23"/>
          <w:lang w:val="fr-FR"/>
        </w:rPr>
      </w:pPr>
    </w:p>
    <w:p w14:paraId="3DC5DB23" w14:textId="6A74A035" w:rsidR="00890A89" w:rsidRDefault="00890A89">
      <w:pPr>
        <w:rPr>
          <w:rFonts w:eastAsia="Times New Roman" w:cstheme="minorHAnsi"/>
          <w:b/>
          <w:bCs/>
          <w:szCs w:val="23"/>
          <w:lang w:val="fr-FR"/>
        </w:rPr>
      </w:pPr>
    </w:p>
    <w:p w14:paraId="173310EF" w14:textId="1D1D6815" w:rsidR="00890A89" w:rsidRDefault="00890A89">
      <w:pPr>
        <w:rPr>
          <w:rFonts w:eastAsia="Times New Roman" w:cstheme="minorHAnsi"/>
          <w:b/>
          <w:bCs/>
          <w:szCs w:val="23"/>
          <w:lang w:val="fr-FR"/>
        </w:rPr>
      </w:pPr>
    </w:p>
    <w:p w14:paraId="0C2EBD82" w14:textId="7828C976" w:rsidR="00890A89" w:rsidRDefault="00890A89">
      <w:pPr>
        <w:rPr>
          <w:rFonts w:eastAsia="Times New Roman" w:cstheme="minorHAnsi"/>
          <w:b/>
          <w:bCs/>
          <w:szCs w:val="23"/>
          <w:lang w:val="fr-FR"/>
        </w:rPr>
      </w:pPr>
    </w:p>
    <w:p w14:paraId="4FC5BEA2" w14:textId="702F35F9" w:rsidR="00890A89" w:rsidRDefault="00890A89">
      <w:pPr>
        <w:rPr>
          <w:rFonts w:eastAsia="Times New Roman" w:cstheme="minorHAnsi"/>
          <w:b/>
          <w:bCs/>
          <w:szCs w:val="23"/>
          <w:lang w:val="fr-FR"/>
        </w:rPr>
      </w:pPr>
    </w:p>
    <w:p w14:paraId="5E368B97" w14:textId="6D95FCB0" w:rsidR="00890A89" w:rsidRDefault="00890A89">
      <w:pPr>
        <w:rPr>
          <w:rFonts w:eastAsia="Times New Roman" w:cstheme="minorHAnsi"/>
          <w:b/>
          <w:bCs/>
          <w:szCs w:val="23"/>
          <w:lang w:val="fr-FR"/>
        </w:rPr>
      </w:pPr>
    </w:p>
    <w:p w14:paraId="4245B27A" w14:textId="77777777" w:rsidR="0068240F" w:rsidRDefault="0068240F">
      <w:pPr>
        <w:rPr>
          <w:rFonts w:eastAsia="Times New Roman" w:cstheme="minorHAnsi"/>
          <w:b/>
          <w:bCs/>
          <w:szCs w:val="23"/>
          <w:lang w:val="fr-FR"/>
        </w:rPr>
      </w:pPr>
    </w:p>
    <w:p w14:paraId="51EC0CFC" w14:textId="77777777" w:rsidR="0068240F" w:rsidRDefault="0068240F">
      <w:pPr>
        <w:rPr>
          <w:rFonts w:eastAsia="Times New Roman" w:cstheme="minorHAnsi"/>
          <w:b/>
          <w:bCs/>
          <w:szCs w:val="23"/>
          <w:lang w:val="fr-FR"/>
        </w:rPr>
      </w:pPr>
    </w:p>
    <w:p w14:paraId="6A10DA6F" w14:textId="77777777" w:rsidR="0068240F" w:rsidRDefault="0068240F">
      <w:pPr>
        <w:rPr>
          <w:rFonts w:eastAsia="Times New Roman" w:cstheme="minorHAnsi"/>
          <w:b/>
          <w:bCs/>
          <w:szCs w:val="23"/>
          <w:lang w:val="fr-FR"/>
        </w:rPr>
      </w:pPr>
    </w:p>
    <w:p w14:paraId="3B9B1806" w14:textId="77777777" w:rsidR="0068240F" w:rsidRDefault="0068240F">
      <w:pPr>
        <w:rPr>
          <w:rFonts w:eastAsia="Times New Roman" w:cstheme="minorHAnsi"/>
          <w:b/>
          <w:bCs/>
          <w:szCs w:val="23"/>
          <w:lang w:val="fr-FR"/>
        </w:rPr>
      </w:pPr>
    </w:p>
    <w:p w14:paraId="48AB6ADC" w14:textId="77777777" w:rsidR="0068240F" w:rsidRDefault="0068240F">
      <w:pPr>
        <w:rPr>
          <w:rFonts w:eastAsia="Times New Roman" w:cstheme="minorHAnsi"/>
          <w:b/>
          <w:bCs/>
          <w:szCs w:val="23"/>
          <w:lang w:val="fr-FR"/>
        </w:rPr>
      </w:pPr>
    </w:p>
    <w:p w14:paraId="51104B31" w14:textId="77777777" w:rsidR="0068240F" w:rsidRDefault="0068240F">
      <w:pPr>
        <w:rPr>
          <w:rFonts w:eastAsia="Times New Roman" w:cstheme="minorHAnsi"/>
          <w:b/>
          <w:bCs/>
          <w:szCs w:val="23"/>
          <w:lang w:val="fr-FR"/>
        </w:rPr>
      </w:pPr>
    </w:p>
    <w:p w14:paraId="45933770" w14:textId="77777777" w:rsidR="0068240F" w:rsidRDefault="0068240F">
      <w:pPr>
        <w:rPr>
          <w:rFonts w:eastAsia="Times New Roman" w:cstheme="minorHAnsi"/>
          <w:b/>
          <w:bCs/>
          <w:szCs w:val="23"/>
          <w:lang w:val="fr-FR"/>
        </w:rPr>
      </w:pPr>
    </w:p>
    <w:p w14:paraId="133CF87B" w14:textId="77777777" w:rsidR="0068240F" w:rsidRDefault="0068240F">
      <w:pPr>
        <w:rPr>
          <w:rFonts w:eastAsia="Times New Roman" w:cstheme="minorHAnsi"/>
          <w:b/>
          <w:bCs/>
          <w:szCs w:val="23"/>
          <w:lang w:val="fr-FR"/>
        </w:rPr>
      </w:pPr>
    </w:p>
    <w:p w14:paraId="0FD20940" w14:textId="77777777" w:rsidR="0068240F" w:rsidRDefault="0068240F">
      <w:pPr>
        <w:rPr>
          <w:rFonts w:eastAsia="Times New Roman" w:cstheme="minorHAnsi"/>
          <w:b/>
          <w:bCs/>
          <w:szCs w:val="23"/>
          <w:lang w:val="fr-FR"/>
        </w:rPr>
      </w:pPr>
    </w:p>
    <w:p w14:paraId="2C82047D" w14:textId="77777777" w:rsidR="0068240F" w:rsidRDefault="0068240F">
      <w:pPr>
        <w:rPr>
          <w:rFonts w:eastAsia="Times New Roman" w:cstheme="minorHAnsi"/>
          <w:b/>
          <w:bCs/>
          <w:szCs w:val="23"/>
          <w:lang w:val="fr-FR"/>
        </w:rPr>
      </w:pPr>
    </w:p>
    <w:p w14:paraId="15169AB4" w14:textId="77777777" w:rsidR="0068240F" w:rsidRDefault="0068240F">
      <w:pPr>
        <w:rPr>
          <w:rFonts w:eastAsia="Times New Roman" w:cstheme="minorHAnsi"/>
          <w:b/>
          <w:bCs/>
          <w:szCs w:val="23"/>
          <w:lang w:val="fr-FR"/>
        </w:rPr>
      </w:pPr>
    </w:p>
    <w:p w14:paraId="5970AC1D" w14:textId="77777777" w:rsidR="0068240F" w:rsidRDefault="0068240F">
      <w:pPr>
        <w:rPr>
          <w:rFonts w:eastAsia="Times New Roman" w:cstheme="minorHAnsi"/>
          <w:b/>
          <w:bCs/>
          <w:szCs w:val="23"/>
          <w:lang w:val="fr-FR"/>
        </w:rPr>
      </w:pPr>
    </w:p>
    <w:p w14:paraId="742B7AD8" w14:textId="77777777" w:rsidR="0068240F" w:rsidRDefault="0068240F">
      <w:pPr>
        <w:rPr>
          <w:rFonts w:eastAsia="Times New Roman" w:cstheme="minorHAnsi"/>
          <w:b/>
          <w:bCs/>
          <w:szCs w:val="23"/>
          <w:lang w:val="fr-FR"/>
        </w:rPr>
      </w:pPr>
    </w:p>
    <w:p w14:paraId="02A1A172" w14:textId="77777777" w:rsidR="0068240F" w:rsidRDefault="0068240F">
      <w:pPr>
        <w:rPr>
          <w:rFonts w:eastAsia="Times New Roman" w:cstheme="minorHAnsi"/>
          <w:b/>
          <w:bCs/>
          <w:szCs w:val="23"/>
          <w:lang w:val="fr-FR"/>
        </w:rPr>
      </w:pPr>
    </w:p>
    <w:p w14:paraId="21517974" w14:textId="77777777" w:rsidR="0068240F" w:rsidRDefault="0068240F">
      <w:pPr>
        <w:rPr>
          <w:rFonts w:eastAsia="Times New Roman" w:cstheme="minorHAnsi"/>
          <w:b/>
          <w:bCs/>
          <w:szCs w:val="23"/>
          <w:lang w:val="fr-FR"/>
        </w:rPr>
      </w:pPr>
    </w:p>
    <w:p w14:paraId="7F9F06E7" w14:textId="77777777" w:rsidR="0068240F" w:rsidRDefault="0068240F">
      <w:pPr>
        <w:rPr>
          <w:rFonts w:eastAsia="Times New Roman" w:cstheme="minorHAnsi"/>
          <w:b/>
          <w:bCs/>
          <w:szCs w:val="23"/>
          <w:lang w:val="fr-FR"/>
        </w:rPr>
      </w:pPr>
    </w:p>
    <w:p w14:paraId="158BDD82" w14:textId="77777777" w:rsidR="0068240F" w:rsidRDefault="0068240F">
      <w:pPr>
        <w:rPr>
          <w:rFonts w:eastAsia="Times New Roman" w:cstheme="minorHAnsi"/>
          <w:b/>
          <w:bCs/>
          <w:szCs w:val="23"/>
          <w:lang w:val="fr-FR"/>
        </w:rPr>
      </w:pPr>
    </w:p>
    <w:p w14:paraId="5E11E395" w14:textId="77777777" w:rsidR="0068240F" w:rsidRDefault="0068240F">
      <w:pPr>
        <w:rPr>
          <w:rFonts w:eastAsia="Times New Roman" w:cstheme="minorHAnsi"/>
          <w:b/>
          <w:bCs/>
          <w:szCs w:val="23"/>
          <w:lang w:val="fr-FR"/>
        </w:rPr>
      </w:pPr>
    </w:p>
    <w:p w14:paraId="757F5C60" w14:textId="77777777" w:rsidR="0068240F" w:rsidRDefault="0068240F">
      <w:pPr>
        <w:rPr>
          <w:rFonts w:eastAsia="Times New Roman" w:cstheme="minorHAnsi"/>
          <w:b/>
          <w:bCs/>
          <w:szCs w:val="23"/>
          <w:lang w:val="fr-FR"/>
        </w:rPr>
      </w:pPr>
    </w:p>
    <w:p w14:paraId="182E9DBB" w14:textId="77777777" w:rsidR="0068240F" w:rsidRDefault="0068240F">
      <w:pPr>
        <w:rPr>
          <w:rFonts w:eastAsia="Times New Roman" w:cstheme="minorHAnsi"/>
          <w:b/>
          <w:bCs/>
          <w:szCs w:val="23"/>
          <w:lang w:val="fr-FR"/>
        </w:rPr>
      </w:pPr>
    </w:p>
    <w:p w14:paraId="2E0BEE2A" w14:textId="77777777" w:rsidR="00890A89" w:rsidRDefault="00890A89">
      <w:pPr>
        <w:rPr>
          <w:rFonts w:eastAsia="Times New Roman" w:cstheme="minorHAnsi"/>
          <w:b/>
          <w:bCs/>
          <w:szCs w:val="23"/>
          <w:lang w:val="fr-FR"/>
        </w:rPr>
      </w:pPr>
    </w:p>
    <w:p w14:paraId="5A23FD05" w14:textId="71880DAC" w:rsidR="00890A89" w:rsidRDefault="00890A89">
      <w:pPr>
        <w:rPr>
          <w:rFonts w:eastAsia="Times New Roman" w:cstheme="minorHAnsi"/>
          <w:b/>
          <w:bCs/>
          <w:szCs w:val="23"/>
          <w:lang w:val="fr-FR"/>
        </w:rPr>
      </w:pPr>
    </w:p>
    <w:p w14:paraId="0B816611" w14:textId="77777777" w:rsidR="00890A89" w:rsidRPr="00F52884" w:rsidRDefault="00890A89">
      <w:pPr>
        <w:rPr>
          <w:rFonts w:eastAsia="Times New Roman" w:cstheme="minorHAnsi"/>
          <w:b/>
          <w:bCs/>
          <w:szCs w:val="23"/>
          <w:lang w:val="fr-FR"/>
        </w:rPr>
      </w:pPr>
    </w:p>
    <w:p w14:paraId="2CB08FE4" w14:textId="77777777" w:rsidR="00B8348C" w:rsidRPr="00F52884" w:rsidRDefault="00B8348C" w:rsidP="00F52884">
      <w:pPr>
        <w:pStyle w:val="Heading3"/>
        <w:jc w:val="center"/>
        <w:rPr>
          <w:rFonts w:asciiTheme="minorHAnsi" w:hAnsiTheme="minorHAnsi" w:cstheme="minorHAnsi"/>
          <w:sz w:val="24"/>
          <w:szCs w:val="24"/>
          <w:lang w:val="fr-FR"/>
        </w:rPr>
      </w:pPr>
      <w:bookmarkStart w:id="292" w:name="_Toc476566344"/>
      <w:bookmarkStart w:id="293" w:name="_Toc156311797"/>
      <w:r w:rsidRPr="00F52884">
        <w:rPr>
          <w:rFonts w:asciiTheme="minorHAnsi" w:hAnsiTheme="minorHAnsi" w:cstheme="minorHAnsi"/>
          <w:sz w:val="24"/>
          <w:szCs w:val="24"/>
          <w:lang w:val="fr-CA"/>
        </w:rPr>
        <w:lastRenderedPageBreak/>
        <w:t>Liste de Terre-Neuve-et-Labrador</w:t>
      </w:r>
      <w:bookmarkEnd w:id="292"/>
      <w:bookmarkEnd w:id="293"/>
    </w:p>
    <w:p w14:paraId="0C8CEE01" w14:textId="77777777" w:rsidR="00B8348C" w:rsidRPr="00F52884" w:rsidRDefault="00B8348C" w:rsidP="000C25A3">
      <w:pPr>
        <w:rPr>
          <w:rFonts w:cstheme="minorHAnsi"/>
          <w:sz w:val="24"/>
          <w:szCs w:val="24"/>
          <w:lang w:val="fr-FR"/>
        </w:rPr>
      </w:pPr>
    </w:p>
    <w:p w14:paraId="15935D7B"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w:t>
      </w:r>
    </w:p>
    <w:p w14:paraId="5175E53D" w14:textId="77777777" w:rsidR="00B8348C" w:rsidRPr="00F52884" w:rsidRDefault="00B8348C" w:rsidP="000C25A3">
      <w:pPr>
        <w:jc w:val="center"/>
        <w:rPr>
          <w:rFonts w:cstheme="minorHAnsi"/>
          <w:b/>
          <w:szCs w:val="23"/>
          <w:lang w:val="fr-FR"/>
        </w:rPr>
      </w:pPr>
    </w:p>
    <w:p w14:paraId="32E83FC9" w14:textId="763FAB12" w:rsidR="00B8348C" w:rsidRPr="00F52884" w:rsidRDefault="00B8348C" w:rsidP="00167455">
      <w:pPr>
        <w:ind w:left="-360"/>
        <w:rPr>
          <w:rFonts w:cstheme="minorHAnsi"/>
          <w:b/>
          <w:caps/>
          <w:szCs w:val="23"/>
          <w:lang w:val="fr-FR"/>
        </w:rPr>
      </w:pPr>
      <w:r w:rsidRPr="00F52884">
        <w:rPr>
          <w:rFonts w:cstheme="minorHAnsi"/>
          <w:b/>
          <w:bCs/>
          <w:caps/>
          <w:szCs w:val="23"/>
          <w:lang w:val="fr-CA"/>
        </w:rPr>
        <w:t xml:space="preserve">1. </w:t>
      </w:r>
      <w:r w:rsidR="00167455" w:rsidRPr="00F52884">
        <w:rPr>
          <w:rFonts w:cstheme="minorHAnsi"/>
          <w:b/>
          <w:bCs/>
          <w:caps/>
          <w:szCs w:val="23"/>
          <w:lang w:val="fr-CA"/>
        </w:rPr>
        <w:t xml:space="preserve"> </w:t>
      </w:r>
      <w:r w:rsidRPr="00F52884">
        <w:rPr>
          <w:rFonts w:cstheme="minorHAnsi"/>
          <w:b/>
          <w:bCs/>
          <w:caps/>
          <w:szCs w:val="23"/>
          <w:lang w:val="fr-CA"/>
        </w:rPr>
        <w:t>Terre-Neuve-et-Labrador</w:t>
      </w:r>
    </w:p>
    <w:tbl>
      <w:tblPr>
        <w:tblW w:w="1017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7642"/>
        <w:gridCol w:w="8"/>
      </w:tblGrid>
      <w:tr w:rsidR="00B8348C" w:rsidRPr="00F52884" w14:paraId="59345405" w14:textId="77777777" w:rsidTr="00FA2285">
        <w:trPr>
          <w:gridAfter w:val="1"/>
          <w:wAfter w:w="8"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12E3C7B5"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szCs w:val="23"/>
                <w:lang w:val="fr-CA"/>
              </w:rPr>
              <w:br w:type="page"/>
            </w:r>
            <w:r w:rsidRPr="00F52884">
              <w:rPr>
                <w:rFonts w:eastAsia="Calibri" w:cstheme="minorHAnsi"/>
                <w:b/>
                <w:bCs/>
                <w:szCs w:val="23"/>
                <w:lang w:val="fr-CA"/>
              </w:rPr>
              <w:t>Secteur :</w:t>
            </w:r>
          </w:p>
        </w:tc>
        <w:tc>
          <w:tcPr>
            <w:tcW w:w="7642" w:type="dxa"/>
            <w:tcBorders>
              <w:top w:val="single" w:sz="4" w:space="0" w:color="C0C0C0"/>
              <w:left w:val="single" w:sz="4" w:space="0" w:color="FFFFFF"/>
              <w:bottom w:val="single" w:sz="4" w:space="0" w:color="C0C0C0"/>
              <w:right w:val="nil"/>
            </w:tcBorders>
            <w:vAlign w:val="center"/>
          </w:tcPr>
          <w:p w14:paraId="47711B62"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Énergie</w:t>
            </w:r>
          </w:p>
        </w:tc>
      </w:tr>
      <w:tr w:rsidR="00B8348C" w:rsidRPr="0068240F" w14:paraId="67D7C1D8" w14:textId="77777777" w:rsidTr="00FA2285">
        <w:trPr>
          <w:gridAfter w:val="1"/>
          <w:wAfter w:w="8" w:type="dxa"/>
          <w:trHeight w:val="246"/>
          <w:jc w:val="center"/>
        </w:trPr>
        <w:tc>
          <w:tcPr>
            <w:tcW w:w="2520" w:type="dxa"/>
            <w:tcBorders>
              <w:top w:val="single" w:sz="4" w:space="0" w:color="C0C0C0"/>
              <w:left w:val="nil"/>
              <w:bottom w:val="single" w:sz="4" w:space="0" w:color="C0C0C0"/>
              <w:right w:val="single" w:sz="4" w:space="0" w:color="FFFFFF"/>
            </w:tcBorders>
            <w:vAlign w:val="center"/>
          </w:tcPr>
          <w:p w14:paraId="4788205A"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642" w:type="dxa"/>
            <w:tcBorders>
              <w:top w:val="single" w:sz="4" w:space="0" w:color="C0C0C0"/>
              <w:left w:val="single" w:sz="4" w:space="0" w:color="FFFFFF"/>
              <w:bottom w:val="single" w:sz="4" w:space="0" w:color="C0C0C0"/>
              <w:right w:val="nil"/>
            </w:tcBorders>
            <w:vAlign w:val="center"/>
          </w:tcPr>
          <w:p w14:paraId="4C4E030C"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Électricité et services annexes à la distribution d’énergie</w:t>
            </w:r>
          </w:p>
        </w:tc>
      </w:tr>
      <w:tr w:rsidR="00B8348C" w:rsidRPr="00F52884" w14:paraId="0AB8322C"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5B34572E"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b/>
                <w:bCs/>
                <w:szCs w:val="23"/>
                <w:lang w:val="fr-CA"/>
              </w:rPr>
              <w:t xml:space="preserve">Classification de l’industrie : </w:t>
            </w:r>
          </w:p>
        </w:tc>
        <w:tc>
          <w:tcPr>
            <w:tcW w:w="7650" w:type="dxa"/>
            <w:gridSpan w:val="2"/>
            <w:tcBorders>
              <w:top w:val="single" w:sz="4" w:space="0" w:color="C0C0C0"/>
              <w:left w:val="single" w:sz="4" w:space="0" w:color="FFFFFF"/>
              <w:bottom w:val="single" w:sz="4" w:space="0" w:color="C0C0C0"/>
              <w:right w:val="nil"/>
            </w:tcBorders>
            <w:vAlign w:val="center"/>
          </w:tcPr>
          <w:p w14:paraId="02016624" w14:textId="77777777" w:rsidR="00B8348C" w:rsidRPr="00F52884" w:rsidRDefault="00B8348C" w:rsidP="000C25A3">
            <w:pPr>
              <w:spacing w:before="60" w:after="60" w:line="259" w:lineRule="auto"/>
              <w:ind w:left="4"/>
              <w:rPr>
                <w:rFonts w:eastAsia="Calibri" w:cstheme="minorHAnsi"/>
                <w:szCs w:val="23"/>
              </w:rPr>
            </w:pPr>
            <w:r w:rsidRPr="00F52884">
              <w:rPr>
                <w:rFonts w:eastAsia="Calibri" w:cstheme="minorHAnsi"/>
                <w:szCs w:val="23"/>
                <w:lang w:val="fr-CA"/>
              </w:rPr>
              <w:t>CPC 171, 887</w:t>
            </w:r>
          </w:p>
        </w:tc>
      </w:tr>
      <w:tr w:rsidR="00B8348C" w:rsidRPr="0068240F" w14:paraId="5B959816" w14:textId="77777777" w:rsidTr="00FA2285">
        <w:trPr>
          <w:gridAfter w:val="1"/>
          <w:wAfter w:w="8" w:type="dxa"/>
          <w:trHeight w:val="42"/>
          <w:jc w:val="center"/>
        </w:trPr>
        <w:tc>
          <w:tcPr>
            <w:tcW w:w="2520" w:type="dxa"/>
            <w:tcBorders>
              <w:left w:val="nil"/>
            </w:tcBorders>
          </w:tcPr>
          <w:p w14:paraId="57697337" w14:textId="6CD13878" w:rsidR="00B8348C" w:rsidRPr="00F52884" w:rsidRDefault="00B8348C" w:rsidP="000C25A3">
            <w:pPr>
              <w:tabs>
                <w:tab w:val="left" w:pos="2655"/>
              </w:tabs>
              <w:spacing w:before="60" w:after="60" w:line="259" w:lineRule="auto"/>
              <w:ind w:left="2655" w:hanging="2655"/>
              <w:rPr>
                <w:rFonts w:eastAsia="Calibri" w:cstheme="minorHAnsi"/>
                <w:szCs w:val="23"/>
              </w:rPr>
            </w:pPr>
            <w:r w:rsidRPr="00F52884">
              <w:rPr>
                <w:rFonts w:eastAsia="Calibri" w:cstheme="minorHAnsi"/>
                <w:b/>
                <w:bCs/>
                <w:szCs w:val="23"/>
                <w:lang w:val="fr-CA"/>
              </w:rPr>
              <w:t xml:space="preserve">Type d’exception :  </w:t>
            </w:r>
            <w:r w:rsidRPr="00F52884">
              <w:rPr>
                <w:rFonts w:eastAsia="Calibri" w:cstheme="minorHAnsi"/>
                <w:szCs w:val="23"/>
                <w:lang w:val="fr-CA"/>
              </w:rPr>
              <w:t xml:space="preserve">   </w:t>
            </w:r>
          </w:p>
        </w:tc>
        <w:tc>
          <w:tcPr>
            <w:tcW w:w="7642" w:type="dxa"/>
            <w:tcBorders>
              <w:left w:val="nil"/>
            </w:tcBorders>
          </w:tcPr>
          <w:p w14:paraId="0375DC6B" w14:textId="77301E77" w:rsidR="00B8348C" w:rsidRPr="00F52884" w:rsidRDefault="00B8348C" w:rsidP="000C25A3">
            <w:pPr>
              <w:spacing w:before="60" w:after="60" w:line="259" w:lineRule="auto"/>
              <w:ind w:left="6"/>
              <w:rPr>
                <w:rFonts w:eastAsia="Calibri" w:cstheme="minorHAnsi"/>
                <w:szCs w:val="23"/>
                <w:lang w:val="fr-FR"/>
              </w:rPr>
            </w:pPr>
            <w:r w:rsidRPr="00F52884">
              <w:rPr>
                <w:rFonts w:eastAsia="Calibri" w:cstheme="minorHAnsi"/>
                <w:szCs w:val="23"/>
                <w:lang w:val="fr-CA"/>
              </w:rPr>
              <w:t>Article 201 (Traitement non discriminatoire), article 313 (Prescriptions de résultats)</w:t>
            </w:r>
          </w:p>
        </w:tc>
      </w:tr>
      <w:tr w:rsidR="00B8348C" w:rsidRPr="00F52884" w14:paraId="1956AD7B" w14:textId="77777777" w:rsidTr="00FA2285">
        <w:trPr>
          <w:gridAfter w:val="1"/>
          <w:wAfter w:w="8" w:type="dxa"/>
          <w:trHeight w:val="42"/>
          <w:jc w:val="center"/>
        </w:trPr>
        <w:tc>
          <w:tcPr>
            <w:tcW w:w="10162"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14F86C12"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4870788F" w14:textId="77777777" w:rsidTr="00FA2285">
        <w:trPr>
          <w:gridAfter w:val="1"/>
          <w:wAfter w:w="8" w:type="dxa"/>
          <w:trHeight w:val="273"/>
          <w:jc w:val="center"/>
        </w:trPr>
        <w:tc>
          <w:tcPr>
            <w:tcW w:w="10162" w:type="dxa"/>
            <w:gridSpan w:val="2"/>
            <w:tcBorders>
              <w:top w:val="single" w:sz="4" w:space="0" w:color="C0C0C0"/>
              <w:left w:val="single" w:sz="4" w:space="0" w:color="C0C0C0"/>
              <w:bottom w:val="single" w:sz="4" w:space="0" w:color="C0C0C0"/>
              <w:right w:val="single" w:sz="4" w:space="0" w:color="C0C0C0"/>
            </w:tcBorders>
          </w:tcPr>
          <w:p w14:paraId="2D4A1157" w14:textId="0C0DA868" w:rsidR="00B8348C" w:rsidRPr="00F52884" w:rsidRDefault="00B8348C" w:rsidP="000C25A3">
            <w:pPr>
              <w:spacing w:before="60" w:after="60" w:line="259" w:lineRule="auto"/>
              <w:rPr>
                <w:rFonts w:eastAsia="Calibri" w:cstheme="minorHAnsi"/>
                <w:i/>
                <w:iCs/>
                <w:szCs w:val="23"/>
              </w:rPr>
            </w:pPr>
            <w:r w:rsidRPr="00F52884">
              <w:rPr>
                <w:rFonts w:eastAsia="Calibri" w:cstheme="minorHAnsi"/>
                <w:i/>
                <w:iCs/>
                <w:szCs w:val="23"/>
                <w:lang w:val="en-US"/>
              </w:rPr>
              <w:t xml:space="preserve">Electrical Power Control Act, 1994, </w:t>
            </w:r>
            <w:r w:rsidRPr="00F52884">
              <w:rPr>
                <w:rFonts w:eastAsia="Calibri" w:cstheme="minorHAnsi"/>
                <w:szCs w:val="23"/>
                <w:lang w:val="en-US"/>
              </w:rPr>
              <w:t>SNL 1994, c E-5.1</w:t>
            </w:r>
          </w:p>
          <w:p w14:paraId="0D87FF4A" w14:textId="030243EC" w:rsidR="00B8348C" w:rsidRPr="00F52884" w:rsidRDefault="00B8348C" w:rsidP="000C25A3">
            <w:pPr>
              <w:spacing w:before="60" w:after="60" w:line="259" w:lineRule="auto"/>
              <w:rPr>
                <w:rFonts w:eastAsia="Calibri" w:cstheme="minorHAnsi"/>
                <w:i/>
                <w:szCs w:val="23"/>
              </w:rPr>
            </w:pPr>
            <w:r w:rsidRPr="00F52884">
              <w:rPr>
                <w:rFonts w:eastAsia="Calibri" w:cstheme="minorHAnsi"/>
                <w:i/>
                <w:iCs/>
                <w:szCs w:val="23"/>
                <w:lang w:val="en-US"/>
              </w:rPr>
              <w:t xml:space="preserve">Energy Corporation Act, </w:t>
            </w:r>
            <w:r w:rsidRPr="00F52884">
              <w:rPr>
                <w:rFonts w:eastAsia="Calibri" w:cstheme="minorHAnsi"/>
                <w:szCs w:val="23"/>
                <w:lang w:val="en-US"/>
              </w:rPr>
              <w:t>SNL 2007, c E-11.01</w:t>
            </w:r>
          </w:p>
          <w:p w14:paraId="355974B4" w14:textId="08F479AC" w:rsidR="00B8348C" w:rsidRPr="00F52884" w:rsidRDefault="00B8348C" w:rsidP="000C25A3">
            <w:pPr>
              <w:spacing w:before="60" w:after="60" w:line="259" w:lineRule="auto"/>
              <w:rPr>
                <w:rFonts w:eastAsia="Calibri" w:cstheme="minorHAnsi"/>
                <w:i/>
                <w:szCs w:val="23"/>
              </w:rPr>
            </w:pPr>
            <w:r w:rsidRPr="00F52884">
              <w:rPr>
                <w:rFonts w:eastAsia="Calibri" w:cstheme="minorHAnsi"/>
                <w:i/>
                <w:iCs/>
                <w:szCs w:val="23"/>
                <w:lang w:val="en-US"/>
              </w:rPr>
              <w:t xml:space="preserve">Energy Corporation of Newfoundland and Labrador Water Rights Act, </w:t>
            </w:r>
            <w:r w:rsidRPr="00F52884">
              <w:rPr>
                <w:rFonts w:eastAsia="Calibri" w:cstheme="minorHAnsi"/>
                <w:szCs w:val="23"/>
                <w:lang w:val="en-US"/>
              </w:rPr>
              <w:t>SNL 2008, c E-11.02</w:t>
            </w:r>
          </w:p>
          <w:p w14:paraId="43DEE76B" w14:textId="25EC7329" w:rsidR="00B8348C" w:rsidRPr="00F52884" w:rsidRDefault="00B8348C" w:rsidP="000C25A3">
            <w:pPr>
              <w:spacing w:before="60" w:after="60" w:line="259" w:lineRule="auto"/>
              <w:rPr>
                <w:rFonts w:eastAsia="Calibri" w:cstheme="minorHAnsi"/>
                <w:i/>
                <w:szCs w:val="23"/>
              </w:rPr>
            </w:pPr>
            <w:r w:rsidRPr="00F52884">
              <w:rPr>
                <w:rFonts w:eastAsia="Calibri" w:cstheme="minorHAnsi"/>
                <w:i/>
                <w:iCs/>
                <w:szCs w:val="23"/>
                <w:lang w:val="en-US"/>
              </w:rPr>
              <w:t xml:space="preserve">Executive Council Act, </w:t>
            </w:r>
            <w:r w:rsidRPr="00F52884">
              <w:rPr>
                <w:rFonts w:eastAsia="Calibri" w:cstheme="minorHAnsi"/>
                <w:szCs w:val="23"/>
                <w:lang w:val="en-US"/>
              </w:rPr>
              <w:t>SNL 1995, c E-16.1</w:t>
            </w:r>
          </w:p>
          <w:p w14:paraId="5960DF64" w14:textId="7B0AB4CA" w:rsidR="00B8348C" w:rsidRPr="00F52884" w:rsidRDefault="00B8348C" w:rsidP="000C25A3">
            <w:pPr>
              <w:spacing w:before="60" w:after="60" w:line="259" w:lineRule="auto"/>
              <w:rPr>
                <w:rFonts w:eastAsia="Calibri" w:cstheme="minorHAnsi"/>
                <w:i/>
                <w:szCs w:val="23"/>
              </w:rPr>
            </w:pPr>
            <w:r w:rsidRPr="00F52884">
              <w:rPr>
                <w:rFonts w:eastAsia="Calibri" w:cstheme="minorHAnsi"/>
                <w:i/>
                <w:iCs/>
                <w:szCs w:val="23"/>
                <w:lang w:val="en-US"/>
              </w:rPr>
              <w:t xml:space="preserve">Hydro Corporation Act, 2007, </w:t>
            </w:r>
            <w:r w:rsidRPr="00F52884">
              <w:rPr>
                <w:rFonts w:eastAsia="Calibri" w:cstheme="minorHAnsi"/>
                <w:szCs w:val="23"/>
                <w:lang w:val="en-US"/>
              </w:rPr>
              <w:t>SNL 2007, c H-17</w:t>
            </w:r>
          </w:p>
          <w:p w14:paraId="7466F244" w14:textId="64C69038" w:rsidR="00B8348C" w:rsidRPr="00F52884" w:rsidRDefault="00B8348C" w:rsidP="000C25A3">
            <w:pPr>
              <w:spacing w:before="60" w:after="60" w:line="259" w:lineRule="auto"/>
              <w:rPr>
                <w:rFonts w:eastAsia="Calibri" w:cstheme="minorHAnsi"/>
                <w:i/>
                <w:szCs w:val="23"/>
              </w:rPr>
            </w:pPr>
            <w:r w:rsidRPr="00F52884">
              <w:rPr>
                <w:rFonts w:eastAsia="Calibri" w:cstheme="minorHAnsi"/>
                <w:i/>
                <w:iCs/>
                <w:szCs w:val="23"/>
                <w:lang w:val="en-US"/>
              </w:rPr>
              <w:t xml:space="preserve">Lands Act, </w:t>
            </w:r>
            <w:r w:rsidRPr="00F52884">
              <w:rPr>
                <w:rFonts w:eastAsia="Calibri" w:cstheme="minorHAnsi"/>
                <w:szCs w:val="23"/>
                <w:lang w:val="en-US"/>
              </w:rPr>
              <w:t>SNL 1991, c 36</w:t>
            </w:r>
            <w:r w:rsidRPr="00F52884">
              <w:rPr>
                <w:rFonts w:eastAsia="Calibri" w:cstheme="minorHAnsi"/>
                <w:i/>
                <w:iCs/>
                <w:szCs w:val="23"/>
                <w:lang w:val="en-US"/>
              </w:rPr>
              <w:t xml:space="preserve"> </w:t>
            </w:r>
          </w:p>
          <w:p w14:paraId="2C690CF8" w14:textId="3097AD0E" w:rsidR="00B8348C" w:rsidRPr="00F52884" w:rsidRDefault="00B8348C" w:rsidP="000C25A3">
            <w:pPr>
              <w:spacing w:before="60" w:after="60" w:line="259" w:lineRule="auto"/>
              <w:rPr>
                <w:rFonts w:eastAsia="Calibri" w:cstheme="minorHAnsi"/>
                <w:i/>
                <w:szCs w:val="23"/>
              </w:rPr>
            </w:pPr>
            <w:r w:rsidRPr="00F52884">
              <w:rPr>
                <w:rFonts w:eastAsia="Calibri" w:cstheme="minorHAnsi"/>
                <w:i/>
                <w:iCs/>
                <w:szCs w:val="23"/>
                <w:lang w:val="en-US"/>
              </w:rPr>
              <w:t xml:space="preserve">Lower Churchill Development Act, </w:t>
            </w:r>
            <w:r w:rsidRPr="00F52884">
              <w:rPr>
                <w:rFonts w:eastAsia="Calibri" w:cstheme="minorHAnsi"/>
                <w:szCs w:val="23"/>
                <w:lang w:val="en-US"/>
              </w:rPr>
              <w:t>RSNL 1990, c L-27</w:t>
            </w:r>
          </w:p>
          <w:p w14:paraId="55236015" w14:textId="45D6BD77"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Muskrat Falls Project Land Use and Expropriation Act</w:t>
            </w:r>
            <w:r w:rsidRPr="00F52884">
              <w:rPr>
                <w:rFonts w:eastAsia="Calibri" w:cstheme="minorHAnsi"/>
                <w:szCs w:val="23"/>
                <w:lang w:val="en-US"/>
              </w:rPr>
              <w:t>, SNL 2012, c M-25</w:t>
            </w:r>
          </w:p>
          <w:p w14:paraId="4929E53D" w14:textId="5A2F4DBA"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Public Utilities Act</w:t>
            </w:r>
            <w:r w:rsidRPr="00F52884">
              <w:rPr>
                <w:rFonts w:eastAsia="Calibri" w:cstheme="minorHAnsi"/>
                <w:szCs w:val="23"/>
                <w:lang w:val="en-US"/>
              </w:rPr>
              <w:t>, RSNL 1990, c P-47</w:t>
            </w:r>
          </w:p>
          <w:p w14:paraId="674C264E" w14:textId="63C5CE0E" w:rsidR="00B8348C" w:rsidRPr="00F52884" w:rsidRDefault="00B8348C" w:rsidP="000C25A3">
            <w:pPr>
              <w:spacing w:before="60" w:after="60" w:line="259" w:lineRule="auto"/>
              <w:rPr>
                <w:rFonts w:eastAsia="Calibri" w:cstheme="minorHAnsi"/>
                <w:i/>
                <w:iCs/>
                <w:szCs w:val="23"/>
              </w:rPr>
            </w:pPr>
            <w:r w:rsidRPr="00F52884">
              <w:rPr>
                <w:rFonts w:eastAsia="Calibri" w:cstheme="minorHAnsi"/>
                <w:i/>
                <w:iCs/>
                <w:szCs w:val="23"/>
                <w:lang w:val="en-US"/>
              </w:rPr>
              <w:t xml:space="preserve">The Churchill Falls (Labrador) Corporation Limited (Lease) Act, 1961, </w:t>
            </w:r>
            <w:r w:rsidRPr="00F52884">
              <w:rPr>
                <w:rFonts w:eastAsia="Calibri" w:cstheme="minorHAnsi"/>
                <w:szCs w:val="23"/>
                <w:lang w:val="en-US"/>
              </w:rPr>
              <w:t>SNL 1961, c 51</w:t>
            </w:r>
          </w:p>
          <w:p w14:paraId="6F6673AC" w14:textId="367EE819" w:rsidR="00B8348C" w:rsidRPr="00B04E29" w:rsidRDefault="00B8348C" w:rsidP="000C25A3">
            <w:pPr>
              <w:spacing w:before="60" w:after="60" w:line="259" w:lineRule="auto"/>
              <w:rPr>
                <w:rFonts w:eastAsia="Calibri" w:cstheme="minorHAnsi"/>
                <w:szCs w:val="23"/>
              </w:rPr>
            </w:pPr>
            <w:r w:rsidRPr="00B04E29">
              <w:rPr>
                <w:rFonts w:eastAsia="Calibri" w:cstheme="minorHAnsi"/>
                <w:i/>
                <w:iCs/>
                <w:szCs w:val="23"/>
              </w:rPr>
              <w:t xml:space="preserve">Water Resources Act, </w:t>
            </w:r>
            <w:r w:rsidRPr="00B04E29">
              <w:rPr>
                <w:rFonts w:eastAsia="Calibri" w:cstheme="minorHAnsi"/>
                <w:szCs w:val="23"/>
              </w:rPr>
              <w:t>SNL 2002, c W-4.01</w:t>
            </w:r>
          </w:p>
        </w:tc>
      </w:tr>
      <w:tr w:rsidR="00B8348C" w:rsidRPr="00F52884" w14:paraId="7B90F6C3" w14:textId="77777777" w:rsidTr="00FA2285">
        <w:trPr>
          <w:gridAfter w:val="1"/>
          <w:wAfter w:w="8" w:type="dxa"/>
          <w:trHeight w:val="49"/>
          <w:jc w:val="center"/>
        </w:trPr>
        <w:tc>
          <w:tcPr>
            <w:tcW w:w="1016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DCDCF28"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68240F" w14:paraId="01EBC16C" w14:textId="77777777" w:rsidTr="00FA2285">
        <w:trPr>
          <w:gridAfter w:val="1"/>
          <w:wAfter w:w="8" w:type="dxa"/>
          <w:trHeight w:val="66"/>
          <w:jc w:val="center"/>
        </w:trPr>
        <w:tc>
          <w:tcPr>
            <w:tcW w:w="10162" w:type="dxa"/>
            <w:gridSpan w:val="2"/>
            <w:tcBorders>
              <w:top w:val="single" w:sz="4" w:space="0" w:color="C0C0C0"/>
              <w:left w:val="single" w:sz="4" w:space="0" w:color="C0C0C0"/>
              <w:bottom w:val="single" w:sz="4" w:space="0" w:color="C0C0C0"/>
              <w:right w:val="single" w:sz="4" w:space="0" w:color="C0C0C0"/>
            </w:tcBorders>
          </w:tcPr>
          <w:p w14:paraId="035790C1" w14:textId="77777777" w:rsidR="00B8348C" w:rsidRPr="00F52884" w:rsidRDefault="00B8348C" w:rsidP="000C25A3">
            <w:pPr>
              <w:spacing w:before="120" w:after="120" w:line="259" w:lineRule="auto"/>
              <w:rPr>
                <w:rFonts w:eastAsia="Calibri" w:cstheme="minorHAnsi"/>
                <w:szCs w:val="23"/>
                <w:lang w:val="fr-FR"/>
              </w:rPr>
            </w:pPr>
            <w:r w:rsidRPr="00F52884">
              <w:rPr>
                <w:rFonts w:eastAsia="Calibri" w:cstheme="minorHAnsi"/>
                <w:szCs w:val="23"/>
                <w:lang w:val="fr-CA"/>
              </w:rPr>
              <w:t>Les mesures susmentionnées permettent, entre autres, au gouvernement de Terre-Neuve-et-Labrador :</w:t>
            </w:r>
          </w:p>
          <w:p w14:paraId="5158DD9B" w14:textId="75F65A78" w:rsidR="00B8348C" w:rsidRPr="00F52884" w:rsidRDefault="00B8348C" w:rsidP="000C25A3">
            <w:pPr>
              <w:spacing w:before="120" w:after="120" w:line="259" w:lineRule="auto"/>
              <w:ind w:left="906" w:hanging="540"/>
              <w:rPr>
                <w:rFonts w:eastAsia="Calibri" w:cstheme="minorHAnsi"/>
                <w:szCs w:val="23"/>
                <w:lang w:val="fr-FR"/>
              </w:rPr>
            </w:pPr>
            <w:r w:rsidRPr="00F52884">
              <w:rPr>
                <w:rFonts w:eastAsia="Calibri" w:cstheme="minorHAnsi"/>
                <w:szCs w:val="23"/>
                <w:lang w:val="fr-CA"/>
              </w:rPr>
              <w:t xml:space="preserve">1. </w:t>
            </w:r>
            <w:r w:rsidRPr="00F52884">
              <w:rPr>
                <w:rFonts w:eastAsia="Calibri" w:cstheme="minorHAnsi"/>
                <w:szCs w:val="23"/>
                <w:lang w:val="fr-CA"/>
              </w:rPr>
              <w:tab/>
              <w:t>de réglementer et d’accorder diverses autorisations à l’égard de la production, la mise en valeur, le transport (dont le contrôle du réseau), la distribution, la livraison, la fourniture, l’achat et l’exportation d’électricité et de prévoir la construction et l’entretien des installations connexes;</w:t>
            </w:r>
          </w:p>
          <w:p w14:paraId="593A6490" w14:textId="322BACB1" w:rsidR="00B8348C" w:rsidRPr="00F52884" w:rsidRDefault="00B8348C" w:rsidP="000C25A3">
            <w:pPr>
              <w:spacing w:before="120" w:after="120" w:line="259" w:lineRule="auto"/>
              <w:ind w:left="906" w:hanging="540"/>
              <w:rPr>
                <w:rFonts w:eastAsia="Calibri" w:cstheme="minorHAnsi"/>
                <w:szCs w:val="23"/>
                <w:lang w:val="fr-FR"/>
              </w:rPr>
            </w:pPr>
            <w:r w:rsidRPr="00F52884">
              <w:rPr>
                <w:rFonts w:eastAsia="Calibri" w:cstheme="minorHAnsi"/>
                <w:szCs w:val="23"/>
                <w:lang w:val="fr-CA"/>
              </w:rPr>
              <w:t xml:space="preserve">2. </w:t>
            </w:r>
            <w:r w:rsidRPr="00F52884">
              <w:rPr>
                <w:rFonts w:eastAsia="Calibri" w:cstheme="minorHAnsi"/>
                <w:szCs w:val="23"/>
                <w:lang w:val="fr-CA"/>
              </w:rPr>
              <w:tab/>
              <w:t>de prévoir la concession de terres et de plans d’eau publics de la province pour un produit, une force ou une source d’énergie à partir de laquelle il est possible de produire de l’électricité, y compris la mise en place d’éoliennes et d’installations hydroélectriques;</w:t>
            </w:r>
          </w:p>
          <w:p w14:paraId="3030DFAD" w14:textId="77777777" w:rsidR="00B8348C" w:rsidRPr="00F52884" w:rsidRDefault="00B8348C" w:rsidP="000C25A3">
            <w:pPr>
              <w:spacing w:before="120" w:after="120" w:line="259" w:lineRule="auto"/>
              <w:ind w:left="906" w:hanging="540"/>
              <w:rPr>
                <w:rFonts w:eastAsia="Calibri" w:cstheme="minorHAnsi"/>
                <w:szCs w:val="23"/>
                <w:lang w:val="fr-FR"/>
              </w:rPr>
            </w:pPr>
            <w:r w:rsidRPr="00F52884">
              <w:rPr>
                <w:rFonts w:eastAsia="Calibri" w:cstheme="minorHAnsi"/>
                <w:szCs w:val="23"/>
                <w:lang w:val="fr-CA"/>
              </w:rPr>
              <w:t xml:space="preserve">3. </w:t>
            </w:r>
            <w:r w:rsidRPr="00F52884">
              <w:rPr>
                <w:rFonts w:eastAsia="Calibri" w:cstheme="minorHAnsi"/>
                <w:szCs w:val="23"/>
                <w:lang w:val="fr-CA"/>
              </w:rPr>
              <w:tab/>
              <w:t>de fixer et de modifier les tarifs de l’électricité.</w:t>
            </w:r>
          </w:p>
          <w:p w14:paraId="0251C80F" w14:textId="77777777" w:rsidR="00B8348C" w:rsidRDefault="00B8348C" w:rsidP="00B8348C">
            <w:pPr>
              <w:spacing w:before="120" w:after="120" w:line="259" w:lineRule="auto"/>
              <w:rPr>
                <w:rFonts w:eastAsia="Calibri" w:cstheme="minorHAnsi"/>
                <w:szCs w:val="23"/>
                <w:lang w:val="fr-CA"/>
              </w:rPr>
            </w:pPr>
            <w:r w:rsidRPr="00F52884">
              <w:rPr>
                <w:rFonts w:eastAsia="Calibri" w:cstheme="minorHAnsi"/>
                <w:szCs w:val="23"/>
                <w:lang w:val="fr-CA"/>
              </w:rPr>
              <w:t xml:space="preserve">Sans restreindre la portée générale de ce qui précède, ces mesures peuvent supposer la prise de décisions discrétionnaires fondées sur divers facteurs, l’imposition de prescriptions de résultats ou la discrimination en faveur de résidents de Terre-Neuve-et-Labrador ou d’entités établies selon la </w:t>
            </w:r>
            <w:r w:rsidRPr="00F52884">
              <w:rPr>
                <w:rFonts w:eastAsia="Calibri" w:cstheme="minorHAnsi"/>
                <w:szCs w:val="23"/>
                <w:lang w:val="fr-CA"/>
              </w:rPr>
              <w:lastRenderedPageBreak/>
              <w:t>législation du Canada ou d’une province ou d’un territoire du Canada qui ont un lieu d’affaires à Terre-Neuve-et-Labrador et y effectuent des opérations substantielles.</w:t>
            </w:r>
          </w:p>
          <w:p w14:paraId="5E01B0E2" w14:textId="16749EC0" w:rsidR="000C2EF7" w:rsidRPr="00F52884" w:rsidRDefault="000C2EF7" w:rsidP="00B8348C">
            <w:pPr>
              <w:spacing w:before="120" w:after="120" w:line="259" w:lineRule="auto"/>
              <w:rPr>
                <w:rFonts w:eastAsia="Calibri" w:cstheme="minorHAnsi"/>
                <w:szCs w:val="23"/>
                <w:lang w:val="fr-FR"/>
              </w:rPr>
            </w:pPr>
            <w:r w:rsidRPr="00D2766C">
              <w:rPr>
                <w:rFonts w:eastAsia="Calibri" w:cstheme="minorHAnsi"/>
                <w:szCs w:val="23"/>
                <w:lang w:val="fr-CA"/>
              </w:rPr>
              <w:t xml:space="preserve">Il est entendu que cette exception n’a pas pour but de s’appliquer à une obligation que le gouvernement de Terre-Neuve-et-Labrador pourrait avoir en vertu de l’article 309 ou </w:t>
            </w:r>
            <w:r>
              <w:rPr>
                <w:rFonts w:eastAsia="Calibri" w:cstheme="minorHAnsi"/>
                <w:szCs w:val="23"/>
                <w:lang w:val="fr-CA"/>
              </w:rPr>
              <w:t>de l’article 2 de l’annexe 309.</w:t>
            </w:r>
            <w:r w:rsidRPr="00D2766C">
              <w:rPr>
                <w:rFonts w:eastAsia="Calibri" w:cstheme="minorHAnsi"/>
                <w:szCs w:val="23"/>
                <w:lang w:val="fr-CA"/>
              </w:rPr>
              <w:t xml:space="preserve"> En cas d’incompatibilité entre la présente exception et l’article 309 ou l’article 2 de l’annexe 309, les dispositions applicables de l’article 309 ou de l’article 2 de l’annexe 309, selon le cas, l’emportent dans la mesure de l’incompatibilité.</w:t>
            </w:r>
          </w:p>
        </w:tc>
      </w:tr>
    </w:tbl>
    <w:p w14:paraId="4C67EE40" w14:textId="77777777" w:rsidR="00B8348C" w:rsidRPr="00F52884" w:rsidRDefault="00B8348C" w:rsidP="000C25A3">
      <w:pPr>
        <w:spacing w:line="259" w:lineRule="auto"/>
        <w:rPr>
          <w:rFonts w:eastAsia="Calibri" w:cstheme="minorHAnsi"/>
          <w:b/>
          <w:szCs w:val="23"/>
          <w:lang w:val="fr-FR"/>
        </w:rPr>
      </w:pPr>
    </w:p>
    <w:p w14:paraId="4A2BF8ED" w14:textId="77777777" w:rsidR="00B8348C" w:rsidRPr="00F52884" w:rsidRDefault="00B8348C" w:rsidP="000C25A3">
      <w:pPr>
        <w:spacing w:line="259" w:lineRule="auto"/>
        <w:rPr>
          <w:rFonts w:eastAsia="Calibri" w:cstheme="minorHAnsi"/>
          <w:b/>
          <w:szCs w:val="23"/>
          <w:lang w:val="fr-FR"/>
        </w:rPr>
      </w:pPr>
    </w:p>
    <w:p w14:paraId="13F96741" w14:textId="44408769" w:rsidR="00B8348C" w:rsidRPr="00F52884" w:rsidRDefault="00B8348C" w:rsidP="00167455">
      <w:pPr>
        <w:pStyle w:val="ListParagraph"/>
        <w:spacing w:before="60" w:after="60"/>
        <w:ind w:left="-360"/>
        <w:rPr>
          <w:rFonts w:cstheme="minorHAnsi"/>
          <w:b/>
          <w:caps/>
          <w:szCs w:val="23"/>
        </w:rPr>
      </w:pPr>
      <w:r w:rsidRPr="00F52884">
        <w:rPr>
          <w:rFonts w:cstheme="minorHAnsi"/>
          <w:b/>
          <w:bCs/>
          <w:caps/>
          <w:szCs w:val="23"/>
          <w:lang w:val="fr-CA"/>
        </w:rPr>
        <w:t xml:space="preserve">2. </w:t>
      </w:r>
      <w:r w:rsidR="00167455" w:rsidRPr="00F52884">
        <w:rPr>
          <w:rFonts w:cstheme="minorHAnsi"/>
          <w:b/>
          <w:bCs/>
          <w:caps/>
          <w:szCs w:val="23"/>
          <w:lang w:val="fr-CA"/>
        </w:rPr>
        <w:t xml:space="preserve"> </w:t>
      </w:r>
      <w:r w:rsidRPr="00F52884">
        <w:rPr>
          <w:rFonts w:cstheme="minorHAnsi"/>
          <w:b/>
          <w:bCs/>
          <w:caps/>
          <w:szCs w:val="23"/>
          <w:lang w:val="fr-CA"/>
        </w:rPr>
        <w:t>Terre-Neuve-et-Labrador</w:t>
      </w:r>
    </w:p>
    <w:tbl>
      <w:tblPr>
        <w:tblW w:w="10260" w:type="dxa"/>
        <w:jc w:val="center"/>
        <w:tblLayout w:type="fixed"/>
        <w:tblCellMar>
          <w:top w:w="14" w:type="dxa"/>
          <w:left w:w="86" w:type="dxa"/>
          <w:bottom w:w="14" w:type="dxa"/>
          <w:right w:w="86" w:type="dxa"/>
        </w:tblCellMar>
        <w:tblLook w:val="0000" w:firstRow="0" w:lastRow="0" w:firstColumn="0" w:lastColumn="0" w:noHBand="0" w:noVBand="0"/>
      </w:tblPr>
      <w:tblGrid>
        <w:gridCol w:w="90"/>
        <w:gridCol w:w="2430"/>
        <w:gridCol w:w="7732"/>
        <w:gridCol w:w="8"/>
      </w:tblGrid>
      <w:tr w:rsidR="00B8348C" w:rsidRPr="00F52884" w14:paraId="0C92A18D" w14:textId="77777777" w:rsidTr="00FA2285">
        <w:trPr>
          <w:gridAfter w:val="1"/>
          <w:wAfter w:w="8" w:type="dxa"/>
          <w:trHeight w:val="42"/>
          <w:jc w:val="center"/>
        </w:trPr>
        <w:tc>
          <w:tcPr>
            <w:tcW w:w="2520" w:type="dxa"/>
            <w:gridSpan w:val="2"/>
            <w:tcBorders>
              <w:top w:val="single" w:sz="4" w:space="0" w:color="C0C0C0"/>
              <w:left w:val="nil"/>
              <w:bottom w:val="single" w:sz="4" w:space="0" w:color="C0C0C0"/>
              <w:right w:val="single" w:sz="4" w:space="0" w:color="FFFFFF"/>
            </w:tcBorders>
            <w:vAlign w:val="center"/>
          </w:tcPr>
          <w:p w14:paraId="61FAE335"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szCs w:val="23"/>
                <w:lang w:val="fr-CA"/>
              </w:rPr>
              <w:br w:type="page"/>
            </w:r>
            <w:r w:rsidRPr="00F52884">
              <w:rPr>
                <w:rFonts w:eastAsia="Calibri" w:cstheme="minorHAnsi"/>
                <w:b/>
                <w:bCs/>
                <w:szCs w:val="23"/>
                <w:lang w:val="fr-CA"/>
              </w:rPr>
              <w:t>Secteur :</w:t>
            </w:r>
          </w:p>
        </w:tc>
        <w:tc>
          <w:tcPr>
            <w:tcW w:w="7732" w:type="dxa"/>
            <w:tcBorders>
              <w:top w:val="single" w:sz="4" w:space="0" w:color="C0C0C0"/>
              <w:left w:val="single" w:sz="4" w:space="0" w:color="FFFFFF"/>
              <w:bottom w:val="single" w:sz="4" w:space="0" w:color="C0C0C0"/>
              <w:right w:val="nil"/>
            </w:tcBorders>
            <w:vAlign w:val="center"/>
          </w:tcPr>
          <w:p w14:paraId="70EB43BD"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Sylviculture</w:t>
            </w:r>
          </w:p>
        </w:tc>
      </w:tr>
      <w:tr w:rsidR="00B8348C" w:rsidRPr="0068240F" w14:paraId="18CF6E90" w14:textId="77777777" w:rsidTr="00FA2285">
        <w:trPr>
          <w:gridBefore w:val="1"/>
          <w:gridAfter w:val="1"/>
          <w:wBefore w:w="90" w:type="dxa"/>
          <w:wAfter w:w="8" w:type="dxa"/>
          <w:trHeight w:val="246"/>
          <w:jc w:val="center"/>
        </w:trPr>
        <w:tc>
          <w:tcPr>
            <w:tcW w:w="2430" w:type="dxa"/>
            <w:tcBorders>
              <w:top w:val="single" w:sz="4" w:space="0" w:color="C0C0C0"/>
              <w:left w:val="nil"/>
              <w:bottom w:val="single" w:sz="4" w:space="0" w:color="C0C0C0"/>
              <w:right w:val="single" w:sz="4" w:space="0" w:color="FFFFFF"/>
            </w:tcBorders>
            <w:vAlign w:val="center"/>
          </w:tcPr>
          <w:p w14:paraId="704C434F"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32" w:type="dxa"/>
            <w:tcBorders>
              <w:top w:val="single" w:sz="4" w:space="0" w:color="C0C0C0"/>
              <w:left w:val="single" w:sz="4" w:space="0" w:color="FFFFFF"/>
              <w:bottom w:val="single" w:sz="4" w:space="0" w:color="C0C0C0"/>
              <w:right w:val="nil"/>
            </w:tcBorders>
            <w:vAlign w:val="center"/>
          </w:tcPr>
          <w:p w14:paraId="38BF2A88"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Bois brut; ouvrages en bois, en liège, ouvrages de vannerie et de sparterie; sylviculture et produits de l’exploitation forestière; pâte de bois, papier et ouvrages en papier; fabrication de bois et de produits en bois et en liège, à l’exclusion des meubles; fabrication d’articles de vannerie et sparterie, à forfait ou sous contrat</w:t>
            </w:r>
          </w:p>
        </w:tc>
      </w:tr>
      <w:tr w:rsidR="00B8348C" w:rsidRPr="00F52884" w14:paraId="14937E17" w14:textId="77777777" w:rsidTr="00FA2285">
        <w:trPr>
          <w:gridBefore w:val="1"/>
          <w:wBefore w:w="90"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68D144E7"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b/>
                <w:bCs/>
                <w:szCs w:val="23"/>
                <w:lang w:val="fr-CA"/>
              </w:rPr>
              <w:t xml:space="preserve">Classification de l’industrie : </w:t>
            </w:r>
          </w:p>
        </w:tc>
        <w:tc>
          <w:tcPr>
            <w:tcW w:w="7740" w:type="dxa"/>
            <w:gridSpan w:val="2"/>
            <w:tcBorders>
              <w:top w:val="single" w:sz="4" w:space="0" w:color="C0C0C0"/>
              <w:left w:val="single" w:sz="4" w:space="0" w:color="FFFFFF"/>
              <w:bottom w:val="single" w:sz="4" w:space="0" w:color="C0C0C0"/>
              <w:right w:val="nil"/>
            </w:tcBorders>
            <w:vAlign w:val="center"/>
          </w:tcPr>
          <w:p w14:paraId="3F4D53C5" w14:textId="77777777" w:rsidR="00B8348C" w:rsidRPr="00F52884" w:rsidRDefault="00B8348C" w:rsidP="000C25A3">
            <w:pPr>
              <w:spacing w:before="60" w:after="60" w:line="259" w:lineRule="auto"/>
              <w:ind w:left="4"/>
              <w:rPr>
                <w:rFonts w:eastAsia="Calibri" w:cstheme="minorHAnsi"/>
                <w:szCs w:val="23"/>
              </w:rPr>
            </w:pPr>
            <w:r w:rsidRPr="00F52884">
              <w:rPr>
                <w:rFonts w:eastAsia="Calibri" w:cstheme="minorHAnsi"/>
                <w:szCs w:val="23"/>
                <w:lang w:val="fr-CA"/>
              </w:rPr>
              <w:t>CPC 031, 31, 321, 88430</w:t>
            </w:r>
          </w:p>
        </w:tc>
      </w:tr>
      <w:tr w:rsidR="00B8348C" w:rsidRPr="0068240F" w14:paraId="37B15546" w14:textId="77777777" w:rsidTr="00FA2285">
        <w:trPr>
          <w:gridBefore w:val="1"/>
          <w:gridAfter w:val="1"/>
          <w:wBefore w:w="90" w:type="dxa"/>
          <w:wAfter w:w="8" w:type="dxa"/>
          <w:trHeight w:val="42"/>
          <w:jc w:val="center"/>
        </w:trPr>
        <w:tc>
          <w:tcPr>
            <w:tcW w:w="2430" w:type="dxa"/>
            <w:tcBorders>
              <w:left w:val="nil"/>
            </w:tcBorders>
          </w:tcPr>
          <w:p w14:paraId="795903CE" w14:textId="424E77A5" w:rsidR="00B8348C" w:rsidRPr="00F52884" w:rsidRDefault="00B8348C" w:rsidP="000C25A3">
            <w:pPr>
              <w:spacing w:before="60" w:after="60" w:line="259" w:lineRule="auto"/>
              <w:ind w:left="2655" w:hanging="2655"/>
              <w:rPr>
                <w:rFonts w:eastAsia="Calibri" w:cstheme="minorHAnsi"/>
                <w:szCs w:val="23"/>
              </w:rPr>
            </w:pPr>
            <w:r w:rsidRPr="00F52884">
              <w:rPr>
                <w:rFonts w:eastAsia="Calibri" w:cstheme="minorHAnsi"/>
                <w:b/>
                <w:bCs/>
                <w:szCs w:val="23"/>
                <w:lang w:val="fr-CA"/>
              </w:rPr>
              <w:t xml:space="preserve">Type d’exception :     </w:t>
            </w:r>
          </w:p>
        </w:tc>
        <w:tc>
          <w:tcPr>
            <w:tcW w:w="7732" w:type="dxa"/>
            <w:tcBorders>
              <w:left w:val="nil"/>
            </w:tcBorders>
          </w:tcPr>
          <w:p w14:paraId="66F3F2AA" w14:textId="6F6E6E2B" w:rsidR="00B8348C" w:rsidRPr="00F52884" w:rsidRDefault="00B8348C" w:rsidP="00B8348C">
            <w:pPr>
              <w:spacing w:before="60" w:after="60" w:line="259" w:lineRule="auto"/>
              <w:rPr>
                <w:rFonts w:eastAsia="Calibri" w:cstheme="minorHAnsi"/>
                <w:szCs w:val="23"/>
                <w:lang w:val="fr-FR"/>
              </w:rPr>
            </w:pPr>
            <w:r w:rsidRPr="00F52884">
              <w:rPr>
                <w:rFonts w:eastAsia="Calibri" w:cstheme="minorHAnsi"/>
                <w:szCs w:val="23"/>
                <w:lang w:val="fr-CA"/>
              </w:rPr>
              <w:t>Article 201 (Traitement non discriminatoire), article 301 (Droit d’entrée et de sortie), article 307 (Accès aux marchés – Services) (seulement pour la CPC 31), article 312 (Accès aux marchés – Investissement), article 313 (Prescriptions de résultats)</w:t>
            </w:r>
          </w:p>
        </w:tc>
      </w:tr>
      <w:tr w:rsidR="00B8348C" w:rsidRPr="00F52884" w14:paraId="7B899473" w14:textId="77777777" w:rsidTr="00FA2285">
        <w:trPr>
          <w:gridBefore w:val="1"/>
          <w:gridAfter w:val="1"/>
          <w:wBefore w:w="90" w:type="dxa"/>
          <w:wAfter w:w="8" w:type="dxa"/>
          <w:trHeight w:val="42"/>
          <w:jc w:val="center"/>
        </w:trPr>
        <w:tc>
          <w:tcPr>
            <w:tcW w:w="10162"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29213F63"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F52884" w14:paraId="78488D24" w14:textId="77777777" w:rsidTr="00FA2285">
        <w:trPr>
          <w:gridBefore w:val="1"/>
          <w:gridAfter w:val="1"/>
          <w:wBefore w:w="90" w:type="dxa"/>
          <w:wAfter w:w="8" w:type="dxa"/>
          <w:trHeight w:val="273"/>
          <w:jc w:val="center"/>
        </w:trPr>
        <w:tc>
          <w:tcPr>
            <w:tcW w:w="10162" w:type="dxa"/>
            <w:gridSpan w:val="2"/>
            <w:tcBorders>
              <w:top w:val="single" w:sz="4" w:space="0" w:color="C0C0C0"/>
              <w:left w:val="single" w:sz="4" w:space="0" w:color="C0C0C0"/>
              <w:bottom w:val="single" w:sz="4" w:space="0" w:color="C0C0C0"/>
              <w:right w:val="single" w:sz="4" w:space="0" w:color="C0C0C0"/>
            </w:tcBorders>
          </w:tcPr>
          <w:p w14:paraId="6810F7A9" w14:textId="7A854D98"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rPr>
              <w:t>Forestry Act</w:t>
            </w:r>
            <w:r w:rsidRPr="00F52884">
              <w:rPr>
                <w:rFonts w:eastAsia="Calibri" w:cstheme="minorHAnsi"/>
                <w:szCs w:val="23"/>
              </w:rPr>
              <w:t>, RSNL 1990, c F-23</w:t>
            </w:r>
          </w:p>
          <w:p w14:paraId="6DFA0035" w14:textId="66FEC8A9"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Forest Protection Act</w:t>
            </w:r>
            <w:r w:rsidRPr="00F52884">
              <w:rPr>
                <w:rFonts w:eastAsia="Calibri" w:cstheme="minorHAnsi"/>
                <w:szCs w:val="23"/>
                <w:lang w:val="en-US"/>
              </w:rPr>
              <w:t>, RSNL 1990, c </w:t>
            </w:r>
            <w:r w:rsidRPr="00F52884">
              <w:rPr>
                <w:rFonts w:eastAsia="Calibri" w:cstheme="minorHAnsi"/>
                <w:szCs w:val="23"/>
              </w:rPr>
              <w:t>F-22</w:t>
            </w:r>
          </w:p>
          <w:p w14:paraId="2AE6EE16" w14:textId="5764F2C1" w:rsidR="00B8348C" w:rsidRPr="00B04E29" w:rsidRDefault="00B8348C" w:rsidP="000C25A3">
            <w:pPr>
              <w:spacing w:before="60" w:after="60" w:line="259" w:lineRule="auto"/>
              <w:rPr>
                <w:rFonts w:eastAsia="Calibri" w:cstheme="minorHAnsi"/>
                <w:szCs w:val="23"/>
              </w:rPr>
            </w:pPr>
            <w:r w:rsidRPr="00F52884">
              <w:rPr>
                <w:rFonts w:eastAsia="Calibri" w:cstheme="minorHAnsi"/>
                <w:i/>
                <w:iCs/>
                <w:szCs w:val="23"/>
                <w:lang w:val="en-US"/>
              </w:rPr>
              <w:t>Plant Protection Act</w:t>
            </w:r>
            <w:r w:rsidRPr="00F52884">
              <w:rPr>
                <w:rFonts w:eastAsia="Calibri" w:cstheme="minorHAnsi"/>
                <w:szCs w:val="23"/>
                <w:lang w:val="en-US"/>
              </w:rPr>
              <w:t>, RSNL 1990, c </w:t>
            </w:r>
            <w:r w:rsidRPr="00B04E29">
              <w:rPr>
                <w:rFonts w:eastAsia="Calibri" w:cstheme="minorHAnsi"/>
                <w:szCs w:val="23"/>
              </w:rPr>
              <w:t>P-16</w:t>
            </w:r>
          </w:p>
        </w:tc>
      </w:tr>
      <w:tr w:rsidR="00B8348C" w:rsidRPr="00F52884" w14:paraId="60E515B1" w14:textId="77777777" w:rsidTr="00FA2285">
        <w:trPr>
          <w:gridBefore w:val="1"/>
          <w:gridAfter w:val="1"/>
          <w:wBefore w:w="90" w:type="dxa"/>
          <w:wAfter w:w="8" w:type="dxa"/>
          <w:trHeight w:val="49"/>
          <w:jc w:val="center"/>
        </w:trPr>
        <w:tc>
          <w:tcPr>
            <w:tcW w:w="1016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25BA567"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68240F" w14:paraId="30D62A0D" w14:textId="77777777" w:rsidTr="00FA2285">
        <w:trPr>
          <w:gridBefore w:val="1"/>
          <w:gridAfter w:val="1"/>
          <w:wBefore w:w="90" w:type="dxa"/>
          <w:wAfter w:w="8" w:type="dxa"/>
          <w:trHeight w:val="66"/>
          <w:jc w:val="center"/>
        </w:trPr>
        <w:tc>
          <w:tcPr>
            <w:tcW w:w="10162" w:type="dxa"/>
            <w:gridSpan w:val="2"/>
            <w:tcBorders>
              <w:top w:val="single" w:sz="4" w:space="0" w:color="C0C0C0"/>
              <w:left w:val="single" w:sz="4" w:space="0" w:color="C0C0C0"/>
              <w:bottom w:val="single" w:sz="4" w:space="0" w:color="C0C0C0"/>
              <w:right w:val="single" w:sz="4" w:space="0" w:color="C0C0C0"/>
            </w:tcBorders>
          </w:tcPr>
          <w:p w14:paraId="4F7E06C2" w14:textId="75A3B5A9" w:rsidR="00B8348C" w:rsidRPr="00F52884" w:rsidRDefault="00B8348C" w:rsidP="00B8348C">
            <w:pPr>
              <w:spacing w:before="60" w:after="60" w:line="259" w:lineRule="auto"/>
              <w:rPr>
                <w:rFonts w:eastAsia="Calibri" w:cstheme="minorHAnsi"/>
                <w:szCs w:val="23"/>
                <w:lang w:val="fr-FR"/>
              </w:rPr>
            </w:pPr>
            <w:r w:rsidRPr="00F52884">
              <w:rPr>
                <w:rFonts w:eastAsia="Calibri" w:cstheme="minorHAnsi"/>
                <w:szCs w:val="23"/>
                <w:lang w:val="fr-CA"/>
              </w:rPr>
              <w:t>Les mesures susmentionnées permettent au gouvernement de Terre-Neuve-et-Labrador de réglementer et d’accorder diverses autorisations à l’égard de la production, l’extraction et la mise en valeur des ressources forestières et des produits connexes dans la province. Sans restreindre la portée générale de ce qui précède, ces mesures peuvent supposer la prise de décisions discrétionnaires fondées sur divers facteurs, l’imposition de restrictions quant à l’accès aux marchés, l’imposition de prescriptions de résultats ou la discrimination en faveur de résidents de Terre-Neuve-et-Labrador ou d’entités établies selon la législation du Canada ou d’une province ou d’un territoire du Canada qui ont un lieu d’affaires à Terre-Neuve-et-Labrador et y effectuent des opérations substantielles.</w:t>
            </w:r>
          </w:p>
        </w:tc>
      </w:tr>
    </w:tbl>
    <w:p w14:paraId="23180BF1" w14:textId="77777777" w:rsidR="00B8348C" w:rsidRPr="00F52884" w:rsidRDefault="00B8348C" w:rsidP="000C25A3">
      <w:pPr>
        <w:spacing w:line="259" w:lineRule="auto"/>
        <w:rPr>
          <w:rFonts w:eastAsia="Calibri" w:cstheme="minorHAnsi"/>
          <w:b/>
          <w:szCs w:val="23"/>
          <w:lang w:val="fr-FR"/>
        </w:rPr>
      </w:pPr>
    </w:p>
    <w:p w14:paraId="6C8EE082" w14:textId="77777777" w:rsidR="00B8348C" w:rsidRPr="00F52884" w:rsidRDefault="00B8348C" w:rsidP="000C25A3">
      <w:pPr>
        <w:spacing w:line="259" w:lineRule="auto"/>
        <w:rPr>
          <w:rFonts w:eastAsia="Calibri" w:cstheme="minorHAnsi"/>
          <w:b/>
          <w:szCs w:val="23"/>
          <w:lang w:val="fr-FR"/>
        </w:rPr>
      </w:pPr>
    </w:p>
    <w:p w14:paraId="4047D1C3" w14:textId="5948B842" w:rsidR="00B8348C" w:rsidRPr="00F52884" w:rsidRDefault="00B8348C" w:rsidP="00167455">
      <w:pPr>
        <w:spacing w:before="60" w:after="60"/>
        <w:ind w:left="-360"/>
        <w:rPr>
          <w:rFonts w:cstheme="minorHAnsi"/>
          <w:b/>
          <w:caps/>
          <w:szCs w:val="23"/>
        </w:rPr>
      </w:pPr>
      <w:r w:rsidRPr="00F52884">
        <w:rPr>
          <w:rFonts w:cstheme="minorHAnsi"/>
          <w:b/>
          <w:bCs/>
          <w:caps/>
          <w:szCs w:val="23"/>
          <w:lang w:val="fr-CA"/>
        </w:rPr>
        <w:t xml:space="preserve">3. </w:t>
      </w:r>
      <w:r w:rsidR="00167455" w:rsidRPr="00F52884">
        <w:rPr>
          <w:rFonts w:cstheme="minorHAnsi"/>
          <w:b/>
          <w:bCs/>
          <w:caps/>
          <w:szCs w:val="23"/>
          <w:lang w:val="fr-CA"/>
        </w:rPr>
        <w:t xml:space="preserve"> </w:t>
      </w:r>
      <w:r w:rsidRPr="00F52884">
        <w:rPr>
          <w:rFonts w:cstheme="minorHAnsi"/>
          <w:b/>
          <w:bCs/>
          <w:caps/>
          <w:szCs w:val="23"/>
          <w:lang w:val="fr-CA"/>
        </w:rPr>
        <w:t>Terre-Neuve-et-Labrador</w:t>
      </w:r>
    </w:p>
    <w:tbl>
      <w:tblPr>
        <w:tblW w:w="1026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7732"/>
        <w:gridCol w:w="8"/>
      </w:tblGrid>
      <w:tr w:rsidR="00B8348C" w:rsidRPr="00F52884" w14:paraId="71C4DE5F" w14:textId="77777777" w:rsidTr="00FA2285">
        <w:trPr>
          <w:gridAfter w:val="1"/>
          <w:wAfter w:w="8"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1E470D78"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lastRenderedPageBreak/>
              <w:t>Secteur :</w:t>
            </w:r>
          </w:p>
        </w:tc>
        <w:tc>
          <w:tcPr>
            <w:tcW w:w="7732" w:type="dxa"/>
            <w:tcBorders>
              <w:top w:val="single" w:sz="4" w:space="0" w:color="C0C0C0"/>
              <w:left w:val="single" w:sz="4" w:space="0" w:color="FFFFFF"/>
              <w:bottom w:val="single" w:sz="4" w:space="0" w:color="C0C0C0"/>
              <w:right w:val="nil"/>
            </w:tcBorders>
            <w:vAlign w:val="center"/>
          </w:tcPr>
          <w:p w14:paraId="26DC7017"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Agriculture</w:t>
            </w:r>
          </w:p>
        </w:tc>
      </w:tr>
      <w:tr w:rsidR="00B8348C" w:rsidRPr="00F52884" w14:paraId="089E87E1" w14:textId="77777777" w:rsidTr="00FA2285">
        <w:trPr>
          <w:gridAfter w:val="1"/>
          <w:wAfter w:w="8" w:type="dxa"/>
          <w:trHeight w:val="246"/>
          <w:jc w:val="center"/>
        </w:trPr>
        <w:tc>
          <w:tcPr>
            <w:tcW w:w="2520" w:type="dxa"/>
            <w:tcBorders>
              <w:top w:val="single" w:sz="4" w:space="0" w:color="C0C0C0"/>
              <w:left w:val="nil"/>
              <w:bottom w:val="single" w:sz="4" w:space="0" w:color="C0C0C0"/>
              <w:right w:val="single" w:sz="4" w:space="0" w:color="FFFFFF"/>
            </w:tcBorders>
            <w:vAlign w:val="center"/>
          </w:tcPr>
          <w:p w14:paraId="2893CF4F"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32" w:type="dxa"/>
            <w:tcBorders>
              <w:top w:val="single" w:sz="4" w:space="0" w:color="C0C0C0"/>
              <w:left w:val="single" w:sz="4" w:space="0" w:color="FFFFFF"/>
              <w:bottom w:val="single" w:sz="4" w:space="0" w:color="C0C0C0"/>
              <w:right w:val="nil"/>
            </w:tcBorders>
            <w:vAlign w:val="center"/>
          </w:tcPr>
          <w:p w14:paraId="4984D9A6" w14:textId="77777777" w:rsidR="00B8348C" w:rsidRPr="00F52884" w:rsidRDefault="00B8348C" w:rsidP="000C25A3">
            <w:pPr>
              <w:spacing w:before="60" w:after="60" w:line="259" w:lineRule="auto"/>
              <w:rPr>
                <w:rFonts w:eastAsia="Calibri" w:cstheme="minorHAnsi"/>
                <w:szCs w:val="23"/>
              </w:rPr>
            </w:pPr>
          </w:p>
        </w:tc>
      </w:tr>
      <w:tr w:rsidR="00B8348C" w:rsidRPr="0068240F" w14:paraId="58AF8BA7"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44CF7CA8"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b/>
                <w:bCs/>
                <w:szCs w:val="23"/>
                <w:lang w:val="fr-CA"/>
              </w:rPr>
              <w:t xml:space="preserve">Classification de l’industrie : </w:t>
            </w:r>
          </w:p>
        </w:tc>
        <w:tc>
          <w:tcPr>
            <w:tcW w:w="7740" w:type="dxa"/>
            <w:gridSpan w:val="2"/>
            <w:tcBorders>
              <w:top w:val="single" w:sz="4" w:space="0" w:color="C0C0C0"/>
              <w:left w:val="single" w:sz="4" w:space="0" w:color="FFFFFF"/>
              <w:bottom w:val="single" w:sz="4" w:space="0" w:color="C0C0C0"/>
              <w:right w:val="nil"/>
            </w:tcBorders>
            <w:vAlign w:val="center"/>
          </w:tcPr>
          <w:p w14:paraId="66EE2287" w14:textId="77777777" w:rsidR="00B8348C" w:rsidRPr="00F52884" w:rsidRDefault="00B8348C" w:rsidP="000C25A3">
            <w:pPr>
              <w:spacing w:before="60" w:after="60" w:line="259" w:lineRule="auto"/>
              <w:ind w:left="4"/>
              <w:rPr>
                <w:rFonts w:eastAsia="Calibri" w:cstheme="minorHAnsi"/>
                <w:szCs w:val="23"/>
                <w:lang w:val="fr-FR"/>
              </w:rPr>
            </w:pPr>
            <w:r w:rsidRPr="00F52884">
              <w:rPr>
                <w:rFonts w:eastAsia="Calibri" w:cstheme="minorHAnsi"/>
                <w:szCs w:val="23"/>
                <w:lang w:val="fr-CA"/>
              </w:rPr>
              <w:t>CPC 01, 021, 029, 04, 21, 22, 6221, 62224, 881 (sauf la location d’équipement agricole, avec opérateur, et 8814), 882</w:t>
            </w:r>
          </w:p>
        </w:tc>
      </w:tr>
      <w:tr w:rsidR="00B8348C" w:rsidRPr="0068240F" w14:paraId="0EF943E1" w14:textId="77777777" w:rsidTr="00FA2285">
        <w:trPr>
          <w:gridAfter w:val="1"/>
          <w:wAfter w:w="8" w:type="dxa"/>
          <w:trHeight w:val="42"/>
          <w:jc w:val="center"/>
        </w:trPr>
        <w:tc>
          <w:tcPr>
            <w:tcW w:w="2520" w:type="dxa"/>
            <w:tcBorders>
              <w:left w:val="nil"/>
            </w:tcBorders>
          </w:tcPr>
          <w:p w14:paraId="618D741C" w14:textId="247D0012" w:rsidR="00B8348C" w:rsidRPr="00F52884" w:rsidRDefault="00B8348C" w:rsidP="000C25A3">
            <w:pPr>
              <w:spacing w:before="60" w:after="60" w:line="259" w:lineRule="auto"/>
              <w:ind w:left="2655" w:hanging="2655"/>
              <w:rPr>
                <w:rFonts w:eastAsia="Times New Roman" w:cstheme="minorHAnsi"/>
                <w:szCs w:val="23"/>
              </w:rPr>
            </w:pPr>
            <w:r w:rsidRPr="00F52884">
              <w:rPr>
                <w:rFonts w:eastAsia="Times New Roman" w:cstheme="minorHAnsi"/>
                <w:b/>
                <w:bCs/>
                <w:szCs w:val="23"/>
                <w:lang w:val="fr-CA"/>
              </w:rPr>
              <w:t>Type d’exception :</w:t>
            </w:r>
          </w:p>
        </w:tc>
        <w:tc>
          <w:tcPr>
            <w:tcW w:w="7732" w:type="dxa"/>
            <w:tcBorders>
              <w:left w:val="nil"/>
            </w:tcBorders>
          </w:tcPr>
          <w:p w14:paraId="0AAC4C56" w14:textId="5169BCEC" w:rsidR="00B8348C" w:rsidRPr="00F52884" w:rsidRDefault="00B8348C" w:rsidP="000C25A3">
            <w:pPr>
              <w:spacing w:before="60" w:after="60" w:line="259" w:lineRule="auto"/>
              <w:rPr>
                <w:rFonts w:eastAsia="Times New Roman" w:cstheme="minorHAnsi"/>
                <w:szCs w:val="23"/>
                <w:lang w:val="fr-FR"/>
              </w:rPr>
            </w:pPr>
            <w:r w:rsidRPr="00F52884">
              <w:rPr>
                <w:rFonts w:eastAsia="Times New Roman" w:cstheme="minorHAnsi"/>
                <w:szCs w:val="23"/>
                <w:lang w:val="fr-CA"/>
              </w:rPr>
              <w:t>Article 201 (Traitement non discriminatoire), article 313 (Prescriptions de résultats)</w:t>
            </w:r>
          </w:p>
        </w:tc>
      </w:tr>
      <w:tr w:rsidR="00B8348C" w:rsidRPr="00F52884" w14:paraId="2633F04E" w14:textId="77777777" w:rsidTr="00FA2285">
        <w:trPr>
          <w:gridAfter w:val="1"/>
          <w:wAfter w:w="8" w:type="dxa"/>
          <w:trHeight w:val="42"/>
          <w:jc w:val="center"/>
        </w:trPr>
        <w:tc>
          <w:tcPr>
            <w:tcW w:w="10252"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0BADD0E7"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E865FA9" w14:textId="77777777" w:rsidTr="00FA2285">
        <w:trPr>
          <w:gridAfter w:val="1"/>
          <w:wAfter w:w="8" w:type="dxa"/>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3196B7A1" w14:textId="60817BB4" w:rsidR="00B8348C" w:rsidRPr="00F52884" w:rsidRDefault="00B8348C" w:rsidP="000C25A3">
            <w:pPr>
              <w:tabs>
                <w:tab w:val="num" w:pos="29"/>
              </w:tabs>
              <w:spacing w:before="60" w:after="60" w:line="259" w:lineRule="auto"/>
              <w:rPr>
                <w:rFonts w:eastAsia="Calibri" w:cstheme="minorHAnsi"/>
                <w:szCs w:val="23"/>
              </w:rPr>
            </w:pPr>
            <w:r w:rsidRPr="00F52884">
              <w:rPr>
                <w:rFonts w:eastAsia="Calibri" w:cstheme="minorHAnsi"/>
                <w:i/>
                <w:iCs/>
                <w:szCs w:val="23"/>
              </w:rPr>
              <w:t>Farm Products Corporation Act</w:t>
            </w:r>
            <w:r w:rsidRPr="00F52884">
              <w:rPr>
                <w:rFonts w:eastAsia="Calibri" w:cstheme="minorHAnsi"/>
                <w:szCs w:val="23"/>
              </w:rPr>
              <w:t>, RSNL 1990, c F-5</w:t>
            </w:r>
          </w:p>
          <w:p w14:paraId="7E0F666A" w14:textId="62739DA7" w:rsidR="00B8348C" w:rsidRPr="00F52884" w:rsidRDefault="00B8348C" w:rsidP="000C25A3">
            <w:pPr>
              <w:tabs>
                <w:tab w:val="num" w:pos="29"/>
              </w:tabs>
              <w:spacing w:before="60" w:after="60" w:line="259" w:lineRule="auto"/>
              <w:rPr>
                <w:rFonts w:eastAsia="Calibri" w:cstheme="minorHAnsi"/>
                <w:szCs w:val="23"/>
              </w:rPr>
            </w:pPr>
            <w:r w:rsidRPr="00F52884">
              <w:rPr>
                <w:rFonts w:eastAsia="Calibri" w:cstheme="minorHAnsi"/>
                <w:i/>
                <w:iCs/>
                <w:szCs w:val="23"/>
                <w:lang w:val="en-US"/>
              </w:rPr>
              <w:t>Natural Products Marketing Act</w:t>
            </w:r>
            <w:r w:rsidRPr="00F52884">
              <w:rPr>
                <w:rFonts w:eastAsia="Calibri" w:cstheme="minorHAnsi"/>
                <w:szCs w:val="23"/>
                <w:lang w:val="en-US"/>
              </w:rPr>
              <w:t>, RSNL 1990, c </w:t>
            </w:r>
            <w:r w:rsidRPr="00F52884">
              <w:rPr>
                <w:rFonts w:eastAsia="Calibri" w:cstheme="minorHAnsi"/>
                <w:szCs w:val="23"/>
              </w:rPr>
              <w:t>N-2</w:t>
            </w:r>
          </w:p>
          <w:p w14:paraId="2FD8E2ED" w14:textId="0873F3C7" w:rsidR="00B8348C" w:rsidRPr="00B04E29" w:rsidRDefault="00B8348C" w:rsidP="000C25A3">
            <w:pPr>
              <w:spacing w:before="60" w:after="60" w:line="259" w:lineRule="auto"/>
              <w:rPr>
                <w:rFonts w:eastAsia="Calibri" w:cstheme="minorHAnsi"/>
                <w:szCs w:val="23"/>
              </w:rPr>
            </w:pPr>
            <w:r w:rsidRPr="00F52884">
              <w:rPr>
                <w:rFonts w:eastAsia="Calibri" w:cstheme="minorHAnsi"/>
                <w:i/>
                <w:iCs/>
                <w:szCs w:val="23"/>
                <w:lang w:val="en-US"/>
              </w:rPr>
              <w:t>Poultry and Poultry Products Act</w:t>
            </w:r>
            <w:r w:rsidRPr="00F52884">
              <w:rPr>
                <w:rFonts w:eastAsia="Calibri" w:cstheme="minorHAnsi"/>
                <w:szCs w:val="23"/>
                <w:lang w:val="en-US"/>
              </w:rPr>
              <w:t>, RSNL 1990, c </w:t>
            </w:r>
            <w:r w:rsidRPr="00B04E29">
              <w:rPr>
                <w:rFonts w:eastAsia="Calibri" w:cstheme="minorHAnsi"/>
                <w:szCs w:val="23"/>
              </w:rPr>
              <w:t>P-18</w:t>
            </w:r>
          </w:p>
        </w:tc>
      </w:tr>
      <w:tr w:rsidR="00B8348C" w:rsidRPr="00F52884" w14:paraId="3EE6E3BD" w14:textId="77777777" w:rsidTr="00FA2285">
        <w:trPr>
          <w:gridAfter w:val="1"/>
          <w:wAfter w:w="8" w:type="dxa"/>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410ADC2"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68240F" w14:paraId="48D015F4" w14:textId="77777777" w:rsidTr="00FA2285">
        <w:trPr>
          <w:gridAfter w:val="1"/>
          <w:wAfter w:w="8" w:type="dxa"/>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3ABB91AB" w14:textId="573C8162" w:rsidR="00B8348C" w:rsidRPr="00F52884" w:rsidRDefault="00B8348C" w:rsidP="00B8348C">
            <w:pPr>
              <w:spacing w:before="60" w:after="60" w:line="259" w:lineRule="auto"/>
              <w:rPr>
                <w:rFonts w:eastAsia="Calibri" w:cstheme="minorHAnsi"/>
                <w:szCs w:val="23"/>
                <w:lang w:val="fr-FR"/>
              </w:rPr>
            </w:pPr>
            <w:r w:rsidRPr="00F52884">
              <w:rPr>
                <w:rFonts w:eastAsia="Calibri" w:cstheme="minorHAnsi"/>
                <w:szCs w:val="23"/>
                <w:lang w:val="fr-CA"/>
              </w:rPr>
              <w:t>Les mesures susmentionnées permettent au gouvernement de Terre-Neuve-et-Labrador de réglementer et d’accorder diverses autorisations à l’égard de la production et la commercialisation des produits agricoles et alimentaires ainsi que la commercialisation des produits de poissons et des fourrures d’animaux sauvages dans la province. Sans restreindre la portée générale de ce qui précède, ces mesures peuvent supposer la prise de décisions discrétionnaires fondées sur divers facteurs, l’imposition de prescriptions de résultats ou la discrimination en faveur de résidents de Terre-Neuve-et-Labrador ou d’entités établies selon les lois du Canada ou d’une province ou d’un territoire du Canada qui ont un lieu d’affaires à Terre-Neuve-et-Labrador et y effectuent des opérations substantielles.</w:t>
            </w:r>
          </w:p>
        </w:tc>
      </w:tr>
    </w:tbl>
    <w:p w14:paraId="71E6FA65" w14:textId="77777777" w:rsidR="00B8348C" w:rsidRPr="00F52884" w:rsidRDefault="00B8348C" w:rsidP="000C25A3">
      <w:pPr>
        <w:spacing w:line="259" w:lineRule="auto"/>
        <w:rPr>
          <w:rFonts w:eastAsia="Calibri" w:cstheme="minorHAnsi"/>
          <w:b/>
          <w:szCs w:val="23"/>
          <w:lang w:val="fr-FR"/>
        </w:rPr>
      </w:pPr>
    </w:p>
    <w:p w14:paraId="4520DCD7" w14:textId="77777777" w:rsidR="00B8348C" w:rsidRPr="00F52884" w:rsidRDefault="00B8348C" w:rsidP="000C25A3">
      <w:pPr>
        <w:spacing w:line="259" w:lineRule="auto"/>
        <w:rPr>
          <w:rFonts w:eastAsia="Calibri" w:cstheme="minorHAnsi"/>
          <w:b/>
          <w:szCs w:val="23"/>
          <w:lang w:val="fr-FR"/>
        </w:rPr>
      </w:pPr>
    </w:p>
    <w:p w14:paraId="18C51088" w14:textId="0B4E6758" w:rsidR="00B8348C" w:rsidRPr="00F52884" w:rsidRDefault="00B8348C" w:rsidP="00167455">
      <w:pPr>
        <w:spacing w:before="60" w:afterLines="60" w:after="144"/>
        <w:ind w:left="-360"/>
        <w:rPr>
          <w:rFonts w:cstheme="minorHAnsi"/>
          <w:b/>
          <w:caps/>
          <w:szCs w:val="23"/>
        </w:rPr>
      </w:pPr>
      <w:r w:rsidRPr="00F52884">
        <w:rPr>
          <w:rFonts w:cstheme="minorHAnsi"/>
          <w:b/>
          <w:bCs/>
          <w:caps/>
          <w:szCs w:val="23"/>
          <w:lang w:val="fr-CA"/>
        </w:rPr>
        <w:t xml:space="preserve">4. </w:t>
      </w:r>
      <w:r w:rsidR="00167455" w:rsidRPr="00F52884">
        <w:rPr>
          <w:rFonts w:cstheme="minorHAnsi"/>
          <w:b/>
          <w:bCs/>
          <w:caps/>
          <w:szCs w:val="23"/>
          <w:lang w:val="fr-CA"/>
        </w:rPr>
        <w:t xml:space="preserve"> </w:t>
      </w:r>
      <w:r w:rsidRPr="00F52884">
        <w:rPr>
          <w:rFonts w:cstheme="minorHAnsi"/>
          <w:b/>
          <w:bCs/>
          <w:caps/>
          <w:szCs w:val="23"/>
          <w:lang w:val="fr-CA"/>
        </w:rPr>
        <w:t>Terre-Neuve-et-Labrador</w:t>
      </w:r>
    </w:p>
    <w:tbl>
      <w:tblPr>
        <w:tblW w:w="1026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7732"/>
        <w:gridCol w:w="8"/>
      </w:tblGrid>
      <w:tr w:rsidR="00B8348C" w:rsidRPr="00F52884" w14:paraId="10CEF39E" w14:textId="77777777" w:rsidTr="00FA2285">
        <w:trPr>
          <w:gridAfter w:val="1"/>
          <w:wAfter w:w="8"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5B17DE83" w14:textId="77777777" w:rsidR="00B8348C" w:rsidRPr="00F52884" w:rsidRDefault="00B8348C" w:rsidP="000C25A3">
            <w:pPr>
              <w:spacing w:before="60" w:afterLines="60" w:after="144" w:line="259" w:lineRule="auto"/>
              <w:rPr>
                <w:rFonts w:eastAsia="Calibri" w:cstheme="minorHAnsi"/>
                <w:b/>
                <w:szCs w:val="23"/>
              </w:rPr>
            </w:pPr>
            <w:r w:rsidRPr="00F52884">
              <w:rPr>
                <w:rFonts w:eastAsia="Calibri" w:cstheme="minorHAnsi"/>
                <w:szCs w:val="23"/>
                <w:lang w:val="fr-CA"/>
              </w:rPr>
              <w:br w:type="page"/>
            </w:r>
            <w:r w:rsidRPr="00F52884">
              <w:rPr>
                <w:rFonts w:eastAsia="Calibri" w:cstheme="minorHAnsi"/>
                <w:b/>
                <w:bCs/>
                <w:szCs w:val="23"/>
                <w:lang w:val="fr-CA"/>
              </w:rPr>
              <w:t>Secteur :</w:t>
            </w:r>
          </w:p>
        </w:tc>
        <w:tc>
          <w:tcPr>
            <w:tcW w:w="7732" w:type="dxa"/>
            <w:tcBorders>
              <w:top w:val="single" w:sz="4" w:space="0" w:color="C0C0C0"/>
              <w:left w:val="single" w:sz="4" w:space="0" w:color="FFFFFF"/>
              <w:bottom w:val="single" w:sz="4" w:space="0" w:color="C0C0C0"/>
              <w:right w:val="nil"/>
            </w:tcBorders>
            <w:vAlign w:val="center"/>
          </w:tcPr>
          <w:p w14:paraId="3DC02EC4" w14:textId="77777777" w:rsidR="00B8348C" w:rsidRPr="00F52884" w:rsidRDefault="00B8348C" w:rsidP="000C25A3">
            <w:pPr>
              <w:spacing w:before="60" w:afterLines="60" w:after="144" w:line="259" w:lineRule="auto"/>
              <w:rPr>
                <w:rFonts w:eastAsia="Calibri" w:cstheme="minorHAnsi"/>
                <w:szCs w:val="23"/>
              </w:rPr>
            </w:pPr>
            <w:r w:rsidRPr="00F52884">
              <w:rPr>
                <w:rFonts w:eastAsia="Calibri" w:cstheme="minorHAnsi"/>
                <w:szCs w:val="23"/>
                <w:lang w:val="fr-CA"/>
              </w:rPr>
              <w:t>Pêches</w:t>
            </w:r>
          </w:p>
        </w:tc>
      </w:tr>
      <w:tr w:rsidR="00B8348C" w:rsidRPr="0068240F" w14:paraId="28389B56" w14:textId="77777777" w:rsidTr="00FA2285">
        <w:trPr>
          <w:gridAfter w:val="1"/>
          <w:wAfter w:w="8" w:type="dxa"/>
          <w:trHeight w:val="246"/>
          <w:jc w:val="center"/>
        </w:trPr>
        <w:tc>
          <w:tcPr>
            <w:tcW w:w="2520" w:type="dxa"/>
            <w:tcBorders>
              <w:top w:val="single" w:sz="4" w:space="0" w:color="C0C0C0"/>
              <w:left w:val="nil"/>
              <w:bottom w:val="single" w:sz="4" w:space="0" w:color="C0C0C0"/>
              <w:right w:val="single" w:sz="4" w:space="0" w:color="FFFFFF"/>
            </w:tcBorders>
            <w:vAlign w:val="center"/>
          </w:tcPr>
          <w:p w14:paraId="6E64A2C7" w14:textId="77777777" w:rsidR="00B8348C" w:rsidRPr="00F52884" w:rsidRDefault="00B8348C" w:rsidP="000C25A3">
            <w:pPr>
              <w:spacing w:before="60" w:afterLines="60" w:after="144" w:line="259" w:lineRule="auto"/>
              <w:rPr>
                <w:rFonts w:eastAsia="Calibri" w:cstheme="minorHAnsi"/>
                <w:b/>
                <w:szCs w:val="23"/>
              </w:rPr>
            </w:pPr>
            <w:r w:rsidRPr="00F52884">
              <w:rPr>
                <w:rFonts w:eastAsia="Calibri" w:cstheme="minorHAnsi"/>
                <w:b/>
                <w:bCs/>
                <w:szCs w:val="23"/>
                <w:lang w:val="fr-CA"/>
              </w:rPr>
              <w:t>Sous-secteur :</w:t>
            </w:r>
          </w:p>
        </w:tc>
        <w:tc>
          <w:tcPr>
            <w:tcW w:w="7732" w:type="dxa"/>
            <w:tcBorders>
              <w:top w:val="single" w:sz="4" w:space="0" w:color="C0C0C0"/>
              <w:left w:val="single" w:sz="4" w:space="0" w:color="FFFFFF"/>
              <w:bottom w:val="single" w:sz="4" w:space="0" w:color="C0C0C0"/>
              <w:right w:val="nil"/>
            </w:tcBorders>
            <w:vAlign w:val="center"/>
          </w:tcPr>
          <w:p w14:paraId="25C596D8" w14:textId="77777777" w:rsidR="00B8348C" w:rsidRPr="00F52884" w:rsidRDefault="00B8348C" w:rsidP="000C25A3">
            <w:pPr>
              <w:spacing w:before="60" w:afterLines="60" w:after="144" w:line="259" w:lineRule="auto"/>
              <w:rPr>
                <w:rFonts w:eastAsia="Calibri" w:cstheme="minorHAnsi"/>
                <w:szCs w:val="23"/>
                <w:lang w:val="fr-FR"/>
              </w:rPr>
            </w:pPr>
            <w:r w:rsidRPr="00F52884">
              <w:rPr>
                <w:rFonts w:eastAsia="Calibri" w:cstheme="minorHAnsi"/>
                <w:szCs w:val="23"/>
                <w:lang w:val="fr-CA"/>
              </w:rPr>
              <w:t>Poissons et autres produits de la pêche; préparations et conserves de poissons; services de commerce de gros de produits de la pêche; services annexes à la pêche.</w:t>
            </w:r>
          </w:p>
        </w:tc>
      </w:tr>
      <w:tr w:rsidR="00B8348C" w:rsidRPr="00F52884" w14:paraId="4182BA26"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1EABF4EE" w14:textId="77777777" w:rsidR="00B8348C" w:rsidRPr="00F52884" w:rsidRDefault="00B8348C" w:rsidP="000C25A3">
            <w:pPr>
              <w:spacing w:before="60" w:afterLines="60" w:after="144" w:line="259" w:lineRule="auto"/>
              <w:rPr>
                <w:rFonts w:eastAsia="Calibri" w:cstheme="minorHAnsi"/>
                <w:szCs w:val="23"/>
              </w:rPr>
            </w:pPr>
            <w:r w:rsidRPr="00F52884">
              <w:rPr>
                <w:rFonts w:eastAsia="Calibri" w:cstheme="minorHAnsi"/>
                <w:b/>
                <w:bCs/>
                <w:szCs w:val="23"/>
                <w:lang w:val="fr-CA"/>
              </w:rPr>
              <w:t xml:space="preserve">Classification de l’industrie : </w:t>
            </w:r>
          </w:p>
        </w:tc>
        <w:tc>
          <w:tcPr>
            <w:tcW w:w="7740" w:type="dxa"/>
            <w:gridSpan w:val="2"/>
            <w:tcBorders>
              <w:top w:val="single" w:sz="4" w:space="0" w:color="C0C0C0"/>
              <w:left w:val="single" w:sz="4" w:space="0" w:color="FFFFFF"/>
              <w:bottom w:val="single" w:sz="4" w:space="0" w:color="C0C0C0"/>
              <w:right w:val="nil"/>
            </w:tcBorders>
            <w:vAlign w:val="center"/>
          </w:tcPr>
          <w:p w14:paraId="45E01B43" w14:textId="77777777" w:rsidR="00B8348C" w:rsidRPr="00F52884" w:rsidRDefault="00B8348C" w:rsidP="000C25A3">
            <w:pPr>
              <w:spacing w:before="60" w:afterLines="60" w:after="144" w:line="259" w:lineRule="auto"/>
              <w:ind w:left="4"/>
              <w:rPr>
                <w:rFonts w:eastAsia="Calibri" w:cstheme="minorHAnsi"/>
                <w:szCs w:val="23"/>
              </w:rPr>
            </w:pPr>
            <w:r w:rsidRPr="00F52884">
              <w:rPr>
                <w:rFonts w:eastAsia="Calibri" w:cstheme="minorHAnsi"/>
                <w:szCs w:val="23"/>
                <w:lang w:val="fr-CA"/>
              </w:rPr>
              <w:t>CPC 04, 212, 62224, 882</w:t>
            </w:r>
          </w:p>
        </w:tc>
      </w:tr>
      <w:tr w:rsidR="00B8348C" w:rsidRPr="00F52884" w14:paraId="4359CE5B" w14:textId="77777777" w:rsidTr="00FA2285">
        <w:trPr>
          <w:gridAfter w:val="1"/>
          <w:wAfter w:w="8" w:type="dxa"/>
          <w:trHeight w:val="42"/>
          <w:jc w:val="center"/>
        </w:trPr>
        <w:tc>
          <w:tcPr>
            <w:tcW w:w="2520" w:type="dxa"/>
            <w:tcBorders>
              <w:left w:val="nil"/>
            </w:tcBorders>
          </w:tcPr>
          <w:p w14:paraId="4F2C115B" w14:textId="473C688A" w:rsidR="00B8348C" w:rsidRPr="00F52884" w:rsidRDefault="00B8348C" w:rsidP="000C25A3">
            <w:pPr>
              <w:spacing w:before="60" w:afterLines="60" w:after="144" w:line="259" w:lineRule="auto"/>
              <w:ind w:left="2655" w:hanging="2655"/>
              <w:rPr>
                <w:rFonts w:eastAsia="Calibri" w:cstheme="minorHAnsi"/>
                <w:szCs w:val="23"/>
              </w:rPr>
            </w:pPr>
            <w:r w:rsidRPr="00F52884">
              <w:rPr>
                <w:rFonts w:eastAsia="Calibri" w:cstheme="minorHAnsi"/>
                <w:b/>
                <w:bCs/>
                <w:szCs w:val="23"/>
                <w:lang w:val="fr-CA"/>
              </w:rPr>
              <w:t>Type d’exception :</w:t>
            </w:r>
            <w:r w:rsidRPr="00F52884">
              <w:rPr>
                <w:rFonts w:eastAsia="Calibri" w:cstheme="minorHAnsi"/>
                <w:szCs w:val="23"/>
                <w:lang w:val="fr-CA"/>
              </w:rPr>
              <w:t xml:space="preserve">        </w:t>
            </w:r>
          </w:p>
        </w:tc>
        <w:tc>
          <w:tcPr>
            <w:tcW w:w="7732" w:type="dxa"/>
            <w:tcBorders>
              <w:left w:val="nil"/>
            </w:tcBorders>
          </w:tcPr>
          <w:p w14:paraId="68A2A9D2" w14:textId="77777777" w:rsidR="00B8348C" w:rsidRPr="00F52884" w:rsidRDefault="00B8348C" w:rsidP="000C25A3">
            <w:pPr>
              <w:spacing w:before="60" w:afterLines="60" w:after="144" w:line="259" w:lineRule="auto"/>
              <w:ind w:left="2655" w:hanging="2655"/>
              <w:rPr>
                <w:rFonts w:eastAsia="Calibri" w:cstheme="minorHAnsi"/>
                <w:szCs w:val="23"/>
              </w:rPr>
            </w:pPr>
            <w:r w:rsidRPr="00F52884">
              <w:rPr>
                <w:rFonts w:eastAsia="Calibri" w:cstheme="minorHAnsi"/>
                <w:szCs w:val="23"/>
                <w:lang w:val="fr-CA"/>
              </w:rPr>
              <w:t>Article 313 (Prescriptions de résultats)</w:t>
            </w:r>
          </w:p>
        </w:tc>
      </w:tr>
      <w:tr w:rsidR="00B8348C" w:rsidRPr="00F52884" w14:paraId="435BECE4" w14:textId="77777777" w:rsidTr="00FA2285">
        <w:trPr>
          <w:gridAfter w:val="1"/>
          <w:wAfter w:w="8" w:type="dxa"/>
          <w:trHeight w:val="42"/>
          <w:jc w:val="center"/>
        </w:trPr>
        <w:tc>
          <w:tcPr>
            <w:tcW w:w="10252"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674E5691" w14:textId="77777777" w:rsidR="00B8348C" w:rsidRPr="00F52884" w:rsidRDefault="00B8348C" w:rsidP="000C25A3">
            <w:pPr>
              <w:spacing w:before="60" w:afterLines="60" w:after="144"/>
              <w:rPr>
                <w:rFonts w:cstheme="minorHAnsi"/>
                <w:b/>
                <w:szCs w:val="23"/>
              </w:rPr>
            </w:pPr>
            <w:r w:rsidRPr="00F52884">
              <w:rPr>
                <w:rFonts w:cstheme="minorHAnsi"/>
                <w:b/>
                <w:bCs/>
                <w:szCs w:val="23"/>
                <w:lang w:val="fr-CA"/>
              </w:rPr>
              <w:t>Mesures :</w:t>
            </w:r>
          </w:p>
        </w:tc>
      </w:tr>
      <w:tr w:rsidR="00B8348C" w:rsidRPr="00F52884" w14:paraId="37D7A679" w14:textId="77777777" w:rsidTr="00FA2285">
        <w:trPr>
          <w:gridAfter w:val="1"/>
          <w:wAfter w:w="8" w:type="dxa"/>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389BB61A" w14:textId="73834B19"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t>Aquaculture Act</w:t>
            </w:r>
            <w:r w:rsidRPr="00F52884">
              <w:rPr>
                <w:rFonts w:eastAsia="Calibri" w:cstheme="minorHAnsi"/>
                <w:szCs w:val="23"/>
                <w:lang w:val="en-US"/>
              </w:rPr>
              <w:t>, RSNL 1990, c A-13</w:t>
            </w:r>
          </w:p>
          <w:p w14:paraId="48A5E407" w14:textId="0EE4FD8A"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t>Fisheries Act</w:t>
            </w:r>
            <w:r w:rsidRPr="00F52884">
              <w:rPr>
                <w:rFonts w:eastAsia="Calibri" w:cstheme="minorHAnsi"/>
                <w:szCs w:val="23"/>
                <w:lang w:val="en-US"/>
              </w:rPr>
              <w:t>, SNL 1995, c F-12.1</w:t>
            </w:r>
          </w:p>
          <w:p w14:paraId="1F29BF8E" w14:textId="01DF4990"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t>Fish Inspection Act</w:t>
            </w:r>
            <w:r w:rsidRPr="00F52884">
              <w:rPr>
                <w:rFonts w:eastAsia="Calibri" w:cstheme="minorHAnsi"/>
                <w:szCs w:val="23"/>
                <w:lang w:val="en-US"/>
              </w:rPr>
              <w:t>, RSNL 1990, c F-12</w:t>
            </w:r>
          </w:p>
          <w:p w14:paraId="1FA66A5A" w14:textId="6E15D627"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lastRenderedPageBreak/>
              <w:t>Fishing Industry Collective Bargaining Act</w:t>
            </w:r>
            <w:r w:rsidRPr="00F52884">
              <w:rPr>
                <w:rFonts w:eastAsia="Calibri" w:cstheme="minorHAnsi"/>
                <w:szCs w:val="23"/>
                <w:lang w:val="en-US"/>
              </w:rPr>
              <w:t>, RSNL 1990, c F-18</w:t>
            </w:r>
          </w:p>
          <w:p w14:paraId="4E4AC846" w14:textId="56C582E4"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t>Fish Processing Licensing Board Act</w:t>
            </w:r>
            <w:r w:rsidRPr="00F52884">
              <w:rPr>
                <w:rFonts w:eastAsia="Calibri" w:cstheme="minorHAnsi"/>
                <w:szCs w:val="23"/>
                <w:lang w:val="en-US"/>
              </w:rPr>
              <w:t>, SNL 2004, c F-12.01</w:t>
            </w:r>
          </w:p>
          <w:p w14:paraId="25F20D82" w14:textId="723B44CF"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t>Lands Act</w:t>
            </w:r>
            <w:r w:rsidRPr="00F52884">
              <w:rPr>
                <w:rFonts w:eastAsia="Calibri" w:cstheme="minorHAnsi"/>
                <w:szCs w:val="23"/>
                <w:lang w:val="en-US"/>
              </w:rPr>
              <w:t>, SNL 1991, c 36</w:t>
            </w:r>
          </w:p>
          <w:p w14:paraId="51FCF32A" w14:textId="66CBAD30" w:rsidR="00B8348C" w:rsidRPr="00F52884" w:rsidRDefault="00B8348C" w:rsidP="000C25A3">
            <w:pPr>
              <w:tabs>
                <w:tab w:val="num" w:pos="29"/>
              </w:tabs>
              <w:spacing w:before="60" w:afterLines="60" w:after="144" w:line="259" w:lineRule="auto"/>
              <w:rPr>
                <w:rFonts w:eastAsia="Calibri" w:cstheme="minorHAnsi"/>
                <w:szCs w:val="23"/>
              </w:rPr>
            </w:pPr>
            <w:r w:rsidRPr="00F52884">
              <w:rPr>
                <w:rFonts w:eastAsia="Calibri" w:cstheme="minorHAnsi"/>
                <w:i/>
                <w:iCs/>
                <w:szCs w:val="23"/>
                <w:lang w:val="en-US"/>
              </w:rPr>
              <w:t>Professional Fish Harvesters Act</w:t>
            </w:r>
            <w:r w:rsidRPr="00F52884">
              <w:rPr>
                <w:rFonts w:eastAsia="Calibri" w:cstheme="minorHAnsi"/>
                <w:szCs w:val="23"/>
                <w:lang w:val="en-US"/>
              </w:rPr>
              <w:t>, SNL 1996, c P-26.1</w:t>
            </w:r>
          </w:p>
          <w:p w14:paraId="70098246" w14:textId="2EBFEB2C" w:rsidR="00B8348C" w:rsidRPr="00B04E29" w:rsidRDefault="00B8348C" w:rsidP="000C25A3">
            <w:pPr>
              <w:spacing w:before="60" w:afterLines="60" w:after="144" w:line="259" w:lineRule="auto"/>
              <w:rPr>
                <w:rFonts w:eastAsia="Calibri" w:cstheme="minorHAnsi"/>
                <w:szCs w:val="23"/>
              </w:rPr>
            </w:pPr>
            <w:r w:rsidRPr="00F52884">
              <w:rPr>
                <w:rFonts w:eastAsia="Calibri" w:cstheme="minorHAnsi"/>
                <w:i/>
                <w:iCs/>
                <w:szCs w:val="23"/>
              </w:rPr>
              <w:t>Water Resources Act</w:t>
            </w:r>
            <w:r w:rsidRPr="00F52884">
              <w:rPr>
                <w:rFonts w:eastAsia="Calibri" w:cstheme="minorHAnsi"/>
                <w:szCs w:val="23"/>
              </w:rPr>
              <w:t>, SNL 2002, c </w:t>
            </w:r>
            <w:r w:rsidRPr="00B04E29">
              <w:rPr>
                <w:rFonts w:eastAsia="Calibri" w:cstheme="minorHAnsi"/>
                <w:szCs w:val="23"/>
              </w:rPr>
              <w:t>W-4.01</w:t>
            </w:r>
          </w:p>
        </w:tc>
      </w:tr>
      <w:tr w:rsidR="00B8348C" w:rsidRPr="00F52884" w14:paraId="77AD5BD8" w14:textId="77777777" w:rsidTr="00FA2285">
        <w:trPr>
          <w:gridAfter w:val="1"/>
          <w:wAfter w:w="8" w:type="dxa"/>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71A5149" w14:textId="77777777" w:rsidR="00B8348C" w:rsidRPr="00F52884" w:rsidRDefault="00B8348C" w:rsidP="000C25A3">
            <w:pPr>
              <w:spacing w:before="60" w:afterLines="60" w:after="144"/>
              <w:rPr>
                <w:rFonts w:cstheme="minorHAnsi"/>
                <w:b/>
                <w:szCs w:val="23"/>
                <w:lang w:val="fr-CA"/>
              </w:rPr>
            </w:pPr>
            <w:r w:rsidRPr="00F52884">
              <w:rPr>
                <w:rFonts w:cstheme="minorHAnsi"/>
                <w:b/>
                <w:bCs/>
                <w:szCs w:val="23"/>
                <w:lang w:val="fr-CA"/>
              </w:rPr>
              <w:lastRenderedPageBreak/>
              <w:t>Description :</w:t>
            </w:r>
          </w:p>
        </w:tc>
      </w:tr>
      <w:tr w:rsidR="00B8348C" w:rsidRPr="0068240F" w14:paraId="104B60F0" w14:textId="77777777" w:rsidTr="00FA2285">
        <w:trPr>
          <w:gridAfter w:val="1"/>
          <w:wAfter w:w="8" w:type="dxa"/>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50A9771D" w14:textId="4D7CC3B5" w:rsidR="00B8348C" w:rsidRPr="00F52884" w:rsidRDefault="00B8348C" w:rsidP="00B8348C">
            <w:pPr>
              <w:spacing w:before="60" w:afterLines="60" w:after="144" w:line="259" w:lineRule="auto"/>
              <w:rPr>
                <w:rFonts w:eastAsia="Calibri" w:cstheme="minorHAnsi"/>
                <w:szCs w:val="23"/>
                <w:lang w:val="fr-FR"/>
              </w:rPr>
            </w:pPr>
            <w:r w:rsidRPr="00F52884">
              <w:rPr>
                <w:rFonts w:eastAsia="Calibri" w:cstheme="minorHAnsi"/>
                <w:szCs w:val="23"/>
                <w:lang w:val="fr-CA"/>
              </w:rPr>
              <w:t>Les mesures susmentionnées permettent au gouvernement de Terre-Neuve-et-Labrador de réglementer et d’accorder diverses autorisations à l’égard de la production, la transformation et la commercialisation des poissons et des produits de l’aquaculture, y compris le transfert, la livraison et le transport des produits de la mer par les pêcheurs, les aquiculteurs et les acheteurs ultérieurs. Ces mesures prévoient l’imposition de prescriptions de résultats dans certaines circonstances.</w:t>
            </w:r>
          </w:p>
        </w:tc>
      </w:tr>
    </w:tbl>
    <w:p w14:paraId="36D2A304" w14:textId="77777777" w:rsidR="00B8348C" w:rsidRPr="00F52884" w:rsidRDefault="00B8348C" w:rsidP="000C25A3">
      <w:pPr>
        <w:spacing w:line="259" w:lineRule="auto"/>
        <w:rPr>
          <w:rFonts w:eastAsia="Calibri" w:cstheme="minorHAnsi"/>
          <w:b/>
          <w:szCs w:val="23"/>
          <w:lang w:val="fr-FR"/>
        </w:rPr>
      </w:pPr>
    </w:p>
    <w:p w14:paraId="49C4A366" w14:textId="77777777" w:rsidR="00B8348C" w:rsidRPr="00F52884" w:rsidRDefault="00B8348C" w:rsidP="000C25A3">
      <w:pPr>
        <w:spacing w:line="259" w:lineRule="auto"/>
        <w:rPr>
          <w:rFonts w:eastAsia="Calibri" w:cstheme="minorHAnsi"/>
          <w:b/>
          <w:szCs w:val="23"/>
          <w:lang w:val="fr-FR"/>
        </w:rPr>
      </w:pPr>
    </w:p>
    <w:p w14:paraId="17BD5CD2" w14:textId="77777777" w:rsidR="00B8348C" w:rsidRPr="00F52884" w:rsidRDefault="00B8348C" w:rsidP="00167455">
      <w:pPr>
        <w:spacing w:before="60" w:after="60"/>
        <w:ind w:left="-360"/>
        <w:rPr>
          <w:rFonts w:cstheme="minorHAnsi"/>
          <w:b/>
          <w:caps/>
          <w:szCs w:val="23"/>
        </w:rPr>
      </w:pPr>
      <w:r w:rsidRPr="00F52884">
        <w:rPr>
          <w:rFonts w:cstheme="minorHAnsi"/>
          <w:b/>
          <w:bCs/>
          <w:caps/>
          <w:szCs w:val="23"/>
          <w:lang w:val="fr-CA"/>
        </w:rPr>
        <w:t>5.</w:t>
      </w:r>
      <w:r w:rsidRPr="00F52884">
        <w:rPr>
          <w:rFonts w:cstheme="minorHAnsi"/>
          <w:caps/>
          <w:szCs w:val="23"/>
          <w:lang w:val="fr-CA"/>
        </w:rPr>
        <w:tab/>
      </w:r>
      <w:r w:rsidRPr="00F52884">
        <w:rPr>
          <w:rFonts w:cstheme="minorHAnsi"/>
          <w:b/>
          <w:bCs/>
          <w:caps/>
          <w:szCs w:val="23"/>
          <w:lang w:val="fr-CA"/>
        </w:rPr>
        <w:t xml:space="preserve"> Terre-Neuve-et-Labrador</w:t>
      </w:r>
    </w:p>
    <w:tbl>
      <w:tblPr>
        <w:tblW w:w="1026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7732"/>
        <w:gridCol w:w="8"/>
      </w:tblGrid>
      <w:tr w:rsidR="00B8348C" w:rsidRPr="00F52884" w14:paraId="0F7A1CFC" w14:textId="77777777" w:rsidTr="00FA2285">
        <w:trPr>
          <w:gridAfter w:val="1"/>
          <w:wAfter w:w="8"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569E92D2"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szCs w:val="23"/>
                <w:lang w:val="fr-CA"/>
              </w:rPr>
              <w:br w:type="page"/>
            </w:r>
            <w:r w:rsidRPr="00F52884">
              <w:rPr>
                <w:rFonts w:eastAsia="Calibri" w:cstheme="minorHAnsi"/>
                <w:b/>
                <w:bCs/>
                <w:szCs w:val="23"/>
                <w:lang w:val="fr-CA"/>
              </w:rPr>
              <w:t>Secteur :</w:t>
            </w:r>
          </w:p>
        </w:tc>
        <w:tc>
          <w:tcPr>
            <w:tcW w:w="7732" w:type="dxa"/>
            <w:tcBorders>
              <w:top w:val="single" w:sz="4" w:space="0" w:color="C0C0C0"/>
              <w:left w:val="single" w:sz="4" w:space="0" w:color="FFFFFF"/>
              <w:bottom w:val="single" w:sz="4" w:space="0" w:color="C0C0C0"/>
              <w:right w:val="nil"/>
            </w:tcBorders>
            <w:vAlign w:val="center"/>
          </w:tcPr>
          <w:p w14:paraId="1C73546A"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Tourisme</w:t>
            </w:r>
          </w:p>
        </w:tc>
      </w:tr>
      <w:tr w:rsidR="00B8348C" w:rsidRPr="0068240F" w14:paraId="467D25A2" w14:textId="77777777" w:rsidTr="00FA2285">
        <w:trPr>
          <w:gridAfter w:val="1"/>
          <w:wAfter w:w="8" w:type="dxa"/>
          <w:trHeight w:val="246"/>
          <w:jc w:val="center"/>
        </w:trPr>
        <w:tc>
          <w:tcPr>
            <w:tcW w:w="2520" w:type="dxa"/>
            <w:tcBorders>
              <w:top w:val="single" w:sz="4" w:space="0" w:color="C0C0C0"/>
              <w:left w:val="nil"/>
              <w:bottom w:val="single" w:sz="4" w:space="0" w:color="C0C0C0"/>
              <w:right w:val="single" w:sz="4" w:space="0" w:color="FFFFFF"/>
            </w:tcBorders>
            <w:vAlign w:val="center"/>
          </w:tcPr>
          <w:p w14:paraId="5AB6A50B"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32" w:type="dxa"/>
            <w:tcBorders>
              <w:top w:val="single" w:sz="4" w:space="0" w:color="C0C0C0"/>
              <w:left w:val="single" w:sz="4" w:space="0" w:color="FFFFFF"/>
              <w:bottom w:val="single" w:sz="4" w:space="0" w:color="C0C0C0"/>
              <w:right w:val="nil"/>
            </w:tcBorders>
            <w:vAlign w:val="center"/>
          </w:tcPr>
          <w:p w14:paraId="2BE68B5C"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Services annexes à la chasse; services de guides touristiques; chasse pour compte propre</w:t>
            </w:r>
          </w:p>
        </w:tc>
      </w:tr>
      <w:tr w:rsidR="00B8348C" w:rsidRPr="00F52884" w14:paraId="6F065808"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4A199031"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b/>
                <w:bCs/>
                <w:szCs w:val="23"/>
                <w:lang w:val="fr-CA"/>
              </w:rPr>
              <w:t xml:space="preserve">Classification de l’industrie : </w:t>
            </w:r>
          </w:p>
        </w:tc>
        <w:tc>
          <w:tcPr>
            <w:tcW w:w="7740" w:type="dxa"/>
            <w:gridSpan w:val="2"/>
            <w:tcBorders>
              <w:top w:val="single" w:sz="4" w:space="0" w:color="C0C0C0"/>
              <w:left w:val="single" w:sz="4" w:space="0" w:color="FFFFFF"/>
              <w:bottom w:val="single" w:sz="4" w:space="0" w:color="C0C0C0"/>
              <w:right w:val="nil"/>
            </w:tcBorders>
            <w:vAlign w:val="center"/>
          </w:tcPr>
          <w:p w14:paraId="51BD878F" w14:textId="77777777" w:rsidR="00B8348C" w:rsidRPr="00F52884" w:rsidRDefault="00B8348C" w:rsidP="000C25A3">
            <w:pPr>
              <w:spacing w:before="60" w:after="60" w:line="259" w:lineRule="auto"/>
              <w:ind w:left="4"/>
              <w:rPr>
                <w:rFonts w:eastAsia="Calibri" w:cstheme="minorHAnsi"/>
                <w:szCs w:val="23"/>
              </w:rPr>
            </w:pPr>
            <w:r w:rsidRPr="00F52884">
              <w:rPr>
                <w:rFonts w:eastAsia="Calibri" w:cstheme="minorHAnsi"/>
                <w:szCs w:val="23"/>
                <w:lang w:val="fr-CA"/>
              </w:rPr>
              <w:t>CPC 7472, 8813, 96419</w:t>
            </w:r>
          </w:p>
        </w:tc>
      </w:tr>
      <w:tr w:rsidR="00B8348C" w:rsidRPr="0068240F" w14:paraId="0D5697BE" w14:textId="77777777" w:rsidTr="00FA2285">
        <w:trPr>
          <w:gridAfter w:val="1"/>
          <w:wAfter w:w="8" w:type="dxa"/>
          <w:trHeight w:val="42"/>
          <w:jc w:val="center"/>
        </w:trPr>
        <w:tc>
          <w:tcPr>
            <w:tcW w:w="2520" w:type="dxa"/>
            <w:tcBorders>
              <w:left w:val="nil"/>
            </w:tcBorders>
          </w:tcPr>
          <w:p w14:paraId="616C1800" w14:textId="0B4E4191" w:rsidR="00B8348C" w:rsidRPr="00F52884" w:rsidRDefault="00B8348C" w:rsidP="000C25A3">
            <w:pPr>
              <w:spacing w:before="60" w:after="60" w:line="259" w:lineRule="auto"/>
              <w:ind w:left="2655" w:hanging="2655"/>
              <w:rPr>
                <w:rFonts w:eastAsia="Calibri" w:cstheme="minorHAnsi"/>
                <w:szCs w:val="23"/>
              </w:rPr>
            </w:pPr>
            <w:r w:rsidRPr="00F52884">
              <w:rPr>
                <w:rFonts w:eastAsia="Calibri" w:cstheme="minorHAnsi"/>
                <w:b/>
                <w:bCs/>
                <w:szCs w:val="23"/>
                <w:lang w:val="fr-CA"/>
              </w:rPr>
              <w:t>Type d’exception :</w:t>
            </w:r>
            <w:r w:rsidRPr="00F52884">
              <w:rPr>
                <w:rFonts w:eastAsia="Calibri" w:cstheme="minorHAnsi"/>
                <w:szCs w:val="23"/>
                <w:lang w:val="fr-CA"/>
              </w:rPr>
              <w:t xml:space="preserve">       </w:t>
            </w:r>
          </w:p>
        </w:tc>
        <w:tc>
          <w:tcPr>
            <w:tcW w:w="7732" w:type="dxa"/>
            <w:tcBorders>
              <w:left w:val="nil"/>
            </w:tcBorders>
          </w:tcPr>
          <w:p w14:paraId="0AE1A3D3" w14:textId="44A87A21" w:rsidR="00B8348C" w:rsidRPr="00F52884" w:rsidRDefault="00B8348C" w:rsidP="00B8348C">
            <w:pPr>
              <w:spacing w:before="60" w:after="60" w:line="259" w:lineRule="auto"/>
              <w:ind w:left="6" w:hanging="6"/>
              <w:rPr>
                <w:rFonts w:eastAsia="Calibri" w:cstheme="minorHAnsi"/>
                <w:szCs w:val="23"/>
                <w:lang w:val="fr-FR"/>
              </w:rPr>
            </w:pPr>
            <w:r w:rsidRPr="00F52884">
              <w:rPr>
                <w:rFonts w:eastAsia="Calibri" w:cstheme="minorHAnsi"/>
                <w:szCs w:val="23"/>
                <w:lang w:val="fr-CA"/>
              </w:rPr>
              <w:t>Article 201 (Traitement non discriminatoire), article 307 (Accès aux marchés – Services), article 312 (Accès aux marchés – Investissement)</w:t>
            </w:r>
          </w:p>
        </w:tc>
      </w:tr>
      <w:tr w:rsidR="00B8348C" w:rsidRPr="00F52884" w14:paraId="26453D77" w14:textId="77777777" w:rsidTr="00FA2285">
        <w:trPr>
          <w:gridAfter w:val="1"/>
          <w:wAfter w:w="8" w:type="dxa"/>
          <w:trHeight w:val="42"/>
          <w:jc w:val="center"/>
        </w:trPr>
        <w:tc>
          <w:tcPr>
            <w:tcW w:w="10252"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4E080F71"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E4A9698" w14:textId="77777777" w:rsidTr="00FA2285">
        <w:trPr>
          <w:gridAfter w:val="1"/>
          <w:wAfter w:w="8" w:type="dxa"/>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4953C8C9" w14:textId="0E621164" w:rsidR="00B8348C" w:rsidRPr="00B04E29" w:rsidRDefault="00B8348C" w:rsidP="000C25A3">
            <w:pPr>
              <w:spacing w:before="60" w:after="60" w:line="259" w:lineRule="auto"/>
              <w:rPr>
                <w:rFonts w:eastAsia="Calibri" w:cstheme="minorHAnsi"/>
                <w:szCs w:val="23"/>
              </w:rPr>
            </w:pPr>
            <w:proofErr w:type="gramStart"/>
            <w:r w:rsidRPr="00F52884">
              <w:rPr>
                <w:rFonts w:eastAsia="Calibri" w:cstheme="minorHAnsi"/>
                <w:i/>
                <w:iCs/>
                <w:szCs w:val="23"/>
              </w:rPr>
              <w:t>Wild Life</w:t>
            </w:r>
            <w:proofErr w:type="gramEnd"/>
            <w:r w:rsidRPr="00F52884">
              <w:rPr>
                <w:rFonts w:eastAsia="Calibri" w:cstheme="minorHAnsi"/>
                <w:i/>
                <w:iCs/>
                <w:szCs w:val="23"/>
              </w:rPr>
              <w:t xml:space="preserve"> Act</w:t>
            </w:r>
            <w:r w:rsidRPr="00F52884">
              <w:rPr>
                <w:rFonts w:eastAsia="Calibri" w:cstheme="minorHAnsi"/>
                <w:szCs w:val="23"/>
              </w:rPr>
              <w:t>, RSNL 1990, c </w:t>
            </w:r>
            <w:r w:rsidRPr="00B04E29">
              <w:rPr>
                <w:rFonts w:eastAsia="Calibri" w:cstheme="minorHAnsi"/>
                <w:szCs w:val="23"/>
              </w:rPr>
              <w:t>W-8</w:t>
            </w:r>
          </w:p>
        </w:tc>
      </w:tr>
      <w:tr w:rsidR="00B8348C" w:rsidRPr="00F52884" w14:paraId="13A49A97" w14:textId="77777777" w:rsidTr="00FA2285">
        <w:trPr>
          <w:gridAfter w:val="1"/>
          <w:wAfter w:w="8" w:type="dxa"/>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E801B4F"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68240F" w14:paraId="0F66E4C2" w14:textId="77777777" w:rsidTr="00FA2285">
        <w:trPr>
          <w:gridAfter w:val="1"/>
          <w:wAfter w:w="8" w:type="dxa"/>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2CCB541F"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Les personnes qui ne résident pas à Terre-Neuve-et-Labrador doivent recourir aux services d’un guide autorisé pour pouvoir exercer certaines activités de chasse nécessitant un permis dans la province. Les personnes qui ne résident pas à Terre-Neuve-et-Labrador ne sont pas autorisées à obtenir certains types de permis et sont tenues d’obtenir un permis pour non-résidents pour exercer certaines activités de pêche dans la province.</w:t>
            </w:r>
          </w:p>
        </w:tc>
      </w:tr>
    </w:tbl>
    <w:p w14:paraId="7962A27E" w14:textId="77777777" w:rsidR="00B8348C" w:rsidRPr="00F52884" w:rsidRDefault="00B8348C" w:rsidP="000C25A3">
      <w:pPr>
        <w:spacing w:line="259" w:lineRule="auto"/>
        <w:rPr>
          <w:rFonts w:eastAsia="Calibri" w:cstheme="minorHAnsi"/>
          <w:b/>
          <w:szCs w:val="23"/>
          <w:lang w:val="fr-FR"/>
        </w:rPr>
      </w:pPr>
    </w:p>
    <w:p w14:paraId="74982C76" w14:textId="77777777" w:rsidR="00B8348C" w:rsidRPr="00F52884" w:rsidRDefault="00B8348C" w:rsidP="000C25A3">
      <w:pPr>
        <w:spacing w:line="259" w:lineRule="auto"/>
        <w:rPr>
          <w:rFonts w:eastAsia="Calibri" w:cstheme="minorHAnsi"/>
          <w:b/>
          <w:szCs w:val="23"/>
          <w:lang w:val="fr-FR"/>
        </w:rPr>
      </w:pPr>
    </w:p>
    <w:p w14:paraId="0CEEB32A" w14:textId="246B8D7A" w:rsidR="00B8348C" w:rsidRPr="00F52884" w:rsidRDefault="00AF71F2" w:rsidP="00167455">
      <w:pPr>
        <w:spacing w:before="60" w:after="60"/>
        <w:ind w:left="-360"/>
        <w:rPr>
          <w:rFonts w:cstheme="minorHAnsi"/>
          <w:b/>
          <w:caps/>
          <w:szCs w:val="23"/>
        </w:rPr>
      </w:pPr>
      <w:r>
        <w:rPr>
          <w:rFonts w:cstheme="minorHAnsi"/>
          <w:b/>
          <w:bCs/>
          <w:caps/>
          <w:szCs w:val="23"/>
          <w:lang w:val="fr-CA"/>
        </w:rPr>
        <w:t>6</w:t>
      </w:r>
      <w:r w:rsidR="00B8348C" w:rsidRPr="00F52884">
        <w:rPr>
          <w:rFonts w:cstheme="minorHAnsi"/>
          <w:b/>
          <w:bCs/>
          <w:caps/>
          <w:szCs w:val="23"/>
          <w:lang w:val="fr-CA"/>
        </w:rPr>
        <w:t>.</w:t>
      </w:r>
      <w:r w:rsidR="00B8348C" w:rsidRPr="00F52884">
        <w:rPr>
          <w:rFonts w:cstheme="minorHAnsi"/>
          <w:caps/>
          <w:szCs w:val="23"/>
          <w:lang w:val="fr-CA"/>
        </w:rPr>
        <w:tab/>
      </w:r>
      <w:r w:rsidR="00B8348C" w:rsidRPr="00F52884">
        <w:rPr>
          <w:rFonts w:cstheme="minorHAnsi"/>
          <w:b/>
          <w:bCs/>
          <w:caps/>
          <w:szCs w:val="23"/>
          <w:lang w:val="fr-CA"/>
        </w:rPr>
        <w:t xml:space="preserve"> Terre-Neuve-et-Labrador</w:t>
      </w:r>
    </w:p>
    <w:tbl>
      <w:tblPr>
        <w:tblW w:w="10260" w:type="dxa"/>
        <w:jc w:val="center"/>
        <w:tblLayout w:type="fixed"/>
        <w:tblCellMar>
          <w:top w:w="14" w:type="dxa"/>
          <w:left w:w="86" w:type="dxa"/>
          <w:bottom w:w="14" w:type="dxa"/>
          <w:right w:w="86" w:type="dxa"/>
        </w:tblCellMar>
        <w:tblLook w:val="0000" w:firstRow="0" w:lastRow="0" w:firstColumn="0" w:lastColumn="0" w:noHBand="0" w:noVBand="0"/>
      </w:tblPr>
      <w:tblGrid>
        <w:gridCol w:w="2610"/>
        <w:gridCol w:w="7650"/>
      </w:tblGrid>
      <w:tr w:rsidR="00B8348C" w:rsidRPr="00F52884" w14:paraId="36CAE2BE" w14:textId="77777777" w:rsidTr="00FA2285">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3C5C1552"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szCs w:val="23"/>
                <w:lang w:val="fr-CA"/>
              </w:rPr>
              <w:br w:type="page"/>
            </w:r>
            <w:r w:rsidRPr="00F52884">
              <w:rPr>
                <w:rFonts w:eastAsia="Calibri" w:cstheme="minorHAnsi"/>
                <w:b/>
                <w:bCs/>
                <w:szCs w:val="23"/>
                <w:lang w:val="fr-CA"/>
              </w:rPr>
              <w:t>Secteur :</w:t>
            </w:r>
          </w:p>
        </w:tc>
        <w:tc>
          <w:tcPr>
            <w:tcW w:w="7650" w:type="dxa"/>
            <w:tcBorders>
              <w:top w:val="single" w:sz="4" w:space="0" w:color="C0C0C0"/>
              <w:left w:val="single" w:sz="4" w:space="0" w:color="FFFFFF"/>
              <w:bottom w:val="single" w:sz="4" w:space="0" w:color="C0C0C0"/>
              <w:right w:val="nil"/>
            </w:tcBorders>
            <w:vAlign w:val="center"/>
          </w:tcPr>
          <w:p w14:paraId="33AAB412"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Transports</w:t>
            </w:r>
          </w:p>
        </w:tc>
      </w:tr>
      <w:tr w:rsidR="00B8348C" w:rsidRPr="00F52884" w14:paraId="47A1B097" w14:textId="77777777" w:rsidTr="00FA2285">
        <w:trPr>
          <w:trHeight w:val="246"/>
          <w:jc w:val="center"/>
        </w:trPr>
        <w:tc>
          <w:tcPr>
            <w:tcW w:w="2610" w:type="dxa"/>
            <w:tcBorders>
              <w:top w:val="single" w:sz="4" w:space="0" w:color="C0C0C0"/>
              <w:left w:val="nil"/>
              <w:bottom w:val="single" w:sz="4" w:space="0" w:color="C0C0C0"/>
              <w:right w:val="single" w:sz="4" w:space="0" w:color="FFFFFF"/>
            </w:tcBorders>
            <w:vAlign w:val="center"/>
          </w:tcPr>
          <w:p w14:paraId="20696273"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650" w:type="dxa"/>
            <w:tcBorders>
              <w:top w:val="single" w:sz="4" w:space="0" w:color="C0C0C0"/>
              <w:left w:val="single" w:sz="4" w:space="0" w:color="FFFFFF"/>
              <w:bottom w:val="single" w:sz="4" w:space="0" w:color="C0C0C0"/>
              <w:right w:val="nil"/>
            </w:tcBorders>
            <w:vAlign w:val="center"/>
          </w:tcPr>
          <w:p w14:paraId="05F29DF0"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Services de transport ferroviaire</w:t>
            </w:r>
          </w:p>
        </w:tc>
      </w:tr>
      <w:tr w:rsidR="00B8348C" w:rsidRPr="00F52884" w14:paraId="1697B59C" w14:textId="77777777" w:rsidTr="00FA2285">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210077BC"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b/>
                <w:bCs/>
                <w:szCs w:val="23"/>
                <w:lang w:val="fr-CA"/>
              </w:rPr>
              <w:lastRenderedPageBreak/>
              <w:t xml:space="preserve">Classification de l’industrie : </w:t>
            </w:r>
          </w:p>
        </w:tc>
        <w:tc>
          <w:tcPr>
            <w:tcW w:w="7650" w:type="dxa"/>
            <w:tcBorders>
              <w:top w:val="single" w:sz="4" w:space="0" w:color="C0C0C0"/>
              <w:left w:val="single" w:sz="4" w:space="0" w:color="FFFFFF"/>
              <w:bottom w:val="single" w:sz="4" w:space="0" w:color="C0C0C0"/>
              <w:right w:val="nil"/>
            </w:tcBorders>
            <w:vAlign w:val="center"/>
          </w:tcPr>
          <w:p w14:paraId="29FE29D6" w14:textId="77777777" w:rsidR="00B8348C" w:rsidRPr="00F52884" w:rsidRDefault="00B8348C" w:rsidP="000C25A3">
            <w:pPr>
              <w:spacing w:before="60" w:after="60" w:line="259" w:lineRule="auto"/>
              <w:ind w:left="4"/>
              <w:rPr>
                <w:rFonts w:eastAsia="Calibri" w:cstheme="minorHAnsi"/>
                <w:szCs w:val="23"/>
              </w:rPr>
            </w:pPr>
            <w:r w:rsidRPr="00F52884">
              <w:rPr>
                <w:rFonts w:eastAsia="Calibri" w:cstheme="minorHAnsi"/>
                <w:szCs w:val="23"/>
                <w:lang w:val="fr-CA"/>
              </w:rPr>
              <w:t>CPC 711</w:t>
            </w:r>
          </w:p>
        </w:tc>
      </w:tr>
      <w:tr w:rsidR="00B8348C" w:rsidRPr="0068240F" w14:paraId="2596ED84" w14:textId="77777777" w:rsidTr="00FA2285">
        <w:trPr>
          <w:trHeight w:val="42"/>
          <w:jc w:val="center"/>
        </w:trPr>
        <w:tc>
          <w:tcPr>
            <w:tcW w:w="2610" w:type="dxa"/>
            <w:tcBorders>
              <w:left w:val="nil"/>
            </w:tcBorders>
          </w:tcPr>
          <w:p w14:paraId="551EE45B" w14:textId="63E79F8A" w:rsidR="00B8348C" w:rsidRPr="00F52884" w:rsidRDefault="00B8348C" w:rsidP="000C25A3">
            <w:pPr>
              <w:spacing w:before="60" w:after="60" w:line="259" w:lineRule="auto"/>
              <w:ind w:left="2655" w:hanging="2655"/>
              <w:rPr>
                <w:rFonts w:eastAsia="Calibri" w:cstheme="minorHAnsi"/>
                <w:szCs w:val="23"/>
              </w:rPr>
            </w:pPr>
            <w:r w:rsidRPr="00F52884">
              <w:rPr>
                <w:rFonts w:eastAsia="Calibri" w:cstheme="minorHAnsi"/>
                <w:b/>
                <w:bCs/>
                <w:szCs w:val="23"/>
                <w:lang w:val="fr-CA"/>
              </w:rPr>
              <w:t>Type d’exception :</w:t>
            </w:r>
            <w:r w:rsidRPr="00F52884">
              <w:rPr>
                <w:rFonts w:eastAsia="Calibri" w:cstheme="minorHAnsi"/>
                <w:szCs w:val="23"/>
                <w:lang w:val="fr-CA"/>
              </w:rPr>
              <w:t xml:space="preserve">          </w:t>
            </w:r>
          </w:p>
        </w:tc>
        <w:tc>
          <w:tcPr>
            <w:tcW w:w="7650" w:type="dxa"/>
            <w:tcBorders>
              <w:left w:val="nil"/>
            </w:tcBorders>
          </w:tcPr>
          <w:p w14:paraId="1D2B6A3A" w14:textId="77777777" w:rsidR="00B8348C" w:rsidRPr="00F52884" w:rsidRDefault="00B8348C" w:rsidP="000C25A3">
            <w:pPr>
              <w:spacing w:before="60" w:after="60" w:line="259" w:lineRule="auto"/>
              <w:ind w:left="6" w:hanging="6"/>
              <w:rPr>
                <w:rFonts w:eastAsia="Calibri" w:cstheme="minorHAnsi"/>
                <w:szCs w:val="23"/>
                <w:lang w:val="fr-FR"/>
              </w:rPr>
            </w:pPr>
            <w:r w:rsidRPr="00F52884">
              <w:rPr>
                <w:rFonts w:eastAsia="Calibri" w:cstheme="minorHAnsi"/>
                <w:szCs w:val="23"/>
                <w:lang w:val="fr-CA"/>
              </w:rPr>
              <w:t>Article 307 (Accès aux marchés – Services), article 312 (Accès aux marchés – Investissement), article 313 (Prescriptions de résultats)</w:t>
            </w:r>
          </w:p>
        </w:tc>
      </w:tr>
      <w:tr w:rsidR="00B8348C" w:rsidRPr="00F52884" w14:paraId="0F8D64A1" w14:textId="77777777" w:rsidTr="00FA2285">
        <w:trPr>
          <w:trHeight w:val="42"/>
          <w:jc w:val="center"/>
        </w:trPr>
        <w:tc>
          <w:tcPr>
            <w:tcW w:w="10260"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2A22AE81"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7371850" w14:textId="77777777" w:rsidTr="00FA2285">
        <w:trPr>
          <w:trHeight w:val="273"/>
          <w:jc w:val="center"/>
        </w:trPr>
        <w:tc>
          <w:tcPr>
            <w:tcW w:w="10260" w:type="dxa"/>
            <w:gridSpan w:val="2"/>
            <w:tcBorders>
              <w:top w:val="single" w:sz="4" w:space="0" w:color="C0C0C0"/>
              <w:left w:val="single" w:sz="4" w:space="0" w:color="C0C0C0"/>
              <w:bottom w:val="single" w:sz="4" w:space="0" w:color="C0C0C0"/>
              <w:right w:val="single" w:sz="4" w:space="0" w:color="C0C0C0"/>
            </w:tcBorders>
          </w:tcPr>
          <w:p w14:paraId="3E5A3F31" w14:textId="47E06C17" w:rsidR="00B8348C" w:rsidRPr="00B04E29" w:rsidRDefault="00B8348C" w:rsidP="000C25A3">
            <w:pPr>
              <w:spacing w:before="60" w:after="60" w:line="259" w:lineRule="auto"/>
              <w:rPr>
                <w:rFonts w:eastAsia="Calibri" w:cstheme="minorHAnsi"/>
                <w:szCs w:val="23"/>
              </w:rPr>
            </w:pPr>
            <w:r w:rsidRPr="00F52884">
              <w:rPr>
                <w:rFonts w:eastAsia="Calibri" w:cstheme="minorHAnsi"/>
                <w:i/>
                <w:iCs/>
                <w:szCs w:val="23"/>
              </w:rPr>
              <w:t>Rail Service Act</w:t>
            </w:r>
            <w:r w:rsidRPr="00F52884">
              <w:rPr>
                <w:rFonts w:eastAsia="Calibri" w:cstheme="minorHAnsi"/>
                <w:i/>
                <w:szCs w:val="23"/>
              </w:rPr>
              <w:t>, 2009</w:t>
            </w:r>
            <w:r w:rsidRPr="00F52884">
              <w:rPr>
                <w:rFonts w:eastAsia="Calibri" w:cstheme="minorHAnsi"/>
                <w:szCs w:val="23"/>
              </w:rPr>
              <w:t>, SNL 2009, c </w:t>
            </w:r>
            <w:r w:rsidRPr="00B04E29">
              <w:rPr>
                <w:rFonts w:eastAsia="Calibri" w:cstheme="minorHAnsi"/>
                <w:szCs w:val="23"/>
              </w:rPr>
              <w:t>R-1.2</w:t>
            </w:r>
          </w:p>
        </w:tc>
      </w:tr>
      <w:tr w:rsidR="00B8348C" w:rsidRPr="00F52884" w14:paraId="00271A49" w14:textId="77777777" w:rsidTr="00FA2285">
        <w:trPr>
          <w:trHeight w:val="49"/>
          <w:jc w:val="center"/>
        </w:trPr>
        <w:tc>
          <w:tcPr>
            <w:tcW w:w="10260"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7AC82EB"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Description :</w:t>
            </w:r>
          </w:p>
        </w:tc>
      </w:tr>
      <w:tr w:rsidR="00B8348C" w:rsidRPr="0068240F" w14:paraId="58E35DAB" w14:textId="77777777" w:rsidTr="00FA2285">
        <w:trPr>
          <w:trHeight w:val="66"/>
          <w:jc w:val="center"/>
        </w:trPr>
        <w:tc>
          <w:tcPr>
            <w:tcW w:w="10260" w:type="dxa"/>
            <w:gridSpan w:val="2"/>
            <w:tcBorders>
              <w:top w:val="single" w:sz="4" w:space="0" w:color="C0C0C0"/>
              <w:left w:val="single" w:sz="4" w:space="0" w:color="C0C0C0"/>
              <w:bottom w:val="single" w:sz="4" w:space="0" w:color="C0C0C0"/>
              <w:right w:val="single" w:sz="4" w:space="0" w:color="C0C0C0"/>
            </w:tcBorders>
          </w:tcPr>
          <w:p w14:paraId="77281CBC" w14:textId="079F8AF8" w:rsidR="00B8348C" w:rsidRPr="00F52884" w:rsidRDefault="00B8348C" w:rsidP="00B8348C">
            <w:pPr>
              <w:spacing w:before="60" w:after="60" w:line="259" w:lineRule="auto"/>
              <w:rPr>
                <w:rFonts w:eastAsia="Calibri" w:cstheme="minorHAnsi"/>
                <w:szCs w:val="23"/>
                <w:lang w:val="fr-FR"/>
              </w:rPr>
            </w:pPr>
            <w:r w:rsidRPr="00F52884">
              <w:rPr>
                <w:rFonts w:eastAsia="Calibri" w:cstheme="minorHAnsi"/>
                <w:szCs w:val="23"/>
                <w:lang w:val="fr-CA"/>
              </w:rPr>
              <w:t>Une personne qui souhaite acheter, exploiter ou mettre en place un service ferroviaire à Terre-Neuve-et-Labrador doit d’abord obtenir l’approbation du gouvernement de Terre-Neuve-et-Labrador. L’approbation peut être soumise aux modalités et conditions que le gouvernement de Terre-Neuve-et-Labrador juge appropriées. Sans restreindre la portée générale de ce qui précède, cette approbation peut supposer la prise de décisions discrétionnaires fondées sur divers facteurs, y compris l’imposition de prescriptions de résultats.</w:t>
            </w:r>
          </w:p>
        </w:tc>
      </w:tr>
    </w:tbl>
    <w:p w14:paraId="258D5DA3" w14:textId="77777777" w:rsidR="00B8348C" w:rsidRPr="00F52884" w:rsidRDefault="00B8348C" w:rsidP="000C25A3">
      <w:pPr>
        <w:spacing w:line="259" w:lineRule="auto"/>
        <w:rPr>
          <w:rFonts w:eastAsia="Calibri" w:cstheme="minorHAnsi"/>
          <w:b/>
          <w:szCs w:val="23"/>
          <w:lang w:val="fr-FR"/>
        </w:rPr>
      </w:pPr>
    </w:p>
    <w:p w14:paraId="3B4DFB00" w14:textId="77777777" w:rsidR="00B8348C" w:rsidRPr="00F52884" w:rsidRDefault="00B8348C" w:rsidP="000C25A3">
      <w:pPr>
        <w:spacing w:line="259" w:lineRule="auto"/>
        <w:rPr>
          <w:rFonts w:eastAsia="Calibri" w:cstheme="minorHAnsi"/>
          <w:b/>
          <w:szCs w:val="23"/>
          <w:lang w:val="fr-FR"/>
        </w:rPr>
      </w:pPr>
    </w:p>
    <w:p w14:paraId="39A2FF19" w14:textId="717AEB03" w:rsidR="00B8348C" w:rsidRPr="00F52884" w:rsidRDefault="00AF71F2" w:rsidP="00167455">
      <w:pPr>
        <w:spacing w:before="60" w:after="60"/>
        <w:ind w:left="-360"/>
        <w:rPr>
          <w:rFonts w:cstheme="minorHAnsi"/>
          <w:b/>
          <w:caps/>
          <w:szCs w:val="23"/>
        </w:rPr>
      </w:pPr>
      <w:r>
        <w:rPr>
          <w:rFonts w:cstheme="minorHAnsi"/>
          <w:b/>
          <w:bCs/>
          <w:caps/>
          <w:szCs w:val="23"/>
          <w:lang w:val="fr-CA"/>
        </w:rPr>
        <w:t>7</w:t>
      </w:r>
      <w:r w:rsidR="00B8348C" w:rsidRPr="00F52884">
        <w:rPr>
          <w:rFonts w:cstheme="minorHAnsi"/>
          <w:b/>
          <w:bCs/>
          <w:caps/>
          <w:szCs w:val="23"/>
          <w:lang w:val="fr-CA"/>
        </w:rPr>
        <w:t xml:space="preserve">. </w:t>
      </w:r>
      <w:r w:rsidR="00B8348C" w:rsidRPr="00F52884">
        <w:rPr>
          <w:rFonts w:cstheme="minorHAnsi"/>
          <w:caps/>
          <w:szCs w:val="23"/>
          <w:lang w:val="fr-CA"/>
        </w:rPr>
        <w:tab/>
      </w:r>
      <w:r w:rsidR="00B8348C" w:rsidRPr="00F52884">
        <w:rPr>
          <w:rFonts w:cstheme="minorHAnsi"/>
          <w:b/>
          <w:bCs/>
          <w:caps/>
          <w:szCs w:val="23"/>
          <w:lang w:val="fr-CA"/>
        </w:rPr>
        <w:t>Terre-Neuve-et-Labrador</w:t>
      </w:r>
    </w:p>
    <w:tbl>
      <w:tblPr>
        <w:tblW w:w="1026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7732"/>
        <w:gridCol w:w="8"/>
      </w:tblGrid>
      <w:tr w:rsidR="00B8348C" w:rsidRPr="00F52884" w14:paraId="05B8A572" w14:textId="77777777" w:rsidTr="00FA2285">
        <w:trPr>
          <w:gridAfter w:val="1"/>
          <w:wAfter w:w="8"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3D214297"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szCs w:val="23"/>
                <w:lang w:val="fr-CA"/>
              </w:rPr>
              <w:br w:type="page"/>
            </w:r>
            <w:r w:rsidRPr="00F52884">
              <w:rPr>
                <w:rFonts w:eastAsia="Calibri" w:cstheme="minorHAnsi"/>
                <w:b/>
                <w:bCs/>
                <w:szCs w:val="23"/>
                <w:lang w:val="fr-CA"/>
              </w:rPr>
              <w:t>Secteur :</w:t>
            </w:r>
          </w:p>
        </w:tc>
        <w:tc>
          <w:tcPr>
            <w:tcW w:w="7732" w:type="dxa"/>
            <w:tcBorders>
              <w:top w:val="single" w:sz="4" w:space="0" w:color="C0C0C0"/>
              <w:left w:val="single" w:sz="4" w:space="0" w:color="FFFFFF"/>
              <w:bottom w:val="single" w:sz="4" w:space="0" w:color="C0C0C0"/>
              <w:right w:val="nil"/>
            </w:tcBorders>
            <w:vAlign w:val="center"/>
          </w:tcPr>
          <w:p w14:paraId="400472E6"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Transports</w:t>
            </w:r>
          </w:p>
        </w:tc>
      </w:tr>
      <w:tr w:rsidR="00B8348C" w:rsidRPr="0068240F" w14:paraId="2F17012A" w14:textId="77777777" w:rsidTr="00FA2285">
        <w:trPr>
          <w:gridAfter w:val="1"/>
          <w:wAfter w:w="8" w:type="dxa"/>
          <w:trHeight w:val="246"/>
          <w:jc w:val="center"/>
        </w:trPr>
        <w:tc>
          <w:tcPr>
            <w:tcW w:w="2520" w:type="dxa"/>
            <w:tcBorders>
              <w:top w:val="single" w:sz="4" w:space="0" w:color="C0C0C0"/>
              <w:left w:val="nil"/>
              <w:bottom w:val="single" w:sz="4" w:space="0" w:color="C0C0C0"/>
              <w:right w:val="single" w:sz="4" w:space="0" w:color="FFFFFF"/>
            </w:tcBorders>
            <w:vAlign w:val="center"/>
          </w:tcPr>
          <w:p w14:paraId="17AFA942"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32" w:type="dxa"/>
            <w:tcBorders>
              <w:top w:val="single" w:sz="4" w:space="0" w:color="C0C0C0"/>
              <w:left w:val="single" w:sz="4" w:space="0" w:color="FFFFFF"/>
              <w:bottom w:val="single" w:sz="4" w:space="0" w:color="C0C0C0"/>
              <w:right w:val="nil"/>
            </w:tcBorders>
            <w:vAlign w:val="center"/>
          </w:tcPr>
          <w:p w14:paraId="48FD0E36"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Autres services de transports terrestres</w:t>
            </w:r>
          </w:p>
        </w:tc>
      </w:tr>
      <w:tr w:rsidR="00B8348C" w:rsidRPr="00F52884" w14:paraId="4BD877DA" w14:textId="77777777" w:rsidTr="00FA228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2094700B"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b/>
                <w:bCs/>
                <w:szCs w:val="23"/>
                <w:lang w:val="fr-CA"/>
              </w:rPr>
              <w:t xml:space="preserve">Classification de l’industrie : </w:t>
            </w:r>
          </w:p>
        </w:tc>
        <w:tc>
          <w:tcPr>
            <w:tcW w:w="7740" w:type="dxa"/>
            <w:gridSpan w:val="2"/>
            <w:tcBorders>
              <w:top w:val="single" w:sz="4" w:space="0" w:color="C0C0C0"/>
              <w:left w:val="single" w:sz="4" w:space="0" w:color="FFFFFF"/>
              <w:bottom w:val="single" w:sz="4" w:space="0" w:color="C0C0C0"/>
              <w:right w:val="nil"/>
            </w:tcBorders>
            <w:vAlign w:val="center"/>
          </w:tcPr>
          <w:p w14:paraId="799B09EB" w14:textId="77777777" w:rsidR="00B8348C" w:rsidRPr="00F52884" w:rsidRDefault="00B8348C" w:rsidP="000C25A3">
            <w:pPr>
              <w:spacing w:before="60" w:after="60" w:line="259" w:lineRule="auto"/>
              <w:ind w:left="4"/>
              <w:rPr>
                <w:rFonts w:eastAsia="Calibri" w:cstheme="minorHAnsi"/>
                <w:szCs w:val="23"/>
              </w:rPr>
            </w:pPr>
            <w:r w:rsidRPr="00F52884">
              <w:rPr>
                <w:rFonts w:eastAsia="Calibri" w:cstheme="minorHAnsi"/>
                <w:szCs w:val="23"/>
                <w:lang w:val="fr-CA"/>
              </w:rPr>
              <w:t>CPC 712</w:t>
            </w:r>
          </w:p>
        </w:tc>
      </w:tr>
      <w:tr w:rsidR="00B8348C" w:rsidRPr="0068240F" w14:paraId="341BC5B3" w14:textId="77777777" w:rsidTr="00FA2285">
        <w:trPr>
          <w:gridAfter w:val="1"/>
          <w:wAfter w:w="8" w:type="dxa"/>
          <w:trHeight w:val="42"/>
          <w:jc w:val="center"/>
        </w:trPr>
        <w:tc>
          <w:tcPr>
            <w:tcW w:w="2520" w:type="dxa"/>
            <w:tcBorders>
              <w:left w:val="nil"/>
            </w:tcBorders>
          </w:tcPr>
          <w:p w14:paraId="4A7ACD39" w14:textId="0EA3130E" w:rsidR="00B8348C" w:rsidRPr="00F52884" w:rsidRDefault="00B8348C" w:rsidP="000C25A3">
            <w:pPr>
              <w:spacing w:before="60" w:after="60" w:line="259" w:lineRule="auto"/>
              <w:ind w:left="2655" w:hanging="2655"/>
              <w:rPr>
                <w:rFonts w:eastAsia="Calibri" w:cstheme="minorHAnsi"/>
                <w:szCs w:val="23"/>
              </w:rPr>
            </w:pPr>
            <w:r w:rsidRPr="00F52884">
              <w:rPr>
                <w:rFonts w:eastAsia="Calibri" w:cstheme="minorHAnsi"/>
                <w:b/>
                <w:bCs/>
                <w:szCs w:val="23"/>
                <w:lang w:val="fr-CA"/>
              </w:rPr>
              <w:t>Type d’exception :</w:t>
            </w:r>
            <w:r w:rsidRPr="00F52884">
              <w:rPr>
                <w:rFonts w:eastAsia="Calibri" w:cstheme="minorHAnsi"/>
                <w:szCs w:val="23"/>
                <w:lang w:val="fr-CA"/>
              </w:rPr>
              <w:t xml:space="preserve">          </w:t>
            </w:r>
          </w:p>
        </w:tc>
        <w:tc>
          <w:tcPr>
            <w:tcW w:w="7732" w:type="dxa"/>
            <w:tcBorders>
              <w:left w:val="nil"/>
            </w:tcBorders>
          </w:tcPr>
          <w:p w14:paraId="641FD42E" w14:textId="77777777" w:rsidR="00B8348C" w:rsidRPr="00F52884" w:rsidRDefault="00B8348C" w:rsidP="000C25A3">
            <w:pPr>
              <w:spacing w:before="60" w:after="60" w:line="259" w:lineRule="auto"/>
              <w:ind w:left="6" w:hanging="6"/>
              <w:rPr>
                <w:rFonts w:eastAsia="Calibri" w:cstheme="minorHAnsi"/>
                <w:szCs w:val="23"/>
                <w:lang w:val="fr-FR"/>
              </w:rPr>
            </w:pPr>
            <w:r w:rsidRPr="00F52884">
              <w:rPr>
                <w:rFonts w:eastAsia="Calibri" w:cstheme="minorHAnsi"/>
                <w:szCs w:val="23"/>
                <w:lang w:val="fr-CA"/>
              </w:rPr>
              <w:t>Article 307 (Accès aux marchés – Services), article 312 (Accès aux marchés – Investissement), article 313 (Prescriptions de résultats)</w:t>
            </w:r>
          </w:p>
        </w:tc>
      </w:tr>
      <w:tr w:rsidR="00B8348C" w:rsidRPr="00F52884" w14:paraId="3E02C5FD" w14:textId="77777777" w:rsidTr="00FA2285">
        <w:trPr>
          <w:gridAfter w:val="1"/>
          <w:wAfter w:w="8" w:type="dxa"/>
          <w:trHeight w:val="42"/>
          <w:jc w:val="center"/>
        </w:trPr>
        <w:tc>
          <w:tcPr>
            <w:tcW w:w="10252" w:type="dxa"/>
            <w:gridSpan w:val="2"/>
            <w:tcBorders>
              <w:left w:val="single" w:sz="4" w:space="0" w:color="C0C0C0"/>
              <w:bottom w:val="single" w:sz="4" w:space="0" w:color="C0C0C0"/>
              <w:right w:val="single" w:sz="4" w:space="0" w:color="C0C0C0"/>
            </w:tcBorders>
            <w:shd w:val="clear" w:color="auto" w:fill="D9D9D9" w:themeFill="background1" w:themeFillShade="D9"/>
            <w:vAlign w:val="center"/>
          </w:tcPr>
          <w:p w14:paraId="287C2777"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F635BB6" w14:textId="77777777" w:rsidTr="00FA2285">
        <w:trPr>
          <w:gridAfter w:val="1"/>
          <w:wAfter w:w="8" w:type="dxa"/>
          <w:trHeight w:val="273"/>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0B7258E0" w14:textId="211EB417"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Aquaculture Act</w:t>
            </w:r>
            <w:r w:rsidRPr="00F52884">
              <w:rPr>
                <w:rFonts w:eastAsia="Calibri" w:cstheme="minorHAnsi"/>
                <w:szCs w:val="23"/>
                <w:lang w:val="en-US"/>
              </w:rPr>
              <w:t>, RSNL 1990, c A-13</w:t>
            </w:r>
          </w:p>
          <w:p w14:paraId="3CC8344F" w14:textId="31EF8C15"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Fisheries Act,</w:t>
            </w:r>
            <w:r w:rsidRPr="00F52884">
              <w:rPr>
                <w:rFonts w:eastAsia="Calibri" w:cstheme="minorHAnsi"/>
                <w:szCs w:val="23"/>
                <w:lang w:val="en-US"/>
              </w:rPr>
              <w:t xml:space="preserve"> SNL 1995, c F-12.1</w:t>
            </w:r>
          </w:p>
          <w:p w14:paraId="678B979C" w14:textId="4DDDBE2C"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Fish Inspection Act</w:t>
            </w:r>
            <w:r w:rsidRPr="00F52884">
              <w:rPr>
                <w:rFonts w:eastAsia="Calibri" w:cstheme="minorHAnsi"/>
                <w:szCs w:val="23"/>
                <w:lang w:val="en-US"/>
              </w:rPr>
              <w:t>, RSNL 1990, c F-12</w:t>
            </w:r>
          </w:p>
          <w:p w14:paraId="71441E80" w14:textId="4ED56ED5"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 xml:space="preserve">Liquor Control Act, </w:t>
            </w:r>
            <w:r w:rsidRPr="00F52884">
              <w:rPr>
                <w:rFonts w:eastAsia="Calibri" w:cstheme="minorHAnsi"/>
                <w:szCs w:val="23"/>
                <w:lang w:val="en-US"/>
              </w:rPr>
              <w:t>RSNL 1990, c L-18</w:t>
            </w:r>
          </w:p>
          <w:p w14:paraId="5D5304BE" w14:textId="2951C5AA"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Liquor Corporation Act</w:t>
            </w:r>
            <w:r w:rsidRPr="00F52884">
              <w:rPr>
                <w:rFonts w:eastAsia="Calibri" w:cstheme="minorHAnsi"/>
                <w:szCs w:val="23"/>
                <w:lang w:val="en-US"/>
              </w:rPr>
              <w:t>, RSNL 1990, c L-19</w:t>
            </w:r>
          </w:p>
          <w:p w14:paraId="54E9CAC2" w14:textId="4118D277"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Motor Carrier Act</w:t>
            </w:r>
            <w:r w:rsidRPr="00F52884">
              <w:rPr>
                <w:rFonts w:eastAsia="Calibri" w:cstheme="minorHAnsi"/>
                <w:szCs w:val="23"/>
                <w:lang w:val="en-US"/>
              </w:rPr>
              <w:t>, RSNL 1990, c M-19</w:t>
            </w:r>
          </w:p>
          <w:p w14:paraId="2814573C" w14:textId="704EF28C" w:rsidR="00B8348C" w:rsidRPr="00F52884" w:rsidRDefault="00B8348C" w:rsidP="000C25A3">
            <w:pPr>
              <w:spacing w:before="60" w:after="60" w:line="259" w:lineRule="auto"/>
              <w:rPr>
                <w:rFonts w:eastAsia="Calibri" w:cstheme="minorHAnsi"/>
                <w:szCs w:val="23"/>
              </w:rPr>
            </w:pPr>
            <w:r w:rsidRPr="00F52884">
              <w:rPr>
                <w:rFonts w:eastAsia="Calibri" w:cstheme="minorHAnsi"/>
                <w:i/>
                <w:iCs/>
                <w:szCs w:val="23"/>
                <w:lang w:val="en-US"/>
              </w:rPr>
              <w:t>Professional Fish Harvesters Act</w:t>
            </w:r>
            <w:r w:rsidRPr="00F52884">
              <w:rPr>
                <w:rFonts w:eastAsia="Calibri" w:cstheme="minorHAnsi"/>
                <w:szCs w:val="23"/>
                <w:lang w:val="en-US"/>
              </w:rPr>
              <w:t>, SNL 1996, c P</w:t>
            </w:r>
            <w:r w:rsidRPr="00B04E29">
              <w:rPr>
                <w:rFonts w:eastAsia="Calibri" w:cstheme="minorHAnsi"/>
                <w:szCs w:val="23"/>
              </w:rPr>
              <w:t>-26.1</w:t>
            </w:r>
          </w:p>
        </w:tc>
      </w:tr>
      <w:tr w:rsidR="00B8348C" w:rsidRPr="00F52884" w14:paraId="5CFE534F" w14:textId="77777777" w:rsidTr="00FA2285">
        <w:trPr>
          <w:gridAfter w:val="1"/>
          <w:wAfter w:w="8" w:type="dxa"/>
          <w:trHeight w:val="49"/>
          <w:jc w:val="center"/>
        </w:trPr>
        <w:tc>
          <w:tcPr>
            <w:tcW w:w="1025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1C21077"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F52884" w14:paraId="55430BDC" w14:textId="77777777" w:rsidTr="00FA2285">
        <w:trPr>
          <w:gridAfter w:val="1"/>
          <w:wAfter w:w="8" w:type="dxa"/>
          <w:trHeight w:val="66"/>
          <w:jc w:val="center"/>
        </w:trPr>
        <w:tc>
          <w:tcPr>
            <w:tcW w:w="10252" w:type="dxa"/>
            <w:gridSpan w:val="2"/>
            <w:tcBorders>
              <w:top w:val="single" w:sz="4" w:space="0" w:color="C0C0C0"/>
              <w:left w:val="single" w:sz="4" w:space="0" w:color="C0C0C0"/>
              <w:bottom w:val="single" w:sz="4" w:space="0" w:color="C0C0C0"/>
              <w:right w:val="single" w:sz="4" w:space="0" w:color="C0C0C0"/>
            </w:tcBorders>
          </w:tcPr>
          <w:p w14:paraId="23CEF2BD"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 xml:space="preserve">L’examen de la commodité et de la nécessité publiques s’applique au transport de voyageurs et à certains sous-secteurs du transport de marchandises à Terre-Neuve-et-Labrador. Les critères d’approbation par le gouvernement de Terre-Neuve-et-Labrador comprennent l’adéquation des niveaux actuels de service, les conditions du marché justifiant l’élargissement de l’offre de services, l’effet des nouveaux venus sur la commodité publique ainsi que l’aptitude du demandeur </w:t>
            </w:r>
            <w:r w:rsidRPr="00F52884">
              <w:rPr>
                <w:rFonts w:eastAsia="Calibri" w:cstheme="minorHAnsi"/>
                <w:szCs w:val="23"/>
                <w:lang w:val="fr-CA"/>
              </w:rPr>
              <w:lastRenderedPageBreak/>
              <w:t>et sa volonté et sa capacité de fournir un service adéquat. Des prescriptions de résultats peuvent être imposées.</w:t>
            </w:r>
          </w:p>
        </w:tc>
      </w:tr>
    </w:tbl>
    <w:p w14:paraId="082AD08A" w14:textId="77777777" w:rsidR="00B8348C" w:rsidRPr="00F52884" w:rsidRDefault="00B8348C" w:rsidP="000C25A3">
      <w:pPr>
        <w:spacing w:line="259" w:lineRule="auto"/>
        <w:rPr>
          <w:rFonts w:eastAsia="Calibri" w:cstheme="minorHAnsi"/>
          <w:b/>
          <w:szCs w:val="23"/>
        </w:rPr>
      </w:pPr>
    </w:p>
    <w:p w14:paraId="37BCD517" w14:textId="77777777" w:rsidR="00B8348C" w:rsidRPr="00F52884" w:rsidRDefault="00B8348C" w:rsidP="000C25A3">
      <w:pPr>
        <w:spacing w:line="259" w:lineRule="auto"/>
        <w:ind w:left="-360"/>
        <w:rPr>
          <w:rFonts w:eastAsia="Calibri" w:cstheme="minorHAnsi"/>
          <w:szCs w:val="23"/>
          <w:lang w:val="fr-FR"/>
        </w:rPr>
      </w:pPr>
    </w:p>
    <w:p w14:paraId="62479D3C" w14:textId="32D9F059" w:rsidR="00B8348C" w:rsidRPr="00F52884" w:rsidRDefault="00AF71F2" w:rsidP="00167455">
      <w:pPr>
        <w:spacing w:before="60" w:after="60"/>
        <w:ind w:left="-360"/>
        <w:rPr>
          <w:rFonts w:cstheme="minorHAnsi"/>
          <w:b/>
          <w:caps/>
          <w:szCs w:val="23"/>
        </w:rPr>
      </w:pPr>
      <w:r>
        <w:rPr>
          <w:rFonts w:cstheme="minorHAnsi"/>
          <w:b/>
          <w:bCs/>
          <w:caps/>
          <w:szCs w:val="23"/>
          <w:lang w:val="fr-CA"/>
        </w:rPr>
        <w:t>8</w:t>
      </w:r>
      <w:r w:rsidR="00B8348C" w:rsidRPr="00F52884">
        <w:rPr>
          <w:rFonts w:cstheme="minorHAnsi"/>
          <w:b/>
          <w:bCs/>
          <w:caps/>
          <w:szCs w:val="23"/>
          <w:lang w:val="fr-CA"/>
        </w:rPr>
        <w:t xml:space="preserve">. </w:t>
      </w:r>
      <w:r w:rsidR="00167455" w:rsidRPr="00F52884">
        <w:rPr>
          <w:rFonts w:cstheme="minorHAnsi"/>
          <w:b/>
          <w:bCs/>
          <w:caps/>
          <w:szCs w:val="23"/>
          <w:lang w:val="fr-CA"/>
        </w:rPr>
        <w:t xml:space="preserve"> </w:t>
      </w:r>
      <w:r w:rsidR="00B8348C" w:rsidRPr="00F52884">
        <w:rPr>
          <w:rFonts w:cstheme="minorHAnsi"/>
          <w:b/>
          <w:bCs/>
          <w:caps/>
          <w:szCs w:val="23"/>
          <w:lang w:val="fr-CA"/>
        </w:rPr>
        <w:t>Terre-Neuve-et-Labrador</w:t>
      </w:r>
    </w:p>
    <w:tbl>
      <w:tblPr>
        <w:tblW w:w="10116" w:type="dxa"/>
        <w:jc w:val="center"/>
        <w:tblCellMar>
          <w:top w:w="14" w:type="dxa"/>
          <w:left w:w="86" w:type="dxa"/>
          <w:bottom w:w="14" w:type="dxa"/>
          <w:right w:w="86" w:type="dxa"/>
        </w:tblCellMar>
        <w:tblLook w:val="0000" w:firstRow="0" w:lastRow="0" w:firstColumn="0" w:lastColumn="0" w:noHBand="0" w:noVBand="0"/>
      </w:tblPr>
      <w:tblGrid>
        <w:gridCol w:w="2334"/>
        <w:gridCol w:w="7357"/>
        <w:gridCol w:w="425"/>
      </w:tblGrid>
      <w:tr w:rsidR="00B8348C" w:rsidRPr="00F52884" w14:paraId="1A99F264" w14:textId="77777777" w:rsidTr="00167455">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7067E461"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CB1586B"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Boissons alcoolisées</w:t>
            </w:r>
          </w:p>
        </w:tc>
      </w:tr>
      <w:tr w:rsidR="00B8348C" w:rsidRPr="0068240F" w14:paraId="6C41B13A" w14:textId="77777777" w:rsidTr="00167455">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1EF4A0ED"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29CE5939"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Services de commerce de gros de boissons; ventes à forfait ou sous contrat de produits alimentaires, de boissons et de tabac; commerce de détail de boissons non consommées sur place; débits de boissons pour consommation sur place; boissons alcoolisées et fabrication d’aliments et de boissons, à forfait ou sous contrat</w:t>
            </w:r>
          </w:p>
        </w:tc>
      </w:tr>
      <w:tr w:rsidR="00B8348C" w:rsidRPr="00F52884" w14:paraId="5CBB54B2" w14:textId="77777777" w:rsidTr="00167455">
        <w:trPr>
          <w:gridAfter w:val="1"/>
          <w:wAfter w:w="425" w:type="dxa"/>
          <w:trHeight w:val="42"/>
          <w:jc w:val="center"/>
        </w:trPr>
        <w:tc>
          <w:tcPr>
            <w:tcW w:w="2334" w:type="dxa"/>
            <w:tcBorders>
              <w:top w:val="single" w:sz="4" w:space="0" w:color="C0C0C0"/>
              <w:left w:val="nil"/>
              <w:bottom w:val="single" w:sz="4" w:space="0" w:color="C0C0C0"/>
              <w:right w:val="single" w:sz="4" w:space="0" w:color="FFFFFF"/>
            </w:tcBorders>
            <w:vAlign w:val="center"/>
          </w:tcPr>
          <w:p w14:paraId="2F38EFE3"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3657AE02" w14:textId="77777777" w:rsidR="00B8348C" w:rsidRPr="00F52884" w:rsidRDefault="00B8348C" w:rsidP="000C25A3">
            <w:pPr>
              <w:spacing w:before="60" w:after="60" w:line="259" w:lineRule="auto"/>
              <w:ind w:left="28" w:hanging="28"/>
              <w:rPr>
                <w:rFonts w:eastAsia="Calibri" w:cstheme="minorHAnsi"/>
                <w:szCs w:val="23"/>
              </w:rPr>
            </w:pPr>
            <w:r w:rsidRPr="00F52884">
              <w:rPr>
                <w:rFonts w:eastAsia="Calibri" w:cstheme="minorHAnsi"/>
                <w:szCs w:val="23"/>
                <w:lang w:val="fr-CA"/>
              </w:rPr>
              <w:t>CPC 241, 242, 243, 62112, 62226, 63107, 643, 88411</w:t>
            </w:r>
          </w:p>
        </w:tc>
      </w:tr>
      <w:tr w:rsidR="00B8348C" w:rsidRPr="0068240F" w14:paraId="435D6D24" w14:textId="77777777" w:rsidTr="00167455">
        <w:trPr>
          <w:trHeight w:val="42"/>
          <w:jc w:val="center"/>
        </w:trPr>
        <w:tc>
          <w:tcPr>
            <w:tcW w:w="2334" w:type="dxa"/>
            <w:tcBorders>
              <w:top w:val="single" w:sz="4" w:space="0" w:color="C0C0C0"/>
              <w:left w:val="nil"/>
              <w:bottom w:val="single" w:sz="4" w:space="0" w:color="C0C0C0"/>
            </w:tcBorders>
          </w:tcPr>
          <w:p w14:paraId="19AD25EE" w14:textId="3ED584EF" w:rsidR="00B8348C" w:rsidRPr="00F52884" w:rsidRDefault="00B8348C" w:rsidP="000C25A3">
            <w:pPr>
              <w:spacing w:before="60" w:after="60"/>
              <w:ind w:left="4" w:hanging="4"/>
              <w:rPr>
                <w:rFonts w:eastAsia="Times New Roman" w:cstheme="minorHAnsi"/>
                <w:szCs w:val="23"/>
              </w:rPr>
            </w:pPr>
            <w:r w:rsidRPr="00F52884">
              <w:rPr>
                <w:rFonts w:eastAsia="Times New Roman" w:cstheme="minorHAnsi"/>
                <w:b/>
                <w:bCs/>
                <w:szCs w:val="23"/>
                <w:lang w:val="fr-CA"/>
              </w:rPr>
              <w:t xml:space="preserve">Type d’exception :  </w:t>
            </w:r>
            <w:r w:rsidRPr="00F52884">
              <w:rPr>
                <w:rFonts w:eastAsia="Times New Roman" w:cstheme="minorHAnsi"/>
                <w:szCs w:val="23"/>
                <w:lang w:val="fr-CA"/>
              </w:rPr>
              <w:t xml:space="preserve">     </w:t>
            </w:r>
          </w:p>
        </w:tc>
        <w:tc>
          <w:tcPr>
            <w:tcW w:w="7782" w:type="dxa"/>
            <w:gridSpan w:val="2"/>
            <w:tcBorders>
              <w:top w:val="single" w:sz="4" w:space="0" w:color="C0C0C0"/>
              <w:left w:val="nil"/>
              <w:bottom w:val="single" w:sz="4" w:space="0" w:color="C0C0C0"/>
            </w:tcBorders>
          </w:tcPr>
          <w:p w14:paraId="2294D934" w14:textId="0733D208"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Article 201 (Traitement non discriminatoire) (limité conformément à ce qui est indiqué dans la description), article 301 (Droit d’entrée et de sortie), article 307 (Accès aux marchés – Services), article 312 (Accès aux marchés – Investissement), article 313 (Prescriptions de résultats)</w:t>
            </w:r>
          </w:p>
        </w:tc>
      </w:tr>
      <w:tr w:rsidR="00B8348C" w:rsidRPr="00F52884" w14:paraId="5867B211" w14:textId="77777777" w:rsidTr="00167455">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230E254"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038F7CBD" w14:textId="77777777" w:rsidTr="00167455">
        <w:trPr>
          <w:trHeight w:val="120"/>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1D271244" w14:textId="6A0D2F7B" w:rsidR="00B8348C" w:rsidRPr="00F52884" w:rsidRDefault="00B8348C" w:rsidP="000C25A3">
            <w:pPr>
              <w:spacing w:before="60" w:after="60"/>
              <w:rPr>
                <w:rFonts w:eastAsia="Times New Roman" w:cstheme="minorHAnsi"/>
                <w:i/>
                <w:szCs w:val="23"/>
              </w:rPr>
            </w:pPr>
            <w:r w:rsidRPr="00F52884">
              <w:rPr>
                <w:rFonts w:eastAsia="Times New Roman" w:cstheme="minorHAnsi"/>
                <w:i/>
                <w:iCs/>
                <w:szCs w:val="23"/>
              </w:rPr>
              <w:t>Liquor Control Act</w:t>
            </w:r>
            <w:r w:rsidRPr="00F52884">
              <w:rPr>
                <w:rFonts w:eastAsia="Times New Roman" w:cstheme="minorHAnsi"/>
                <w:szCs w:val="23"/>
              </w:rPr>
              <w:t>, RSNL 1990, c L-18</w:t>
            </w:r>
          </w:p>
          <w:p w14:paraId="7EF4773E" w14:textId="2EB8ED22" w:rsidR="00B8348C" w:rsidRPr="00B04E29" w:rsidRDefault="00B8348C" w:rsidP="000C25A3">
            <w:pPr>
              <w:spacing w:before="60" w:after="60"/>
              <w:rPr>
                <w:rFonts w:eastAsia="Times New Roman" w:cstheme="minorHAnsi"/>
                <w:szCs w:val="23"/>
              </w:rPr>
            </w:pPr>
            <w:r w:rsidRPr="00F52884">
              <w:rPr>
                <w:rFonts w:eastAsia="Times New Roman" w:cstheme="minorHAnsi"/>
                <w:i/>
                <w:iCs/>
                <w:szCs w:val="23"/>
                <w:lang w:val="en-US"/>
              </w:rPr>
              <w:t>Liquor Corporation Act</w:t>
            </w:r>
            <w:r w:rsidRPr="00F52884">
              <w:rPr>
                <w:rFonts w:eastAsia="Times New Roman" w:cstheme="minorHAnsi"/>
                <w:szCs w:val="23"/>
                <w:lang w:val="en-US"/>
              </w:rPr>
              <w:t>, RSNL 1990, c </w:t>
            </w:r>
            <w:r w:rsidRPr="00B04E29">
              <w:rPr>
                <w:rFonts w:eastAsia="Times New Roman" w:cstheme="minorHAnsi"/>
                <w:szCs w:val="23"/>
              </w:rPr>
              <w:t>L-19</w:t>
            </w:r>
          </w:p>
        </w:tc>
      </w:tr>
      <w:tr w:rsidR="00B8348C" w:rsidRPr="00F52884" w14:paraId="4E061AE7" w14:textId="77777777" w:rsidTr="00167455">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2B111D6" w14:textId="77777777" w:rsidR="00B8348C" w:rsidRPr="00F52884" w:rsidRDefault="00B8348C" w:rsidP="000C25A3">
            <w:pPr>
              <w:spacing w:before="60" w:after="60"/>
              <w:rPr>
                <w:rFonts w:cstheme="minorHAnsi"/>
                <w:b/>
                <w:caps/>
                <w:szCs w:val="23"/>
                <w:lang w:val="fr-CA"/>
              </w:rPr>
            </w:pPr>
            <w:r w:rsidRPr="00F52884">
              <w:rPr>
                <w:rFonts w:cstheme="minorHAnsi"/>
                <w:b/>
                <w:bCs/>
                <w:szCs w:val="23"/>
                <w:lang w:val="fr-CA"/>
              </w:rPr>
              <w:t>Description :</w:t>
            </w:r>
          </w:p>
        </w:tc>
      </w:tr>
      <w:tr w:rsidR="00B8348C" w:rsidRPr="0068240F" w14:paraId="3375AD79" w14:textId="77777777" w:rsidTr="00167455">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5B42F9CA" w14:textId="4CE01C7C"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 xml:space="preserve">Les mesures susmentionnées permettent au gouvernement de Terre-Neuve-et-Labrador de réglementer et d’accorder diverses autorisations à l’égard de la production, la distribution, la fourniture, la vente et la commercialisation de boissons alcoolisées. La Newfoundland </w:t>
            </w:r>
            <w:proofErr w:type="spellStart"/>
            <w:r w:rsidRPr="00F52884">
              <w:rPr>
                <w:rFonts w:eastAsia="Times New Roman" w:cstheme="minorHAnsi"/>
                <w:szCs w:val="23"/>
                <w:lang w:val="fr-CA"/>
              </w:rPr>
              <w:t>Liquor</w:t>
            </w:r>
            <w:proofErr w:type="spellEnd"/>
            <w:r w:rsidRPr="00F52884">
              <w:rPr>
                <w:rFonts w:eastAsia="Times New Roman" w:cstheme="minorHAnsi"/>
                <w:szCs w:val="23"/>
                <w:lang w:val="fr-CA"/>
              </w:rPr>
              <w:t xml:space="preserve"> Corporation (la « NLC ») distribue, fournit, transporte, vend et commercialise les boissons alcoolisées en situation de monopole. Sans restreindre la portée générale de ce qui précède, ces mesures peuvent supposer la prise de décisions discrétionnaires fondées sur divers facteurs, des obstacles à l’entrée à et à la sortie, des restrictions quant à l’accès aux marchés ou l’imposition de prescriptions de résultats ou la discrimination en faveur de résidents de Terre-Neuve-et-Labrador ou d’entités établies selon la législation du Canada ou d’une province ou d’un territoire du Canada qui ont un lieu d’affaires à Terre-Neuve-et-Labrador et y effectuent des opérations substantielles. En ce qui concerne l’application de l’article 201 (Traitement non discriminatoire), la présente exception s’applique seulement dans le cadre des politiques de la NLC relatives aux mandataires des brasseurs et à l’accès aux points de vente connexes.</w:t>
            </w:r>
          </w:p>
        </w:tc>
      </w:tr>
    </w:tbl>
    <w:p w14:paraId="448CD4CC" w14:textId="77777777" w:rsidR="00B8348C" w:rsidRPr="00F52884" w:rsidRDefault="00B8348C" w:rsidP="000C25A3">
      <w:pPr>
        <w:spacing w:line="259" w:lineRule="auto"/>
        <w:rPr>
          <w:rFonts w:eastAsia="Calibri" w:cstheme="minorHAnsi"/>
          <w:b/>
          <w:szCs w:val="23"/>
          <w:lang w:val="fr-FR"/>
        </w:rPr>
      </w:pPr>
    </w:p>
    <w:p w14:paraId="69CC67C7" w14:textId="77777777" w:rsidR="00B8348C" w:rsidRPr="00F52884" w:rsidRDefault="00B8348C" w:rsidP="000C25A3">
      <w:pPr>
        <w:spacing w:line="259" w:lineRule="auto"/>
        <w:rPr>
          <w:rFonts w:eastAsia="Calibri" w:cstheme="minorHAnsi"/>
          <w:b/>
          <w:szCs w:val="23"/>
          <w:lang w:val="fr-FR"/>
        </w:rPr>
      </w:pPr>
    </w:p>
    <w:p w14:paraId="61B63D0B" w14:textId="5434AF58" w:rsidR="00B8348C" w:rsidRPr="00F52884" w:rsidRDefault="00AF71F2" w:rsidP="00167455">
      <w:pPr>
        <w:spacing w:before="60" w:after="60"/>
        <w:ind w:left="-360"/>
        <w:rPr>
          <w:rFonts w:cstheme="minorHAnsi"/>
          <w:b/>
          <w:caps/>
          <w:szCs w:val="23"/>
        </w:rPr>
      </w:pPr>
      <w:r>
        <w:rPr>
          <w:rFonts w:cstheme="minorHAnsi"/>
          <w:b/>
          <w:bCs/>
          <w:caps/>
          <w:szCs w:val="23"/>
          <w:lang w:val="fr-CA"/>
        </w:rPr>
        <w:t>9</w:t>
      </w:r>
      <w:r w:rsidR="00B8348C" w:rsidRPr="00F52884">
        <w:rPr>
          <w:rFonts w:cstheme="minorHAnsi"/>
          <w:b/>
          <w:bCs/>
          <w:caps/>
          <w:szCs w:val="23"/>
          <w:lang w:val="fr-CA"/>
        </w:rPr>
        <w:t xml:space="preserve">. </w:t>
      </w:r>
      <w:r w:rsidR="00167455" w:rsidRPr="00F52884">
        <w:rPr>
          <w:rFonts w:cstheme="minorHAnsi"/>
          <w:b/>
          <w:bCs/>
          <w:caps/>
          <w:szCs w:val="23"/>
          <w:lang w:val="fr-CA"/>
        </w:rPr>
        <w:t xml:space="preserve"> </w:t>
      </w:r>
      <w:r w:rsidR="00B8348C" w:rsidRPr="00F52884">
        <w:rPr>
          <w:rFonts w:cstheme="minorHAnsi"/>
          <w:b/>
          <w:bCs/>
          <w:caps/>
          <w:szCs w:val="23"/>
          <w:lang w:val="fr-CA"/>
        </w:rPr>
        <w:t>Terre-Neuve-et-Labrador</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2EAAC5DE" w14:textId="77777777" w:rsidTr="00167455">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2750C396"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606C1D3E"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Services professionnels</w:t>
            </w:r>
          </w:p>
        </w:tc>
      </w:tr>
      <w:tr w:rsidR="00B8348C" w:rsidRPr="00F52884" w14:paraId="0D14B8B9" w14:textId="77777777" w:rsidTr="00167455">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6875902A"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01289625"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Services juridiques (notaires)</w:t>
            </w:r>
          </w:p>
        </w:tc>
      </w:tr>
      <w:tr w:rsidR="00B8348C" w:rsidRPr="00F52884" w14:paraId="4DE53518" w14:textId="77777777" w:rsidTr="00167455">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6EFF5C49"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lastRenderedPageBreak/>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55844202" w14:textId="77777777" w:rsidR="00B8348C" w:rsidRPr="00F52884" w:rsidRDefault="00B8348C" w:rsidP="000C25A3">
            <w:pPr>
              <w:spacing w:before="60" w:after="60" w:line="259" w:lineRule="auto"/>
              <w:ind w:left="28" w:hanging="28"/>
              <w:rPr>
                <w:rFonts w:eastAsia="Calibri" w:cstheme="minorHAnsi"/>
                <w:szCs w:val="23"/>
              </w:rPr>
            </w:pPr>
            <w:r w:rsidRPr="00F52884">
              <w:rPr>
                <w:rFonts w:eastAsia="Calibri" w:cstheme="minorHAnsi"/>
                <w:szCs w:val="23"/>
                <w:lang w:val="fr-CA"/>
              </w:rPr>
              <w:t>CPC 861</w:t>
            </w:r>
          </w:p>
        </w:tc>
      </w:tr>
      <w:tr w:rsidR="00B8348C" w:rsidRPr="00F52884" w14:paraId="0848FE12" w14:textId="77777777" w:rsidTr="00167455">
        <w:trPr>
          <w:trHeight w:val="42"/>
          <w:jc w:val="center"/>
        </w:trPr>
        <w:tc>
          <w:tcPr>
            <w:tcW w:w="2424" w:type="dxa"/>
            <w:tcBorders>
              <w:top w:val="single" w:sz="4" w:space="0" w:color="C0C0C0"/>
              <w:left w:val="nil"/>
              <w:bottom w:val="single" w:sz="4" w:space="0" w:color="C0C0C0"/>
            </w:tcBorders>
          </w:tcPr>
          <w:p w14:paraId="6D32C8E9" w14:textId="4CB18EE6" w:rsidR="00B8348C" w:rsidRPr="00F52884" w:rsidRDefault="00B8348C" w:rsidP="000C25A3">
            <w:pPr>
              <w:spacing w:before="60" w:after="60"/>
              <w:ind w:left="6"/>
              <w:rPr>
                <w:rFonts w:eastAsia="Times New Roman" w:cstheme="minorHAnsi"/>
                <w:szCs w:val="23"/>
              </w:rPr>
            </w:pPr>
            <w:r w:rsidRPr="00F52884">
              <w:rPr>
                <w:rFonts w:eastAsia="Times New Roman" w:cstheme="minorHAnsi"/>
                <w:b/>
                <w:bCs/>
                <w:szCs w:val="23"/>
                <w:lang w:val="fr-CA"/>
              </w:rPr>
              <w:t xml:space="preserve">Type d’exception :  </w:t>
            </w:r>
            <w:r w:rsidRPr="00F52884">
              <w:rPr>
                <w:rFonts w:eastAsia="Times New Roman" w:cstheme="minorHAnsi"/>
                <w:szCs w:val="23"/>
                <w:lang w:val="fr-CA"/>
              </w:rPr>
              <w:t xml:space="preserve">     </w:t>
            </w:r>
          </w:p>
        </w:tc>
        <w:tc>
          <w:tcPr>
            <w:tcW w:w="7782" w:type="dxa"/>
            <w:gridSpan w:val="2"/>
            <w:tcBorders>
              <w:top w:val="single" w:sz="4" w:space="0" w:color="C0C0C0"/>
              <w:left w:val="nil"/>
              <w:bottom w:val="single" w:sz="4" w:space="0" w:color="C0C0C0"/>
            </w:tcBorders>
          </w:tcPr>
          <w:p w14:paraId="505281C3" w14:textId="3EFB9199" w:rsidR="00B8348C" w:rsidRPr="00F52884" w:rsidRDefault="00B8348C" w:rsidP="00B8348C">
            <w:pPr>
              <w:spacing w:before="60" w:after="60"/>
              <w:ind w:left="2362" w:hanging="2362"/>
              <w:rPr>
                <w:rFonts w:eastAsia="Times New Roman" w:cstheme="minorHAnsi"/>
                <w:szCs w:val="23"/>
              </w:rPr>
            </w:pPr>
            <w:r w:rsidRPr="00F52884">
              <w:rPr>
                <w:rFonts w:eastAsia="Times New Roman" w:cstheme="minorHAnsi"/>
                <w:szCs w:val="23"/>
                <w:lang w:val="fr-CA"/>
              </w:rPr>
              <w:t>Article 201 (Traitement non discriminatoire)</w:t>
            </w:r>
          </w:p>
        </w:tc>
      </w:tr>
      <w:tr w:rsidR="00B8348C" w:rsidRPr="00F52884" w14:paraId="1DAD9D80" w14:textId="77777777" w:rsidTr="00167455">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3479F0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51B36478" w14:textId="77777777" w:rsidTr="00167455">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28800102" w14:textId="540D7997" w:rsidR="00B8348C" w:rsidRPr="00B04E29" w:rsidRDefault="00B8348C" w:rsidP="000C25A3">
            <w:pPr>
              <w:spacing w:before="60" w:after="60"/>
              <w:rPr>
                <w:rFonts w:eastAsia="Times New Roman" w:cstheme="minorHAnsi"/>
                <w:szCs w:val="23"/>
              </w:rPr>
            </w:pPr>
            <w:r w:rsidRPr="00F52884">
              <w:rPr>
                <w:rFonts w:eastAsia="Times New Roman" w:cstheme="minorHAnsi"/>
                <w:i/>
                <w:iCs/>
                <w:szCs w:val="23"/>
              </w:rPr>
              <w:t>Notaries Public Act</w:t>
            </w:r>
            <w:r w:rsidRPr="00F52884">
              <w:rPr>
                <w:rFonts w:eastAsia="Times New Roman" w:cstheme="minorHAnsi"/>
                <w:szCs w:val="23"/>
              </w:rPr>
              <w:t>, RSNL 1990, c </w:t>
            </w:r>
            <w:r w:rsidRPr="00B04E29">
              <w:rPr>
                <w:rFonts w:eastAsia="Times New Roman" w:cstheme="minorHAnsi"/>
                <w:szCs w:val="23"/>
              </w:rPr>
              <w:t>N-5</w:t>
            </w:r>
          </w:p>
        </w:tc>
      </w:tr>
      <w:tr w:rsidR="00B8348C" w:rsidRPr="00F52884" w14:paraId="3DF23E19" w14:textId="77777777" w:rsidTr="00167455">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A223904" w14:textId="77777777" w:rsidR="00B8348C" w:rsidRPr="00F52884" w:rsidRDefault="00B8348C" w:rsidP="000C25A3">
            <w:pPr>
              <w:spacing w:before="60" w:after="60"/>
              <w:rPr>
                <w:rFonts w:cstheme="minorHAnsi"/>
                <w:b/>
                <w:caps/>
                <w:szCs w:val="23"/>
                <w:lang w:val="fr-CA"/>
              </w:rPr>
            </w:pPr>
            <w:r w:rsidRPr="00F52884">
              <w:rPr>
                <w:rFonts w:cstheme="minorHAnsi"/>
                <w:b/>
                <w:bCs/>
                <w:szCs w:val="23"/>
                <w:lang w:val="fr-CA"/>
              </w:rPr>
              <w:t>Description :</w:t>
            </w:r>
          </w:p>
        </w:tc>
      </w:tr>
      <w:tr w:rsidR="00B8348C" w:rsidRPr="0068240F" w14:paraId="21B4ECF2" w14:textId="77777777" w:rsidTr="00167455">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1145114A"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Seul un citoyen canadien qui réside à Terre-Neuve-et-Labrador peut devenir notaire public pour la province.</w:t>
            </w:r>
          </w:p>
        </w:tc>
      </w:tr>
    </w:tbl>
    <w:p w14:paraId="764FE7DF" w14:textId="77777777" w:rsidR="00EA3915" w:rsidRDefault="00EA3915" w:rsidP="00EA3915">
      <w:pPr>
        <w:spacing w:before="60" w:after="60"/>
        <w:rPr>
          <w:rFonts w:cstheme="minorHAnsi"/>
          <w:b/>
          <w:bCs/>
          <w:szCs w:val="23"/>
          <w:lang w:val="fr-FR"/>
        </w:rPr>
      </w:pPr>
    </w:p>
    <w:p w14:paraId="37FA27BD" w14:textId="77777777" w:rsidR="00EA3915" w:rsidRDefault="00EA3915" w:rsidP="00EA3915">
      <w:pPr>
        <w:spacing w:before="60" w:after="60"/>
        <w:rPr>
          <w:rFonts w:cstheme="minorHAnsi"/>
          <w:b/>
          <w:bCs/>
          <w:szCs w:val="23"/>
          <w:lang w:val="fr-FR"/>
        </w:rPr>
      </w:pPr>
    </w:p>
    <w:p w14:paraId="1163B861"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10. </w:t>
      </w:r>
      <w:r w:rsidRPr="00EA3915">
        <w:rPr>
          <w:rFonts w:ascii="Arial" w:eastAsia="Times New Roman" w:hAnsi="Arial" w:cs="Arial"/>
          <w:b/>
          <w:bCs/>
          <w:szCs w:val="23"/>
          <w:lang w:val="fr-CA"/>
        </w:rPr>
        <w:t>TERRE-NEUVE-ET-LABRADOR</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60A597EE"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39A51384"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0CEA843A"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1BDF4D4F"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68240F" w14:paraId="538DBBA5"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4BC26332"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7B6457EB"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de commerce de gros, y compris à forfait ou sous contrat; Services de commerce de détail, y compris à forfait ou sous contrat</w:t>
            </w:r>
          </w:p>
        </w:tc>
      </w:tr>
      <w:tr w:rsidR="00EA3915" w:rsidRPr="00EA3915" w14:paraId="61C13EFF"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7F648AB8"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4F2AB69E"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D, E</w:t>
            </w:r>
          </w:p>
        </w:tc>
        <w:tc>
          <w:tcPr>
            <w:tcW w:w="390" w:type="dxa"/>
            <w:tcBorders>
              <w:top w:val="nil"/>
              <w:left w:val="nil"/>
              <w:bottom w:val="single" w:sz="8" w:space="0" w:color="C0C0C0"/>
              <w:right w:val="nil"/>
            </w:tcBorders>
            <w:vAlign w:val="center"/>
            <w:hideMark/>
          </w:tcPr>
          <w:p w14:paraId="34ACBC51"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68240F" w14:paraId="520839A9"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4D9AB918"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43BB9C3E"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0F65DE27"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201 (Traitement non discriminatoire), article 301 (Droit d’entrée et de sortie) (applicable seulement au paragraphe 3 de la description)</w:t>
            </w:r>
          </w:p>
        </w:tc>
      </w:tr>
      <w:tr w:rsidR="00EA3915" w:rsidRPr="00EA3915" w14:paraId="25739ABA"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2098EAC7"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Mesures</w:t>
            </w:r>
            <w:proofErr w:type="spellEnd"/>
            <w:r w:rsidRPr="00EA3915">
              <w:rPr>
                <w:rFonts w:ascii="Arial" w:eastAsia="Calibri" w:hAnsi="Arial" w:cs="Arial"/>
                <w:b/>
                <w:szCs w:val="24"/>
                <w:lang w:eastAsia="en-CA" w:bidi="en-US"/>
              </w:rPr>
              <w:t xml:space="preserve"> :</w:t>
            </w:r>
            <w:proofErr w:type="gramEnd"/>
          </w:p>
        </w:tc>
      </w:tr>
      <w:tr w:rsidR="00EA3915" w:rsidRPr="00EA3915" w14:paraId="394B0DC0"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5F03A184"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Cannabis Control Act</w:t>
            </w:r>
            <w:r w:rsidRPr="00EA3915">
              <w:rPr>
                <w:rFonts w:ascii="Arial" w:eastAsia="Calibri" w:hAnsi="Arial" w:cs="Arial"/>
                <w:bCs/>
                <w:szCs w:val="24"/>
                <w:lang w:eastAsia="en-CA" w:bidi="en-US"/>
              </w:rPr>
              <w:t xml:space="preserve">, SNL 2018, </w:t>
            </w:r>
            <w:proofErr w:type="spellStart"/>
            <w:r w:rsidRPr="00EA3915">
              <w:rPr>
                <w:rFonts w:ascii="Arial" w:eastAsia="Calibri" w:hAnsi="Arial" w:cs="Arial"/>
                <w:bCs/>
                <w:szCs w:val="24"/>
                <w:lang w:eastAsia="en-CA" w:bidi="en-US"/>
              </w:rPr>
              <w:t>ch.</w:t>
            </w:r>
            <w:proofErr w:type="spellEnd"/>
            <w:r w:rsidRPr="00EA3915">
              <w:rPr>
                <w:rFonts w:ascii="Arial" w:eastAsia="Calibri" w:hAnsi="Arial" w:cs="Arial"/>
                <w:bCs/>
                <w:szCs w:val="24"/>
                <w:lang w:eastAsia="en-CA" w:bidi="en-US"/>
              </w:rPr>
              <w:t> C-4.1</w:t>
            </w:r>
          </w:p>
          <w:p w14:paraId="29583DE4"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eastAsia="en-CA" w:bidi="en-US"/>
              </w:rPr>
              <w:t>Liquor Corporation Act</w:t>
            </w:r>
            <w:r w:rsidRPr="00EA3915">
              <w:rPr>
                <w:rFonts w:ascii="Arial" w:eastAsia="Calibri" w:hAnsi="Arial" w:cs="Arial"/>
                <w:bCs/>
                <w:szCs w:val="24"/>
                <w:lang w:eastAsia="en-CA" w:bidi="en-US"/>
              </w:rPr>
              <w:t xml:space="preserve">, RSNL 1990, </w:t>
            </w:r>
            <w:proofErr w:type="spellStart"/>
            <w:r w:rsidRPr="00EA3915">
              <w:rPr>
                <w:rFonts w:ascii="Arial" w:eastAsia="Calibri" w:hAnsi="Arial" w:cs="Arial"/>
                <w:bCs/>
                <w:szCs w:val="24"/>
                <w:lang w:eastAsia="en-CA" w:bidi="en-US"/>
              </w:rPr>
              <w:t>ch.</w:t>
            </w:r>
            <w:proofErr w:type="spellEnd"/>
            <w:r w:rsidRPr="00EA3915">
              <w:rPr>
                <w:rFonts w:ascii="Arial" w:eastAsia="Calibri" w:hAnsi="Arial" w:cs="Arial"/>
                <w:bCs/>
                <w:szCs w:val="24"/>
                <w:lang w:eastAsia="en-CA" w:bidi="en-US"/>
              </w:rPr>
              <w:t xml:space="preserve"> L-19</w:t>
            </w:r>
          </w:p>
        </w:tc>
      </w:tr>
      <w:tr w:rsidR="00EA3915" w:rsidRPr="00EA3915" w14:paraId="3AFB71B7"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0F5B41E4"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p>
        </w:tc>
      </w:tr>
      <w:tr w:rsidR="00EA3915" w:rsidRPr="0068240F" w14:paraId="0694AC26"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5B46418F"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1. La </w:t>
            </w:r>
            <w:r w:rsidRPr="00EA3915">
              <w:rPr>
                <w:rFonts w:ascii="Arial" w:eastAsia="Calibri" w:hAnsi="Arial" w:cs="Arial"/>
                <w:bCs/>
                <w:i/>
                <w:iCs/>
                <w:szCs w:val="24"/>
                <w:lang w:val="fr-CA" w:eastAsia="en-CA" w:bidi="en-US"/>
              </w:rPr>
              <w:t>Loi sur le cannabis</w:t>
            </w:r>
            <w:r w:rsidRPr="00EA3915">
              <w:rPr>
                <w:rFonts w:ascii="Arial" w:eastAsia="Calibri" w:hAnsi="Arial" w:cs="Arial"/>
                <w:bCs/>
                <w:szCs w:val="24"/>
                <w:lang w:val="fr-CA" w:eastAsia="en-CA" w:bidi="en-US"/>
              </w:rPr>
              <w:t xml:space="preserve"> du gouvernement fédéral accorde au gouvernement provincial la capacité de réglementer la distribution et la vente du cannabis et des produits à base de cannabis dans la province. La </w:t>
            </w:r>
            <w:r w:rsidRPr="00EA3915">
              <w:rPr>
                <w:rFonts w:ascii="Arial" w:eastAsia="Calibri" w:hAnsi="Arial" w:cs="Arial"/>
                <w:bCs/>
                <w:i/>
                <w:iCs/>
                <w:szCs w:val="24"/>
                <w:lang w:val="fr-CA" w:eastAsia="en-CA" w:bidi="en-US"/>
              </w:rPr>
              <w:t xml:space="preserve">Cannabis Control </w:t>
            </w:r>
            <w:proofErr w:type="spellStart"/>
            <w:r w:rsidRPr="00EA3915">
              <w:rPr>
                <w:rFonts w:ascii="Arial" w:eastAsia="Calibri" w:hAnsi="Arial" w:cs="Arial"/>
                <w:bCs/>
                <w:i/>
                <w:iCs/>
                <w:szCs w:val="24"/>
                <w:lang w:val="fr-CA" w:eastAsia="en-CA" w:bidi="en-US"/>
              </w:rPr>
              <w:t>Act</w:t>
            </w:r>
            <w:proofErr w:type="spellEnd"/>
            <w:r w:rsidRPr="00EA3915">
              <w:rPr>
                <w:rFonts w:ascii="Arial" w:eastAsia="Calibri" w:hAnsi="Arial" w:cs="Arial"/>
                <w:bCs/>
                <w:szCs w:val="24"/>
                <w:lang w:val="fr-CA" w:eastAsia="en-CA" w:bidi="en-US"/>
              </w:rPr>
              <w:t xml:space="preserve"> établit le cadre légal pour la distribution et la vente du cannabis et des produits à base de cannabis dans la province. La </w:t>
            </w:r>
            <w:proofErr w:type="spellStart"/>
            <w:r w:rsidRPr="00EA3915">
              <w:rPr>
                <w:rFonts w:ascii="Arial" w:eastAsia="Calibri" w:hAnsi="Arial" w:cs="Arial"/>
                <w:bCs/>
                <w:i/>
                <w:iCs/>
                <w:szCs w:val="24"/>
                <w:lang w:val="fr-CA" w:eastAsia="en-CA" w:bidi="en-US"/>
              </w:rPr>
              <w:t>Liquor</w:t>
            </w:r>
            <w:proofErr w:type="spellEnd"/>
            <w:r w:rsidRPr="00EA3915">
              <w:rPr>
                <w:rFonts w:ascii="Arial" w:eastAsia="Calibri" w:hAnsi="Arial" w:cs="Arial"/>
                <w:bCs/>
                <w:i/>
                <w:iCs/>
                <w:szCs w:val="24"/>
                <w:lang w:val="fr-CA" w:eastAsia="en-CA" w:bidi="en-US"/>
              </w:rPr>
              <w:t xml:space="preserve"> Corporation </w:t>
            </w:r>
            <w:proofErr w:type="spellStart"/>
            <w:r w:rsidRPr="00EA3915">
              <w:rPr>
                <w:rFonts w:ascii="Arial" w:eastAsia="Calibri" w:hAnsi="Arial" w:cs="Arial"/>
                <w:bCs/>
                <w:i/>
                <w:iCs/>
                <w:szCs w:val="24"/>
                <w:lang w:val="fr-CA" w:eastAsia="en-CA" w:bidi="en-US"/>
              </w:rPr>
              <w:t>Act</w:t>
            </w:r>
            <w:proofErr w:type="spellEnd"/>
            <w:r w:rsidRPr="00EA3915">
              <w:rPr>
                <w:rFonts w:ascii="Arial" w:eastAsia="Calibri" w:hAnsi="Arial" w:cs="Arial"/>
                <w:bCs/>
                <w:szCs w:val="24"/>
                <w:lang w:val="fr-CA" w:eastAsia="en-CA" w:bidi="en-US"/>
              </w:rPr>
              <w:t xml:space="preserve"> donne à la Newfoundland and Labrador </w:t>
            </w:r>
            <w:proofErr w:type="spellStart"/>
            <w:r w:rsidRPr="00EA3915">
              <w:rPr>
                <w:rFonts w:ascii="Arial" w:eastAsia="Calibri" w:hAnsi="Arial" w:cs="Arial"/>
                <w:bCs/>
                <w:szCs w:val="24"/>
                <w:lang w:val="fr-CA" w:eastAsia="en-CA" w:bidi="en-US"/>
              </w:rPr>
              <w:t>Liquor</w:t>
            </w:r>
            <w:proofErr w:type="spellEnd"/>
            <w:r w:rsidRPr="00EA3915">
              <w:rPr>
                <w:rFonts w:ascii="Arial" w:eastAsia="Calibri" w:hAnsi="Arial" w:cs="Arial"/>
                <w:bCs/>
                <w:szCs w:val="24"/>
                <w:lang w:val="fr-CA" w:eastAsia="en-CA" w:bidi="en-US"/>
              </w:rPr>
              <w:t xml:space="preserve"> Corporation le pouvoir d’acheter, d’importer et de vendre du cannabis; de contrôler la possession, la vente et la livraison de cannabis; d’établir, de maintenir et d’exploiter des magasins de cannabis; et d’émettre des licences pour la possession, la vente et la livraison de cannabis.</w:t>
            </w:r>
          </w:p>
          <w:p w14:paraId="314E011D"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2. Sans restreindre la portée générale de ce qui précède, ces mesures peuvent supposer la prise de décisions discrétionnaires fondées sur divers facteurs ou sur la discrimination en faveur de résidents de Terre-Neuve-et-Labrador ou d’entités établies selon les lois du Canada ou d’une province ou d’un territoire du Canada qui ont un lieu d’affaires à Terre-Neuve-et-Labrador et y effectuent des opérations substantielles.</w:t>
            </w:r>
          </w:p>
          <w:p w14:paraId="188D7A2C"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3. Ces mesures nécessitent également que les consommateurs de la province achètent du cannabis et des produits à base de cannabis uniquement auprès d’un détaillant autorisé dans la province ou auprès de la Newfoundland and Labrador </w:t>
            </w:r>
            <w:proofErr w:type="spellStart"/>
            <w:r w:rsidRPr="00EA3915">
              <w:rPr>
                <w:rFonts w:ascii="Arial" w:eastAsia="Calibri" w:hAnsi="Arial" w:cs="Arial"/>
                <w:bCs/>
                <w:szCs w:val="24"/>
                <w:lang w:val="fr-CA" w:eastAsia="en-CA" w:bidi="en-US"/>
              </w:rPr>
              <w:t>Liquor</w:t>
            </w:r>
            <w:proofErr w:type="spellEnd"/>
            <w:r w:rsidRPr="00EA3915">
              <w:rPr>
                <w:rFonts w:ascii="Arial" w:eastAsia="Calibri" w:hAnsi="Arial" w:cs="Arial"/>
                <w:bCs/>
                <w:szCs w:val="24"/>
                <w:lang w:val="fr-CA" w:eastAsia="en-CA" w:bidi="en-US"/>
              </w:rPr>
              <w:t xml:space="preserve"> Corporation. Il est entendu </w:t>
            </w:r>
            <w:r w:rsidRPr="00EA3915">
              <w:rPr>
                <w:rFonts w:ascii="Arial" w:eastAsia="Calibri" w:hAnsi="Arial" w:cs="Arial"/>
                <w:bCs/>
                <w:szCs w:val="24"/>
                <w:lang w:val="fr-CA" w:eastAsia="en-CA" w:bidi="en-US"/>
              </w:rPr>
              <w:lastRenderedPageBreak/>
              <w:t>qu’aucune restriction concernant l’importation ou l’exportation n’est imposée aux producteurs de cannabis autorisés situés dans la province.</w:t>
            </w:r>
          </w:p>
        </w:tc>
      </w:tr>
    </w:tbl>
    <w:p w14:paraId="15F9C74A" w14:textId="77777777" w:rsidR="00EA3915" w:rsidRPr="00F52884" w:rsidRDefault="00EA3915" w:rsidP="009A780E">
      <w:pPr>
        <w:spacing w:before="60" w:after="60"/>
        <w:rPr>
          <w:rFonts w:cstheme="minorHAnsi"/>
          <w:b/>
          <w:bCs/>
          <w:szCs w:val="23"/>
          <w:lang w:val="fr-FR"/>
        </w:rPr>
      </w:pPr>
    </w:p>
    <w:p w14:paraId="60F2314E" w14:textId="77777777" w:rsidR="00B8348C" w:rsidRPr="00F52884" w:rsidRDefault="00B8348C">
      <w:pPr>
        <w:rPr>
          <w:rFonts w:cstheme="minorHAnsi"/>
          <w:b/>
          <w:bCs/>
          <w:szCs w:val="23"/>
          <w:lang w:val="fr-FR"/>
        </w:rPr>
      </w:pPr>
      <w:r w:rsidRPr="00F52884">
        <w:rPr>
          <w:rFonts w:cstheme="minorHAnsi"/>
          <w:b/>
          <w:bCs/>
          <w:szCs w:val="23"/>
          <w:lang w:val="fr-FR"/>
        </w:rPr>
        <w:br w:type="page"/>
      </w:r>
    </w:p>
    <w:p w14:paraId="465A6436" w14:textId="77777777" w:rsidR="00B8348C" w:rsidRPr="00F52884" w:rsidRDefault="00B8348C" w:rsidP="00F52884">
      <w:pPr>
        <w:pStyle w:val="Heading3"/>
        <w:jc w:val="center"/>
        <w:rPr>
          <w:rFonts w:asciiTheme="minorHAnsi" w:hAnsiTheme="minorHAnsi" w:cstheme="minorHAnsi"/>
          <w:sz w:val="24"/>
          <w:szCs w:val="24"/>
          <w:lang w:val="fr-CA"/>
        </w:rPr>
      </w:pPr>
      <w:bookmarkStart w:id="294" w:name="_Toc476566345"/>
      <w:bookmarkStart w:id="295" w:name="_Toc156311798"/>
      <w:r w:rsidRPr="00F52884">
        <w:rPr>
          <w:rFonts w:asciiTheme="minorHAnsi" w:hAnsiTheme="minorHAnsi" w:cstheme="minorHAnsi"/>
          <w:sz w:val="24"/>
          <w:szCs w:val="24"/>
          <w:lang w:val="fr-CA"/>
        </w:rPr>
        <w:lastRenderedPageBreak/>
        <w:t>Liste du Yukon</w:t>
      </w:r>
      <w:bookmarkEnd w:id="294"/>
      <w:bookmarkEnd w:id="295"/>
    </w:p>
    <w:p w14:paraId="14C35485" w14:textId="77777777" w:rsidR="00B8348C" w:rsidRPr="00F52884" w:rsidRDefault="00B8348C" w:rsidP="000C25A3">
      <w:pPr>
        <w:contextualSpacing/>
        <w:jc w:val="center"/>
        <w:outlineLvl w:val="2"/>
        <w:rPr>
          <w:rFonts w:eastAsia="Times New Roman" w:cstheme="minorHAnsi"/>
          <w:b/>
          <w:sz w:val="24"/>
          <w:szCs w:val="24"/>
          <w:lang w:val="fr-CA"/>
        </w:rPr>
      </w:pPr>
    </w:p>
    <w:p w14:paraId="248E312F" w14:textId="77777777" w:rsidR="00B8348C" w:rsidRPr="00F52884" w:rsidRDefault="00B8348C" w:rsidP="000C25A3">
      <w:pPr>
        <w:jc w:val="center"/>
        <w:rPr>
          <w:rFonts w:cstheme="minorHAnsi"/>
          <w:b/>
          <w:sz w:val="24"/>
          <w:szCs w:val="24"/>
          <w:lang w:val="fr-CA"/>
        </w:rPr>
      </w:pPr>
      <w:r w:rsidRPr="00F52884">
        <w:rPr>
          <w:rFonts w:cstheme="minorHAnsi"/>
          <w:b/>
          <w:bCs/>
          <w:sz w:val="24"/>
          <w:szCs w:val="24"/>
          <w:lang w:val="fr-CA"/>
        </w:rPr>
        <w:t>Annexe I</w:t>
      </w:r>
    </w:p>
    <w:p w14:paraId="7E019AC2" w14:textId="77777777" w:rsidR="00B8348C" w:rsidRPr="00F52884" w:rsidRDefault="00B8348C" w:rsidP="000C25A3">
      <w:pPr>
        <w:jc w:val="center"/>
        <w:rPr>
          <w:rFonts w:cstheme="minorHAnsi"/>
          <w:b/>
          <w:szCs w:val="23"/>
          <w:lang w:val="fr-CA"/>
        </w:rPr>
      </w:pPr>
    </w:p>
    <w:p w14:paraId="1E9AF7A5" w14:textId="3870E0A6" w:rsidR="00B8348C" w:rsidRPr="00F52884" w:rsidRDefault="00B8348C" w:rsidP="00167455">
      <w:pPr>
        <w:spacing w:before="60" w:after="60"/>
        <w:ind w:left="-360"/>
        <w:rPr>
          <w:rFonts w:cstheme="minorHAnsi"/>
          <w:b/>
          <w:caps/>
          <w:szCs w:val="23"/>
          <w:lang w:val="fr-CA"/>
        </w:rPr>
      </w:pPr>
      <w:r w:rsidRPr="00F52884">
        <w:rPr>
          <w:rFonts w:cstheme="minorHAnsi"/>
          <w:b/>
          <w:bCs/>
          <w:caps/>
          <w:szCs w:val="23"/>
          <w:lang w:val="fr-CA"/>
        </w:rPr>
        <w:t xml:space="preserve">1. </w:t>
      </w:r>
      <w:r w:rsidR="00167455" w:rsidRPr="00F52884">
        <w:rPr>
          <w:rFonts w:cstheme="minorHAnsi"/>
          <w:b/>
          <w:bCs/>
          <w:caps/>
          <w:szCs w:val="23"/>
          <w:lang w:val="fr-CA"/>
        </w:rPr>
        <w:t xml:space="preserve"> </w:t>
      </w:r>
      <w:r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3EAE299C" w14:textId="77777777" w:rsidTr="0016745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A1B2F76"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p>
        </w:tc>
        <w:tc>
          <w:tcPr>
            <w:tcW w:w="7822" w:type="dxa"/>
            <w:gridSpan w:val="2"/>
            <w:tcBorders>
              <w:top w:val="single" w:sz="4" w:space="0" w:color="C0C0C0"/>
              <w:left w:val="single" w:sz="4" w:space="0" w:color="FFFFFF"/>
              <w:bottom w:val="single" w:sz="4" w:space="0" w:color="C0C0C0"/>
              <w:right w:val="nil"/>
            </w:tcBorders>
            <w:vAlign w:val="center"/>
          </w:tcPr>
          <w:p w14:paraId="3FF89663" w14:textId="77777777" w:rsidR="00B8348C" w:rsidRPr="00F52884" w:rsidRDefault="00B8348C" w:rsidP="000C25A3">
            <w:pPr>
              <w:spacing w:before="60" w:after="60"/>
              <w:rPr>
                <w:rFonts w:cstheme="minorHAnsi"/>
                <w:szCs w:val="23"/>
              </w:rPr>
            </w:pPr>
            <w:r w:rsidRPr="00F52884">
              <w:rPr>
                <w:rFonts w:cstheme="minorHAnsi"/>
                <w:szCs w:val="23"/>
                <w:lang w:val="fr-CA"/>
              </w:rPr>
              <w:t>Tous les secteurs</w:t>
            </w:r>
          </w:p>
        </w:tc>
      </w:tr>
      <w:tr w:rsidR="00B8348C" w:rsidRPr="00F52884" w14:paraId="53758545" w14:textId="77777777" w:rsidTr="0016745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3A7F10C0"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22" w:type="dxa"/>
            <w:gridSpan w:val="2"/>
            <w:tcBorders>
              <w:top w:val="single" w:sz="4" w:space="0" w:color="C0C0C0"/>
              <w:left w:val="single" w:sz="4" w:space="0" w:color="FFFFFF"/>
              <w:bottom w:val="single" w:sz="4" w:space="0" w:color="C0C0C0"/>
              <w:right w:val="nil"/>
            </w:tcBorders>
            <w:vAlign w:val="center"/>
          </w:tcPr>
          <w:p w14:paraId="37B26FBD" w14:textId="77777777" w:rsidR="00B8348C" w:rsidRPr="00F52884" w:rsidRDefault="00B8348C" w:rsidP="000C25A3">
            <w:pPr>
              <w:spacing w:before="60" w:after="60"/>
              <w:rPr>
                <w:rFonts w:cstheme="minorHAnsi"/>
                <w:szCs w:val="23"/>
              </w:rPr>
            </w:pPr>
            <w:r w:rsidRPr="00F52884">
              <w:rPr>
                <w:rFonts w:cstheme="minorHAnsi"/>
                <w:szCs w:val="23"/>
                <w:lang w:val="fr-CA"/>
              </w:rPr>
              <w:t>Tous les sous-secteurs</w:t>
            </w:r>
          </w:p>
        </w:tc>
      </w:tr>
      <w:tr w:rsidR="00B8348C" w:rsidRPr="00F52884" w14:paraId="5788D8B6" w14:textId="77777777" w:rsidTr="0016745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E867936"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67E501F4" w14:textId="77777777" w:rsidR="00B8348C" w:rsidRPr="00F52884" w:rsidRDefault="00B8348C" w:rsidP="000C25A3">
            <w:pPr>
              <w:spacing w:before="60" w:after="60"/>
              <w:ind w:left="4"/>
              <w:rPr>
                <w:rFonts w:cstheme="minorHAnsi"/>
                <w:szCs w:val="23"/>
              </w:rPr>
            </w:pPr>
          </w:p>
        </w:tc>
      </w:tr>
      <w:tr w:rsidR="00B8348C" w:rsidRPr="0068240F" w14:paraId="0CA247A4" w14:textId="77777777" w:rsidTr="00167455">
        <w:trPr>
          <w:trHeight w:val="42"/>
          <w:jc w:val="center"/>
        </w:trPr>
        <w:tc>
          <w:tcPr>
            <w:tcW w:w="2430" w:type="dxa"/>
            <w:tcBorders>
              <w:top w:val="single" w:sz="4" w:space="0" w:color="C0C0C0"/>
              <w:left w:val="nil"/>
              <w:bottom w:val="single" w:sz="4" w:space="0" w:color="C0C0C0"/>
              <w:right w:val="single" w:sz="4" w:space="0" w:color="FFFFFF"/>
            </w:tcBorders>
          </w:tcPr>
          <w:p w14:paraId="37EEAD9C" w14:textId="23FE7BFC"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5A871E4D" w14:textId="5601DB68"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313 (Prescriptions de résultats)</w:t>
            </w:r>
          </w:p>
        </w:tc>
      </w:tr>
      <w:tr w:rsidR="00B8348C" w:rsidRPr="00F52884" w14:paraId="35F5125C"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8A325FC"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1E4CDBD0"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5CE16C9" w14:textId="2242632F"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de l'impôt sur le revenu, </w:t>
            </w:r>
            <w:r w:rsidRPr="00F52884">
              <w:rPr>
                <w:rFonts w:cstheme="minorHAnsi"/>
                <w:szCs w:val="23"/>
                <w:lang w:val="fr-CA"/>
              </w:rPr>
              <w:t>LRY 2002, c 118, art 13</w:t>
            </w:r>
          </w:p>
        </w:tc>
      </w:tr>
      <w:tr w:rsidR="00B8348C" w:rsidRPr="00F52884" w14:paraId="6B5B7914"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5997649"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652CA82C"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2F40D4B3" w14:textId="048E5226" w:rsidR="00B8348C" w:rsidRPr="00F52884" w:rsidRDefault="00B8348C" w:rsidP="00B8348C">
            <w:pPr>
              <w:spacing w:before="60" w:after="60"/>
              <w:rPr>
                <w:rFonts w:cstheme="minorHAnsi"/>
                <w:szCs w:val="23"/>
                <w:lang w:val="fr-FR"/>
              </w:rPr>
            </w:pPr>
            <w:r w:rsidRPr="00F52884">
              <w:rPr>
                <w:rFonts w:cstheme="minorHAnsi"/>
                <w:szCs w:val="23"/>
                <w:lang w:val="fr-CA"/>
              </w:rPr>
              <w:t xml:space="preserve">La </w:t>
            </w:r>
            <w:r w:rsidRPr="00F52884">
              <w:rPr>
                <w:rFonts w:cstheme="minorHAnsi"/>
                <w:i/>
                <w:iCs/>
                <w:szCs w:val="23"/>
                <w:lang w:val="fr-CA"/>
              </w:rPr>
              <w:t>Loi de l’impôt sur le revenu</w:t>
            </w:r>
            <w:r w:rsidRPr="00F52884">
              <w:rPr>
                <w:rFonts w:cstheme="minorHAnsi"/>
                <w:szCs w:val="23"/>
                <w:lang w:val="fr-CA"/>
              </w:rPr>
              <w:t xml:space="preserve"> du Yukon prévoit pour les résidents du territoire un crédit d’impôt à l’investissement dans la petite entreprise de 25 pour cent des montants qu’ils ont engagés au titre d’un placement dans une société admissible. Une société admissible exploitant une petite entreprise doit répondre à certains critères, notamment maintenir un lieu d’affaires permanent au Yukon, détenir au moins 50 pour cent de ses actifs au Yukon et verser au moins 50 pour cent des salaires au Yukon.</w:t>
            </w:r>
          </w:p>
        </w:tc>
      </w:tr>
    </w:tbl>
    <w:p w14:paraId="7D3C9552" w14:textId="77777777" w:rsidR="00B8348C" w:rsidRPr="00F52884" w:rsidRDefault="00B8348C" w:rsidP="000C25A3">
      <w:pPr>
        <w:rPr>
          <w:rFonts w:cstheme="minorHAnsi"/>
          <w:szCs w:val="23"/>
          <w:lang w:val="fr-FR"/>
        </w:rPr>
      </w:pPr>
    </w:p>
    <w:p w14:paraId="183955DD" w14:textId="77777777" w:rsidR="00B8348C" w:rsidRPr="00F52884" w:rsidRDefault="00B8348C" w:rsidP="000C25A3">
      <w:pPr>
        <w:rPr>
          <w:rFonts w:cstheme="minorHAnsi"/>
          <w:szCs w:val="23"/>
          <w:lang w:val="fr-FR"/>
        </w:rPr>
      </w:pPr>
    </w:p>
    <w:p w14:paraId="6A9FC87D" w14:textId="6E707FFB" w:rsidR="00B8348C" w:rsidRPr="00F52884" w:rsidRDefault="00B8348C" w:rsidP="00167455">
      <w:pPr>
        <w:spacing w:before="60" w:after="60"/>
        <w:ind w:left="-360"/>
        <w:rPr>
          <w:rFonts w:cstheme="minorHAnsi"/>
          <w:b/>
          <w:caps/>
          <w:szCs w:val="23"/>
        </w:rPr>
      </w:pPr>
      <w:r w:rsidRPr="00F52884">
        <w:rPr>
          <w:rFonts w:cstheme="minorHAnsi"/>
          <w:b/>
          <w:bCs/>
          <w:caps/>
          <w:szCs w:val="23"/>
          <w:lang w:val="fr-CA"/>
        </w:rPr>
        <w:t xml:space="preserve">2. </w:t>
      </w:r>
      <w:r w:rsidR="00167455" w:rsidRPr="00F52884">
        <w:rPr>
          <w:rFonts w:cstheme="minorHAnsi"/>
          <w:b/>
          <w:bCs/>
          <w:caps/>
          <w:szCs w:val="23"/>
          <w:lang w:val="fr-CA"/>
        </w:rPr>
        <w:t xml:space="preserve"> </w:t>
      </w:r>
      <w:r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661FEC36" w14:textId="77777777" w:rsidTr="0016745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0EDB4F03"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nil"/>
            </w:tcBorders>
            <w:vAlign w:val="center"/>
          </w:tcPr>
          <w:p w14:paraId="0E72D346" w14:textId="77777777" w:rsidR="00B8348C" w:rsidRPr="00F52884" w:rsidRDefault="00B8348C" w:rsidP="000C25A3">
            <w:pPr>
              <w:spacing w:before="60" w:after="60"/>
              <w:rPr>
                <w:rFonts w:cstheme="minorHAnsi"/>
                <w:szCs w:val="23"/>
              </w:rPr>
            </w:pPr>
            <w:r w:rsidRPr="00F52884">
              <w:rPr>
                <w:rFonts w:cstheme="minorHAnsi"/>
                <w:szCs w:val="23"/>
                <w:lang w:val="fr-CA"/>
              </w:rPr>
              <w:t>Services immobiliers</w:t>
            </w:r>
          </w:p>
        </w:tc>
      </w:tr>
      <w:tr w:rsidR="00B8348C" w:rsidRPr="0068240F" w14:paraId="077A9A16" w14:textId="77777777" w:rsidTr="0016745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71B5ADE7"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822" w:type="dxa"/>
            <w:gridSpan w:val="2"/>
            <w:tcBorders>
              <w:top w:val="single" w:sz="4" w:space="0" w:color="C0C0C0"/>
              <w:left w:val="single" w:sz="4" w:space="0" w:color="FFFFFF"/>
              <w:bottom w:val="single" w:sz="4" w:space="0" w:color="C0C0C0"/>
              <w:right w:val="nil"/>
            </w:tcBorders>
            <w:vAlign w:val="center"/>
          </w:tcPr>
          <w:p w14:paraId="61DD7266"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immobiliers se rapportant à des biens propres ou loués; services immobiliers à forfait ou sous contrat</w:t>
            </w:r>
          </w:p>
        </w:tc>
      </w:tr>
      <w:tr w:rsidR="00B8348C" w:rsidRPr="00F52884" w14:paraId="5ADB07C2" w14:textId="77777777" w:rsidTr="0016745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0575E81B"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17560A6F" w14:textId="77777777" w:rsidR="00B8348C" w:rsidRPr="00F52884" w:rsidRDefault="00B8348C" w:rsidP="000C25A3">
            <w:pPr>
              <w:spacing w:before="60" w:after="60"/>
              <w:ind w:left="4"/>
              <w:rPr>
                <w:rFonts w:cstheme="minorHAnsi"/>
                <w:szCs w:val="23"/>
              </w:rPr>
            </w:pPr>
            <w:r w:rsidRPr="00F52884">
              <w:rPr>
                <w:rFonts w:cstheme="minorHAnsi"/>
                <w:szCs w:val="23"/>
                <w:lang w:val="fr-CA"/>
              </w:rPr>
              <w:t>CPC 821, 822</w:t>
            </w:r>
          </w:p>
        </w:tc>
      </w:tr>
      <w:tr w:rsidR="00B8348C" w:rsidRPr="00F52884" w14:paraId="4681F5CB" w14:textId="77777777" w:rsidTr="00167455">
        <w:trPr>
          <w:trHeight w:val="42"/>
          <w:jc w:val="center"/>
        </w:trPr>
        <w:tc>
          <w:tcPr>
            <w:tcW w:w="2430" w:type="dxa"/>
            <w:tcBorders>
              <w:top w:val="single" w:sz="4" w:space="0" w:color="C0C0C0"/>
              <w:left w:val="nil"/>
              <w:bottom w:val="single" w:sz="4" w:space="0" w:color="C0C0C0"/>
              <w:right w:val="single" w:sz="4" w:space="0" w:color="FFFFFF"/>
            </w:tcBorders>
          </w:tcPr>
          <w:p w14:paraId="1FC5899A" w14:textId="62F23D24"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783C908A" w14:textId="327E5A2E" w:rsidR="00B8348C" w:rsidRPr="00F52884" w:rsidRDefault="00B8348C" w:rsidP="00B8348C">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7F7C74BB"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BF49BC"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1B7916F5"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6497160E" w14:textId="139BCB78"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les agents immobiliers, </w:t>
            </w:r>
            <w:r w:rsidRPr="00F52884">
              <w:rPr>
                <w:rFonts w:cstheme="minorHAnsi"/>
                <w:szCs w:val="23"/>
                <w:lang w:val="fr-CA"/>
              </w:rPr>
              <w:t>LRY 2002, c 188, art 5</w:t>
            </w:r>
          </w:p>
          <w:p w14:paraId="13360C0D" w14:textId="31688BE8" w:rsidR="00B8348C" w:rsidRPr="00F52884" w:rsidRDefault="00B8348C" w:rsidP="00B8348C">
            <w:pPr>
              <w:spacing w:before="60" w:after="60"/>
              <w:rPr>
                <w:rFonts w:cstheme="minorHAnsi"/>
                <w:szCs w:val="23"/>
                <w:lang w:val="fr-FR"/>
              </w:rPr>
            </w:pPr>
            <w:r w:rsidRPr="00F52884">
              <w:rPr>
                <w:rFonts w:cstheme="minorHAnsi"/>
                <w:i/>
                <w:iCs/>
                <w:szCs w:val="23"/>
                <w:lang w:val="fr-CA"/>
              </w:rPr>
              <w:t xml:space="preserve">Règlement, </w:t>
            </w:r>
            <w:r w:rsidRPr="00F52884">
              <w:rPr>
                <w:rFonts w:cstheme="minorHAnsi"/>
                <w:iCs/>
                <w:szCs w:val="23"/>
                <w:lang w:val="fr-CA"/>
              </w:rPr>
              <w:t>YD</w:t>
            </w:r>
            <w:r w:rsidRPr="00F52884">
              <w:rPr>
                <w:rFonts w:cstheme="minorHAnsi"/>
                <w:szCs w:val="23"/>
                <w:lang w:val="fr-CA"/>
              </w:rPr>
              <w:t xml:space="preserve"> 1977/158, 1981/14, 1990/136</w:t>
            </w:r>
          </w:p>
        </w:tc>
      </w:tr>
      <w:tr w:rsidR="00B8348C" w:rsidRPr="00F52884" w14:paraId="33B481A2"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726C61"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22609A03"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2EDDE6C4" w14:textId="77777777" w:rsidR="00B8348C" w:rsidRPr="00F52884" w:rsidRDefault="00B8348C" w:rsidP="000C25A3">
            <w:pPr>
              <w:spacing w:before="60" w:after="60"/>
              <w:rPr>
                <w:rFonts w:cstheme="minorHAnsi"/>
                <w:szCs w:val="23"/>
                <w:lang w:val="fr-FR"/>
              </w:rPr>
            </w:pPr>
            <w:r w:rsidRPr="00F52884">
              <w:rPr>
                <w:rFonts w:cstheme="minorHAnsi"/>
                <w:szCs w:val="23"/>
                <w:lang w:val="fr-CA"/>
              </w:rPr>
              <w:t>Pour obtenir une licence d’agent immobilier, le demandeur doit :</w:t>
            </w:r>
          </w:p>
          <w:p w14:paraId="11EAA88D" w14:textId="77777777" w:rsidR="00B8348C" w:rsidRPr="00F52884" w:rsidRDefault="00B8348C" w:rsidP="00B8348C">
            <w:pPr>
              <w:numPr>
                <w:ilvl w:val="0"/>
                <w:numId w:val="135"/>
              </w:numPr>
              <w:tabs>
                <w:tab w:val="clear" w:pos="720"/>
              </w:tabs>
              <w:spacing w:before="60" w:after="60"/>
              <w:ind w:left="906" w:hanging="540"/>
              <w:rPr>
                <w:rFonts w:cstheme="minorHAnsi"/>
                <w:szCs w:val="23"/>
                <w:lang w:val="fr-FR"/>
              </w:rPr>
            </w:pPr>
            <w:proofErr w:type="gramStart"/>
            <w:r w:rsidRPr="00F52884">
              <w:rPr>
                <w:rFonts w:cstheme="minorHAnsi"/>
                <w:szCs w:val="23"/>
                <w:lang w:val="fr-CA"/>
              </w:rPr>
              <w:t>être</w:t>
            </w:r>
            <w:proofErr w:type="gramEnd"/>
            <w:r w:rsidRPr="00F52884">
              <w:rPr>
                <w:rFonts w:cstheme="minorHAnsi"/>
                <w:szCs w:val="23"/>
                <w:lang w:val="fr-CA"/>
              </w:rPr>
              <w:t xml:space="preserve"> un résident du Yukon pendant une période d’au moins trois mois immédiatement avant la date de la demande;</w:t>
            </w:r>
          </w:p>
          <w:p w14:paraId="7250D74D" w14:textId="77777777" w:rsidR="00B8348C" w:rsidRPr="00F52884" w:rsidRDefault="00B8348C" w:rsidP="00B8348C">
            <w:pPr>
              <w:numPr>
                <w:ilvl w:val="0"/>
                <w:numId w:val="135"/>
              </w:numPr>
              <w:tabs>
                <w:tab w:val="clear" w:pos="720"/>
              </w:tabs>
              <w:spacing w:before="60" w:after="60"/>
              <w:ind w:left="906" w:hanging="546"/>
              <w:rPr>
                <w:rFonts w:cstheme="minorHAnsi"/>
                <w:szCs w:val="23"/>
                <w:lang w:val="fr-FR"/>
              </w:rPr>
            </w:pPr>
            <w:proofErr w:type="gramStart"/>
            <w:r w:rsidRPr="00F52884">
              <w:rPr>
                <w:rFonts w:cstheme="minorHAnsi"/>
                <w:szCs w:val="23"/>
                <w:lang w:val="fr-CA"/>
              </w:rPr>
              <w:lastRenderedPageBreak/>
              <w:t>être</w:t>
            </w:r>
            <w:proofErr w:type="gramEnd"/>
            <w:r w:rsidRPr="00F52884">
              <w:rPr>
                <w:rFonts w:cstheme="minorHAnsi"/>
                <w:szCs w:val="23"/>
                <w:lang w:val="fr-CA"/>
              </w:rPr>
              <w:t xml:space="preserve"> titulaire d’une licence de représentant au Yukon pendant au moins une année avant la date de la demande.</w:t>
            </w:r>
          </w:p>
        </w:tc>
      </w:tr>
    </w:tbl>
    <w:p w14:paraId="6F013470" w14:textId="77777777" w:rsidR="00B8348C" w:rsidRPr="00F52884" w:rsidRDefault="00B8348C" w:rsidP="000C25A3">
      <w:pPr>
        <w:rPr>
          <w:rFonts w:cstheme="minorHAnsi"/>
          <w:szCs w:val="23"/>
          <w:lang w:val="fr-FR"/>
        </w:rPr>
      </w:pPr>
    </w:p>
    <w:p w14:paraId="1C45943E" w14:textId="77777777" w:rsidR="00B8348C" w:rsidRPr="00F52884" w:rsidRDefault="00B8348C" w:rsidP="000C25A3">
      <w:pPr>
        <w:rPr>
          <w:rFonts w:cstheme="minorHAnsi"/>
          <w:szCs w:val="23"/>
          <w:lang w:val="fr-FR"/>
        </w:rPr>
      </w:pPr>
    </w:p>
    <w:p w14:paraId="3454C333" w14:textId="34B1D747" w:rsidR="00B8348C" w:rsidRPr="00F52884" w:rsidRDefault="00B8348C" w:rsidP="00167455">
      <w:pPr>
        <w:spacing w:before="60" w:after="60"/>
        <w:ind w:left="-360"/>
        <w:rPr>
          <w:rFonts w:cstheme="minorHAnsi"/>
          <w:b/>
          <w:caps/>
          <w:szCs w:val="23"/>
        </w:rPr>
      </w:pPr>
      <w:r w:rsidRPr="00F52884">
        <w:rPr>
          <w:rFonts w:cstheme="minorHAnsi"/>
          <w:b/>
          <w:bCs/>
          <w:caps/>
          <w:szCs w:val="23"/>
          <w:lang w:val="fr-CA"/>
        </w:rPr>
        <w:t xml:space="preserve">3. </w:t>
      </w:r>
      <w:r w:rsidR="00167455" w:rsidRPr="00F52884">
        <w:rPr>
          <w:rFonts w:cstheme="minorHAnsi"/>
          <w:b/>
          <w:bCs/>
          <w:caps/>
          <w:szCs w:val="23"/>
          <w:lang w:val="fr-CA"/>
        </w:rPr>
        <w:t xml:space="preserve"> </w:t>
      </w:r>
      <w:r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430"/>
        <w:gridCol w:w="7443"/>
        <w:gridCol w:w="379"/>
      </w:tblGrid>
      <w:tr w:rsidR="00B8348C" w:rsidRPr="00F52884" w14:paraId="2E2A08D9" w14:textId="77777777" w:rsidTr="0016745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2D1499B"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nil"/>
            </w:tcBorders>
            <w:vAlign w:val="center"/>
          </w:tcPr>
          <w:p w14:paraId="22017D20" w14:textId="77777777" w:rsidR="00B8348C" w:rsidRPr="00F52884" w:rsidRDefault="00B8348C" w:rsidP="000C25A3">
            <w:pPr>
              <w:spacing w:before="60" w:after="60"/>
              <w:rPr>
                <w:rFonts w:cstheme="minorHAnsi"/>
                <w:szCs w:val="23"/>
              </w:rPr>
            </w:pPr>
            <w:r w:rsidRPr="00F52884">
              <w:rPr>
                <w:rFonts w:cstheme="minorHAnsi"/>
                <w:szCs w:val="23"/>
                <w:lang w:val="fr-CA"/>
              </w:rPr>
              <w:t>Tourisme</w:t>
            </w:r>
          </w:p>
        </w:tc>
      </w:tr>
      <w:tr w:rsidR="00B8348C" w:rsidRPr="00F52884" w14:paraId="2105FCB8" w14:textId="77777777" w:rsidTr="0016745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1DA2269B"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822" w:type="dxa"/>
            <w:gridSpan w:val="2"/>
            <w:tcBorders>
              <w:top w:val="single" w:sz="4" w:space="0" w:color="C0C0C0"/>
              <w:left w:val="single" w:sz="4" w:space="0" w:color="FFFFFF"/>
              <w:bottom w:val="single" w:sz="4" w:space="0" w:color="C0C0C0"/>
              <w:right w:val="nil"/>
            </w:tcBorders>
            <w:vAlign w:val="center"/>
          </w:tcPr>
          <w:p w14:paraId="70AFBD81" w14:textId="77777777" w:rsidR="00B8348C" w:rsidRPr="00F52884" w:rsidRDefault="00B8348C" w:rsidP="000C25A3">
            <w:pPr>
              <w:spacing w:before="60" w:after="60"/>
              <w:rPr>
                <w:rFonts w:cstheme="minorHAnsi"/>
                <w:szCs w:val="23"/>
              </w:rPr>
            </w:pPr>
            <w:r w:rsidRPr="00F52884">
              <w:rPr>
                <w:rFonts w:cstheme="minorHAnsi"/>
                <w:szCs w:val="23"/>
                <w:lang w:val="fr-CA"/>
              </w:rPr>
              <w:t>Tourisme en milieu sauvage</w:t>
            </w:r>
          </w:p>
        </w:tc>
      </w:tr>
      <w:tr w:rsidR="00B8348C" w:rsidRPr="00F52884" w14:paraId="10B4402D" w14:textId="77777777" w:rsidTr="0016745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7DBCE63F"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52DA030F" w14:textId="77777777" w:rsidR="00B8348C" w:rsidRPr="00F52884" w:rsidRDefault="00B8348C" w:rsidP="000C25A3">
            <w:pPr>
              <w:spacing w:before="60" w:after="60"/>
              <w:ind w:left="4"/>
              <w:rPr>
                <w:rFonts w:cstheme="minorHAnsi"/>
                <w:szCs w:val="23"/>
              </w:rPr>
            </w:pPr>
            <w:r w:rsidRPr="00F52884">
              <w:rPr>
                <w:rFonts w:cstheme="minorHAnsi"/>
                <w:szCs w:val="23"/>
                <w:lang w:val="fr-CA"/>
              </w:rPr>
              <w:t>CPC 7472</w:t>
            </w:r>
          </w:p>
        </w:tc>
      </w:tr>
      <w:tr w:rsidR="00B8348C" w:rsidRPr="0068240F" w14:paraId="6F9C681B" w14:textId="77777777" w:rsidTr="00167455">
        <w:trPr>
          <w:trHeight w:val="42"/>
          <w:jc w:val="center"/>
        </w:trPr>
        <w:tc>
          <w:tcPr>
            <w:tcW w:w="2430" w:type="dxa"/>
            <w:tcBorders>
              <w:top w:val="single" w:sz="4" w:space="0" w:color="C0C0C0"/>
              <w:left w:val="nil"/>
              <w:bottom w:val="single" w:sz="4" w:space="0" w:color="C0C0C0"/>
              <w:right w:val="single" w:sz="4" w:space="0" w:color="FFFFFF"/>
            </w:tcBorders>
          </w:tcPr>
          <w:p w14:paraId="6E0EBD23" w14:textId="12CC18A1"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467AC9CC" w14:textId="5994390A"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307 (Accès aux marchés – Services), article 312 (Accès aux marchés – Investissement)</w:t>
            </w:r>
          </w:p>
        </w:tc>
      </w:tr>
      <w:tr w:rsidR="00B8348C" w:rsidRPr="00F52884" w14:paraId="26E4D392"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E52BB35"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F52884" w14:paraId="2D2A2303"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395506C" w14:textId="155ECD30"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l’octroi de permis visant certaines activités touristiques </w:t>
            </w:r>
            <w:r w:rsidRPr="00F52884">
              <w:rPr>
                <w:i/>
                <w:lang w:val="fr-CA"/>
              </w:rPr>
              <w:t>en milieu sauvage</w:t>
            </w:r>
            <w:r w:rsidRPr="00F52884">
              <w:rPr>
                <w:rFonts w:cstheme="minorHAnsi"/>
                <w:i/>
                <w:iCs/>
                <w:szCs w:val="23"/>
                <w:lang w:val="fr-CA"/>
              </w:rPr>
              <w:t xml:space="preserve">, </w:t>
            </w:r>
            <w:r w:rsidRPr="00F52884">
              <w:rPr>
                <w:rFonts w:cstheme="minorHAnsi"/>
                <w:szCs w:val="23"/>
                <w:lang w:val="fr-CA"/>
              </w:rPr>
              <w:t>LRY 2002, c 228, art 1415</w:t>
            </w:r>
          </w:p>
          <w:p w14:paraId="023B048C" w14:textId="2AEAC010" w:rsidR="00B8348C" w:rsidRPr="00F52884" w:rsidRDefault="00B8348C" w:rsidP="00B8348C">
            <w:pPr>
              <w:spacing w:before="60" w:after="60"/>
              <w:rPr>
                <w:rFonts w:cstheme="minorHAnsi"/>
                <w:szCs w:val="23"/>
                <w:lang w:val="fr-CA"/>
              </w:rPr>
            </w:pPr>
            <w:r w:rsidRPr="00F52884">
              <w:rPr>
                <w:rFonts w:cstheme="minorHAnsi"/>
                <w:i/>
                <w:iCs/>
                <w:szCs w:val="23"/>
                <w:lang w:val="fr-CA"/>
              </w:rPr>
              <w:t xml:space="preserve">Dispositions générales, </w:t>
            </w:r>
            <w:r w:rsidRPr="00F52884">
              <w:rPr>
                <w:rFonts w:cstheme="minorHAnsi"/>
                <w:szCs w:val="23"/>
                <w:lang w:val="en-US"/>
              </w:rPr>
              <w:t xml:space="preserve">YD </w:t>
            </w:r>
            <w:r w:rsidRPr="00F52884">
              <w:rPr>
                <w:rFonts w:cstheme="minorHAnsi"/>
                <w:szCs w:val="23"/>
                <w:lang w:val="fr-CA"/>
              </w:rPr>
              <w:t>1999/69</w:t>
            </w:r>
          </w:p>
        </w:tc>
      </w:tr>
      <w:tr w:rsidR="00B8348C" w:rsidRPr="00F52884" w14:paraId="13E6D06B"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48DEDC1"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F52884" w:rsidRPr="0068240F" w14:paraId="763298C9"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8D66168"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nombre de permis accordés pour la zone du Parc national et de la Réserve de Glacier Bay est limité. La préférence est accordée aux résidents du Yukon au moment de la distribution des permis attribués au Yukon.</w:t>
            </w:r>
          </w:p>
          <w:p w14:paraId="73637FA9" w14:textId="4F1A3ABA" w:rsidR="00B8348C" w:rsidRPr="00F52884" w:rsidRDefault="00B8348C" w:rsidP="000C25A3">
            <w:pPr>
              <w:spacing w:before="120" w:after="120"/>
              <w:rPr>
                <w:rFonts w:cstheme="minorHAnsi"/>
                <w:szCs w:val="23"/>
                <w:lang w:val="fr-FR"/>
              </w:rPr>
            </w:pPr>
            <w:r w:rsidRPr="00F52884">
              <w:rPr>
                <w:rFonts w:cstheme="minorHAnsi"/>
                <w:szCs w:val="23"/>
                <w:lang w:val="fr-CA"/>
              </w:rPr>
              <w:t>Les mesures susmentionnées permettent au gouvernement du Yukon de réglementer et d’accorder diverses autorisations à l’égard du tourisme en milieu sauvage. Le gouvernement du Yukon peut adopter des mesures visant, entre autres :</w:t>
            </w:r>
          </w:p>
          <w:p w14:paraId="4B256F07"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limiter la propriété en fonction du lieu de résidence;</w:t>
            </w:r>
          </w:p>
          <w:p w14:paraId="76214A76"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CA"/>
              </w:rPr>
            </w:pPr>
            <w:proofErr w:type="gramStart"/>
            <w:r w:rsidRPr="00F52884">
              <w:rPr>
                <w:rFonts w:cstheme="minorHAnsi"/>
                <w:szCs w:val="23"/>
                <w:lang w:val="fr-FR"/>
              </w:rPr>
              <w:t>à</w:t>
            </w:r>
            <w:proofErr w:type="gramEnd"/>
            <w:r w:rsidRPr="00F52884">
              <w:rPr>
                <w:rFonts w:cstheme="minorHAnsi"/>
                <w:szCs w:val="23"/>
                <w:lang w:val="fr-FR"/>
              </w:rPr>
              <w:t xml:space="preserve"> restreindre </w:t>
            </w:r>
            <w:r w:rsidRPr="00F52884">
              <w:rPr>
                <w:rFonts w:cstheme="minorHAnsi"/>
                <w:szCs w:val="23"/>
                <w:lang w:val="fr-CA"/>
              </w:rPr>
              <w:t>l’accès aux marchés.</w:t>
            </w:r>
          </w:p>
        </w:tc>
      </w:tr>
    </w:tbl>
    <w:p w14:paraId="0E1C440B" w14:textId="77777777" w:rsidR="00B8348C" w:rsidRPr="00F52884" w:rsidRDefault="00B8348C" w:rsidP="000C25A3">
      <w:pPr>
        <w:rPr>
          <w:rFonts w:cstheme="minorHAnsi"/>
          <w:szCs w:val="23"/>
          <w:lang w:val="fr-CA"/>
        </w:rPr>
      </w:pPr>
    </w:p>
    <w:p w14:paraId="6D6B188F" w14:textId="77777777" w:rsidR="00B8348C" w:rsidRPr="00F52884" w:rsidRDefault="00B8348C" w:rsidP="000C25A3">
      <w:pPr>
        <w:rPr>
          <w:rFonts w:cstheme="minorHAnsi"/>
          <w:szCs w:val="23"/>
          <w:lang w:val="fr-CA"/>
        </w:rPr>
      </w:pPr>
    </w:p>
    <w:p w14:paraId="409A197D" w14:textId="14176B91" w:rsidR="00B8348C" w:rsidRPr="00F52884" w:rsidRDefault="00B8348C" w:rsidP="00167455">
      <w:pPr>
        <w:spacing w:before="60" w:after="60"/>
        <w:ind w:left="-360"/>
        <w:rPr>
          <w:rFonts w:cstheme="minorHAnsi"/>
          <w:b/>
          <w:caps/>
          <w:szCs w:val="23"/>
        </w:rPr>
      </w:pPr>
      <w:r w:rsidRPr="00F52884">
        <w:rPr>
          <w:rFonts w:cstheme="minorHAnsi"/>
          <w:b/>
          <w:bCs/>
          <w:caps/>
          <w:szCs w:val="23"/>
          <w:lang w:val="fr-CA"/>
        </w:rPr>
        <w:t xml:space="preserve">4. </w:t>
      </w:r>
      <w:r w:rsidR="00167455" w:rsidRPr="00F52884">
        <w:rPr>
          <w:rFonts w:cstheme="minorHAnsi"/>
          <w:b/>
          <w:bCs/>
          <w:caps/>
          <w:szCs w:val="23"/>
          <w:lang w:val="fr-CA"/>
        </w:rPr>
        <w:t xml:space="preserve"> </w:t>
      </w:r>
      <w:r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520"/>
        <w:gridCol w:w="7353"/>
        <w:gridCol w:w="379"/>
      </w:tblGrid>
      <w:tr w:rsidR="00B8348C" w:rsidRPr="00F52884" w14:paraId="7C4F5406" w14:textId="77777777" w:rsidTr="0016745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2D0ADD8"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732" w:type="dxa"/>
            <w:gridSpan w:val="2"/>
            <w:tcBorders>
              <w:top w:val="single" w:sz="4" w:space="0" w:color="C0C0C0"/>
              <w:left w:val="single" w:sz="4" w:space="0" w:color="FFFFFF"/>
              <w:bottom w:val="single" w:sz="4" w:space="0" w:color="C0C0C0"/>
              <w:right w:val="nil"/>
            </w:tcBorders>
            <w:vAlign w:val="center"/>
          </w:tcPr>
          <w:p w14:paraId="4AAA24B7" w14:textId="77777777" w:rsidR="00B8348C" w:rsidRPr="00F52884" w:rsidRDefault="00B8348C" w:rsidP="000C25A3">
            <w:pPr>
              <w:spacing w:before="60" w:after="60"/>
              <w:rPr>
                <w:rFonts w:cstheme="minorHAnsi"/>
                <w:szCs w:val="23"/>
              </w:rPr>
            </w:pPr>
            <w:r w:rsidRPr="00F52884">
              <w:rPr>
                <w:rFonts w:cstheme="minorHAnsi"/>
                <w:szCs w:val="23"/>
                <w:lang w:val="fr-CA"/>
              </w:rPr>
              <w:t>Tourisme</w:t>
            </w:r>
          </w:p>
        </w:tc>
      </w:tr>
      <w:tr w:rsidR="00B8348C" w:rsidRPr="0068240F" w14:paraId="76DB7DE8" w14:textId="77777777" w:rsidTr="0016745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0A575854"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732" w:type="dxa"/>
            <w:gridSpan w:val="2"/>
            <w:tcBorders>
              <w:top w:val="single" w:sz="4" w:space="0" w:color="C0C0C0"/>
              <w:left w:val="single" w:sz="4" w:space="0" w:color="FFFFFF"/>
              <w:bottom w:val="single" w:sz="4" w:space="0" w:color="C0C0C0"/>
              <w:right w:val="nil"/>
            </w:tcBorders>
            <w:vAlign w:val="center"/>
          </w:tcPr>
          <w:p w14:paraId="53E44297"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annexes à la chasse, au piégeage, pourvoiries et services de guides touristiques</w:t>
            </w:r>
          </w:p>
        </w:tc>
      </w:tr>
      <w:tr w:rsidR="00B8348C" w:rsidRPr="00F52884" w14:paraId="3804FBE3" w14:textId="77777777" w:rsidTr="0016745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5D7A326D"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single" w:sz="4" w:space="0" w:color="FFFFFF"/>
              <w:bottom w:val="single" w:sz="4" w:space="0" w:color="C0C0C0"/>
              <w:right w:val="nil"/>
            </w:tcBorders>
            <w:vAlign w:val="center"/>
          </w:tcPr>
          <w:p w14:paraId="33ED7742" w14:textId="77777777" w:rsidR="00B8348C" w:rsidRPr="00F52884" w:rsidRDefault="00B8348C" w:rsidP="000C25A3">
            <w:pPr>
              <w:spacing w:before="60" w:after="60"/>
              <w:ind w:left="4"/>
              <w:rPr>
                <w:rFonts w:cstheme="minorHAnsi"/>
                <w:szCs w:val="23"/>
              </w:rPr>
            </w:pPr>
            <w:r w:rsidRPr="00F52884">
              <w:rPr>
                <w:rFonts w:cstheme="minorHAnsi"/>
                <w:szCs w:val="23"/>
                <w:lang w:val="fr-CA"/>
              </w:rPr>
              <w:t>CPC 8813, 7472, 96419</w:t>
            </w:r>
          </w:p>
        </w:tc>
      </w:tr>
      <w:tr w:rsidR="00B8348C" w:rsidRPr="0068240F" w14:paraId="382537FF" w14:textId="77777777" w:rsidTr="00167455">
        <w:trPr>
          <w:trHeight w:val="42"/>
          <w:jc w:val="center"/>
        </w:trPr>
        <w:tc>
          <w:tcPr>
            <w:tcW w:w="2520" w:type="dxa"/>
            <w:tcBorders>
              <w:top w:val="single" w:sz="4" w:space="0" w:color="C0C0C0"/>
              <w:left w:val="nil"/>
              <w:bottom w:val="single" w:sz="4" w:space="0" w:color="C0C0C0"/>
              <w:right w:val="single" w:sz="4" w:space="0" w:color="FFFFFF"/>
            </w:tcBorders>
          </w:tcPr>
          <w:p w14:paraId="3240164C" w14:textId="3C4BDCCB"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bottom w:val="single" w:sz="4" w:space="0" w:color="C0C0C0"/>
              <w:right w:val="single" w:sz="4" w:space="0" w:color="C0C0C0"/>
            </w:tcBorders>
          </w:tcPr>
          <w:p w14:paraId="5FA42B7D" w14:textId="4B45EBB1"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307 (Accès aux marchés – Services), article 312 (Accès aux marchés – Investissement)</w:t>
            </w:r>
          </w:p>
        </w:tc>
      </w:tr>
      <w:tr w:rsidR="00B8348C" w:rsidRPr="00F52884" w14:paraId="281E81A9"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6E20676"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4DEB8291"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560EAFD" w14:textId="4D2D9A1E" w:rsidR="00B8348C" w:rsidRPr="00F52884" w:rsidRDefault="00B8348C" w:rsidP="000C25A3">
            <w:pPr>
              <w:spacing w:before="60" w:after="60"/>
              <w:rPr>
                <w:rFonts w:cstheme="minorHAnsi"/>
                <w:szCs w:val="23"/>
                <w:lang w:val="fr-FR"/>
              </w:rPr>
            </w:pPr>
            <w:r w:rsidRPr="00F52884">
              <w:rPr>
                <w:rFonts w:cstheme="minorHAnsi"/>
                <w:i/>
                <w:iCs/>
                <w:szCs w:val="23"/>
                <w:lang w:val="fr-CA"/>
              </w:rPr>
              <w:t xml:space="preserve">Loi sur la faune, </w:t>
            </w:r>
            <w:r w:rsidRPr="00F52884">
              <w:rPr>
                <w:rFonts w:cstheme="minorHAnsi"/>
                <w:szCs w:val="23"/>
                <w:lang w:val="fr-CA"/>
              </w:rPr>
              <w:t>LRY 2002, c 229, art 59(1), 61(a), 68(2), 104, 111</w:t>
            </w:r>
            <w:r w:rsidRPr="00B04E29">
              <w:rPr>
                <w:rFonts w:ascii="Arial" w:hAnsi="Arial" w:cs="Arial"/>
                <w:szCs w:val="23"/>
                <w:lang w:val="fr-CA"/>
              </w:rPr>
              <w:t>–</w:t>
            </w:r>
            <w:r w:rsidRPr="00F52884">
              <w:rPr>
                <w:rFonts w:cstheme="minorHAnsi"/>
                <w:szCs w:val="23"/>
                <w:lang w:val="fr-CA"/>
              </w:rPr>
              <w:t>112, 123, 189, 192</w:t>
            </w:r>
            <w:r w:rsidRPr="00B04E29">
              <w:rPr>
                <w:rFonts w:ascii="Arial" w:hAnsi="Arial" w:cs="Arial"/>
                <w:szCs w:val="23"/>
                <w:lang w:val="fr-CA"/>
              </w:rPr>
              <w:t>–</w:t>
            </w:r>
            <w:r w:rsidRPr="00F52884">
              <w:rPr>
                <w:rFonts w:cstheme="minorHAnsi"/>
                <w:szCs w:val="23"/>
                <w:lang w:val="fr-CA"/>
              </w:rPr>
              <w:t>197, 213</w:t>
            </w:r>
            <w:r w:rsidRPr="00B04E29">
              <w:rPr>
                <w:rFonts w:ascii="Arial" w:hAnsi="Arial" w:cs="Arial"/>
                <w:szCs w:val="23"/>
                <w:lang w:val="fr-CA"/>
              </w:rPr>
              <w:t>–</w:t>
            </w:r>
            <w:r w:rsidRPr="00F52884">
              <w:rPr>
                <w:rFonts w:cstheme="minorHAnsi"/>
                <w:szCs w:val="23"/>
                <w:lang w:val="fr-CA"/>
              </w:rPr>
              <w:t>214, 217, 226, 229, 230</w:t>
            </w:r>
            <w:r w:rsidRPr="00B04E29">
              <w:rPr>
                <w:rFonts w:ascii="Arial" w:hAnsi="Arial" w:cs="Arial"/>
                <w:szCs w:val="23"/>
                <w:lang w:val="fr-CA"/>
              </w:rPr>
              <w:t>–</w:t>
            </w:r>
            <w:r w:rsidRPr="00F52884">
              <w:rPr>
                <w:rFonts w:cstheme="minorHAnsi"/>
                <w:szCs w:val="23"/>
                <w:lang w:val="fr-CA"/>
              </w:rPr>
              <w:t>234, 236</w:t>
            </w:r>
          </w:p>
          <w:p w14:paraId="6223C765" w14:textId="2E30F8E2" w:rsidR="00B8348C" w:rsidRPr="00F52884" w:rsidRDefault="00B8348C" w:rsidP="000C25A3">
            <w:pPr>
              <w:spacing w:before="60" w:after="60"/>
              <w:rPr>
                <w:rFonts w:cstheme="minorHAnsi"/>
                <w:szCs w:val="23"/>
                <w:lang w:val="fr-CA"/>
              </w:rPr>
            </w:pPr>
            <w:r w:rsidRPr="00F52884">
              <w:rPr>
                <w:rFonts w:cstheme="minorHAnsi"/>
                <w:i/>
                <w:iCs/>
                <w:szCs w:val="23"/>
                <w:lang w:val="fr-CA"/>
              </w:rPr>
              <w:lastRenderedPageBreak/>
              <w:t xml:space="preserve">Règlement sur la faune, </w:t>
            </w:r>
            <w:r w:rsidRPr="00F52884">
              <w:rPr>
                <w:rFonts w:cstheme="minorHAnsi"/>
                <w:szCs w:val="23"/>
                <w:lang w:val="fr-CA"/>
              </w:rPr>
              <w:t>YD 2012/84</w:t>
            </w:r>
          </w:p>
          <w:p w14:paraId="11A56594" w14:textId="5CCFEE61"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le piégeage, </w:t>
            </w:r>
            <w:r w:rsidRPr="00F52884">
              <w:rPr>
                <w:rFonts w:cstheme="minorHAnsi"/>
                <w:szCs w:val="23"/>
                <w:lang w:val="fr-CA"/>
              </w:rPr>
              <w:t>YD 1983/283</w:t>
            </w:r>
          </w:p>
          <w:p w14:paraId="1136AA39" w14:textId="3FA9B808"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les parcs et la désignation foncière, </w:t>
            </w:r>
            <w:r w:rsidRPr="00F52884">
              <w:rPr>
                <w:rFonts w:cstheme="minorHAnsi"/>
                <w:szCs w:val="23"/>
                <w:lang w:val="fr-CA"/>
              </w:rPr>
              <w:t>LRY 2002, c 165, art 6, 8, 37, 43, 47</w:t>
            </w:r>
            <w:r w:rsidRPr="00B04E29">
              <w:rPr>
                <w:rFonts w:ascii="Arial" w:hAnsi="Arial" w:cs="Arial"/>
                <w:szCs w:val="23"/>
                <w:lang w:val="fr-CA"/>
              </w:rPr>
              <w:t>–</w:t>
            </w:r>
            <w:r w:rsidRPr="00F52884">
              <w:rPr>
                <w:rFonts w:cstheme="minorHAnsi"/>
                <w:szCs w:val="23"/>
                <w:lang w:val="fr-CA"/>
              </w:rPr>
              <w:t>49, 65</w:t>
            </w:r>
          </w:p>
          <w:p w14:paraId="792CFCCF" w14:textId="173EF863" w:rsidR="00B8348C" w:rsidRPr="00F52884" w:rsidRDefault="00B8348C" w:rsidP="00B8348C">
            <w:pPr>
              <w:spacing w:before="60" w:after="60"/>
              <w:rPr>
                <w:rFonts w:cstheme="minorHAnsi"/>
                <w:szCs w:val="23"/>
                <w:lang w:val="fr-CA"/>
              </w:rPr>
            </w:pPr>
            <w:r w:rsidRPr="00F52884">
              <w:rPr>
                <w:rFonts w:cstheme="minorHAnsi"/>
                <w:i/>
                <w:iCs/>
                <w:szCs w:val="23"/>
                <w:lang w:val="fr-CA"/>
              </w:rPr>
              <w:t xml:space="preserve">Règlement sur le parc de l’île Herschel, </w:t>
            </w:r>
            <w:r w:rsidRPr="00F52884">
              <w:rPr>
                <w:rFonts w:cstheme="minorHAnsi"/>
                <w:szCs w:val="23"/>
                <w:lang w:val="fr-CA"/>
              </w:rPr>
              <w:t>YD 1990/038</w:t>
            </w:r>
          </w:p>
        </w:tc>
      </w:tr>
      <w:tr w:rsidR="00B8348C" w:rsidRPr="00F52884" w14:paraId="2288BB44"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EFCC7C5" w14:textId="77777777" w:rsidR="00B8348C" w:rsidRPr="00F52884" w:rsidRDefault="00B8348C" w:rsidP="000C25A3">
            <w:pPr>
              <w:spacing w:before="60" w:after="60"/>
              <w:rPr>
                <w:rFonts w:cstheme="minorHAnsi"/>
                <w:b/>
                <w:szCs w:val="23"/>
              </w:rPr>
            </w:pPr>
            <w:r w:rsidRPr="00F52884">
              <w:rPr>
                <w:rFonts w:cstheme="minorHAnsi"/>
                <w:b/>
                <w:bCs/>
                <w:szCs w:val="23"/>
                <w:lang w:val="fr-CA"/>
              </w:rPr>
              <w:lastRenderedPageBreak/>
              <w:t>Description :</w:t>
            </w:r>
          </w:p>
        </w:tc>
      </w:tr>
      <w:tr w:rsidR="00F52884" w:rsidRPr="0068240F" w14:paraId="1FC43075"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284EC5A"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Pour obtenir une concession de pourvoirie, une concession de piégeage ou une licence de tourisme en milieu sauvage, un demandeur doit être citoyen canadien ou résident permanent résidant habituellement au Canada. Les pourvoyeurs doivent être présents au Yukon pendant la période où des chasseurs se trouvent dans leur concession.</w:t>
            </w:r>
          </w:p>
          <w:p w14:paraId="706C31ED"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Un certificat de pourvoirie est une autorisation annuelle qui permet à son titulaire d’exploiter une pourvoirie dans une concession de pourvoirie donnée. Un certificat de pourvoirie peut être délivré au titulaire d’une concession ou, s’il en fait la demande, à une société admissible désignée par le pourvoyeur. La société est alors autorisée à fournir des services de guides aux chasseurs. Les licences d’aide-trappeur et les concessions de piégeage sont délivrées aux résidents du Yukon seulement.</w:t>
            </w:r>
          </w:p>
          <w:p w14:paraId="01C44D68" w14:textId="6A1F59CA" w:rsidR="00B8348C" w:rsidRPr="00F52884" w:rsidRDefault="00B8348C" w:rsidP="000C25A3">
            <w:pPr>
              <w:spacing w:before="120" w:after="120"/>
              <w:rPr>
                <w:rFonts w:cstheme="minorHAnsi"/>
                <w:szCs w:val="23"/>
                <w:lang w:val="fr-FR"/>
              </w:rPr>
            </w:pPr>
            <w:r w:rsidRPr="00F52884">
              <w:rPr>
                <w:rFonts w:cstheme="minorHAnsi"/>
                <w:szCs w:val="23"/>
                <w:lang w:val="fr-CA"/>
              </w:rPr>
              <w:t>Les mesures susmentionnées permettent au gouvernement du Yukon de réglementer et d’accorder diverses autorisations à l’égard du tourisme, y compris les services annexes à la chasse, au piégeage, aux pourvoiries et aux guides touristiques. Le gouvernement du Yukon peut adopter des mesures visant, entre autres:</w:t>
            </w:r>
          </w:p>
          <w:p w14:paraId="62DA4F71"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limiter  la propriété en fonction du lieu de résidence;</w:t>
            </w:r>
          </w:p>
          <w:p w14:paraId="6C2698E3"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CA"/>
              </w:rPr>
            </w:pPr>
            <w:proofErr w:type="gramStart"/>
            <w:r w:rsidRPr="00F52884">
              <w:rPr>
                <w:rFonts w:cstheme="minorHAnsi"/>
                <w:szCs w:val="23"/>
                <w:lang w:val="fr-CA"/>
              </w:rPr>
              <w:t>à</w:t>
            </w:r>
            <w:proofErr w:type="gramEnd"/>
            <w:r w:rsidRPr="00F52884">
              <w:rPr>
                <w:rFonts w:cstheme="minorHAnsi"/>
                <w:szCs w:val="23"/>
                <w:lang w:val="fr-CA"/>
              </w:rPr>
              <w:t xml:space="preserve"> restreindre l’accès aux marchés.</w:t>
            </w:r>
          </w:p>
        </w:tc>
      </w:tr>
    </w:tbl>
    <w:p w14:paraId="4483B2E0" w14:textId="77777777" w:rsidR="00B8348C" w:rsidRPr="00F52884" w:rsidRDefault="00B8348C" w:rsidP="000C25A3">
      <w:pPr>
        <w:rPr>
          <w:rFonts w:cstheme="minorHAnsi"/>
          <w:szCs w:val="23"/>
          <w:lang w:val="fr-CA"/>
        </w:rPr>
      </w:pPr>
    </w:p>
    <w:p w14:paraId="0B7201F6" w14:textId="77777777" w:rsidR="00B8348C" w:rsidRPr="00F52884" w:rsidRDefault="00B8348C" w:rsidP="000C25A3">
      <w:pPr>
        <w:rPr>
          <w:rFonts w:cstheme="minorHAnsi"/>
          <w:szCs w:val="23"/>
          <w:lang w:val="fr-CA"/>
        </w:rPr>
      </w:pPr>
    </w:p>
    <w:p w14:paraId="2FC1F1E4" w14:textId="1355500F" w:rsidR="00B8348C" w:rsidRPr="00F52884" w:rsidRDefault="00B8348C" w:rsidP="00167455">
      <w:pPr>
        <w:spacing w:before="60" w:after="60"/>
        <w:ind w:left="-360"/>
        <w:rPr>
          <w:rFonts w:cstheme="minorHAnsi"/>
          <w:b/>
          <w:caps/>
          <w:szCs w:val="23"/>
        </w:rPr>
      </w:pPr>
      <w:r w:rsidRPr="00F52884">
        <w:rPr>
          <w:rFonts w:cstheme="minorHAnsi"/>
          <w:b/>
          <w:bCs/>
          <w:caps/>
          <w:szCs w:val="23"/>
          <w:lang w:val="fr-CA"/>
        </w:rPr>
        <w:t xml:space="preserve">5. </w:t>
      </w:r>
      <w:r w:rsidR="00167455" w:rsidRPr="00F52884">
        <w:rPr>
          <w:rFonts w:cstheme="minorHAnsi"/>
          <w:b/>
          <w:bCs/>
          <w:caps/>
          <w:szCs w:val="23"/>
          <w:lang w:val="fr-CA"/>
        </w:rPr>
        <w:t xml:space="preserve"> </w:t>
      </w:r>
      <w:r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520"/>
        <w:gridCol w:w="7353"/>
        <w:gridCol w:w="379"/>
      </w:tblGrid>
      <w:tr w:rsidR="00B8348C" w:rsidRPr="00F52884" w14:paraId="21E88BC5" w14:textId="77777777" w:rsidTr="0016745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3E698228"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732" w:type="dxa"/>
            <w:gridSpan w:val="2"/>
            <w:tcBorders>
              <w:top w:val="single" w:sz="4" w:space="0" w:color="C0C0C0"/>
              <w:left w:val="single" w:sz="4" w:space="0" w:color="FFFFFF"/>
              <w:bottom w:val="single" w:sz="4" w:space="0" w:color="C0C0C0"/>
              <w:right w:val="nil"/>
            </w:tcBorders>
            <w:vAlign w:val="center"/>
          </w:tcPr>
          <w:p w14:paraId="70B31990" w14:textId="77777777" w:rsidR="00B8348C" w:rsidRPr="00F52884" w:rsidRDefault="00B8348C" w:rsidP="000C25A3">
            <w:pPr>
              <w:spacing w:before="60" w:after="60"/>
              <w:rPr>
                <w:rFonts w:cstheme="minorHAnsi"/>
                <w:szCs w:val="23"/>
              </w:rPr>
            </w:pPr>
            <w:r w:rsidRPr="00F52884">
              <w:rPr>
                <w:rFonts w:cstheme="minorHAnsi"/>
                <w:szCs w:val="23"/>
                <w:lang w:val="fr-CA"/>
              </w:rPr>
              <w:t>Agriculture</w:t>
            </w:r>
          </w:p>
        </w:tc>
      </w:tr>
      <w:tr w:rsidR="00B8348C" w:rsidRPr="0068240F" w14:paraId="6B281E9C" w14:textId="77777777" w:rsidTr="0016745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7146D21D"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732" w:type="dxa"/>
            <w:gridSpan w:val="2"/>
            <w:tcBorders>
              <w:top w:val="single" w:sz="4" w:space="0" w:color="C0C0C0"/>
              <w:left w:val="single" w:sz="4" w:space="0" w:color="FFFFFF"/>
              <w:bottom w:val="single" w:sz="4" w:space="0" w:color="C0C0C0"/>
              <w:right w:val="nil"/>
            </w:tcBorders>
            <w:vAlign w:val="center"/>
          </w:tcPr>
          <w:p w14:paraId="44F7A2AA" w14:textId="77777777" w:rsidR="00B8348C" w:rsidRPr="00F52884" w:rsidRDefault="00B8348C" w:rsidP="000C25A3">
            <w:pPr>
              <w:spacing w:before="60" w:after="60"/>
              <w:rPr>
                <w:rFonts w:cstheme="minorHAnsi"/>
                <w:szCs w:val="23"/>
                <w:lang w:val="fr-FR"/>
              </w:rPr>
            </w:pPr>
            <w:r w:rsidRPr="00F52884">
              <w:rPr>
                <w:rFonts w:cstheme="minorHAnsi"/>
                <w:szCs w:val="23"/>
                <w:lang w:val="fr-CA"/>
              </w:rPr>
              <w:t>Terres agricoles, forêts et autres superficies boisées</w:t>
            </w:r>
          </w:p>
        </w:tc>
      </w:tr>
      <w:tr w:rsidR="00B8348C" w:rsidRPr="0068240F" w14:paraId="7F17BED9" w14:textId="77777777" w:rsidTr="0016745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7D2B321E"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single" w:sz="4" w:space="0" w:color="FFFFFF"/>
              <w:bottom w:val="single" w:sz="4" w:space="0" w:color="C0C0C0"/>
              <w:right w:val="nil"/>
            </w:tcBorders>
            <w:vAlign w:val="center"/>
          </w:tcPr>
          <w:p w14:paraId="7D2E9504" w14:textId="77777777" w:rsidR="00B8348C" w:rsidRPr="00F52884" w:rsidRDefault="00B8348C" w:rsidP="000C25A3">
            <w:pPr>
              <w:spacing w:before="60" w:after="60"/>
              <w:ind w:left="4"/>
              <w:rPr>
                <w:rFonts w:cstheme="minorHAnsi"/>
                <w:szCs w:val="23"/>
                <w:lang w:val="fr-FR"/>
              </w:rPr>
            </w:pPr>
            <w:r w:rsidRPr="00F52884">
              <w:rPr>
                <w:rFonts w:cstheme="minorHAnsi"/>
                <w:szCs w:val="23"/>
                <w:lang w:val="fr-CA"/>
              </w:rPr>
              <w:t>CPC 531, 8811 (sauf la location d’équipement avec opérateur), 8812</w:t>
            </w:r>
          </w:p>
        </w:tc>
      </w:tr>
      <w:tr w:rsidR="00B8348C" w:rsidRPr="00F52884" w14:paraId="3AE9F600" w14:textId="77777777" w:rsidTr="00167455">
        <w:trPr>
          <w:trHeight w:val="42"/>
          <w:jc w:val="center"/>
        </w:trPr>
        <w:tc>
          <w:tcPr>
            <w:tcW w:w="2520" w:type="dxa"/>
            <w:tcBorders>
              <w:top w:val="single" w:sz="4" w:space="0" w:color="C0C0C0"/>
              <w:left w:val="nil"/>
              <w:bottom w:val="single" w:sz="4" w:space="0" w:color="C0C0C0"/>
              <w:right w:val="single" w:sz="4" w:space="0" w:color="FFFFFF"/>
            </w:tcBorders>
          </w:tcPr>
          <w:p w14:paraId="4D018989" w14:textId="4FC49AA9"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bottom w:val="single" w:sz="4" w:space="0" w:color="C0C0C0"/>
              <w:right w:val="single" w:sz="4" w:space="0" w:color="C0C0C0"/>
            </w:tcBorders>
          </w:tcPr>
          <w:p w14:paraId="4F062C9A" w14:textId="72B7C0BB"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sz w:val="23"/>
                <w:szCs w:val="23"/>
                <w:lang w:val="fr-CA"/>
              </w:rPr>
              <w:t>Article 201 (Traitement non discriminatoire)</w:t>
            </w:r>
          </w:p>
        </w:tc>
      </w:tr>
      <w:tr w:rsidR="00B8348C" w:rsidRPr="00F52884" w14:paraId="59E2ECDE"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C8F209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5ABF93EB"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1A5E593" w14:textId="5D466D71" w:rsidR="00B8348C" w:rsidRPr="00F52884" w:rsidRDefault="00B8348C" w:rsidP="00F52884">
            <w:pPr>
              <w:spacing w:before="60" w:after="60"/>
              <w:rPr>
                <w:rFonts w:eastAsia="Times New Roman" w:cstheme="minorHAnsi"/>
                <w:szCs w:val="23"/>
                <w:lang w:val="fr-CA"/>
              </w:rPr>
            </w:pPr>
            <w:r w:rsidRPr="00F52884">
              <w:rPr>
                <w:rFonts w:cstheme="minorHAnsi"/>
                <w:i/>
                <w:iCs/>
                <w:szCs w:val="23"/>
                <w:lang w:val="fr-CA"/>
              </w:rPr>
              <w:t xml:space="preserve">Loi sur les titres de biens-fonds, </w:t>
            </w:r>
            <w:r w:rsidRPr="00F52884">
              <w:rPr>
                <w:rFonts w:cstheme="minorHAnsi"/>
                <w:szCs w:val="23"/>
                <w:lang w:val="fr-CA"/>
              </w:rPr>
              <w:t>LRY 2015, c 10, art 212</w:t>
            </w:r>
          </w:p>
          <w:p w14:paraId="04652BF2" w14:textId="749F47DA" w:rsidR="00B8348C" w:rsidRPr="00F52884" w:rsidRDefault="00B8348C" w:rsidP="00F52884">
            <w:pPr>
              <w:spacing w:before="60" w:after="60"/>
              <w:rPr>
                <w:rFonts w:eastAsia="Times New Roman" w:cstheme="minorHAnsi"/>
                <w:szCs w:val="23"/>
                <w:lang w:val="fr-CA"/>
              </w:rPr>
            </w:pPr>
            <w:r w:rsidRPr="00F52884">
              <w:rPr>
                <w:rFonts w:eastAsia="Times New Roman" w:cstheme="minorHAnsi"/>
                <w:i/>
                <w:iCs/>
                <w:szCs w:val="23"/>
                <w:lang w:val="fr-CA"/>
              </w:rPr>
              <w:t xml:space="preserve">Loi sur les terres, </w:t>
            </w:r>
            <w:r w:rsidRPr="00F52884">
              <w:rPr>
                <w:rFonts w:eastAsia="Times New Roman" w:cstheme="minorHAnsi"/>
                <w:szCs w:val="23"/>
                <w:lang w:val="fr-CA"/>
              </w:rPr>
              <w:t>LRY 2002, c 132</w:t>
            </w:r>
          </w:p>
          <w:p w14:paraId="385399FD" w14:textId="6BF80CE2" w:rsidR="00B8348C" w:rsidRPr="00B04E29" w:rsidRDefault="00B8348C" w:rsidP="00F52884">
            <w:pPr>
              <w:spacing w:before="60" w:after="60"/>
              <w:rPr>
                <w:rFonts w:eastAsia="Times New Roman" w:cstheme="minorHAnsi"/>
                <w:szCs w:val="23"/>
                <w:lang w:val="fr-CA"/>
              </w:rPr>
            </w:pPr>
            <w:r w:rsidRPr="00F52884">
              <w:rPr>
                <w:rFonts w:eastAsia="Times New Roman" w:cstheme="minorHAnsi"/>
                <w:i/>
                <w:iCs/>
                <w:szCs w:val="23"/>
                <w:lang w:val="fr-CA"/>
              </w:rPr>
              <w:t xml:space="preserve">Règlement sur les terres, </w:t>
            </w:r>
            <w:r w:rsidRPr="00F52884">
              <w:rPr>
                <w:lang w:val="fr-CA"/>
              </w:rPr>
              <w:t>YD</w:t>
            </w:r>
            <w:r w:rsidRPr="00B04E29">
              <w:rPr>
                <w:rFonts w:eastAsia="Times New Roman" w:cstheme="minorHAnsi"/>
                <w:szCs w:val="23"/>
                <w:lang w:val="fr-CA"/>
              </w:rPr>
              <w:t xml:space="preserve"> 1983/192</w:t>
            </w:r>
          </w:p>
          <w:p w14:paraId="7A4745CA" w14:textId="5421178F" w:rsidR="00B8348C" w:rsidRPr="00F52884" w:rsidRDefault="00B8348C" w:rsidP="00F52884">
            <w:pPr>
              <w:spacing w:before="60" w:after="60"/>
              <w:rPr>
                <w:rFonts w:eastAsia="Times New Roman" w:cstheme="minorHAnsi"/>
                <w:szCs w:val="23"/>
                <w:lang w:val="fr-CA"/>
              </w:rPr>
            </w:pPr>
            <w:r w:rsidRPr="00B04E29">
              <w:rPr>
                <w:rFonts w:eastAsia="Times New Roman" w:cstheme="minorHAnsi"/>
                <w:i/>
                <w:iCs/>
                <w:szCs w:val="23"/>
                <w:lang w:val="fr-CA"/>
              </w:rPr>
              <w:t xml:space="preserve">Loi sur les terres – Règlement </w:t>
            </w:r>
            <w:proofErr w:type="spellStart"/>
            <w:r w:rsidRPr="00B04E29">
              <w:rPr>
                <w:rFonts w:eastAsia="Times New Roman" w:cstheme="minorHAnsi"/>
                <w:i/>
                <w:iCs/>
                <w:szCs w:val="23"/>
                <w:lang w:val="fr-CA"/>
              </w:rPr>
              <w:t>modificant</w:t>
            </w:r>
            <w:proofErr w:type="spellEnd"/>
            <w:r w:rsidRPr="00B04E29">
              <w:rPr>
                <w:rFonts w:eastAsia="Times New Roman" w:cstheme="minorHAnsi"/>
                <w:i/>
                <w:iCs/>
                <w:szCs w:val="23"/>
                <w:lang w:val="fr-CA"/>
              </w:rPr>
              <w:t xml:space="preserve"> le R</w:t>
            </w:r>
            <w:r w:rsidRPr="00F52884">
              <w:rPr>
                <w:rFonts w:eastAsia="Times New Roman" w:cstheme="minorHAnsi"/>
                <w:i/>
                <w:iCs/>
                <w:szCs w:val="23"/>
                <w:lang w:val="fr-CA"/>
              </w:rPr>
              <w:t xml:space="preserve">èglement sur les terres, </w:t>
            </w:r>
            <w:r w:rsidRPr="00F52884">
              <w:rPr>
                <w:rFonts w:eastAsia="Times New Roman" w:cstheme="minorHAnsi"/>
                <w:szCs w:val="23"/>
                <w:lang w:val="fr-CA"/>
              </w:rPr>
              <w:t>YD 2012/159</w:t>
            </w:r>
          </w:p>
          <w:p w14:paraId="1B4D5025" w14:textId="1491AC3B" w:rsidR="00B8348C" w:rsidRPr="00F52884" w:rsidRDefault="00B8348C" w:rsidP="00F52884">
            <w:pPr>
              <w:spacing w:before="60" w:after="60"/>
              <w:rPr>
                <w:rFonts w:eastAsia="Times New Roman" w:cstheme="minorHAnsi"/>
                <w:szCs w:val="23"/>
                <w:lang w:val="fr-CA"/>
              </w:rPr>
            </w:pPr>
            <w:r w:rsidRPr="00F52884">
              <w:rPr>
                <w:rFonts w:eastAsia="Times New Roman" w:cstheme="minorHAnsi"/>
                <w:iCs/>
                <w:szCs w:val="23"/>
                <w:lang w:val="fr-CA"/>
              </w:rPr>
              <w:t>Politique agricole du Yukon</w:t>
            </w:r>
            <w:r w:rsidRPr="00F52884">
              <w:rPr>
                <w:rFonts w:eastAsia="Times New Roman" w:cstheme="minorHAnsi"/>
                <w:i/>
                <w:iCs/>
                <w:szCs w:val="23"/>
                <w:lang w:val="fr-CA"/>
              </w:rPr>
              <w:t xml:space="preserve"> </w:t>
            </w:r>
          </w:p>
          <w:p w14:paraId="0008555D" w14:textId="75237C1A" w:rsidR="00B8348C" w:rsidRPr="00F52884" w:rsidRDefault="00B8348C" w:rsidP="00F52884">
            <w:pPr>
              <w:spacing w:before="60" w:after="60"/>
              <w:rPr>
                <w:rFonts w:eastAsia="Times New Roman" w:cstheme="minorHAnsi"/>
                <w:szCs w:val="23"/>
                <w:lang w:val="fr-CA"/>
              </w:rPr>
            </w:pPr>
            <w:r w:rsidRPr="00F52884">
              <w:rPr>
                <w:rFonts w:eastAsia="Times New Roman" w:cstheme="minorHAnsi"/>
                <w:i/>
                <w:iCs/>
                <w:szCs w:val="23"/>
                <w:lang w:val="fr-CA"/>
              </w:rPr>
              <w:t xml:space="preserve">Loi sur l’évaluation environnementale et socioéconomique au Yukon, </w:t>
            </w:r>
            <w:r w:rsidRPr="00F52884">
              <w:rPr>
                <w:rFonts w:eastAsia="Times New Roman" w:cstheme="minorHAnsi"/>
                <w:szCs w:val="23"/>
                <w:lang w:val="fr-CA"/>
              </w:rPr>
              <w:t>LC 2003, c 7</w:t>
            </w:r>
          </w:p>
        </w:tc>
      </w:tr>
      <w:tr w:rsidR="00B8348C" w:rsidRPr="00F52884" w14:paraId="7F525D43"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9A94FD"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76FAA00D"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5D0CBC1" w14:textId="77777777" w:rsidR="00B8348C" w:rsidRPr="00F52884" w:rsidRDefault="00B8348C" w:rsidP="000C25A3">
            <w:pPr>
              <w:spacing w:before="120" w:after="120"/>
              <w:rPr>
                <w:rFonts w:cstheme="minorHAnsi"/>
                <w:szCs w:val="23"/>
                <w:lang w:val="fr-FR"/>
              </w:rPr>
            </w:pPr>
            <w:r w:rsidRPr="00F52884">
              <w:rPr>
                <w:rFonts w:cstheme="minorHAnsi"/>
                <w:szCs w:val="23"/>
                <w:lang w:val="fr-CA"/>
              </w:rPr>
              <w:lastRenderedPageBreak/>
              <w:t>Une société par actions qui présente une demande d’utilisation de terres agricoles doit être constituée en personne morale au Canada ou au Yukon. La majorité des actionnaires doivent être des citoyens canadiens ou des immigrants admis qui résident au Yukon sans interruption depuis un an.</w:t>
            </w:r>
          </w:p>
          <w:p w14:paraId="062571A0"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Une société qui présente une demande d’utilisation de terres agricoles doit être enregistrée au Yukon. Ses dirigeants doivent être des citoyens canadiens ou des immigrants admis qui résident au Yukon sans interruption depuis un an.</w:t>
            </w:r>
          </w:p>
          <w:p w14:paraId="6584B7AD"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La majorité des membres d’une association ou d’une coopérative agricole qui présente une demande d’utilisation de terres agricoles doivent être résidents du Yukon.</w:t>
            </w:r>
          </w:p>
          <w:p w14:paraId="2F875CAA" w14:textId="6D5CF039" w:rsidR="00B8348C" w:rsidRPr="00F52884" w:rsidRDefault="00B8348C" w:rsidP="00B8348C">
            <w:pPr>
              <w:spacing w:before="120" w:after="120"/>
              <w:rPr>
                <w:rFonts w:cstheme="minorHAnsi"/>
                <w:szCs w:val="23"/>
                <w:lang w:val="fr-FR"/>
              </w:rPr>
            </w:pPr>
            <w:r w:rsidRPr="00F52884">
              <w:rPr>
                <w:rFonts w:cstheme="minorHAnsi"/>
                <w:szCs w:val="23"/>
                <w:lang w:val="fr-CA"/>
              </w:rPr>
              <w:t>Les mesures susmentionnées permettent au gouvernement du Yukon de réglementer et d’accorder diverses autorisations à l’égard de l’agriculture, y compris les terres agricoles, les forêts et les autres superficies boisées. Le gouvernement du Yukon peut adopter des mesures visant, entre autres, à limiter la propriété en fonction du lieu de résidence.</w:t>
            </w:r>
          </w:p>
        </w:tc>
      </w:tr>
    </w:tbl>
    <w:p w14:paraId="0022FD6E" w14:textId="77777777" w:rsidR="00B8348C" w:rsidRPr="00F52884" w:rsidRDefault="00B8348C" w:rsidP="000C25A3">
      <w:pPr>
        <w:rPr>
          <w:rFonts w:cstheme="minorHAnsi"/>
          <w:szCs w:val="23"/>
          <w:lang w:val="fr-FR"/>
        </w:rPr>
      </w:pPr>
    </w:p>
    <w:p w14:paraId="59611CEE" w14:textId="77777777" w:rsidR="00B8348C" w:rsidRPr="00F52884" w:rsidRDefault="00B8348C" w:rsidP="000C25A3">
      <w:pPr>
        <w:rPr>
          <w:rFonts w:cstheme="minorHAnsi"/>
          <w:szCs w:val="23"/>
          <w:lang w:val="fr-FR"/>
        </w:rPr>
      </w:pPr>
    </w:p>
    <w:p w14:paraId="7D9FCA99" w14:textId="231049C5" w:rsidR="00B8348C" w:rsidRPr="00F52884" w:rsidRDefault="00D0721F" w:rsidP="00167455">
      <w:pPr>
        <w:spacing w:before="60" w:after="60"/>
        <w:ind w:left="-360"/>
        <w:rPr>
          <w:rFonts w:cstheme="minorHAnsi"/>
          <w:b/>
          <w:caps/>
          <w:szCs w:val="23"/>
        </w:rPr>
      </w:pPr>
      <w:r>
        <w:rPr>
          <w:rFonts w:cstheme="minorHAnsi"/>
          <w:b/>
          <w:bCs/>
          <w:caps/>
          <w:szCs w:val="23"/>
          <w:lang w:val="fr-CA"/>
        </w:rPr>
        <w:t>6</w:t>
      </w:r>
      <w:r w:rsidR="00B8348C" w:rsidRPr="00F52884">
        <w:rPr>
          <w:rFonts w:cstheme="minorHAnsi"/>
          <w:b/>
          <w:bCs/>
          <w:caps/>
          <w:szCs w:val="23"/>
          <w:lang w:val="fr-CA"/>
        </w:rPr>
        <w:t xml:space="preserve">. </w:t>
      </w:r>
      <w:r w:rsidR="00167455" w:rsidRPr="00F52884">
        <w:rPr>
          <w:rFonts w:cstheme="minorHAnsi"/>
          <w:b/>
          <w:bCs/>
          <w:caps/>
          <w:szCs w:val="23"/>
          <w:lang w:val="fr-CA"/>
        </w:rPr>
        <w:t xml:space="preserve"> </w:t>
      </w:r>
      <w:r w:rsidR="00B8348C"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520"/>
        <w:gridCol w:w="7353"/>
        <w:gridCol w:w="379"/>
      </w:tblGrid>
      <w:tr w:rsidR="00B8348C" w:rsidRPr="00F52884" w14:paraId="31F3173B" w14:textId="77777777" w:rsidTr="00167455">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62C4CA2"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732" w:type="dxa"/>
            <w:gridSpan w:val="2"/>
            <w:tcBorders>
              <w:top w:val="single" w:sz="4" w:space="0" w:color="C0C0C0"/>
              <w:left w:val="single" w:sz="4" w:space="0" w:color="FFFFFF"/>
              <w:bottom w:val="single" w:sz="4" w:space="0" w:color="C0C0C0"/>
              <w:right w:val="nil"/>
            </w:tcBorders>
            <w:vAlign w:val="center"/>
          </w:tcPr>
          <w:p w14:paraId="1C84E933"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3BBD9B97" w14:textId="77777777" w:rsidTr="00167455">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55CEF3C5"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732" w:type="dxa"/>
            <w:gridSpan w:val="2"/>
            <w:tcBorders>
              <w:top w:val="single" w:sz="4" w:space="0" w:color="C0C0C0"/>
              <w:left w:val="single" w:sz="4" w:space="0" w:color="FFFFFF"/>
              <w:bottom w:val="single" w:sz="4" w:space="0" w:color="C0C0C0"/>
              <w:right w:val="nil"/>
            </w:tcBorders>
            <w:vAlign w:val="center"/>
          </w:tcPr>
          <w:p w14:paraId="7F6AB563" w14:textId="77777777" w:rsidR="00B8348C" w:rsidRPr="00F52884" w:rsidRDefault="00B8348C" w:rsidP="000C25A3">
            <w:pPr>
              <w:spacing w:before="60" w:after="60"/>
              <w:rPr>
                <w:rFonts w:cstheme="minorHAnsi"/>
                <w:szCs w:val="23"/>
                <w:lang w:val="fr-FR"/>
              </w:rPr>
            </w:pPr>
            <w:r w:rsidRPr="00F52884">
              <w:rPr>
                <w:rFonts w:cstheme="minorHAnsi"/>
                <w:szCs w:val="23"/>
                <w:lang w:val="fr-CA"/>
              </w:rPr>
              <w:t>Énergie électrique et services annexes à la distribution d’énergie</w:t>
            </w:r>
          </w:p>
        </w:tc>
      </w:tr>
      <w:tr w:rsidR="00B8348C" w:rsidRPr="00F52884" w14:paraId="5A8F1755" w14:textId="77777777" w:rsidTr="00167455">
        <w:trPr>
          <w:gridAfter w:val="1"/>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7406B6CF"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single" w:sz="4" w:space="0" w:color="FFFFFF"/>
              <w:bottom w:val="single" w:sz="4" w:space="0" w:color="C0C0C0"/>
              <w:right w:val="nil"/>
            </w:tcBorders>
            <w:vAlign w:val="center"/>
          </w:tcPr>
          <w:p w14:paraId="40A023ED" w14:textId="77777777" w:rsidR="00B8348C" w:rsidRPr="00F52884" w:rsidRDefault="00B8348C" w:rsidP="000C25A3">
            <w:pPr>
              <w:spacing w:before="60" w:after="60"/>
              <w:ind w:left="4"/>
              <w:rPr>
                <w:rFonts w:cstheme="minorHAnsi"/>
                <w:szCs w:val="23"/>
              </w:rPr>
            </w:pPr>
            <w:r w:rsidRPr="00F52884">
              <w:rPr>
                <w:rFonts w:cstheme="minorHAnsi"/>
                <w:szCs w:val="23"/>
                <w:lang w:val="fr-CA"/>
              </w:rPr>
              <w:t>CPC 171, 713, 887</w:t>
            </w:r>
          </w:p>
        </w:tc>
      </w:tr>
      <w:tr w:rsidR="00B8348C" w:rsidRPr="0068240F" w14:paraId="4EAE2AC7" w14:textId="77777777" w:rsidTr="00167455">
        <w:trPr>
          <w:trHeight w:val="42"/>
          <w:jc w:val="center"/>
        </w:trPr>
        <w:tc>
          <w:tcPr>
            <w:tcW w:w="2520" w:type="dxa"/>
            <w:tcBorders>
              <w:top w:val="single" w:sz="4" w:space="0" w:color="C0C0C0"/>
              <w:left w:val="nil"/>
              <w:bottom w:val="single" w:sz="4" w:space="0" w:color="C0C0C0"/>
              <w:right w:val="single" w:sz="4" w:space="0" w:color="FFFFFF"/>
            </w:tcBorders>
          </w:tcPr>
          <w:p w14:paraId="3E7F08B9" w14:textId="389EBA47"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bottom w:val="single" w:sz="4" w:space="0" w:color="C0C0C0"/>
              <w:right w:val="single" w:sz="4" w:space="0" w:color="C0C0C0"/>
            </w:tcBorders>
          </w:tcPr>
          <w:p w14:paraId="2A7E69D0" w14:textId="577E5EEC"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313 (Prescriptions de résultats)</w:t>
            </w:r>
          </w:p>
        </w:tc>
      </w:tr>
      <w:tr w:rsidR="00B8348C" w:rsidRPr="00F52884" w14:paraId="7F1AF432"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AABE272"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10C8841E"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481718A0" w14:textId="61850412" w:rsidR="00B8348C" w:rsidRPr="00F52884" w:rsidRDefault="00B8348C" w:rsidP="000C25A3">
            <w:pPr>
              <w:spacing w:before="60" w:after="60"/>
              <w:rPr>
                <w:rFonts w:cstheme="minorHAnsi"/>
                <w:szCs w:val="23"/>
                <w:lang w:val="fr-FR"/>
              </w:rPr>
            </w:pPr>
            <w:r w:rsidRPr="00F52884">
              <w:rPr>
                <w:rFonts w:cstheme="minorHAnsi"/>
                <w:i/>
                <w:iCs/>
                <w:szCs w:val="23"/>
                <w:lang w:val="fr-CA"/>
              </w:rPr>
              <w:t xml:space="preserve">Loi sur les eaux, </w:t>
            </w:r>
            <w:r w:rsidRPr="00F52884">
              <w:rPr>
                <w:rFonts w:cstheme="minorHAnsi"/>
                <w:iCs/>
                <w:szCs w:val="23"/>
                <w:lang w:val="fr-CA"/>
              </w:rPr>
              <w:t>LY 2003,</w:t>
            </w:r>
            <w:r w:rsidRPr="00F52884">
              <w:rPr>
                <w:rFonts w:cstheme="minorHAnsi"/>
                <w:i/>
                <w:iCs/>
                <w:szCs w:val="23"/>
                <w:lang w:val="fr-CA"/>
              </w:rPr>
              <w:t xml:space="preserve"> </w:t>
            </w:r>
            <w:r w:rsidRPr="00F52884">
              <w:rPr>
                <w:rFonts w:cstheme="minorHAnsi"/>
                <w:szCs w:val="23"/>
                <w:lang w:val="fr-CA"/>
              </w:rPr>
              <w:t>c 19, art 29(4)(6), 31</w:t>
            </w:r>
            <w:r w:rsidRPr="00B04E29">
              <w:rPr>
                <w:rFonts w:ascii="Arial" w:hAnsi="Arial" w:cs="Arial"/>
                <w:szCs w:val="23"/>
                <w:lang w:val="fr-CA"/>
              </w:rPr>
              <w:t>–</w:t>
            </w:r>
            <w:r w:rsidRPr="00F52884">
              <w:rPr>
                <w:rFonts w:cstheme="minorHAnsi"/>
                <w:szCs w:val="23"/>
                <w:lang w:val="fr-CA"/>
              </w:rPr>
              <w:t>32, 44, 46</w:t>
            </w:r>
          </w:p>
          <w:p w14:paraId="391892B5" w14:textId="01F2C3A3" w:rsidR="00B8348C" w:rsidRPr="00F52884" w:rsidRDefault="00B8348C" w:rsidP="000C25A3">
            <w:pPr>
              <w:spacing w:before="60" w:after="60"/>
              <w:rPr>
                <w:rFonts w:cstheme="minorHAnsi"/>
                <w:szCs w:val="23"/>
                <w:lang w:val="fr-FR"/>
              </w:rPr>
            </w:pPr>
            <w:r w:rsidRPr="00F52884">
              <w:rPr>
                <w:rFonts w:cstheme="minorHAnsi"/>
                <w:i/>
                <w:iCs/>
                <w:szCs w:val="23"/>
                <w:lang w:val="fr-CA"/>
              </w:rPr>
              <w:t>Règlement sur les eaux,</w:t>
            </w:r>
            <w:r w:rsidRPr="00F52884">
              <w:rPr>
                <w:rFonts w:cstheme="minorHAnsi"/>
                <w:iCs/>
                <w:szCs w:val="23"/>
                <w:lang w:val="fr-CA"/>
              </w:rPr>
              <w:t xml:space="preserve"> YD</w:t>
            </w:r>
            <w:r w:rsidRPr="00F52884">
              <w:rPr>
                <w:rFonts w:cstheme="minorHAnsi"/>
                <w:szCs w:val="23"/>
                <w:lang w:val="fr-CA"/>
              </w:rPr>
              <w:t xml:space="preserve"> 2003/58</w:t>
            </w:r>
          </w:p>
          <w:p w14:paraId="7EC108C2" w14:textId="07C52A6D" w:rsidR="00B8348C" w:rsidRPr="00F52884" w:rsidRDefault="00B8348C" w:rsidP="000C25A3">
            <w:pPr>
              <w:spacing w:before="60" w:after="60"/>
              <w:rPr>
                <w:rFonts w:cstheme="minorHAnsi"/>
                <w:szCs w:val="23"/>
                <w:lang w:val="fr-FR"/>
              </w:rPr>
            </w:pPr>
            <w:r w:rsidRPr="00F52884">
              <w:rPr>
                <w:rFonts w:cstheme="minorHAnsi"/>
                <w:i/>
                <w:iCs/>
                <w:szCs w:val="23"/>
                <w:lang w:val="fr-CA"/>
              </w:rPr>
              <w:t xml:space="preserve">Loi sur l'environnement, </w:t>
            </w:r>
            <w:r w:rsidRPr="00F52884">
              <w:rPr>
                <w:rFonts w:cstheme="minorHAnsi"/>
                <w:szCs w:val="23"/>
                <w:lang w:val="fr-CA"/>
              </w:rPr>
              <w:t>LRY</w:t>
            </w:r>
            <w:r w:rsidRPr="00F52884">
              <w:rPr>
                <w:rFonts w:cstheme="minorHAnsi"/>
                <w:i/>
                <w:iCs/>
                <w:szCs w:val="23"/>
                <w:lang w:val="fr-CA"/>
              </w:rPr>
              <w:t xml:space="preserve"> </w:t>
            </w:r>
            <w:r w:rsidRPr="00F52884">
              <w:rPr>
                <w:rFonts w:cstheme="minorHAnsi"/>
                <w:szCs w:val="23"/>
                <w:lang w:val="fr-CA"/>
              </w:rPr>
              <w:t>2002, c 76, art 67(2), 70(4), 71(1), 74(1)(3)</w:t>
            </w:r>
            <w:r w:rsidRPr="00B04E29">
              <w:rPr>
                <w:rFonts w:ascii="Arial" w:hAnsi="Arial" w:cs="Arial"/>
                <w:szCs w:val="23"/>
                <w:lang w:val="fr-CA"/>
              </w:rPr>
              <w:t xml:space="preserve">(4), </w:t>
            </w:r>
            <w:r w:rsidRPr="00F52884">
              <w:rPr>
                <w:rFonts w:cstheme="minorHAnsi"/>
                <w:szCs w:val="23"/>
                <w:lang w:val="fr-CA"/>
              </w:rPr>
              <w:t>75(1), 90(2), 96(5)(9), 52</w:t>
            </w:r>
            <w:r w:rsidRPr="00B04E29">
              <w:rPr>
                <w:rFonts w:ascii="Arial" w:hAnsi="Arial" w:cs="Arial"/>
                <w:szCs w:val="23"/>
                <w:lang w:val="fr-CA"/>
              </w:rPr>
              <w:t>–</w:t>
            </w:r>
            <w:r w:rsidRPr="00F52884">
              <w:rPr>
                <w:rFonts w:cstheme="minorHAnsi"/>
                <w:szCs w:val="23"/>
                <w:lang w:val="fr-CA"/>
              </w:rPr>
              <w:t>59, 62, 66, 68</w:t>
            </w:r>
            <w:r w:rsidRPr="00B04E29">
              <w:rPr>
                <w:rFonts w:ascii="Arial" w:hAnsi="Arial" w:cs="Arial"/>
                <w:szCs w:val="23"/>
                <w:lang w:val="fr-CA"/>
              </w:rPr>
              <w:t>–</w:t>
            </w:r>
            <w:r w:rsidRPr="00F52884">
              <w:rPr>
                <w:rFonts w:cstheme="minorHAnsi"/>
                <w:szCs w:val="23"/>
                <w:lang w:val="fr-CA"/>
              </w:rPr>
              <w:t>69, 72, 86</w:t>
            </w:r>
            <w:r w:rsidRPr="00B04E29">
              <w:rPr>
                <w:rFonts w:ascii="Arial" w:hAnsi="Arial" w:cs="Arial"/>
                <w:szCs w:val="23"/>
                <w:lang w:val="fr-CA"/>
              </w:rPr>
              <w:t>–</w:t>
            </w:r>
            <w:r w:rsidRPr="00F52884">
              <w:rPr>
                <w:rFonts w:cstheme="minorHAnsi"/>
                <w:szCs w:val="23"/>
                <w:lang w:val="fr-CA"/>
              </w:rPr>
              <w:t>87, 91, 93, 107, 140</w:t>
            </w:r>
            <w:r w:rsidRPr="00B04E29">
              <w:rPr>
                <w:rFonts w:ascii="Arial" w:hAnsi="Arial" w:cs="Arial"/>
                <w:szCs w:val="23"/>
                <w:lang w:val="fr-CA"/>
              </w:rPr>
              <w:t>–</w:t>
            </w:r>
            <w:r w:rsidRPr="00F52884">
              <w:rPr>
                <w:rFonts w:cstheme="minorHAnsi"/>
                <w:szCs w:val="23"/>
                <w:lang w:val="fr-CA"/>
              </w:rPr>
              <w:t>149</w:t>
            </w:r>
          </w:p>
          <w:p w14:paraId="4E7A06F7" w14:textId="2579877F" w:rsidR="00B8348C" w:rsidRPr="00F52884" w:rsidRDefault="00B8348C" w:rsidP="000C25A3">
            <w:pPr>
              <w:spacing w:before="60" w:after="60"/>
              <w:rPr>
                <w:rFonts w:cstheme="minorHAnsi"/>
                <w:szCs w:val="23"/>
                <w:lang w:val="fr-CA"/>
              </w:rPr>
            </w:pPr>
            <w:r w:rsidRPr="00F52884">
              <w:rPr>
                <w:rFonts w:cstheme="minorHAnsi"/>
                <w:i/>
                <w:iCs/>
                <w:szCs w:val="23"/>
                <w:lang w:val="fr-CA"/>
              </w:rPr>
              <w:t>Loi sur les entreprises de service public,</w:t>
            </w:r>
            <w:r w:rsidRPr="00F52884">
              <w:rPr>
                <w:rFonts w:cstheme="minorHAnsi"/>
                <w:szCs w:val="23"/>
                <w:lang w:val="fr-CA"/>
              </w:rPr>
              <w:t xml:space="preserve"> LRY 2002, c 186, art 17, 21</w:t>
            </w:r>
            <w:r w:rsidRPr="00B04E29">
              <w:rPr>
                <w:rFonts w:ascii="Arial" w:hAnsi="Arial" w:cs="Arial"/>
                <w:szCs w:val="23"/>
                <w:lang w:val="fr-CA"/>
              </w:rPr>
              <w:t>–</w:t>
            </w:r>
            <w:r w:rsidRPr="00F52884">
              <w:rPr>
                <w:rFonts w:cstheme="minorHAnsi"/>
                <w:szCs w:val="23"/>
                <w:lang w:val="fr-CA"/>
              </w:rPr>
              <w:t>22, 35, 42</w:t>
            </w:r>
            <w:r w:rsidRPr="00B04E29">
              <w:rPr>
                <w:rFonts w:ascii="Arial" w:hAnsi="Arial" w:cs="Arial"/>
                <w:szCs w:val="23"/>
                <w:lang w:val="fr-CA"/>
              </w:rPr>
              <w:t>–</w:t>
            </w:r>
            <w:r w:rsidRPr="00F52884">
              <w:rPr>
                <w:rFonts w:cstheme="minorHAnsi"/>
                <w:szCs w:val="23"/>
                <w:lang w:val="fr-CA"/>
              </w:rPr>
              <w:t>43, 51, 77</w:t>
            </w:r>
          </w:p>
          <w:p w14:paraId="3A6A21C0" w14:textId="2576C5B6"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l'extraction du quartz, </w:t>
            </w:r>
            <w:r w:rsidRPr="00F52884">
              <w:rPr>
                <w:rFonts w:cstheme="minorHAnsi"/>
                <w:szCs w:val="23"/>
                <w:lang w:val="fr-CA"/>
              </w:rPr>
              <w:t>LY 2003, c 14, art 62, 135(</w:t>
            </w:r>
            <w:proofErr w:type="gramStart"/>
            <w:r w:rsidRPr="00F52884">
              <w:rPr>
                <w:rFonts w:cstheme="minorHAnsi"/>
                <w:szCs w:val="23"/>
                <w:lang w:val="fr-CA"/>
              </w:rPr>
              <w:t>4)</w:t>
            </w:r>
            <w:r w:rsidRPr="00B04E29">
              <w:rPr>
                <w:rFonts w:ascii="Arial" w:hAnsi="Arial" w:cs="Arial"/>
                <w:szCs w:val="23"/>
                <w:lang w:val="fr-CA"/>
              </w:rPr>
              <w:t>–</w:t>
            </w:r>
            <w:proofErr w:type="gramEnd"/>
            <w:r w:rsidRPr="00F52884">
              <w:rPr>
                <w:rFonts w:cstheme="minorHAnsi"/>
                <w:szCs w:val="23"/>
                <w:lang w:val="fr-CA"/>
              </w:rPr>
              <w:t>(6), 149, 158</w:t>
            </w:r>
          </w:p>
          <w:p w14:paraId="149D8B6F" w14:textId="71203918"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l'utilisation des terres pour l'exploitation du quartz, </w:t>
            </w:r>
            <w:r w:rsidRPr="00F52884">
              <w:rPr>
                <w:rFonts w:cstheme="minorHAnsi"/>
                <w:iCs/>
                <w:szCs w:val="23"/>
                <w:lang w:val="fr-CA"/>
              </w:rPr>
              <w:t>YD</w:t>
            </w:r>
            <w:r w:rsidRPr="00F52884">
              <w:rPr>
                <w:rFonts w:cstheme="minorHAnsi"/>
                <w:szCs w:val="23"/>
                <w:lang w:val="fr-CA"/>
              </w:rPr>
              <w:t xml:space="preserve"> 2003/64</w:t>
            </w:r>
          </w:p>
          <w:p w14:paraId="7AFADC24" w14:textId="096B7105"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les garanties, </w:t>
            </w:r>
            <w:r w:rsidRPr="00F52884">
              <w:rPr>
                <w:rFonts w:cstheme="minorHAnsi"/>
                <w:iCs/>
                <w:szCs w:val="23"/>
                <w:lang w:val="fr-CA"/>
              </w:rPr>
              <w:t>YD</w:t>
            </w:r>
            <w:r w:rsidRPr="00F52884">
              <w:rPr>
                <w:rFonts w:cstheme="minorHAnsi"/>
                <w:szCs w:val="23"/>
                <w:lang w:val="fr-CA"/>
              </w:rPr>
              <w:t xml:space="preserve"> 2007/77</w:t>
            </w:r>
          </w:p>
          <w:p w14:paraId="04DC4179" w14:textId="2F745050"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l'évaluation environnementale et socioéconomique au Yukon, </w:t>
            </w:r>
            <w:r w:rsidRPr="00F52884">
              <w:rPr>
                <w:rFonts w:cstheme="minorHAnsi"/>
                <w:szCs w:val="23"/>
                <w:lang w:val="fr-CA"/>
              </w:rPr>
              <w:t>LC 2003, c 7</w:t>
            </w:r>
          </w:p>
        </w:tc>
      </w:tr>
      <w:tr w:rsidR="00B8348C" w:rsidRPr="00F52884" w14:paraId="346CF739"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7813F79"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14497F6E" w14:textId="77777777" w:rsidTr="00167455">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53551FB2"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Yukon se réserve le droit de fixer ou de modifier les tarifs de l’électricité.</w:t>
            </w:r>
          </w:p>
          <w:p w14:paraId="03ADCF47"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Yukon peut mettre à la disposition de la Société de développement du Yukon (ou de toute filiale ou société la remplaçant), à des fins opérationnelles, toute installation ou toute énergie hydroélectrique appartenant au Yukon ou se trouvant sous son contrôle.</w:t>
            </w:r>
          </w:p>
          <w:p w14:paraId="3DF58194" w14:textId="71931DA9" w:rsidR="00B8348C" w:rsidRPr="00F52884" w:rsidRDefault="00B8348C" w:rsidP="000C25A3">
            <w:pPr>
              <w:spacing w:before="120" w:after="120"/>
              <w:rPr>
                <w:rFonts w:cstheme="minorHAnsi"/>
                <w:szCs w:val="23"/>
                <w:lang w:val="fr-FR"/>
              </w:rPr>
            </w:pPr>
            <w:r w:rsidRPr="00F52884">
              <w:rPr>
                <w:rFonts w:cstheme="minorHAnsi"/>
                <w:szCs w:val="23"/>
                <w:lang w:val="fr-CA"/>
              </w:rPr>
              <w:lastRenderedPageBreak/>
              <w:t>Les mesures susmentionnées permettent au gouvernement du Yukon de réglementer et d’accorder diverses autorisations à l’égard de l’énergie, y compris l’énergie électrique et les services annexes à la distribution d’énergie. Le gouvernement du Yukon peut adopter des mesures visant, entre autres :</w:t>
            </w:r>
          </w:p>
          <w:p w14:paraId="0E78D9BE"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imposer des prescriptions de résultats;</w:t>
            </w:r>
          </w:p>
          <w:p w14:paraId="4D4612BB"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limiter la propriété en fonction du lieu de résidence.</w:t>
            </w:r>
          </w:p>
        </w:tc>
      </w:tr>
    </w:tbl>
    <w:p w14:paraId="62AA5D39" w14:textId="77777777" w:rsidR="00B8348C" w:rsidRPr="00F52884" w:rsidRDefault="00B8348C" w:rsidP="000C25A3">
      <w:pPr>
        <w:rPr>
          <w:rFonts w:cstheme="minorHAnsi"/>
          <w:szCs w:val="23"/>
          <w:lang w:val="fr-FR"/>
        </w:rPr>
      </w:pPr>
    </w:p>
    <w:p w14:paraId="3CC751BD" w14:textId="77777777" w:rsidR="00B8348C" w:rsidRPr="00F52884" w:rsidRDefault="00B8348C" w:rsidP="000C25A3">
      <w:pPr>
        <w:spacing w:before="60" w:after="60"/>
        <w:ind w:left="-270"/>
        <w:rPr>
          <w:rFonts w:cstheme="minorHAnsi"/>
          <w:b/>
          <w:bCs/>
          <w:caps/>
          <w:szCs w:val="23"/>
          <w:lang w:val="fr-CA"/>
        </w:rPr>
      </w:pPr>
    </w:p>
    <w:p w14:paraId="45978711" w14:textId="50639415" w:rsidR="00B8348C" w:rsidRPr="00F52884" w:rsidRDefault="00D0721F" w:rsidP="00167455">
      <w:pPr>
        <w:spacing w:before="60" w:after="60"/>
        <w:ind w:left="-360"/>
        <w:rPr>
          <w:rFonts w:cstheme="minorHAnsi"/>
          <w:b/>
          <w:caps/>
          <w:szCs w:val="23"/>
        </w:rPr>
      </w:pPr>
      <w:r>
        <w:rPr>
          <w:rFonts w:cstheme="minorHAnsi"/>
          <w:b/>
          <w:bCs/>
          <w:caps/>
          <w:szCs w:val="23"/>
          <w:lang w:val="fr-CA"/>
        </w:rPr>
        <w:t>7</w:t>
      </w:r>
      <w:r w:rsidR="00B8348C" w:rsidRPr="00F52884">
        <w:rPr>
          <w:rFonts w:cstheme="minorHAnsi"/>
          <w:b/>
          <w:bCs/>
          <w:caps/>
          <w:szCs w:val="23"/>
          <w:lang w:val="fr-CA"/>
        </w:rPr>
        <w:t xml:space="preserve">. </w:t>
      </w:r>
      <w:r w:rsidR="00167455" w:rsidRPr="00F52884">
        <w:rPr>
          <w:rFonts w:cstheme="minorHAnsi"/>
          <w:b/>
          <w:bCs/>
          <w:caps/>
          <w:szCs w:val="23"/>
          <w:lang w:val="fr-CA"/>
        </w:rPr>
        <w:t xml:space="preserve"> </w:t>
      </w:r>
      <w:r w:rsidR="00B8348C" w:rsidRPr="00F52884">
        <w:rPr>
          <w:rFonts w:cstheme="minorHAnsi"/>
          <w:b/>
          <w:bCs/>
          <w:caps/>
          <w:szCs w:val="23"/>
          <w:lang w:val="fr-CA"/>
        </w:rPr>
        <w:t>Yukon</w:t>
      </w:r>
    </w:p>
    <w:tbl>
      <w:tblPr>
        <w:tblW w:w="10162" w:type="dxa"/>
        <w:jc w:val="center"/>
        <w:tblCellMar>
          <w:top w:w="14" w:type="dxa"/>
          <w:left w:w="86" w:type="dxa"/>
          <w:bottom w:w="14" w:type="dxa"/>
          <w:right w:w="86" w:type="dxa"/>
        </w:tblCellMar>
        <w:tblLook w:val="0000" w:firstRow="0" w:lastRow="0" w:firstColumn="0" w:lastColumn="0" w:noHBand="0" w:noVBand="0"/>
      </w:tblPr>
      <w:tblGrid>
        <w:gridCol w:w="2430"/>
        <w:gridCol w:w="7353"/>
        <w:gridCol w:w="379"/>
      </w:tblGrid>
      <w:tr w:rsidR="00B8348C" w:rsidRPr="00F52884" w14:paraId="7B3A2937" w14:textId="77777777" w:rsidTr="00167455">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612574FC"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732" w:type="dxa"/>
            <w:gridSpan w:val="2"/>
            <w:tcBorders>
              <w:top w:val="single" w:sz="4" w:space="0" w:color="C0C0C0"/>
              <w:left w:val="single" w:sz="4" w:space="0" w:color="FFFFFF"/>
              <w:bottom w:val="single" w:sz="4" w:space="0" w:color="C0C0C0"/>
              <w:right w:val="nil"/>
            </w:tcBorders>
            <w:vAlign w:val="center"/>
          </w:tcPr>
          <w:p w14:paraId="7505D145"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7A781366" w14:textId="77777777" w:rsidTr="00167455">
        <w:trPr>
          <w:trHeight w:val="246"/>
          <w:jc w:val="center"/>
        </w:trPr>
        <w:tc>
          <w:tcPr>
            <w:tcW w:w="2430" w:type="dxa"/>
            <w:tcBorders>
              <w:top w:val="single" w:sz="4" w:space="0" w:color="C0C0C0"/>
              <w:left w:val="nil"/>
              <w:bottom w:val="single" w:sz="4" w:space="0" w:color="C0C0C0"/>
              <w:right w:val="single" w:sz="4" w:space="0" w:color="FFFFFF"/>
            </w:tcBorders>
            <w:vAlign w:val="center"/>
          </w:tcPr>
          <w:p w14:paraId="014C2B94"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732" w:type="dxa"/>
            <w:gridSpan w:val="2"/>
            <w:tcBorders>
              <w:top w:val="single" w:sz="4" w:space="0" w:color="C0C0C0"/>
              <w:left w:val="single" w:sz="4" w:space="0" w:color="FFFFFF"/>
              <w:bottom w:val="single" w:sz="4" w:space="0" w:color="C0C0C0"/>
              <w:right w:val="nil"/>
            </w:tcBorders>
            <w:vAlign w:val="center"/>
          </w:tcPr>
          <w:p w14:paraId="62308556" w14:textId="77777777" w:rsidR="00B8348C" w:rsidRPr="00F52884" w:rsidRDefault="00B8348C" w:rsidP="000C25A3">
            <w:pPr>
              <w:spacing w:before="60" w:after="60"/>
              <w:rPr>
                <w:rFonts w:cstheme="minorHAnsi"/>
                <w:szCs w:val="23"/>
                <w:lang w:val="fr-FR"/>
              </w:rPr>
            </w:pPr>
            <w:r w:rsidRPr="00F52884">
              <w:rPr>
                <w:rFonts w:cstheme="minorHAnsi"/>
                <w:szCs w:val="23"/>
                <w:lang w:val="fr-CA"/>
              </w:rPr>
              <w:t>Production, transport et distribution de l’électricité, gaz, vapeur et eau chaude; services annexes à la distribution d’énergie</w:t>
            </w:r>
          </w:p>
        </w:tc>
      </w:tr>
      <w:tr w:rsidR="00B8348C" w:rsidRPr="00F52884" w14:paraId="6F1A317E" w14:textId="77777777" w:rsidTr="00167455">
        <w:trPr>
          <w:gridAfter w:val="1"/>
          <w:wAfter w:w="379"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6B8D2F9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3" w:type="dxa"/>
            <w:tcBorders>
              <w:top w:val="single" w:sz="4" w:space="0" w:color="C0C0C0"/>
              <w:left w:val="single" w:sz="4" w:space="0" w:color="FFFFFF"/>
              <w:bottom w:val="single" w:sz="4" w:space="0" w:color="C0C0C0"/>
              <w:right w:val="nil"/>
            </w:tcBorders>
            <w:vAlign w:val="center"/>
          </w:tcPr>
          <w:p w14:paraId="226746F7" w14:textId="77777777" w:rsidR="00B8348C" w:rsidRPr="00F52884" w:rsidRDefault="00B8348C" w:rsidP="000C25A3">
            <w:pPr>
              <w:spacing w:before="60" w:after="60"/>
              <w:ind w:left="4"/>
              <w:rPr>
                <w:rFonts w:cstheme="minorHAnsi"/>
                <w:szCs w:val="23"/>
              </w:rPr>
            </w:pPr>
            <w:r w:rsidRPr="00F52884">
              <w:rPr>
                <w:rFonts w:cstheme="minorHAnsi"/>
                <w:szCs w:val="23"/>
                <w:lang w:val="fr-CA"/>
              </w:rPr>
              <w:t>CPC 17, 713, 887</w:t>
            </w:r>
          </w:p>
        </w:tc>
      </w:tr>
      <w:tr w:rsidR="00B8348C" w:rsidRPr="0068240F" w14:paraId="32597EA2" w14:textId="77777777" w:rsidTr="00167455">
        <w:trPr>
          <w:trHeight w:val="42"/>
          <w:jc w:val="center"/>
        </w:trPr>
        <w:tc>
          <w:tcPr>
            <w:tcW w:w="2430" w:type="dxa"/>
            <w:tcBorders>
              <w:top w:val="single" w:sz="4" w:space="0" w:color="C0C0C0"/>
              <w:left w:val="nil"/>
              <w:bottom w:val="single" w:sz="4" w:space="0" w:color="C0C0C0"/>
              <w:right w:val="single" w:sz="4" w:space="0" w:color="FFFFFF"/>
            </w:tcBorders>
          </w:tcPr>
          <w:p w14:paraId="5AE99EB7" w14:textId="33E5CE5D"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32" w:type="dxa"/>
            <w:gridSpan w:val="2"/>
            <w:tcBorders>
              <w:top w:val="single" w:sz="4" w:space="0" w:color="C0C0C0"/>
              <w:left w:val="single" w:sz="4" w:space="0" w:color="FFFFFF"/>
              <w:bottom w:val="single" w:sz="4" w:space="0" w:color="C0C0C0"/>
              <w:right w:val="single" w:sz="4" w:space="0" w:color="C0C0C0"/>
            </w:tcBorders>
          </w:tcPr>
          <w:p w14:paraId="4F7ABAB5" w14:textId="0412FEA7"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313 (Prescriptions de résultats)</w:t>
            </w:r>
          </w:p>
        </w:tc>
      </w:tr>
      <w:tr w:rsidR="00B8348C" w:rsidRPr="00F52884" w14:paraId="1304D023" w14:textId="77777777" w:rsidTr="00167455">
        <w:trPr>
          <w:trHeight w:val="42"/>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E5BCE44"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0F6BAE1F" w14:textId="77777777" w:rsidTr="00167455">
        <w:trPr>
          <w:trHeight w:val="273"/>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3AB1827E" w14:textId="7209B80E"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la régie des personnes morales du gouvernement, </w:t>
            </w:r>
            <w:r w:rsidRPr="00F52884">
              <w:rPr>
                <w:rFonts w:cstheme="minorHAnsi"/>
                <w:szCs w:val="23"/>
                <w:lang w:val="fr-CA"/>
              </w:rPr>
              <w:t>LRY 2002, c 45, art 4</w:t>
            </w:r>
          </w:p>
          <w:p w14:paraId="46E7E2F5" w14:textId="5E8DEF4B" w:rsidR="00B8348C" w:rsidRPr="00F52884" w:rsidRDefault="00B8348C" w:rsidP="000C25A3">
            <w:pPr>
              <w:spacing w:before="60" w:after="60"/>
              <w:rPr>
                <w:rFonts w:cstheme="minorHAnsi"/>
                <w:szCs w:val="23"/>
                <w:lang w:val="fr-CA"/>
              </w:rPr>
            </w:pPr>
            <w:r w:rsidRPr="00F52884">
              <w:rPr>
                <w:rFonts w:cstheme="minorHAnsi"/>
                <w:i/>
                <w:iCs/>
                <w:szCs w:val="23"/>
                <w:lang w:val="fr-CA"/>
              </w:rPr>
              <w:t>Loi sur les entreprises de service public,</w:t>
            </w:r>
            <w:r w:rsidRPr="00F52884">
              <w:rPr>
                <w:rFonts w:cstheme="minorHAnsi"/>
                <w:szCs w:val="23"/>
                <w:lang w:val="fr-CA"/>
              </w:rPr>
              <w:t xml:space="preserve"> LRY 2002, c 186, art 17, 21</w:t>
            </w:r>
            <w:r w:rsidRPr="00B04E29">
              <w:rPr>
                <w:rFonts w:ascii="Arial" w:hAnsi="Arial" w:cs="Arial"/>
                <w:szCs w:val="23"/>
                <w:lang w:val="fr-CA"/>
              </w:rPr>
              <w:t>–</w:t>
            </w:r>
            <w:r w:rsidRPr="00F52884">
              <w:rPr>
                <w:rFonts w:cstheme="minorHAnsi"/>
                <w:szCs w:val="23"/>
                <w:lang w:val="fr-CA"/>
              </w:rPr>
              <w:t>22, 35, 42</w:t>
            </w:r>
            <w:r w:rsidRPr="00B04E29">
              <w:rPr>
                <w:rFonts w:ascii="Arial" w:hAnsi="Arial" w:cs="Arial"/>
                <w:szCs w:val="23"/>
                <w:lang w:val="fr-CA"/>
              </w:rPr>
              <w:t>–</w:t>
            </w:r>
            <w:r w:rsidRPr="00F52884">
              <w:rPr>
                <w:rFonts w:cstheme="minorHAnsi"/>
                <w:szCs w:val="23"/>
                <w:lang w:val="fr-CA"/>
              </w:rPr>
              <w:t>43, 51, 77</w:t>
            </w:r>
          </w:p>
          <w:p w14:paraId="48FA99E9" w14:textId="6BB45047" w:rsidR="00B8348C" w:rsidRPr="00F52884" w:rsidRDefault="00B8348C" w:rsidP="000C25A3">
            <w:pPr>
              <w:spacing w:before="60" w:after="60"/>
              <w:rPr>
                <w:rFonts w:cstheme="minorHAnsi"/>
                <w:szCs w:val="23"/>
                <w:lang w:val="fr-CA"/>
              </w:rPr>
            </w:pPr>
            <w:r w:rsidRPr="00F52884">
              <w:rPr>
                <w:rFonts w:cstheme="minorHAnsi"/>
                <w:i/>
                <w:iCs/>
                <w:szCs w:val="23"/>
                <w:lang w:val="fr-CA"/>
              </w:rPr>
              <w:t>Règlement sur la Société de l'électricité du Yukon,</w:t>
            </w:r>
            <w:r w:rsidRPr="00F52884" w:rsidDel="002F36B3">
              <w:rPr>
                <w:rFonts w:cstheme="minorHAnsi"/>
                <w:i/>
                <w:iCs/>
                <w:szCs w:val="23"/>
                <w:lang w:val="fr-CA"/>
              </w:rPr>
              <w:t xml:space="preserve"> </w:t>
            </w:r>
            <w:r w:rsidRPr="00F52884">
              <w:rPr>
                <w:rFonts w:cstheme="minorHAnsi"/>
                <w:szCs w:val="23"/>
                <w:lang w:val="fr-CA"/>
              </w:rPr>
              <w:t>YD 1987/71</w:t>
            </w:r>
          </w:p>
          <w:p w14:paraId="50EF4F5E" w14:textId="5F7547DE"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la Société de développement du Yukon, </w:t>
            </w:r>
            <w:r w:rsidRPr="00F52884">
              <w:rPr>
                <w:rFonts w:cstheme="minorHAnsi"/>
                <w:szCs w:val="23"/>
                <w:lang w:val="fr-CA"/>
              </w:rPr>
              <w:t>LRY 2002, c 236, art 6</w:t>
            </w:r>
            <w:r w:rsidRPr="00B04E29">
              <w:rPr>
                <w:rFonts w:ascii="Arial" w:hAnsi="Arial" w:cs="Arial"/>
                <w:szCs w:val="23"/>
                <w:lang w:val="fr-CA"/>
              </w:rPr>
              <w:t>–</w:t>
            </w:r>
            <w:r w:rsidRPr="00F52884">
              <w:rPr>
                <w:rFonts w:cstheme="minorHAnsi"/>
                <w:szCs w:val="23"/>
                <w:lang w:val="fr-CA"/>
              </w:rPr>
              <w:t>7</w:t>
            </w:r>
          </w:p>
          <w:p w14:paraId="07C4AD2E" w14:textId="3FC8BDE7"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Fonds sur la conservation de l'énergie, </w:t>
            </w:r>
            <w:r w:rsidRPr="00F52884">
              <w:rPr>
                <w:rFonts w:cstheme="minorHAnsi"/>
                <w:iCs/>
                <w:szCs w:val="23"/>
                <w:lang w:val="fr-CA"/>
              </w:rPr>
              <w:t>YD</w:t>
            </w:r>
            <w:r w:rsidRPr="00F52884">
              <w:rPr>
                <w:rFonts w:cstheme="minorHAnsi"/>
                <w:szCs w:val="23"/>
                <w:lang w:val="fr-CA"/>
              </w:rPr>
              <w:t xml:space="preserve"> 1997/91</w:t>
            </w:r>
          </w:p>
          <w:p w14:paraId="1F3483FF" w14:textId="52E6DC42"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Utilisation des Fonds de conservation de l'énergie, </w:t>
            </w:r>
            <w:r w:rsidRPr="00F52884">
              <w:rPr>
                <w:rFonts w:cstheme="minorHAnsi"/>
                <w:iCs/>
                <w:szCs w:val="23"/>
                <w:lang w:val="fr-CA"/>
              </w:rPr>
              <w:t>YD</w:t>
            </w:r>
            <w:r w:rsidRPr="00F52884">
              <w:rPr>
                <w:rFonts w:cstheme="minorHAnsi"/>
                <w:szCs w:val="23"/>
                <w:lang w:val="fr-CA"/>
              </w:rPr>
              <w:t xml:space="preserve"> 1998/204</w:t>
            </w:r>
          </w:p>
          <w:p w14:paraId="3CB88FA6" w14:textId="51A791C5" w:rsidR="00B8348C" w:rsidRPr="00F52884" w:rsidRDefault="00B8348C" w:rsidP="000C25A3">
            <w:pPr>
              <w:spacing w:before="60" w:after="60"/>
              <w:rPr>
                <w:rFonts w:cstheme="minorHAnsi"/>
                <w:szCs w:val="23"/>
                <w:lang w:val="fr-CA"/>
              </w:rPr>
            </w:pPr>
            <w:r w:rsidRPr="00F52884">
              <w:rPr>
                <w:rFonts w:cstheme="minorHAnsi"/>
                <w:i/>
                <w:iCs/>
                <w:szCs w:val="23"/>
                <w:lang w:val="fr-CA"/>
              </w:rPr>
              <w:t>Loi sur l'évaluation environnementale et socioéconomique au Yukon,</w:t>
            </w:r>
            <w:r w:rsidRPr="00F52884">
              <w:rPr>
                <w:rFonts w:cstheme="minorHAnsi"/>
                <w:szCs w:val="23"/>
                <w:lang w:val="fr-CA"/>
              </w:rPr>
              <w:t xml:space="preserve"> LC 2003, c 7</w:t>
            </w:r>
          </w:p>
        </w:tc>
      </w:tr>
      <w:tr w:rsidR="00B8348C" w:rsidRPr="00F52884" w14:paraId="71623080" w14:textId="77777777" w:rsidTr="00167455">
        <w:trPr>
          <w:trHeight w:val="49"/>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103946F"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2ACBE4B8" w14:textId="77777777" w:rsidTr="00167455">
        <w:trPr>
          <w:trHeight w:val="66"/>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5EEB97F5"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Yukon se réserve le droit de fixer ou de modifier les tarifs de l’électricité.</w:t>
            </w:r>
          </w:p>
          <w:p w14:paraId="0F317CC8" w14:textId="24901A0B" w:rsidR="00B8348C" w:rsidRPr="00F52884" w:rsidRDefault="00B8348C" w:rsidP="000C25A3">
            <w:pPr>
              <w:spacing w:before="120" w:after="120"/>
              <w:rPr>
                <w:rFonts w:cstheme="minorHAnsi"/>
                <w:szCs w:val="23"/>
                <w:lang w:val="fr-FR"/>
              </w:rPr>
            </w:pPr>
            <w:r w:rsidRPr="00F52884">
              <w:rPr>
                <w:rFonts w:cstheme="minorHAnsi"/>
                <w:szCs w:val="23"/>
                <w:lang w:val="fr-CA"/>
              </w:rPr>
              <w:t>Les mesures susmentionnées permettent au gouvernement du Yukon de réglementer et d’accorder diverses autorisations à l’égard de l’énergie, y compris la production, le transport et la distribution d’électricité, de gaz, de vapeur et d’eau chaude ainsi que les services annexes à la distribution d’énergie. Le gouvernement du Yukon peut adopter des mesures visant, entre autres :</w:t>
            </w:r>
          </w:p>
          <w:p w14:paraId="788CB1E9"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imposer des prescriptions de résultats;</w:t>
            </w:r>
          </w:p>
          <w:p w14:paraId="48922CC2"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limiter la propriété en fonction du lieu de résidence.</w:t>
            </w:r>
          </w:p>
        </w:tc>
      </w:tr>
    </w:tbl>
    <w:p w14:paraId="6B12434E" w14:textId="77777777" w:rsidR="00B8348C" w:rsidRPr="00F52884" w:rsidRDefault="00B8348C" w:rsidP="000C25A3">
      <w:pPr>
        <w:rPr>
          <w:rFonts w:cstheme="minorHAnsi"/>
          <w:szCs w:val="23"/>
          <w:lang w:val="fr-FR"/>
        </w:rPr>
      </w:pPr>
    </w:p>
    <w:p w14:paraId="36ACE6B8" w14:textId="77777777" w:rsidR="00B8348C" w:rsidRPr="00F52884" w:rsidRDefault="00B8348C" w:rsidP="000C25A3">
      <w:pPr>
        <w:rPr>
          <w:rFonts w:cstheme="minorHAnsi"/>
          <w:szCs w:val="23"/>
          <w:lang w:val="fr-FR"/>
        </w:rPr>
      </w:pPr>
    </w:p>
    <w:p w14:paraId="221C0387" w14:textId="1D66A703" w:rsidR="00B8348C" w:rsidRPr="00F52884" w:rsidRDefault="00D0721F" w:rsidP="00167455">
      <w:pPr>
        <w:spacing w:before="60" w:after="60"/>
        <w:ind w:left="-360"/>
        <w:rPr>
          <w:rFonts w:cstheme="minorHAnsi"/>
          <w:b/>
          <w:caps/>
          <w:szCs w:val="23"/>
        </w:rPr>
      </w:pPr>
      <w:r>
        <w:rPr>
          <w:rFonts w:cstheme="minorHAnsi"/>
          <w:b/>
          <w:bCs/>
          <w:caps/>
          <w:szCs w:val="23"/>
          <w:lang w:val="fr-CA"/>
        </w:rPr>
        <w:t>8</w:t>
      </w:r>
      <w:r w:rsidR="00B8348C" w:rsidRPr="00F52884">
        <w:rPr>
          <w:rFonts w:cstheme="minorHAnsi"/>
          <w:b/>
          <w:bCs/>
          <w:caps/>
          <w:szCs w:val="23"/>
          <w:lang w:val="fr-CA"/>
        </w:rPr>
        <w:t xml:space="preserve">. </w:t>
      </w:r>
      <w:r w:rsidR="00167455" w:rsidRPr="00F52884">
        <w:rPr>
          <w:rFonts w:cstheme="minorHAnsi"/>
          <w:b/>
          <w:bCs/>
          <w:caps/>
          <w:szCs w:val="23"/>
          <w:lang w:val="fr-CA"/>
        </w:rPr>
        <w:t xml:space="preserve"> </w:t>
      </w:r>
      <w:r w:rsidR="00B8348C"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610"/>
        <w:gridCol w:w="7263"/>
        <w:gridCol w:w="379"/>
      </w:tblGrid>
      <w:tr w:rsidR="00B8348C" w:rsidRPr="00F52884" w14:paraId="33FBD0F2" w14:textId="77777777" w:rsidTr="00167455">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27C00DFD"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642" w:type="dxa"/>
            <w:gridSpan w:val="2"/>
            <w:tcBorders>
              <w:top w:val="single" w:sz="4" w:space="0" w:color="C0C0C0"/>
              <w:left w:val="single" w:sz="4" w:space="0" w:color="FFFFFF"/>
              <w:bottom w:val="single" w:sz="4" w:space="0" w:color="C0C0C0"/>
              <w:right w:val="nil"/>
            </w:tcBorders>
            <w:vAlign w:val="center"/>
          </w:tcPr>
          <w:p w14:paraId="0DE56261" w14:textId="77777777" w:rsidR="00B8348C" w:rsidRPr="00F52884" w:rsidRDefault="00B8348C" w:rsidP="000C25A3">
            <w:pPr>
              <w:spacing w:before="60" w:after="60"/>
              <w:rPr>
                <w:rFonts w:cstheme="minorHAnsi"/>
                <w:szCs w:val="23"/>
              </w:rPr>
            </w:pPr>
            <w:r w:rsidRPr="00F52884">
              <w:rPr>
                <w:rFonts w:cstheme="minorHAnsi"/>
                <w:szCs w:val="23"/>
                <w:lang w:val="fr-CA"/>
              </w:rPr>
              <w:t>Transports</w:t>
            </w:r>
          </w:p>
        </w:tc>
      </w:tr>
      <w:tr w:rsidR="00B8348C" w:rsidRPr="0068240F" w14:paraId="28B84590" w14:textId="77777777" w:rsidTr="00167455">
        <w:trPr>
          <w:trHeight w:val="246"/>
          <w:jc w:val="center"/>
        </w:trPr>
        <w:tc>
          <w:tcPr>
            <w:tcW w:w="2610" w:type="dxa"/>
            <w:tcBorders>
              <w:top w:val="single" w:sz="4" w:space="0" w:color="C0C0C0"/>
              <w:left w:val="nil"/>
              <w:bottom w:val="single" w:sz="4" w:space="0" w:color="C0C0C0"/>
              <w:right w:val="single" w:sz="4" w:space="0" w:color="FFFFFF"/>
            </w:tcBorders>
            <w:vAlign w:val="center"/>
          </w:tcPr>
          <w:p w14:paraId="5E8BA61C" w14:textId="77777777" w:rsidR="00B8348C" w:rsidRPr="00F52884" w:rsidRDefault="00B8348C" w:rsidP="000C25A3">
            <w:pPr>
              <w:spacing w:before="60" w:after="60"/>
              <w:rPr>
                <w:rFonts w:cstheme="minorHAnsi"/>
                <w:b/>
                <w:szCs w:val="23"/>
              </w:rPr>
            </w:pPr>
            <w:r w:rsidRPr="00F52884">
              <w:rPr>
                <w:rFonts w:cstheme="minorHAnsi"/>
                <w:b/>
                <w:bCs/>
                <w:szCs w:val="23"/>
                <w:lang w:val="fr-CA"/>
              </w:rPr>
              <w:lastRenderedPageBreak/>
              <w:t xml:space="preserve">Sous-secteur : </w:t>
            </w:r>
          </w:p>
        </w:tc>
        <w:tc>
          <w:tcPr>
            <w:tcW w:w="7642" w:type="dxa"/>
            <w:gridSpan w:val="2"/>
            <w:tcBorders>
              <w:top w:val="single" w:sz="4" w:space="0" w:color="C0C0C0"/>
              <w:left w:val="single" w:sz="4" w:space="0" w:color="FFFFFF"/>
              <w:bottom w:val="single" w:sz="4" w:space="0" w:color="C0C0C0"/>
              <w:right w:val="nil"/>
            </w:tcBorders>
            <w:vAlign w:val="center"/>
          </w:tcPr>
          <w:p w14:paraId="2E7063FA"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transports par conduites; transports de combustibles; transports d’autres marchandises et services annexes à la distribution d’énergie</w:t>
            </w:r>
          </w:p>
        </w:tc>
      </w:tr>
      <w:tr w:rsidR="00B8348C" w:rsidRPr="00F52884" w14:paraId="39B4E439" w14:textId="77777777" w:rsidTr="00167455">
        <w:trPr>
          <w:gridAfter w:val="1"/>
          <w:wAfter w:w="379" w:type="dxa"/>
          <w:trHeight w:val="42"/>
          <w:jc w:val="center"/>
        </w:trPr>
        <w:tc>
          <w:tcPr>
            <w:tcW w:w="2610" w:type="dxa"/>
            <w:tcBorders>
              <w:top w:val="single" w:sz="4" w:space="0" w:color="C0C0C0"/>
              <w:left w:val="nil"/>
              <w:bottom w:val="single" w:sz="4" w:space="0" w:color="C0C0C0"/>
              <w:right w:val="single" w:sz="4" w:space="0" w:color="FFFFFF"/>
            </w:tcBorders>
            <w:vAlign w:val="center"/>
          </w:tcPr>
          <w:p w14:paraId="405173B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263" w:type="dxa"/>
            <w:tcBorders>
              <w:top w:val="single" w:sz="4" w:space="0" w:color="C0C0C0"/>
              <w:left w:val="single" w:sz="4" w:space="0" w:color="FFFFFF"/>
              <w:bottom w:val="single" w:sz="4" w:space="0" w:color="C0C0C0"/>
              <w:right w:val="nil"/>
            </w:tcBorders>
            <w:vAlign w:val="center"/>
          </w:tcPr>
          <w:p w14:paraId="0FD000A1" w14:textId="77777777" w:rsidR="00B8348C" w:rsidRPr="00F52884" w:rsidRDefault="00B8348C" w:rsidP="000C25A3">
            <w:pPr>
              <w:spacing w:before="60" w:after="60"/>
              <w:ind w:left="4"/>
              <w:rPr>
                <w:rFonts w:cstheme="minorHAnsi"/>
                <w:szCs w:val="23"/>
              </w:rPr>
            </w:pPr>
            <w:r w:rsidRPr="00F52884">
              <w:rPr>
                <w:rFonts w:cstheme="minorHAnsi"/>
                <w:szCs w:val="23"/>
                <w:lang w:val="fr-CA"/>
              </w:rPr>
              <w:t>CPC 17, 713, 887</w:t>
            </w:r>
          </w:p>
        </w:tc>
      </w:tr>
      <w:tr w:rsidR="00B8348C" w:rsidRPr="0068240F" w14:paraId="50935393" w14:textId="77777777" w:rsidTr="00167455">
        <w:trPr>
          <w:trHeight w:val="42"/>
          <w:jc w:val="center"/>
        </w:trPr>
        <w:tc>
          <w:tcPr>
            <w:tcW w:w="2610" w:type="dxa"/>
            <w:tcBorders>
              <w:top w:val="single" w:sz="4" w:space="0" w:color="C0C0C0"/>
              <w:left w:val="nil"/>
              <w:bottom w:val="single" w:sz="4" w:space="0" w:color="C0C0C0"/>
              <w:right w:val="single" w:sz="4" w:space="0" w:color="FFFFFF"/>
            </w:tcBorders>
          </w:tcPr>
          <w:p w14:paraId="6BA44056" w14:textId="4743EBEA"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642" w:type="dxa"/>
            <w:gridSpan w:val="2"/>
            <w:tcBorders>
              <w:top w:val="single" w:sz="4" w:space="0" w:color="C0C0C0"/>
              <w:left w:val="single" w:sz="4" w:space="0" w:color="FFFFFF"/>
              <w:bottom w:val="single" w:sz="4" w:space="0" w:color="C0C0C0"/>
              <w:right w:val="single" w:sz="4" w:space="0" w:color="C0C0C0"/>
            </w:tcBorders>
          </w:tcPr>
          <w:p w14:paraId="17451716" w14:textId="08A7BE8A"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313 (Prescriptions de résultats)</w:t>
            </w:r>
          </w:p>
        </w:tc>
      </w:tr>
      <w:tr w:rsidR="00B8348C" w:rsidRPr="00F52884" w14:paraId="198B1F27" w14:textId="77777777" w:rsidTr="00167455">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EFA0B2A"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4389CAF6" w14:textId="77777777" w:rsidTr="00167455">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936ED4B" w14:textId="5A8E7137"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 xml:space="preserve">Loi sur les entreprises de service public, </w:t>
            </w:r>
            <w:r w:rsidRPr="00F52884">
              <w:rPr>
                <w:rFonts w:cstheme="minorHAnsi"/>
                <w:szCs w:val="23"/>
                <w:lang w:val="fr-CA"/>
              </w:rPr>
              <w:t>LRY 2002, c 186, art 17, 21</w:t>
            </w:r>
            <w:r w:rsidRPr="00B04E29">
              <w:rPr>
                <w:rFonts w:ascii="Arial" w:hAnsi="Arial" w:cs="Arial"/>
                <w:szCs w:val="23"/>
                <w:lang w:val="fr-CA"/>
              </w:rPr>
              <w:t>–</w:t>
            </w:r>
            <w:r w:rsidRPr="00F52884">
              <w:rPr>
                <w:rFonts w:cstheme="minorHAnsi"/>
                <w:szCs w:val="23"/>
                <w:lang w:val="fr-CA"/>
              </w:rPr>
              <w:t>22, 35, 42</w:t>
            </w:r>
            <w:r w:rsidRPr="00B04E29">
              <w:rPr>
                <w:rFonts w:ascii="Arial" w:hAnsi="Arial" w:cs="Arial"/>
                <w:szCs w:val="23"/>
                <w:lang w:val="fr-CA"/>
              </w:rPr>
              <w:t>–</w:t>
            </w:r>
            <w:r w:rsidRPr="00F52884">
              <w:rPr>
                <w:rFonts w:cstheme="minorHAnsi"/>
                <w:szCs w:val="23"/>
                <w:lang w:val="fr-CA"/>
              </w:rPr>
              <w:t>43, 51, 77</w:t>
            </w:r>
          </w:p>
          <w:p w14:paraId="1B3A0CB9" w14:textId="414E0ED7"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 xml:space="preserve">Règlement sur la Société de l'électricité du Yukon, </w:t>
            </w:r>
            <w:r w:rsidRPr="00F52884">
              <w:rPr>
                <w:rFonts w:cstheme="minorHAnsi"/>
                <w:iCs/>
                <w:szCs w:val="23"/>
                <w:lang w:val="fr-CA"/>
              </w:rPr>
              <w:t>YD</w:t>
            </w:r>
            <w:r w:rsidRPr="00F52884">
              <w:rPr>
                <w:rFonts w:cstheme="minorHAnsi"/>
                <w:i/>
                <w:iCs/>
                <w:szCs w:val="23"/>
                <w:lang w:val="fr-CA"/>
              </w:rPr>
              <w:t xml:space="preserve"> </w:t>
            </w:r>
            <w:r w:rsidRPr="00F52884">
              <w:rPr>
                <w:rFonts w:cstheme="minorHAnsi"/>
                <w:szCs w:val="23"/>
                <w:lang w:val="fr-CA"/>
              </w:rPr>
              <w:t>1987/71</w:t>
            </w:r>
          </w:p>
          <w:p w14:paraId="1D06CAB5" w14:textId="58013A4F"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 xml:space="preserve">Loi sur le pétrole et le gaz, </w:t>
            </w:r>
            <w:r w:rsidRPr="00F52884">
              <w:rPr>
                <w:rFonts w:cstheme="minorHAnsi"/>
                <w:szCs w:val="23"/>
                <w:lang w:val="fr-CA"/>
              </w:rPr>
              <w:t>LRY 2002, c 162, art 9</w:t>
            </w:r>
            <w:r w:rsidRPr="00B04E29">
              <w:rPr>
                <w:rFonts w:ascii="Arial" w:hAnsi="Arial" w:cs="Arial"/>
                <w:szCs w:val="23"/>
                <w:lang w:val="fr-CA"/>
              </w:rPr>
              <w:t>–</w:t>
            </w:r>
            <w:r w:rsidRPr="00F52884">
              <w:rPr>
                <w:rFonts w:cstheme="minorHAnsi"/>
                <w:szCs w:val="23"/>
                <w:lang w:val="fr-CA"/>
              </w:rPr>
              <w:t>10, 12, 17, 26</w:t>
            </w:r>
            <w:r w:rsidRPr="00B04E29">
              <w:rPr>
                <w:rFonts w:ascii="Arial" w:hAnsi="Arial" w:cs="Arial"/>
                <w:szCs w:val="23"/>
                <w:lang w:val="fr-CA"/>
              </w:rPr>
              <w:t>–</w:t>
            </w:r>
            <w:r w:rsidRPr="00F52884">
              <w:rPr>
                <w:rFonts w:cstheme="minorHAnsi"/>
                <w:szCs w:val="23"/>
                <w:lang w:val="fr-CA"/>
              </w:rPr>
              <w:t>29, 36, 40</w:t>
            </w:r>
            <w:r w:rsidRPr="00B04E29">
              <w:rPr>
                <w:rFonts w:ascii="Arial" w:hAnsi="Arial" w:cs="Arial"/>
                <w:szCs w:val="23"/>
                <w:lang w:val="fr-CA"/>
              </w:rPr>
              <w:t>–</w:t>
            </w:r>
            <w:r w:rsidRPr="00F52884">
              <w:rPr>
                <w:rFonts w:cstheme="minorHAnsi"/>
                <w:szCs w:val="23"/>
                <w:lang w:val="fr-CA"/>
              </w:rPr>
              <w:t>44, 46</w:t>
            </w:r>
            <w:r w:rsidRPr="00B04E29">
              <w:rPr>
                <w:rFonts w:ascii="Arial" w:hAnsi="Arial" w:cs="Arial"/>
                <w:szCs w:val="23"/>
                <w:lang w:val="fr-CA"/>
              </w:rPr>
              <w:t>–</w:t>
            </w:r>
            <w:r w:rsidRPr="00F52884">
              <w:rPr>
                <w:rFonts w:cstheme="minorHAnsi"/>
                <w:szCs w:val="23"/>
                <w:lang w:val="fr-CA"/>
              </w:rPr>
              <w:t>48, 51, 54, 61, 63, 65, 67, 75</w:t>
            </w:r>
            <w:r w:rsidRPr="00B04E29">
              <w:rPr>
                <w:rFonts w:ascii="Arial" w:hAnsi="Arial" w:cs="Arial"/>
                <w:szCs w:val="23"/>
                <w:lang w:val="fr-CA"/>
              </w:rPr>
              <w:t>–</w:t>
            </w:r>
            <w:r w:rsidRPr="00F52884">
              <w:rPr>
                <w:rFonts w:cstheme="minorHAnsi"/>
                <w:szCs w:val="23"/>
                <w:lang w:val="fr-CA"/>
              </w:rPr>
              <w:t>76</w:t>
            </w:r>
          </w:p>
          <w:p w14:paraId="289B4FC2" w14:textId="77777777" w:rsidR="00B8348C" w:rsidRPr="00F52884" w:rsidRDefault="00B8348C" w:rsidP="000C25A3">
            <w:pPr>
              <w:spacing w:before="60" w:after="60"/>
              <w:ind w:left="6"/>
              <w:rPr>
                <w:rFonts w:cstheme="minorHAnsi"/>
                <w:i/>
                <w:iCs/>
                <w:szCs w:val="23"/>
                <w:lang w:val="fr-CA"/>
              </w:rPr>
            </w:pPr>
            <w:r w:rsidRPr="00F52884">
              <w:rPr>
                <w:rFonts w:cstheme="minorHAnsi"/>
                <w:i/>
                <w:iCs/>
                <w:szCs w:val="23"/>
                <w:lang w:val="fr-CA"/>
              </w:rPr>
              <w:t>Règlement sur les pipelines de pétrole et de gaz</w:t>
            </w:r>
          </w:p>
          <w:p w14:paraId="2961547F" w14:textId="3FB677F2"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Règlement sur les titres d'aliénation pétroliers et gaziers,</w:t>
            </w:r>
            <w:r w:rsidRPr="00F52884">
              <w:rPr>
                <w:rFonts w:cstheme="minorHAnsi"/>
                <w:iCs/>
                <w:szCs w:val="23"/>
                <w:lang w:val="fr-CA"/>
              </w:rPr>
              <w:t xml:space="preserve"> YD</w:t>
            </w:r>
            <w:r w:rsidRPr="00F52884">
              <w:rPr>
                <w:rFonts w:cstheme="minorHAnsi"/>
                <w:szCs w:val="23"/>
                <w:lang w:val="fr-CA"/>
              </w:rPr>
              <w:t xml:space="preserve"> 1999/147</w:t>
            </w:r>
          </w:p>
          <w:p w14:paraId="15F34589" w14:textId="4BC9B1A5"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Règlement sur l'administration des licences de pétrole et de gaz,</w:t>
            </w:r>
            <w:r w:rsidRPr="00F52884">
              <w:rPr>
                <w:rFonts w:cstheme="minorHAnsi"/>
                <w:iCs/>
                <w:szCs w:val="23"/>
                <w:lang w:val="fr-CA"/>
              </w:rPr>
              <w:t xml:space="preserve"> YD</w:t>
            </w:r>
            <w:r w:rsidRPr="00F52884">
              <w:rPr>
                <w:rFonts w:cstheme="minorHAnsi"/>
                <w:szCs w:val="23"/>
                <w:lang w:val="fr-CA"/>
              </w:rPr>
              <w:t xml:space="preserve"> 2004/157</w:t>
            </w:r>
          </w:p>
          <w:p w14:paraId="30BF517E" w14:textId="06D6C5DD"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 xml:space="preserve">Règlement sur les travaux de forage et de production de pétrole et de gaz, </w:t>
            </w:r>
            <w:r w:rsidRPr="00F52884">
              <w:rPr>
                <w:rFonts w:cstheme="minorHAnsi"/>
                <w:iCs/>
                <w:szCs w:val="23"/>
                <w:lang w:val="fr-CA"/>
              </w:rPr>
              <w:t>YD</w:t>
            </w:r>
            <w:r w:rsidRPr="00F52884">
              <w:rPr>
                <w:rFonts w:cstheme="minorHAnsi"/>
                <w:szCs w:val="23"/>
                <w:lang w:val="fr-CA"/>
              </w:rPr>
              <w:t xml:space="preserve"> 2004/158</w:t>
            </w:r>
          </w:p>
          <w:p w14:paraId="36A61582" w14:textId="6859882F"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 xml:space="preserve">Règlement sur la prospection </w:t>
            </w:r>
            <w:proofErr w:type="spellStart"/>
            <w:r w:rsidRPr="00F52884">
              <w:rPr>
                <w:rFonts w:cstheme="minorHAnsi"/>
                <w:i/>
                <w:iCs/>
                <w:szCs w:val="23"/>
                <w:lang w:val="fr-CA"/>
              </w:rPr>
              <w:t>géoscientifique</w:t>
            </w:r>
            <w:proofErr w:type="spellEnd"/>
            <w:r w:rsidRPr="00F52884">
              <w:rPr>
                <w:rFonts w:cstheme="minorHAnsi"/>
                <w:i/>
                <w:iCs/>
                <w:szCs w:val="23"/>
                <w:lang w:val="fr-CA"/>
              </w:rPr>
              <w:t xml:space="preserve"> liée à la recherche de pétrole et de gaz,</w:t>
            </w:r>
            <w:r w:rsidRPr="00F52884">
              <w:rPr>
                <w:rFonts w:cstheme="minorHAnsi"/>
                <w:iCs/>
                <w:szCs w:val="23"/>
                <w:lang w:val="fr-CA"/>
              </w:rPr>
              <w:t xml:space="preserve"> YD</w:t>
            </w:r>
            <w:r w:rsidRPr="00F52884">
              <w:rPr>
                <w:rFonts w:cstheme="minorHAnsi"/>
                <w:szCs w:val="23"/>
                <w:lang w:val="fr-CA"/>
              </w:rPr>
              <w:t xml:space="preserve"> 2004/156</w:t>
            </w:r>
          </w:p>
          <w:p w14:paraId="1C93E1B0" w14:textId="680BFB1D"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Règlement sur les redevances sur le pétrole et le gaz,</w:t>
            </w:r>
            <w:r w:rsidRPr="00F52884">
              <w:rPr>
                <w:rFonts w:cstheme="minorHAnsi"/>
                <w:iCs/>
                <w:szCs w:val="23"/>
                <w:lang w:val="fr-CA"/>
              </w:rPr>
              <w:t xml:space="preserve"> YD</w:t>
            </w:r>
            <w:r w:rsidRPr="00F52884">
              <w:rPr>
                <w:rFonts w:cstheme="minorHAnsi"/>
                <w:szCs w:val="23"/>
                <w:lang w:val="fr-CA"/>
              </w:rPr>
              <w:t xml:space="preserve"> 2008/25</w:t>
            </w:r>
          </w:p>
          <w:p w14:paraId="7045DF06" w14:textId="47EF1593" w:rsidR="00B8348C" w:rsidRPr="00F52884" w:rsidRDefault="00B8348C" w:rsidP="000C25A3">
            <w:pPr>
              <w:spacing w:before="60" w:after="60"/>
              <w:ind w:left="6"/>
              <w:rPr>
                <w:rFonts w:cstheme="minorHAnsi"/>
                <w:szCs w:val="23"/>
                <w:lang w:val="fr-CA"/>
              </w:rPr>
            </w:pPr>
            <w:r w:rsidRPr="00F52884">
              <w:rPr>
                <w:rFonts w:cstheme="minorHAnsi"/>
                <w:i/>
                <w:iCs/>
                <w:szCs w:val="23"/>
                <w:lang w:val="fr-CA"/>
              </w:rPr>
              <w:t xml:space="preserve">Loi sur l'évaluation environnementale et socioéconomique au Yukon, </w:t>
            </w:r>
            <w:r w:rsidRPr="00F52884">
              <w:rPr>
                <w:rFonts w:cstheme="minorHAnsi"/>
                <w:szCs w:val="23"/>
                <w:lang w:val="fr-CA"/>
              </w:rPr>
              <w:t>LC 2003, c 7</w:t>
            </w:r>
          </w:p>
        </w:tc>
      </w:tr>
      <w:tr w:rsidR="00B8348C" w:rsidRPr="00F52884" w14:paraId="54DF1514" w14:textId="77777777" w:rsidTr="00167455">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83C1ADB"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467E11D2" w14:textId="77777777" w:rsidTr="00167455">
        <w:trPr>
          <w:trHeight w:val="3234"/>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D389216"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commissaire en conseil exécutif peut désigner un « projet énergétique » (dont la définition inclut les oléoducs et les gazoducs) comme « projet agréé », permettant au ministre d’imposer les conditions s’appliquant au projet. Le commissaire en conseil exécutif peut donner des directives à la Régie des entreprises de service public du Yukon à l’égard, entre autres, des tarifs des services publics et de l’exploitation des services publics.</w:t>
            </w:r>
          </w:p>
          <w:p w14:paraId="4E490618" w14:textId="4A4F6DFE" w:rsidR="00B8348C" w:rsidRPr="00F52884" w:rsidRDefault="00B8348C" w:rsidP="000C25A3">
            <w:pPr>
              <w:spacing w:before="120" w:after="120"/>
              <w:rPr>
                <w:rFonts w:cstheme="minorHAnsi"/>
                <w:szCs w:val="23"/>
                <w:lang w:val="fr-FR"/>
              </w:rPr>
            </w:pPr>
            <w:r w:rsidRPr="00F52884">
              <w:rPr>
                <w:rFonts w:cstheme="minorHAnsi"/>
                <w:szCs w:val="23"/>
                <w:lang w:val="fr-CA"/>
              </w:rPr>
              <w:t>Les mesures susmentionnées permettent au gouvernement du Yukon de réglementer et d’accorder diverses autorisations à l’égard du transport, y compris le transport par conduites, le transport de combustibles et le transport d’autres marchandises ainsi que les services annexes à la distribution d’énergie. Le gouvernement du Yukon peut adopter des mesures visant, entre autres :</w:t>
            </w:r>
          </w:p>
          <w:p w14:paraId="627BB815"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imposer des prescriptions de résultats;</w:t>
            </w:r>
          </w:p>
          <w:p w14:paraId="3F51F703"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limiter la propriété en fonction du lieu de résidence.</w:t>
            </w:r>
          </w:p>
        </w:tc>
      </w:tr>
    </w:tbl>
    <w:p w14:paraId="6D7E760F" w14:textId="77777777" w:rsidR="00B8348C" w:rsidRPr="00F52884" w:rsidRDefault="00B8348C" w:rsidP="000C25A3">
      <w:pPr>
        <w:rPr>
          <w:rFonts w:cstheme="minorHAnsi"/>
          <w:szCs w:val="23"/>
          <w:lang w:val="fr-FR"/>
        </w:rPr>
      </w:pPr>
    </w:p>
    <w:p w14:paraId="2784164F" w14:textId="77777777" w:rsidR="00B8348C" w:rsidRPr="00F52884" w:rsidRDefault="00B8348C" w:rsidP="000C25A3">
      <w:pPr>
        <w:rPr>
          <w:rFonts w:cstheme="minorHAnsi"/>
          <w:szCs w:val="23"/>
          <w:lang w:val="fr-FR"/>
        </w:rPr>
      </w:pPr>
    </w:p>
    <w:p w14:paraId="1158AE18" w14:textId="38F0C4C7" w:rsidR="00B8348C" w:rsidRPr="00F52884" w:rsidRDefault="00D0721F" w:rsidP="00167455">
      <w:pPr>
        <w:spacing w:before="60" w:after="60"/>
        <w:ind w:left="-360"/>
        <w:rPr>
          <w:rFonts w:cstheme="minorHAnsi"/>
          <w:b/>
          <w:caps/>
          <w:szCs w:val="23"/>
        </w:rPr>
      </w:pPr>
      <w:r>
        <w:rPr>
          <w:rFonts w:cstheme="minorHAnsi"/>
          <w:b/>
          <w:bCs/>
          <w:caps/>
          <w:szCs w:val="23"/>
          <w:lang w:val="fr-CA"/>
        </w:rPr>
        <w:t>9</w:t>
      </w:r>
      <w:r w:rsidR="00B8348C" w:rsidRPr="00F52884">
        <w:rPr>
          <w:rFonts w:cstheme="minorHAnsi"/>
          <w:b/>
          <w:bCs/>
          <w:caps/>
          <w:szCs w:val="23"/>
          <w:lang w:val="fr-CA"/>
        </w:rPr>
        <w:t>. Yukon</w:t>
      </w:r>
    </w:p>
    <w:tbl>
      <w:tblPr>
        <w:tblW w:w="10162" w:type="dxa"/>
        <w:jc w:val="center"/>
        <w:tblCellMar>
          <w:top w:w="14" w:type="dxa"/>
          <w:left w:w="86" w:type="dxa"/>
          <w:bottom w:w="14" w:type="dxa"/>
          <w:right w:w="86" w:type="dxa"/>
        </w:tblCellMar>
        <w:tblLook w:val="0000" w:firstRow="0" w:lastRow="0" w:firstColumn="0" w:lastColumn="0" w:noHBand="0" w:noVBand="0"/>
      </w:tblPr>
      <w:tblGrid>
        <w:gridCol w:w="2340"/>
        <w:gridCol w:w="7443"/>
        <w:gridCol w:w="379"/>
      </w:tblGrid>
      <w:tr w:rsidR="00B8348C" w:rsidRPr="00F52884" w14:paraId="35389314"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21B7695"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822" w:type="dxa"/>
            <w:gridSpan w:val="2"/>
            <w:tcBorders>
              <w:top w:val="single" w:sz="4" w:space="0" w:color="C0C0C0"/>
              <w:left w:val="single" w:sz="4" w:space="0" w:color="FFFFFF"/>
              <w:bottom w:val="single" w:sz="4" w:space="0" w:color="C0C0C0"/>
              <w:right w:val="nil"/>
            </w:tcBorders>
            <w:vAlign w:val="center"/>
          </w:tcPr>
          <w:p w14:paraId="42A0FDE2"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2E81B2CC" w14:textId="77777777" w:rsidTr="000C25A3">
        <w:trPr>
          <w:trHeight w:val="246"/>
          <w:jc w:val="center"/>
        </w:trPr>
        <w:tc>
          <w:tcPr>
            <w:tcW w:w="2340" w:type="dxa"/>
            <w:tcBorders>
              <w:top w:val="single" w:sz="4" w:space="0" w:color="C0C0C0"/>
              <w:left w:val="nil"/>
              <w:bottom w:val="single" w:sz="4" w:space="0" w:color="C0C0C0"/>
              <w:right w:val="single" w:sz="4" w:space="0" w:color="FFFFFF"/>
            </w:tcBorders>
            <w:vAlign w:val="center"/>
          </w:tcPr>
          <w:p w14:paraId="566F4726"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822" w:type="dxa"/>
            <w:gridSpan w:val="2"/>
            <w:tcBorders>
              <w:top w:val="single" w:sz="4" w:space="0" w:color="C0C0C0"/>
              <w:left w:val="single" w:sz="4" w:space="0" w:color="FFFFFF"/>
              <w:bottom w:val="single" w:sz="4" w:space="0" w:color="C0C0C0"/>
              <w:right w:val="nil"/>
            </w:tcBorders>
            <w:vAlign w:val="center"/>
          </w:tcPr>
          <w:p w14:paraId="06095154" w14:textId="77777777" w:rsidR="00B8348C" w:rsidRPr="00F52884" w:rsidRDefault="00B8348C" w:rsidP="000C25A3">
            <w:pPr>
              <w:spacing w:before="60" w:after="60"/>
              <w:rPr>
                <w:rFonts w:cstheme="minorHAnsi"/>
                <w:szCs w:val="23"/>
                <w:lang w:val="fr-FR"/>
              </w:rPr>
            </w:pPr>
            <w:r w:rsidRPr="00F52884">
              <w:rPr>
                <w:rFonts w:cstheme="minorHAnsi"/>
                <w:szCs w:val="23"/>
                <w:lang w:val="fr-CA"/>
              </w:rPr>
              <w:t>Pétrole et gaz; services annexes à la distribution d’énergie; pétrole brut et gaz naturel; services de transports par conduites</w:t>
            </w:r>
          </w:p>
        </w:tc>
      </w:tr>
      <w:tr w:rsidR="00B8348C" w:rsidRPr="00F52884" w14:paraId="1854B335" w14:textId="77777777" w:rsidTr="000C25A3">
        <w:trPr>
          <w:gridAfter w:val="1"/>
          <w:wAfter w:w="379"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40B50730" w14:textId="77777777" w:rsidR="00B8348C" w:rsidRPr="00F52884" w:rsidRDefault="00B8348C" w:rsidP="000C25A3">
            <w:pPr>
              <w:spacing w:before="60" w:after="60"/>
              <w:rPr>
                <w:rFonts w:cstheme="minorHAnsi"/>
                <w:szCs w:val="23"/>
              </w:rPr>
            </w:pPr>
            <w:r w:rsidRPr="00F52884">
              <w:rPr>
                <w:rFonts w:cstheme="minorHAnsi"/>
                <w:b/>
                <w:bCs/>
                <w:szCs w:val="23"/>
                <w:lang w:val="fr-CA"/>
              </w:rPr>
              <w:lastRenderedPageBreak/>
              <w:t xml:space="preserve">Classification de l’industrie : </w:t>
            </w:r>
          </w:p>
        </w:tc>
        <w:tc>
          <w:tcPr>
            <w:tcW w:w="7443" w:type="dxa"/>
            <w:tcBorders>
              <w:top w:val="single" w:sz="4" w:space="0" w:color="C0C0C0"/>
              <w:left w:val="single" w:sz="4" w:space="0" w:color="FFFFFF"/>
              <w:bottom w:val="single" w:sz="4" w:space="0" w:color="C0C0C0"/>
              <w:right w:val="nil"/>
            </w:tcBorders>
            <w:vAlign w:val="center"/>
          </w:tcPr>
          <w:p w14:paraId="7BE1966C" w14:textId="77777777" w:rsidR="00B8348C" w:rsidRPr="00F52884" w:rsidRDefault="00B8348C" w:rsidP="000C25A3">
            <w:pPr>
              <w:spacing w:before="60" w:after="60"/>
              <w:ind w:left="4"/>
              <w:rPr>
                <w:rFonts w:cstheme="minorHAnsi"/>
                <w:szCs w:val="23"/>
              </w:rPr>
            </w:pPr>
            <w:r w:rsidRPr="00F52884">
              <w:rPr>
                <w:rFonts w:cstheme="minorHAnsi"/>
                <w:szCs w:val="23"/>
                <w:lang w:val="fr-CA"/>
              </w:rPr>
              <w:t>CPC 120, 713, 887</w:t>
            </w:r>
          </w:p>
        </w:tc>
      </w:tr>
      <w:tr w:rsidR="00B8348C" w:rsidRPr="0068240F" w14:paraId="28983E67" w14:textId="77777777" w:rsidTr="000C25A3">
        <w:trPr>
          <w:trHeight w:val="42"/>
          <w:jc w:val="center"/>
        </w:trPr>
        <w:tc>
          <w:tcPr>
            <w:tcW w:w="2340" w:type="dxa"/>
            <w:tcBorders>
              <w:top w:val="single" w:sz="4" w:space="0" w:color="C0C0C0"/>
              <w:left w:val="nil"/>
              <w:bottom w:val="single" w:sz="4" w:space="0" w:color="C0C0C0"/>
              <w:right w:val="single" w:sz="4" w:space="0" w:color="FFFFFF"/>
            </w:tcBorders>
          </w:tcPr>
          <w:p w14:paraId="046BC968" w14:textId="643B79AB"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822" w:type="dxa"/>
            <w:gridSpan w:val="2"/>
            <w:tcBorders>
              <w:top w:val="single" w:sz="4" w:space="0" w:color="C0C0C0"/>
              <w:left w:val="single" w:sz="4" w:space="0" w:color="FFFFFF"/>
              <w:bottom w:val="single" w:sz="4" w:space="0" w:color="C0C0C0"/>
              <w:right w:val="single" w:sz="4" w:space="0" w:color="C0C0C0"/>
            </w:tcBorders>
          </w:tcPr>
          <w:p w14:paraId="361A4365" w14:textId="1555C96C"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non-discriminatoire), article 313 (Prescriptions de résultats)</w:t>
            </w:r>
          </w:p>
        </w:tc>
      </w:tr>
      <w:tr w:rsidR="00B8348C" w:rsidRPr="00F52884" w14:paraId="2C00E57D" w14:textId="77777777" w:rsidTr="000C25A3">
        <w:trPr>
          <w:trHeight w:val="42"/>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39EBE8C"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26E40E61" w14:textId="77777777" w:rsidTr="000C25A3">
        <w:trPr>
          <w:trHeight w:val="273"/>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3970C427" w14:textId="171CF99F" w:rsidR="00B8348C" w:rsidRPr="00F52884" w:rsidRDefault="00B8348C" w:rsidP="000C25A3">
            <w:pPr>
              <w:spacing w:before="60" w:after="60"/>
              <w:rPr>
                <w:rFonts w:cstheme="minorHAnsi"/>
                <w:szCs w:val="23"/>
                <w:lang w:val="fr-CA"/>
              </w:rPr>
            </w:pPr>
            <w:r w:rsidRPr="00F52884">
              <w:rPr>
                <w:rFonts w:cstheme="minorHAnsi"/>
                <w:i/>
                <w:iCs/>
                <w:szCs w:val="23"/>
                <w:lang w:val="fr-CA"/>
              </w:rPr>
              <w:t>Accord Canada-Yukon sur le pétrole et le gaz</w:t>
            </w:r>
          </w:p>
          <w:p w14:paraId="3621DA8B" w14:textId="618AFF1D"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Loi sur le pétrole et le gaz, </w:t>
            </w:r>
            <w:r w:rsidRPr="00F52884">
              <w:rPr>
                <w:rFonts w:cstheme="minorHAnsi"/>
                <w:szCs w:val="23"/>
                <w:lang w:val="fr-CA"/>
              </w:rPr>
              <w:t>LRY 2002, c 162, art 9</w:t>
            </w:r>
            <w:r w:rsidRPr="00B04E29">
              <w:rPr>
                <w:rFonts w:ascii="Arial" w:hAnsi="Arial" w:cs="Arial"/>
                <w:szCs w:val="23"/>
                <w:lang w:val="fr-CA"/>
              </w:rPr>
              <w:t>–</w:t>
            </w:r>
            <w:r w:rsidRPr="00F52884">
              <w:rPr>
                <w:rFonts w:cstheme="minorHAnsi"/>
                <w:szCs w:val="23"/>
                <w:lang w:val="fr-CA"/>
              </w:rPr>
              <w:t>10, 12, 17, 26</w:t>
            </w:r>
            <w:r w:rsidRPr="00B04E29">
              <w:rPr>
                <w:rFonts w:ascii="Arial" w:hAnsi="Arial" w:cs="Arial"/>
                <w:szCs w:val="23"/>
                <w:lang w:val="fr-CA"/>
              </w:rPr>
              <w:t>–</w:t>
            </w:r>
            <w:r w:rsidRPr="00F52884">
              <w:rPr>
                <w:rFonts w:cstheme="minorHAnsi"/>
                <w:szCs w:val="23"/>
                <w:lang w:val="fr-CA"/>
              </w:rPr>
              <w:t>29, 36, 40</w:t>
            </w:r>
            <w:r w:rsidRPr="00B04E29">
              <w:rPr>
                <w:rFonts w:ascii="Arial" w:hAnsi="Arial" w:cs="Arial"/>
                <w:szCs w:val="23"/>
                <w:lang w:val="fr-CA"/>
              </w:rPr>
              <w:t>–</w:t>
            </w:r>
            <w:r w:rsidRPr="00F52884">
              <w:rPr>
                <w:rFonts w:cstheme="minorHAnsi"/>
                <w:szCs w:val="23"/>
                <w:lang w:val="fr-CA"/>
              </w:rPr>
              <w:t>44, 46</w:t>
            </w:r>
            <w:r w:rsidRPr="00B04E29">
              <w:rPr>
                <w:rFonts w:ascii="Arial" w:hAnsi="Arial" w:cs="Arial"/>
                <w:szCs w:val="23"/>
                <w:lang w:val="fr-CA"/>
              </w:rPr>
              <w:t>–</w:t>
            </w:r>
            <w:r w:rsidRPr="00F52884">
              <w:rPr>
                <w:rFonts w:cstheme="minorHAnsi"/>
                <w:szCs w:val="23"/>
                <w:lang w:val="fr-CA"/>
              </w:rPr>
              <w:t>48, 51, 54, 61, 63, 65, 67, 75</w:t>
            </w:r>
            <w:r w:rsidRPr="00B04E29">
              <w:rPr>
                <w:rFonts w:ascii="Arial" w:hAnsi="Arial" w:cs="Arial"/>
                <w:szCs w:val="23"/>
                <w:lang w:val="fr-CA"/>
              </w:rPr>
              <w:t>–</w:t>
            </w:r>
            <w:r w:rsidRPr="00F52884">
              <w:rPr>
                <w:rFonts w:cstheme="minorHAnsi"/>
                <w:szCs w:val="23"/>
                <w:lang w:val="fr-CA"/>
              </w:rPr>
              <w:t>76</w:t>
            </w:r>
          </w:p>
          <w:p w14:paraId="4BC9E02F" w14:textId="2C69F05A" w:rsidR="00B8348C" w:rsidRPr="00F52884" w:rsidRDefault="00B8348C" w:rsidP="000C25A3">
            <w:pPr>
              <w:spacing w:before="60" w:after="60"/>
              <w:rPr>
                <w:rFonts w:cstheme="minorHAnsi"/>
                <w:szCs w:val="23"/>
                <w:lang w:val="fr-CA"/>
              </w:rPr>
            </w:pPr>
            <w:r w:rsidRPr="00F52884">
              <w:rPr>
                <w:rFonts w:cstheme="minorHAnsi"/>
                <w:i/>
                <w:iCs/>
                <w:szCs w:val="23"/>
                <w:lang w:val="fr-CA"/>
              </w:rPr>
              <w:t>Règlement sur les pipelines de pétrole et de gaz</w:t>
            </w:r>
          </w:p>
          <w:p w14:paraId="1AAA552D" w14:textId="7D19DDE2"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les titres d'aliénation pétroliers et gaziers, </w:t>
            </w:r>
            <w:r w:rsidRPr="00F52884">
              <w:rPr>
                <w:rFonts w:cstheme="minorHAnsi"/>
                <w:iCs/>
                <w:szCs w:val="23"/>
                <w:lang w:val="fr-CA"/>
              </w:rPr>
              <w:t>YD</w:t>
            </w:r>
            <w:r w:rsidRPr="00F52884" w:rsidDel="008F05C8">
              <w:rPr>
                <w:rFonts w:cstheme="minorHAnsi"/>
                <w:i/>
                <w:iCs/>
                <w:szCs w:val="23"/>
                <w:lang w:val="fr-CA"/>
              </w:rPr>
              <w:t xml:space="preserve"> </w:t>
            </w:r>
            <w:r w:rsidRPr="00F52884">
              <w:rPr>
                <w:rFonts w:cstheme="minorHAnsi"/>
                <w:szCs w:val="23"/>
                <w:lang w:val="fr-CA"/>
              </w:rPr>
              <w:t>1999/147</w:t>
            </w:r>
          </w:p>
          <w:p w14:paraId="13925A9E" w14:textId="25C6DEDC"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l'administration des licences de pétrole et de gaz, </w:t>
            </w:r>
            <w:r w:rsidRPr="00F52884">
              <w:rPr>
                <w:rFonts w:cstheme="minorHAnsi"/>
                <w:iCs/>
                <w:szCs w:val="23"/>
                <w:lang w:val="fr-CA"/>
              </w:rPr>
              <w:t>YD</w:t>
            </w:r>
            <w:r w:rsidRPr="00F52884">
              <w:rPr>
                <w:rFonts w:cstheme="minorHAnsi"/>
                <w:szCs w:val="23"/>
                <w:lang w:val="fr-CA"/>
              </w:rPr>
              <w:t xml:space="preserve"> 2004/157</w:t>
            </w:r>
          </w:p>
          <w:p w14:paraId="70AB2CDF" w14:textId="6127D051"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les travaux de forage et de production de pétrole et de gaz, </w:t>
            </w:r>
            <w:r w:rsidRPr="00F52884">
              <w:rPr>
                <w:rFonts w:cstheme="minorHAnsi"/>
                <w:iCs/>
                <w:szCs w:val="23"/>
                <w:lang w:val="fr-CA"/>
              </w:rPr>
              <w:t>YD</w:t>
            </w:r>
            <w:r w:rsidRPr="00F52884">
              <w:rPr>
                <w:rFonts w:cstheme="minorHAnsi"/>
                <w:szCs w:val="23"/>
                <w:lang w:val="fr-CA"/>
              </w:rPr>
              <w:t xml:space="preserve"> 2004/158</w:t>
            </w:r>
          </w:p>
          <w:p w14:paraId="71E5602B" w14:textId="782F12C2"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la prospection </w:t>
            </w:r>
            <w:proofErr w:type="spellStart"/>
            <w:r w:rsidRPr="00F52884">
              <w:rPr>
                <w:rFonts w:cstheme="minorHAnsi"/>
                <w:i/>
                <w:iCs/>
                <w:szCs w:val="23"/>
                <w:lang w:val="fr-CA"/>
              </w:rPr>
              <w:t>géoscientifique</w:t>
            </w:r>
            <w:proofErr w:type="spellEnd"/>
            <w:r w:rsidRPr="00F52884">
              <w:rPr>
                <w:rFonts w:cstheme="minorHAnsi"/>
                <w:i/>
                <w:iCs/>
                <w:szCs w:val="23"/>
                <w:lang w:val="fr-CA"/>
              </w:rPr>
              <w:t xml:space="preserve"> liée à la recherche de pétrole et de gaz, </w:t>
            </w:r>
            <w:r w:rsidRPr="00F52884">
              <w:rPr>
                <w:rFonts w:cstheme="minorHAnsi"/>
                <w:iCs/>
                <w:szCs w:val="23"/>
                <w:lang w:val="fr-CA"/>
              </w:rPr>
              <w:t>YD</w:t>
            </w:r>
            <w:r w:rsidRPr="00F52884">
              <w:rPr>
                <w:rFonts w:cstheme="minorHAnsi"/>
                <w:szCs w:val="23"/>
                <w:lang w:val="fr-CA"/>
              </w:rPr>
              <w:t xml:space="preserve"> 2004/156</w:t>
            </w:r>
          </w:p>
          <w:p w14:paraId="07A746E3" w14:textId="4007B73D" w:rsidR="00B8348C" w:rsidRPr="00F52884" w:rsidRDefault="00B8348C" w:rsidP="000C25A3">
            <w:pPr>
              <w:spacing w:before="60" w:after="60"/>
              <w:rPr>
                <w:rFonts w:cstheme="minorHAnsi"/>
                <w:szCs w:val="23"/>
                <w:lang w:val="fr-CA"/>
              </w:rPr>
            </w:pPr>
            <w:r w:rsidRPr="00F52884">
              <w:rPr>
                <w:rFonts w:cstheme="minorHAnsi"/>
                <w:i/>
                <w:iCs/>
                <w:szCs w:val="23"/>
                <w:lang w:val="fr-CA"/>
              </w:rPr>
              <w:t xml:space="preserve">Règlement sur les redevances sur le pétrole et le gaz, </w:t>
            </w:r>
            <w:r w:rsidRPr="00F52884">
              <w:rPr>
                <w:rFonts w:cstheme="minorHAnsi"/>
                <w:iCs/>
                <w:szCs w:val="23"/>
                <w:lang w:val="fr-CA"/>
              </w:rPr>
              <w:t>YD</w:t>
            </w:r>
            <w:r w:rsidRPr="00F52884">
              <w:rPr>
                <w:rFonts w:cstheme="minorHAnsi"/>
                <w:szCs w:val="23"/>
                <w:lang w:val="fr-CA"/>
              </w:rPr>
              <w:t xml:space="preserve"> 2008/25</w:t>
            </w:r>
          </w:p>
          <w:p w14:paraId="37573048" w14:textId="221085BD" w:rsidR="00B8348C" w:rsidRPr="00F52884" w:rsidRDefault="00B8348C" w:rsidP="000C25A3">
            <w:pPr>
              <w:spacing w:before="60" w:after="60"/>
              <w:rPr>
                <w:rFonts w:cstheme="minorHAnsi"/>
                <w:szCs w:val="23"/>
                <w:lang w:val="fr-CA"/>
              </w:rPr>
            </w:pPr>
            <w:r w:rsidRPr="00F52884">
              <w:rPr>
                <w:rFonts w:cstheme="minorHAnsi"/>
                <w:i/>
                <w:iCs/>
                <w:szCs w:val="23"/>
                <w:lang w:val="fr-CA"/>
              </w:rPr>
              <w:t>Loi sur l'évaluation environnementale et socioéconomique au Yukon,</w:t>
            </w:r>
            <w:r w:rsidRPr="00F52884">
              <w:rPr>
                <w:rFonts w:cstheme="minorHAnsi"/>
                <w:szCs w:val="23"/>
                <w:lang w:val="fr-CA"/>
              </w:rPr>
              <w:t xml:space="preserve"> LC 2003, c 7</w:t>
            </w:r>
          </w:p>
        </w:tc>
      </w:tr>
      <w:tr w:rsidR="00B8348C" w:rsidRPr="00F52884" w14:paraId="594B7D4A" w14:textId="77777777" w:rsidTr="000C25A3">
        <w:trPr>
          <w:trHeight w:val="49"/>
          <w:jc w:val="center"/>
        </w:trPr>
        <w:tc>
          <w:tcPr>
            <w:tcW w:w="1016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6085903"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50BEE090" w14:textId="77777777" w:rsidTr="000C25A3">
        <w:trPr>
          <w:trHeight w:val="66"/>
          <w:jc w:val="center"/>
        </w:trPr>
        <w:tc>
          <w:tcPr>
            <w:tcW w:w="10162" w:type="dxa"/>
            <w:gridSpan w:val="3"/>
            <w:tcBorders>
              <w:top w:val="single" w:sz="4" w:space="0" w:color="C0C0C0"/>
              <w:left w:val="single" w:sz="4" w:space="0" w:color="C0C0C0"/>
              <w:bottom w:val="single" w:sz="4" w:space="0" w:color="C0C0C0"/>
              <w:right w:val="single" w:sz="4" w:space="0" w:color="C0C0C0"/>
            </w:tcBorders>
          </w:tcPr>
          <w:p w14:paraId="40125860" w14:textId="3CC742B9" w:rsidR="00B8348C" w:rsidRPr="00F52884" w:rsidRDefault="00B8348C" w:rsidP="000C25A3">
            <w:pPr>
              <w:spacing w:before="120" w:after="120"/>
              <w:rPr>
                <w:rFonts w:cstheme="minorHAnsi"/>
                <w:szCs w:val="23"/>
                <w:lang w:val="fr-FR"/>
              </w:rPr>
            </w:pPr>
            <w:r w:rsidRPr="00F52884">
              <w:rPr>
                <w:rFonts w:cstheme="minorHAnsi"/>
                <w:szCs w:val="23"/>
                <w:lang w:val="fr-CA"/>
              </w:rPr>
              <w:t>Les mesures susmentionnées permettent au gouvernement du Yukon de réglementer et d’accorder diverses autorisations à l’égard de l’énergie, y compris le pétrole et le gaz, les services annexes à la distribution d’énergie, le pétrole brut et le gaz naturel ainsi que les services de transports par conduites. Le gouvernement du Yukon peut adopter des mesures visant, entre autres :</w:t>
            </w:r>
          </w:p>
          <w:p w14:paraId="1AD52236"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imposer des prescriptions de résultats;</w:t>
            </w:r>
          </w:p>
          <w:p w14:paraId="7D8E2218" w14:textId="77777777" w:rsidR="00B8348C" w:rsidRPr="00F52884" w:rsidRDefault="00B8348C" w:rsidP="00B8348C">
            <w:pPr>
              <w:numPr>
                <w:ilvl w:val="0"/>
                <w:numId w:val="135"/>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à</w:t>
            </w:r>
            <w:proofErr w:type="gramEnd"/>
            <w:r w:rsidRPr="00F52884">
              <w:rPr>
                <w:rFonts w:cstheme="minorHAnsi"/>
                <w:szCs w:val="23"/>
                <w:lang w:val="fr-CA"/>
              </w:rPr>
              <w:t xml:space="preserve"> limiter la propriété en fonction du lieu de résidence.</w:t>
            </w:r>
          </w:p>
        </w:tc>
      </w:tr>
    </w:tbl>
    <w:p w14:paraId="45B9D93E" w14:textId="77777777" w:rsidR="00B8348C" w:rsidRPr="00F52884" w:rsidRDefault="00B8348C" w:rsidP="000C25A3">
      <w:pPr>
        <w:rPr>
          <w:rFonts w:cstheme="minorHAnsi"/>
          <w:szCs w:val="23"/>
          <w:lang w:val="fr-FR"/>
        </w:rPr>
      </w:pPr>
    </w:p>
    <w:p w14:paraId="05CFECB4" w14:textId="77777777" w:rsidR="00B8348C" w:rsidRPr="00F52884" w:rsidRDefault="00B8348C" w:rsidP="000C25A3">
      <w:pPr>
        <w:rPr>
          <w:rFonts w:cstheme="minorHAnsi"/>
          <w:szCs w:val="23"/>
          <w:lang w:val="fr-FR"/>
        </w:rPr>
      </w:pPr>
    </w:p>
    <w:p w14:paraId="14B86C51" w14:textId="774B402C" w:rsidR="00B8348C" w:rsidRPr="00F52884" w:rsidRDefault="00D0721F" w:rsidP="00DA2ACC">
      <w:pPr>
        <w:spacing w:before="60" w:after="60"/>
        <w:ind w:left="-360"/>
        <w:rPr>
          <w:rFonts w:cstheme="minorHAnsi"/>
          <w:b/>
          <w:caps/>
          <w:szCs w:val="23"/>
        </w:rPr>
      </w:pPr>
      <w:r>
        <w:rPr>
          <w:rFonts w:cstheme="minorHAnsi"/>
          <w:b/>
          <w:bCs/>
          <w:caps/>
          <w:szCs w:val="23"/>
          <w:lang w:val="fr-CA"/>
        </w:rPr>
        <w:t>10</w:t>
      </w:r>
      <w:r w:rsidR="00B8348C" w:rsidRPr="00F52884">
        <w:rPr>
          <w:rFonts w:cstheme="minorHAnsi"/>
          <w:b/>
          <w:bCs/>
          <w:caps/>
          <w:szCs w:val="23"/>
          <w:lang w:val="fr-CA"/>
        </w:rPr>
        <w:t xml:space="preserve">. </w:t>
      </w:r>
      <w:r w:rsidR="00DA2ACC" w:rsidRPr="00F52884">
        <w:rPr>
          <w:rFonts w:cstheme="minorHAnsi"/>
          <w:b/>
          <w:bCs/>
          <w:caps/>
          <w:szCs w:val="23"/>
          <w:lang w:val="fr-CA"/>
        </w:rPr>
        <w:t xml:space="preserve"> </w:t>
      </w:r>
      <w:r w:rsidR="00B8348C" w:rsidRPr="00F52884">
        <w:rPr>
          <w:rFonts w:cstheme="minorHAnsi"/>
          <w:b/>
          <w:bCs/>
          <w:caps/>
          <w:szCs w:val="23"/>
          <w:lang w:val="fr-CA"/>
        </w:rPr>
        <w:t>Yukon</w:t>
      </w:r>
    </w:p>
    <w:tbl>
      <w:tblPr>
        <w:tblW w:w="10252" w:type="dxa"/>
        <w:jc w:val="center"/>
        <w:tblCellMar>
          <w:top w:w="14" w:type="dxa"/>
          <w:left w:w="86" w:type="dxa"/>
          <w:bottom w:w="14" w:type="dxa"/>
          <w:right w:w="86" w:type="dxa"/>
        </w:tblCellMar>
        <w:tblLook w:val="0000" w:firstRow="0" w:lastRow="0" w:firstColumn="0" w:lastColumn="0" w:noHBand="0" w:noVBand="0"/>
      </w:tblPr>
      <w:tblGrid>
        <w:gridCol w:w="2610"/>
        <w:gridCol w:w="7263"/>
        <w:gridCol w:w="379"/>
      </w:tblGrid>
      <w:tr w:rsidR="00B8348C" w:rsidRPr="00F52884" w14:paraId="3E652144" w14:textId="77777777" w:rsidTr="00DA2ACC">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02201860"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Secteur :</w:t>
            </w:r>
            <w:r w:rsidRPr="00F52884">
              <w:rPr>
                <w:rFonts w:cstheme="minorHAnsi"/>
                <w:szCs w:val="23"/>
                <w:lang w:val="fr-CA"/>
              </w:rPr>
              <w:t xml:space="preserve"> </w:t>
            </w:r>
          </w:p>
        </w:tc>
        <w:tc>
          <w:tcPr>
            <w:tcW w:w="7642" w:type="dxa"/>
            <w:gridSpan w:val="2"/>
            <w:tcBorders>
              <w:top w:val="single" w:sz="4" w:space="0" w:color="C0C0C0"/>
              <w:left w:val="single" w:sz="4" w:space="0" w:color="FFFFFF"/>
              <w:bottom w:val="single" w:sz="4" w:space="0" w:color="C0C0C0"/>
              <w:right w:val="nil"/>
            </w:tcBorders>
            <w:vAlign w:val="center"/>
          </w:tcPr>
          <w:p w14:paraId="2453D027" w14:textId="77777777" w:rsidR="00B8348C" w:rsidRPr="00F52884" w:rsidRDefault="00B8348C" w:rsidP="000C25A3">
            <w:pPr>
              <w:spacing w:before="60" w:after="60"/>
              <w:rPr>
                <w:rFonts w:cstheme="minorHAnsi"/>
                <w:szCs w:val="23"/>
              </w:rPr>
            </w:pPr>
            <w:r w:rsidRPr="00F52884">
              <w:rPr>
                <w:rFonts w:cstheme="minorHAnsi"/>
                <w:szCs w:val="23"/>
                <w:lang w:val="fr-CA"/>
              </w:rPr>
              <w:t>Biens fonciers</w:t>
            </w:r>
          </w:p>
        </w:tc>
      </w:tr>
      <w:tr w:rsidR="00B8348C" w:rsidRPr="0068240F" w14:paraId="468B2977" w14:textId="77777777" w:rsidTr="00DA2ACC">
        <w:trPr>
          <w:trHeight w:val="246"/>
          <w:jc w:val="center"/>
        </w:trPr>
        <w:tc>
          <w:tcPr>
            <w:tcW w:w="2610" w:type="dxa"/>
            <w:tcBorders>
              <w:top w:val="single" w:sz="4" w:space="0" w:color="C0C0C0"/>
              <w:left w:val="nil"/>
              <w:bottom w:val="single" w:sz="4" w:space="0" w:color="C0C0C0"/>
              <w:right w:val="single" w:sz="4" w:space="0" w:color="FFFFFF"/>
            </w:tcBorders>
            <w:vAlign w:val="center"/>
          </w:tcPr>
          <w:p w14:paraId="48BA07EB"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Sous-secteur : </w:t>
            </w:r>
          </w:p>
        </w:tc>
        <w:tc>
          <w:tcPr>
            <w:tcW w:w="7642" w:type="dxa"/>
            <w:gridSpan w:val="2"/>
            <w:tcBorders>
              <w:top w:val="single" w:sz="4" w:space="0" w:color="C0C0C0"/>
              <w:left w:val="single" w:sz="4" w:space="0" w:color="FFFFFF"/>
              <w:bottom w:val="single" w:sz="4" w:space="0" w:color="C0C0C0"/>
              <w:right w:val="nil"/>
            </w:tcBorders>
            <w:vAlign w:val="center"/>
          </w:tcPr>
          <w:p w14:paraId="23CE9086" w14:textId="77777777" w:rsidR="00B8348C" w:rsidRPr="00F52884" w:rsidRDefault="00B8348C" w:rsidP="000C25A3">
            <w:pPr>
              <w:spacing w:before="60" w:after="60"/>
              <w:rPr>
                <w:rFonts w:cstheme="minorHAnsi"/>
                <w:szCs w:val="23"/>
                <w:lang w:val="fr-FR"/>
              </w:rPr>
            </w:pPr>
            <w:r w:rsidRPr="00F52884">
              <w:rPr>
                <w:rFonts w:cstheme="minorHAnsi"/>
                <w:szCs w:val="23"/>
                <w:lang w:val="fr-CA"/>
              </w:rPr>
              <w:t>Terrains récréatifs et autres terrains non construits</w:t>
            </w:r>
          </w:p>
        </w:tc>
      </w:tr>
      <w:tr w:rsidR="00B8348C" w:rsidRPr="00F52884" w14:paraId="24985339" w14:textId="77777777" w:rsidTr="00DA2ACC">
        <w:trPr>
          <w:gridAfter w:val="1"/>
          <w:wAfter w:w="379" w:type="dxa"/>
          <w:trHeight w:val="42"/>
          <w:jc w:val="center"/>
        </w:trPr>
        <w:tc>
          <w:tcPr>
            <w:tcW w:w="2610" w:type="dxa"/>
            <w:tcBorders>
              <w:top w:val="single" w:sz="4" w:space="0" w:color="C0C0C0"/>
              <w:left w:val="nil"/>
              <w:bottom w:val="single" w:sz="4" w:space="0" w:color="C0C0C0"/>
              <w:right w:val="single" w:sz="4" w:space="0" w:color="FFFFFF"/>
            </w:tcBorders>
            <w:vAlign w:val="center"/>
          </w:tcPr>
          <w:p w14:paraId="63C28A54"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263" w:type="dxa"/>
            <w:tcBorders>
              <w:top w:val="single" w:sz="4" w:space="0" w:color="C0C0C0"/>
              <w:left w:val="single" w:sz="4" w:space="0" w:color="FFFFFF"/>
              <w:bottom w:val="single" w:sz="4" w:space="0" w:color="C0C0C0"/>
              <w:right w:val="nil"/>
            </w:tcBorders>
            <w:vAlign w:val="center"/>
          </w:tcPr>
          <w:p w14:paraId="39419906" w14:textId="77777777" w:rsidR="00B8348C" w:rsidRPr="00F52884" w:rsidRDefault="00B8348C" w:rsidP="000C25A3">
            <w:pPr>
              <w:spacing w:before="60" w:after="60"/>
              <w:ind w:left="4"/>
              <w:rPr>
                <w:rFonts w:cstheme="minorHAnsi"/>
                <w:szCs w:val="23"/>
              </w:rPr>
            </w:pPr>
            <w:r w:rsidRPr="00F52884">
              <w:rPr>
                <w:rFonts w:cstheme="minorHAnsi"/>
                <w:szCs w:val="23"/>
                <w:lang w:val="fr-CA"/>
              </w:rPr>
              <w:t>CPC 5330</w:t>
            </w:r>
          </w:p>
        </w:tc>
      </w:tr>
      <w:tr w:rsidR="00B8348C" w:rsidRPr="0068240F" w14:paraId="0F8A47D6" w14:textId="77777777" w:rsidTr="00DA2ACC">
        <w:trPr>
          <w:trHeight w:val="42"/>
          <w:jc w:val="center"/>
        </w:trPr>
        <w:tc>
          <w:tcPr>
            <w:tcW w:w="2610" w:type="dxa"/>
            <w:tcBorders>
              <w:top w:val="single" w:sz="4" w:space="0" w:color="C0C0C0"/>
              <w:left w:val="nil"/>
              <w:bottom w:val="single" w:sz="4" w:space="0" w:color="C0C0C0"/>
              <w:right w:val="single" w:sz="4" w:space="0" w:color="FFFFFF"/>
            </w:tcBorders>
          </w:tcPr>
          <w:p w14:paraId="02BD7599" w14:textId="4357851B"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642" w:type="dxa"/>
            <w:gridSpan w:val="2"/>
            <w:tcBorders>
              <w:top w:val="single" w:sz="4" w:space="0" w:color="C0C0C0"/>
              <w:left w:val="single" w:sz="4" w:space="0" w:color="FFFFFF"/>
              <w:bottom w:val="single" w:sz="4" w:space="0" w:color="C0C0C0"/>
              <w:right w:val="single" w:sz="4" w:space="0" w:color="C0C0C0"/>
            </w:tcBorders>
          </w:tcPr>
          <w:p w14:paraId="3955116D" w14:textId="005F2758"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307 (Accès aux marchés – Investissement)</w:t>
            </w:r>
          </w:p>
        </w:tc>
      </w:tr>
      <w:tr w:rsidR="00B8348C" w:rsidRPr="00F52884" w14:paraId="6514892D" w14:textId="77777777" w:rsidTr="00DA2ACC">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6F2A0ED" w14:textId="77777777" w:rsidR="00B8348C" w:rsidRPr="00F52884" w:rsidRDefault="00B8348C" w:rsidP="000C25A3">
            <w:pPr>
              <w:spacing w:before="60" w:after="60"/>
              <w:rPr>
                <w:rFonts w:cstheme="minorHAnsi"/>
                <w:b/>
                <w:szCs w:val="23"/>
              </w:rPr>
            </w:pPr>
            <w:r w:rsidRPr="00F52884">
              <w:rPr>
                <w:rFonts w:cstheme="minorHAnsi"/>
                <w:b/>
                <w:bCs/>
                <w:szCs w:val="23"/>
                <w:lang w:val="fr-CA"/>
              </w:rPr>
              <w:t>Mesures :</w:t>
            </w:r>
          </w:p>
        </w:tc>
      </w:tr>
      <w:tr w:rsidR="00B8348C" w:rsidRPr="0068240F" w14:paraId="4D7E2FB4" w14:textId="77777777" w:rsidTr="00DA2ACC">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1737A9EA" w14:textId="42A3BD48" w:rsidR="00B8348C" w:rsidRPr="00B04E29" w:rsidRDefault="00B8348C" w:rsidP="00FA2285">
            <w:pPr>
              <w:rPr>
                <w:rFonts w:ascii="Arial" w:hAnsi="Arial" w:cs="Arial"/>
                <w:szCs w:val="23"/>
                <w:lang w:val="fr-CA"/>
              </w:rPr>
            </w:pPr>
            <w:r w:rsidRPr="00B04E29">
              <w:rPr>
                <w:rFonts w:ascii="Arial" w:hAnsi="Arial" w:cs="Arial"/>
                <w:i/>
                <w:szCs w:val="23"/>
                <w:lang w:val="fr-CA"/>
              </w:rPr>
              <w:t>Règlement concernant l'administration et l'aliénation des terres du Yukon</w:t>
            </w:r>
            <w:r w:rsidRPr="00B04E29">
              <w:rPr>
                <w:rFonts w:ascii="Arial" w:hAnsi="Arial" w:cs="Arial"/>
                <w:szCs w:val="23"/>
                <w:lang w:val="fr-CA"/>
              </w:rPr>
              <w:t>, YD 1983/192, art 52, 67</w:t>
            </w:r>
          </w:p>
        </w:tc>
      </w:tr>
      <w:tr w:rsidR="00B8348C" w:rsidRPr="00F52884" w14:paraId="72DC0028" w14:textId="77777777" w:rsidTr="00DA2ACC">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CF8E0FB"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5AAAE4A2" w14:textId="77777777" w:rsidTr="00DA2ACC">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7CFEEBD9" w14:textId="77777777" w:rsidR="00B8348C" w:rsidRPr="00F52884" w:rsidRDefault="00B8348C" w:rsidP="000C25A3">
            <w:pPr>
              <w:spacing w:before="60" w:after="60"/>
              <w:rPr>
                <w:rFonts w:cstheme="minorHAnsi"/>
                <w:szCs w:val="23"/>
                <w:lang w:val="fr-FR"/>
              </w:rPr>
            </w:pPr>
            <w:r w:rsidRPr="00F52884">
              <w:rPr>
                <w:rFonts w:cstheme="minorHAnsi"/>
                <w:szCs w:val="23"/>
                <w:lang w:val="fr-CA"/>
              </w:rPr>
              <w:lastRenderedPageBreak/>
              <w:t>Aux fins du tirage au sort pour la vente des terres classées résidentielles (rural), est admissible une personne physique qui a habité de façon continue au Yukon pendant un an. Aux fins du tirage de lots résidentiels (loisirs), est admissible : 1) une personne physique qui a habité de façon continue au Yukon pendant un an immédiatement avant la date de la vente; 2) une personne qui n’a pas acheté de lot résidentiel (loisirs) ni conclu de convention à cet égard avec le commissaire au cours des trois ans qui précèdent la date de la vente par tirage au sort, ni déjà présenté de demande pour participer au tirage au sort, ces conditions s’appliquant également aux personnes à charge et au conjoint légal ou de fait de l’intéressé.</w:t>
            </w:r>
          </w:p>
        </w:tc>
      </w:tr>
    </w:tbl>
    <w:p w14:paraId="6911FDFB" w14:textId="77777777" w:rsidR="00B8348C" w:rsidRPr="00F52884" w:rsidRDefault="00B8348C">
      <w:pPr>
        <w:rPr>
          <w:rFonts w:eastAsia="Times New Roman" w:cstheme="minorHAnsi"/>
          <w:b/>
          <w:bCs/>
          <w:szCs w:val="23"/>
          <w:lang w:val="fr-FR"/>
        </w:rPr>
      </w:pPr>
      <w:r w:rsidRPr="00F52884">
        <w:rPr>
          <w:rFonts w:cstheme="minorHAnsi"/>
          <w:szCs w:val="23"/>
          <w:lang w:val="fr-CA"/>
        </w:rPr>
        <w:br w:type="page"/>
      </w:r>
    </w:p>
    <w:p w14:paraId="72496BEF" w14:textId="77777777" w:rsidR="00B8348C" w:rsidRPr="00F52884" w:rsidRDefault="00B8348C" w:rsidP="00F52884">
      <w:pPr>
        <w:pStyle w:val="Heading3"/>
        <w:jc w:val="center"/>
        <w:rPr>
          <w:rFonts w:asciiTheme="minorHAnsi" w:hAnsiTheme="minorHAnsi" w:cstheme="minorHAnsi"/>
          <w:sz w:val="24"/>
          <w:szCs w:val="24"/>
          <w:lang w:val="fr-FR"/>
        </w:rPr>
      </w:pPr>
      <w:bookmarkStart w:id="296" w:name="_Toc476566346"/>
      <w:bookmarkStart w:id="297" w:name="_Toc156311799"/>
      <w:r w:rsidRPr="00F52884">
        <w:rPr>
          <w:rFonts w:asciiTheme="minorHAnsi" w:hAnsiTheme="minorHAnsi" w:cstheme="minorHAnsi"/>
          <w:sz w:val="24"/>
          <w:szCs w:val="24"/>
          <w:lang w:val="fr-CA"/>
        </w:rPr>
        <w:lastRenderedPageBreak/>
        <w:t>Liste des Territoires du Nord-Ouest</w:t>
      </w:r>
      <w:bookmarkEnd w:id="296"/>
      <w:bookmarkEnd w:id="297"/>
    </w:p>
    <w:p w14:paraId="05BEA34B" w14:textId="77777777" w:rsidR="00B8348C" w:rsidRPr="00F52884" w:rsidRDefault="00B8348C" w:rsidP="000C25A3">
      <w:pPr>
        <w:contextualSpacing/>
        <w:jc w:val="center"/>
        <w:outlineLvl w:val="2"/>
        <w:rPr>
          <w:rFonts w:cstheme="minorHAnsi"/>
          <w:sz w:val="24"/>
          <w:szCs w:val="24"/>
          <w:lang w:val="fr-FR"/>
        </w:rPr>
      </w:pPr>
    </w:p>
    <w:p w14:paraId="7D8B2446"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w:t>
      </w:r>
    </w:p>
    <w:p w14:paraId="5DFB7BD4" w14:textId="77777777" w:rsidR="00B8348C" w:rsidRPr="00F52884" w:rsidRDefault="00B8348C" w:rsidP="000C25A3">
      <w:pPr>
        <w:contextualSpacing/>
        <w:outlineLvl w:val="2"/>
        <w:rPr>
          <w:rFonts w:cstheme="minorHAnsi"/>
          <w:szCs w:val="23"/>
          <w:lang w:val="fr-FR"/>
        </w:rPr>
      </w:pPr>
    </w:p>
    <w:p w14:paraId="13CA4B29" w14:textId="16BB5792" w:rsidR="00B8348C" w:rsidRPr="00F52884" w:rsidRDefault="00B8348C" w:rsidP="00DA2ACC">
      <w:pPr>
        <w:spacing w:before="60" w:after="60"/>
        <w:ind w:left="-360"/>
        <w:rPr>
          <w:rFonts w:cstheme="minorHAnsi"/>
          <w:b/>
          <w:szCs w:val="23"/>
          <w:lang w:val="fr-FR"/>
        </w:rPr>
      </w:pPr>
      <w:r w:rsidRPr="00F52884">
        <w:rPr>
          <w:rFonts w:cstheme="minorHAnsi"/>
          <w:b/>
          <w:bCs/>
          <w:szCs w:val="23"/>
          <w:lang w:val="fr-CA"/>
        </w:rPr>
        <w:t xml:space="preserve">1. </w:t>
      </w:r>
      <w:r w:rsidR="00DA2ACC" w:rsidRPr="00F52884">
        <w:rPr>
          <w:rFonts w:cstheme="minorHAnsi"/>
          <w:b/>
          <w:bCs/>
          <w:szCs w:val="23"/>
          <w:lang w:val="fr-CA"/>
        </w:rPr>
        <w:t xml:space="preserve"> </w:t>
      </w:r>
      <w:r w:rsidRPr="00F52884">
        <w:rPr>
          <w:rFonts w:cstheme="minorHAnsi"/>
          <w:b/>
          <w:bCs/>
          <w:szCs w:val="23"/>
          <w:lang w:val="fr-CA"/>
        </w:rPr>
        <w:t>TERRITOIRES DU NORD-OUEST</w:t>
      </w:r>
      <w:r w:rsidRPr="00F52884">
        <w:rPr>
          <w:rFonts w:cstheme="minorHAnsi"/>
          <w:szCs w:val="23"/>
          <w:lang w:val="fr-CA"/>
        </w:rPr>
        <w:tab/>
      </w:r>
    </w:p>
    <w:tbl>
      <w:tblPr>
        <w:tblW w:w="10252" w:type="dxa"/>
        <w:jc w:val="center"/>
        <w:tblCellMar>
          <w:top w:w="14" w:type="dxa"/>
          <w:left w:w="86" w:type="dxa"/>
          <w:bottom w:w="14" w:type="dxa"/>
          <w:right w:w="86" w:type="dxa"/>
        </w:tblCellMar>
        <w:tblLook w:val="0000" w:firstRow="0" w:lastRow="0" w:firstColumn="0" w:lastColumn="0" w:noHBand="0" w:noVBand="0"/>
      </w:tblPr>
      <w:tblGrid>
        <w:gridCol w:w="2610"/>
        <w:gridCol w:w="7263"/>
        <w:gridCol w:w="379"/>
      </w:tblGrid>
      <w:tr w:rsidR="00B8348C" w:rsidRPr="00F52884" w14:paraId="3EB99194" w14:textId="77777777" w:rsidTr="00DA2ACC">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52B220E3" w14:textId="77777777" w:rsidR="00B8348C" w:rsidRPr="00F52884" w:rsidRDefault="00B8348C" w:rsidP="000C25A3">
            <w:pPr>
              <w:spacing w:before="60" w:after="60"/>
              <w:rPr>
                <w:rFonts w:cstheme="minorHAnsi"/>
                <w:szCs w:val="23"/>
              </w:rPr>
            </w:pPr>
            <w:r w:rsidRPr="00F52884">
              <w:rPr>
                <w:rFonts w:cstheme="minorHAnsi"/>
                <w:szCs w:val="23"/>
                <w:lang w:val="fr-CA"/>
              </w:rPr>
              <w:br w:type="page"/>
            </w:r>
            <w:r w:rsidRPr="00F52884">
              <w:rPr>
                <w:rFonts w:cstheme="minorHAnsi"/>
                <w:b/>
                <w:bCs/>
                <w:szCs w:val="23"/>
                <w:lang w:val="fr-CA"/>
              </w:rPr>
              <w:t xml:space="preserve">Secteur : </w:t>
            </w:r>
          </w:p>
        </w:tc>
        <w:tc>
          <w:tcPr>
            <w:tcW w:w="7642" w:type="dxa"/>
            <w:gridSpan w:val="2"/>
            <w:tcBorders>
              <w:top w:val="single" w:sz="4" w:space="0" w:color="C0C0C0"/>
              <w:left w:val="nil"/>
              <w:bottom w:val="single" w:sz="4" w:space="0" w:color="C0C0C0"/>
              <w:right w:val="single" w:sz="4" w:space="0" w:color="FFFFFF"/>
            </w:tcBorders>
            <w:vAlign w:val="center"/>
          </w:tcPr>
          <w:p w14:paraId="16A478C3" w14:textId="77777777" w:rsidR="00B8348C" w:rsidRPr="00F52884" w:rsidRDefault="00B8348C" w:rsidP="000C25A3">
            <w:pPr>
              <w:spacing w:before="60" w:after="60"/>
              <w:rPr>
                <w:rFonts w:cstheme="minorHAnsi"/>
                <w:szCs w:val="23"/>
              </w:rPr>
            </w:pPr>
            <w:r w:rsidRPr="00F52884">
              <w:rPr>
                <w:rFonts w:cstheme="minorHAnsi"/>
                <w:szCs w:val="23"/>
                <w:lang w:val="fr-CA"/>
              </w:rPr>
              <w:t>Énergie (pétrole et gaz)</w:t>
            </w:r>
          </w:p>
        </w:tc>
      </w:tr>
      <w:tr w:rsidR="00B8348C" w:rsidRPr="0068240F" w14:paraId="21B28D39" w14:textId="77777777" w:rsidTr="00DA2ACC">
        <w:trPr>
          <w:trHeight w:val="246"/>
          <w:jc w:val="center"/>
        </w:trPr>
        <w:tc>
          <w:tcPr>
            <w:tcW w:w="2610" w:type="dxa"/>
            <w:tcBorders>
              <w:top w:val="single" w:sz="4" w:space="0" w:color="C0C0C0"/>
              <w:left w:val="nil"/>
              <w:bottom w:val="single" w:sz="4" w:space="0" w:color="C0C0C0"/>
              <w:right w:val="single" w:sz="4" w:space="0" w:color="FFFFFF"/>
            </w:tcBorders>
            <w:vAlign w:val="center"/>
          </w:tcPr>
          <w:p w14:paraId="7012B234"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642" w:type="dxa"/>
            <w:gridSpan w:val="2"/>
            <w:tcBorders>
              <w:top w:val="single" w:sz="4" w:space="0" w:color="C0C0C0"/>
              <w:left w:val="nil"/>
              <w:bottom w:val="single" w:sz="4" w:space="0" w:color="C0C0C0"/>
              <w:right w:val="single" w:sz="4" w:space="0" w:color="FFFFFF"/>
            </w:tcBorders>
            <w:vAlign w:val="center"/>
          </w:tcPr>
          <w:p w14:paraId="184B741F" w14:textId="77777777" w:rsidR="00B8348C" w:rsidRPr="00F52884" w:rsidRDefault="00B8348C" w:rsidP="000C25A3">
            <w:pPr>
              <w:spacing w:before="60" w:after="60"/>
              <w:rPr>
                <w:rFonts w:cstheme="minorHAnsi"/>
                <w:szCs w:val="23"/>
                <w:lang w:val="fr-FR"/>
              </w:rPr>
            </w:pPr>
            <w:r w:rsidRPr="00F52884">
              <w:rPr>
                <w:rFonts w:cstheme="minorHAnsi"/>
                <w:szCs w:val="23"/>
                <w:lang w:val="fr-CA"/>
              </w:rPr>
              <w:t>Industries du pétrole brut et du gaz naturel; services annexes aux industries extractives</w:t>
            </w:r>
          </w:p>
        </w:tc>
      </w:tr>
      <w:tr w:rsidR="00B8348C" w:rsidRPr="00F52884" w14:paraId="71793FE6" w14:textId="77777777" w:rsidTr="00DA2ACC">
        <w:trPr>
          <w:gridAfter w:val="1"/>
          <w:wAfter w:w="379" w:type="dxa"/>
          <w:trHeight w:val="42"/>
          <w:jc w:val="center"/>
        </w:trPr>
        <w:tc>
          <w:tcPr>
            <w:tcW w:w="2610" w:type="dxa"/>
            <w:tcBorders>
              <w:top w:val="single" w:sz="4" w:space="0" w:color="C0C0C0"/>
              <w:left w:val="nil"/>
              <w:bottom w:val="single" w:sz="4" w:space="0" w:color="C0C0C0"/>
              <w:right w:val="single" w:sz="4" w:space="0" w:color="FFFFFF"/>
            </w:tcBorders>
            <w:vAlign w:val="center"/>
          </w:tcPr>
          <w:p w14:paraId="59E093E1"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263" w:type="dxa"/>
            <w:tcBorders>
              <w:top w:val="single" w:sz="4" w:space="0" w:color="C0C0C0"/>
              <w:left w:val="nil"/>
              <w:bottom w:val="single" w:sz="4" w:space="0" w:color="C0C0C0"/>
              <w:right w:val="single" w:sz="4" w:space="0" w:color="FFFFFF"/>
            </w:tcBorders>
            <w:vAlign w:val="center"/>
          </w:tcPr>
          <w:p w14:paraId="17960638" w14:textId="77777777" w:rsidR="00B8348C" w:rsidRPr="00F52884" w:rsidRDefault="00B8348C" w:rsidP="000C25A3">
            <w:pPr>
              <w:spacing w:before="60" w:after="60"/>
              <w:rPr>
                <w:rFonts w:cstheme="minorHAnsi"/>
                <w:szCs w:val="23"/>
              </w:rPr>
            </w:pPr>
            <w:r w:rsidRPr="00F52884">
              <w:rPr>
                <w:rFonts w:cstheme="minorHAnsi"/>
                <w:szCs w:val="23"/>
                <w:lang w:val="fr-CA"/>
              </w:rPr>
              <w:t>CPC 120, 883</w:t>
            </w:r>
          </w:p>
        </w:tc>
      </w:tr>
      <w:tr w:rsidR="00B8348C" w:rsidRPr="0068240F" w14:paraId="2BA3C88E" w14:textId="77777777" w:rsidTr="00DA2ACC">
        <w:trPr>
          <w:trHeight w:val="42"/>
          <w:jc w:val="center"/>
        </w:trPr>
        <w:tc>
          <w:tcPr>
            <w:tcW w:w="2610" w:type="dxa"/>
            <w:tcBorders>
              <w:top w:val="single" w:sz="4" w:space="0" w:color="C0C0C0"/>
              <w:left w:val="nil"/>
              <w:bottom w:val="single" w:sz="4" w:space="0" w:color="C0C0C0"/>
              <w:right w:val="single" w:sz="4" w:space="0" w:color="FFFFFF"/>
            </w:tcBorders>
          </w:tcPr>
          <w:p w14:paraId="5395452D" w14:textId="1EA139F7" w:rsidR="00B8348C" w:rsidRPr="00F52884" w:rsidRDefault="00B8348C" w:rsidP="000C25A3">
            <w:pPr>
              <w:spacing w:before="60" w:after="60"/>
              <w:rPr>
                <w:rFonts w:cstheme="minorHAnsi"/>
                <w:szCs w:val="23"/>
              </w:rPr>
            </w:pPr>
            <w:r w:rsidRPr="00F52884">
              <w:rPr>
                <w:rFonts w:cstheme="minorHAnsi"/>
                <w:b/>
                <w:bCs/>
                <w:szCs w:val="23"/>
                <w:lang w:val="fr-CA"/>
              </w:rPr>
              <w:t>Type d’exception :</w:t>
            </w:r>
            <w:r w:rsidRPr="00F52884">
              <w:rPr>
                <w:rFonts w:cstheme="minorHAnsi"/>
                <w:szCs w:val="23"/>
                <w:lang w:val="fr-CA"/>
              </w:rPr>
              <w:t xml:space="preserve"> </w:t>
            </w:r>
          </w:p>
        </w:tc>
        <w:tc>
          <w:tcPr>
            <w:tcW w:w="7642" w:type="dxa"/>
            <w:gridSpan w:val="2"/>
            <w:tcBorders>
              <w:top w:val="single" w:sz="4" w:space="0" w:color="C0C0C0"/>
              <w:left w:val="single" w:sz="4" w:space="0" w:color="FFFFFF"/>
              <w:bottom w:val="single" w:sz="4" w:space="0" w:color="C0C0C0"/>
              <w:right w:val="single" w:sz="4" w:space="0" w:color="C0C0C0"/>
            </w:tcBorders>
          </w:tcPr>
          <w:p w14:paraId="208BBB79" w14:textId="7BB633DB" w:rsidR="00B8348C" w:rsidRPr="00F52884" w:rsidRDefault="00B8348C" w:rsidP="00B8348C">
            <w:pPr>
              <w:spacing w:before="60" w:after="60"/>
              <w:rPr>
                <w:rFonts w:cstheme="minorHAnsi"/>
                <w:szCs w:val="23"/>
                <w:lang w:val="fr-FR"/>
              </w:rPr>
            </w:pPr>
            <w:r w:rsidRPr="00F52884">
              <w:rPr>
                <w:rFonts w:cstheme="minorHAnsi"/>
                <w:szCs w:val="23"/>
                <w:lang w:val="fr-CA"/>
              </w:rPr>
              <w:t>Article 201 (Traitement non discriminatoire), article 313 (Prescriptions de résultats)</w:t>
            </w:r>
          </w:p>
        </w:tc>
      </w:tr>
      <w:tr w:rsidR="00B8348C" w:rsidRPr="00F52884" w14:paraId="6C617B03" w14:textId="77777777" w:rsidTr="00DA2ACC">
        <w:trPr>
          <w:trHeight w:val="42"/>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551C0E2" w14:textId="77777777" w:rsidR="00B8348C" w:rsidRPr="00F52884" w:rsidRDefault="00B8348C" w:rsidP="000C25A3">
            <w:pPr>
              <w:spacing w:before="60" w:after="60"/>
              <w:rPr>
                <w:rFonts w:cstheme="minorHAnsi"/>
                <w:b/>
                <w:bCs/>
                <w:szCs w:val="23"/>
              </w:rPr>
            </w:pPr>
            <w:r w:rsidRPr="00F52884">
              <w:rPr>
                <w:rFonts w:cstheme="minorHAnsi"/>
                <w:b/>
                <w:bCs/>
                <w:szCs w:val="23"/>
                <w:lang w:val="fr-CA"/>
              </w:rPr>
              <w:t>Mesures :</w:t>
            </w:r>
          </w:p>
        </w:tc>
      </w:tr>
      <w:tr w:rsidR="00B8348C" w:rsidRPr="0068240F" w14:paraId="48A79391" w14:textId="77777777" w:rsidTr="00DA2ACC">
        <w:trPr>
          <w:trHeight w:val="273"/>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34D7993F" w14:textId="77777777" w:rsidR="00D1446B" w:rsidRPr="00F52884" w:rsidRDefault="00D1446B" w:rsidP="00F52884">
            <w:pPr>
              <w:spacing w:before="120" w:after="120"/>
              <w:rPr>
                <w:sz w:val="22"/>
                <w:lang w:val="fr-CA"/>
              </w:rPr>
            </w:pPr>
            <w:r w:rsidRPr="00F52884">
              <w:rPr>
                <w:i/>
                <w:iCs/>
                <w:lang w:val="fr-CA"/>
              </w:rPr>
              <w:t>Loi sur les opérations pétrolières</w:t>
            </w:r>
            <w:r w:rsidRPr="00F52884">
              <w:rPr>
                <w:lang w:val="fr-CA"/>
              </w:rPr>
              <w:t>, LTN-O 2014, c 14</w:t>
            </w:r>
          </w:p>
          <w:p w14:paraId="3EFE9BB0" w14:textId="18F2742B" w:rsidR="00B8348C" w:rsidRPr="00F52884" w:rsidRDefault="00D1446B" w:rsidP="00F52884">
            <w:pPr>
              <w:spacing w:before="120" w:after="120"/>
              <w:rPr>
                <w:rFonts w:cstheme="minorHAnsi"/>
                <w:szCs w:val="23"/>
                <w:lang w:val="fr-CA"/>
              </w:rPr>
            </w:pPr>
            <w:r w:rsidRPr="00F52884">
              <w:rPr>
                <w:i/>
                <w:iCs/>
                <w:lang w:val="fr-CA"/>
              </w:rPr>
              <w:t>Loi sur les hydrocarbures</w:t>
            </w:r>
            <w:r w:rsidRPr="00F52884">
              <w:rPr>
                <w:lang w:val="fr-CA"/>
              </w:rPr>
              <w:t>, LTN-O 2014, c 15</w:t>
            </w:r>
          </w:p>
        </w:tc>
      </w:tr>
      <w:tr w:rsidR="00B8348C" w:rsidRPr="00F52884" w14:paraId="086E6C61" w14:textId="77777777" w:rsidTr="00DA2ACC">
        <w:trPr>
          <w:trHeight w:val="49"/>
          <w:jc w:val="center"/>
        </w:trPr>
        <w:tc>
          <w:tcPr>
            <w:tcW w:w="1025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FD4F957" w14:textId="77777777" w:rsidR="00B8348C" w:rsidRPr="00F52884" w:rsidRDefault="00B8348C" w:rsidP="000C25A3">
            <w:pPr>
              <w:spacing w:before="60" w:after="60"/>
              <w:rPr>
                <w:rFonts w:cstheme="minorHAnsi"/>
                <w:b/>
                <w:bCs/>
                <w:szCs w:val="23"/>
                <w:lang w:val="fr-CA"/>
              </w:rPr>
            </w:pPr>
            <w:r w:rsidRPr="00F52884">
              <w:rPr>
                <w:rFonts w:cstheme="minorHAnsi"/>
                <w:b/>
                <w:bCs/>
                <w:szCs w:val="23"/>
                <w:lang w:val="fr-CA"/>
              </w:rPr>
              <w:t>Description :</w:t>
            </w:r>
          </w:p>
        </w:tc>
      </w:tr>
      <w:tr w:rsidR="00B8348C" w:rsidRPr="0068240F" w14:paraId="37FC2F4D" w14:textId="77777777" w:rsidTr="00DA2ACC">
        <w:trPr>
          <w:trHeight w:val="66"/>
          <w:jc w:val="center"/>
        </w:trPr>
        <w:tc>
          <w:tcPr>
            <w:tcW w:w="10252" w:type="dxa"/>
            <w:gridSpan w:val="3"/>
            <w:tcBorders>
              <w:top w:val="single" w:sz="4" w:space="0" w:color="C0C0C0"/>
              <w:left w:val="single" w:sz="4" w:space="0" w:color="C0C0C0"/>
              <w:bottom w:val="single" w:sz="4" w:space="0" w:color="C0C0C0"/>
              <w:right w:val="single" w:sz="4" w:space="0" w:color="C0C0C0"/>
            </w:tcBorders>
          </w:tcPr>
          <w:p w14:paraId="0F407CB0" w14:textId="77777777" w:rsidR="00B8348C" w:rsidRPr="00F52884" w:rsidRDefault="00B8348C" w:rsidP="000C25A3">
            <w:pPr>
              <w:spacing w:before="60" w:after="60"/>
              <w:rPr>
                <w:rFonts w:cstheme="minorHAnsi"/>
                <w:szCs w:val="23"/>
                <w:lang w:val="fr-FR"/>
              </w:rPr>
            </w:pPr>
            <w:r w:rsidRPr="00F52884">
              <w:rPr>
                <w:rFonts w:cstheme="minorHAnsi"/>
                <w:szCs w:val="23"/>
                <w:lang w:val="fr-CA"/>
              </w:rPr>
              <w:t>Le ministre doit approuver un « plan de retombées économiques » (ou renoncer à l’exigence d’avoir un tel plan) pour l’embauche de Canadiens et pour offrir aux fabricants, aux conseillers, aux entrepreneurs et aux sociétés de services canadiens la juste possibilité de participer sur une base concurrentielle à la fourniture de produits et de services utilisés dans les travaux ou activités envisagés dont il est fait mention dans le plan de retombées économiques. Un plan de retombées économiques peut devoir contenir des dispositions visant à faire en sorte que les personnes physiques ou groupes défavorisés bénéficient d’un accès à la formation et aux emplois offerts, et à permettre à ces personnes physiques ou groupes ou aux sociétés qu’ils détiennent ou aux coopératives qu’ils exploitent, de participer à la fourniture des produits et services utilisés dans les travaux ou activités envisagés dont il est fait mention dans le plan.</w:t>
            </w:r>
          </w:p>
        </w:tc>
      </w:tr>
    </w:tbl>
    <w:p w14:paraId="60AF5BC3" w14:textId="77777777" w:rsidR="00B8348C" w:rsidRPr="00F52884" w:rsidRDefault="00B8348C" w:rsidP="000C25A3">
      <w:pPr>
        <w:rPr>
          <w:rFonts w:cstheme="minorHAnsi"/>
          <w:b/>
          <w:szCs w:val="23"/>
          <w:lang w:val="fr-FR"/>
        </w:rPr>
      </w:pPr>
    </w:p>
    <w:p w14:paraId="426029EC" w14:textId="77777777" w:rsidR="00B8348C" w:rsidRPr="00F52884" w:rsidRDefault="00B8348C">
      <w:pPr>
        <w:rPr>
          <w:rFonts w:eastAsia="Times New Roman" w:cstheme="minorHAnsi"/>
          <w:b/>
          <w:szCs w:val="23"/>
          <w:lang w:val="fr-FR"/>
        </w:rPr>
      </w:pPr>
    </w:p>
    <w:p w14:paraId="7E3513A7" w14:textId="77777777" w:rsidR="00B8348C" w:rsidRPr="00F52884" w:rsidRDefault="00B8348C" w:rsidP="000C25A3">
      <w:pPr>
        <w:rPr>
          <w:rFonts w:eastAsia="Times New Roman" w:cstheme="minorHAnsi"/>
          <w:b/>
          <w:szCs w:val="23"/>
          <w:lang w:val="fr-FR"/>
        </w:rPr>
      </w:pPr>
      <w:r w:rsidRPr="00F52884">
        <w:rPr>
          <w:rFonts w:eastAsia="Times New Roman" w:cstheme="minorHAnsi"/>
          <w:b/>
          <w:bCs/>
          <w:szCs w:val="23"/>
          <w:lang w:val="fr-CA"/>
        </w:rPr>
        <w:br w:type="page"/>
      </w:r>
    </w:p>
    <w:p w14:paraId="553FF477" w14:textId="77777777" w:rsidR="00B8348C" w:rsidRPr="00F52884" w:rsidRDefault="00B8348C" w:rsidP="00F52884">
      <w:pPr>
        <w:pStyle w:val="Heading3"/>
        <w:jc w:val="center"/>
        <w:rPr>
          <w:rFonts w:asciiTheme="minorHAnsi" w:hAnsiTheme="minorHAnsi" w:cstheme="minorHAnsi"/>
          <w:sz w:val="24"/>
          <w:szCs w:val="24"/>
          <w:lang w:val="fr-CA"/>
        </w:rPr>
      </w:pPr>
      <w:bookmarkStart w:id="298" w:name="_Toc476566347"/>
      <w:bookmarkStart w:id="299" w:name="_Toc156311800"/>
      <w:r w:rsidRPr="00F52884">
        <w:rPr>
          <w:rFonts w:asciiTheme="minorHAnsi" w:hAnsiTheme="minorHAnsi" w:cstheme="minorHAnsi"/>
          <w:sz w:val="24"/>
          <w:szCs w:val="24"/>
          <w:lang w:val="fr-CA"/>
        </w:rPr>
        <w:lastRenderedPageBreak/>
        <w:t>Liste du Nunavut</w:t>
      </w:r>
      <w:bookmarkEnd w:id="298"/>
      <w:bookmarkEnd w:id="299"/>
    </w:p>
    <w:p w14:paraId="11924A62" w14:textId="77777777" w:rsidR="00B8348C" w:rsidRPr="00F52884" w:rsidRDefault="00B8348C" w:rsidP="000C25A3">
      <w:pPr>
        <w:contextualSpacing/>
        <w:jc w:val="center"/>
        <w:outlineLvl w:val="2"/>
        <w:rPr>
          <w:rFonts w:eastAsia="Times New Roman" w:cstheme="minorHAnsi"/>
          <w:b/>
          <w:sz w:val="24"/>
          <w:szCs w:val="24"/>
          <w:lang w:val="fr-CA"/>
        </w:rPr>
      </w:pPr>
    </w:p>
    <w:p w14:paraId="343C3A37" w14:textId="77777777" w:rsidR="00B8348C" w:rsidRPr="00F52884" w:rsidRDefault="00B8348C" w:rsidP="000C25A3">
      <w:pPr>
        <w:jc w:val="center"/>
        <w:rPr>
          <w:rFonts w:cstheme="minorHAnsi"/>
          <w:b/>
          <w:sz w:val="24"/>
          <w:szCs w:val="24"/>
          <w:lang w:val="fr-CA"/>
        </w:rPr>
      </w:pPr>
      <w:r w:rsidRPr="00F52884">
        <w:rPr>
          <w:rFonts w:cstheme="minorHAnsi"/>
          <w:b/>
          <w:bCs/>
          <w:sz w:val="24"/>
          <w:szCs w:val="24"/>
          <w:lang w:val="fr-CA"/>
        </w:rPr>
        <w:t>Annexe I</w:t>
      </w:r>
    </w:p>
    <w:p w14:paraId="059214B2" w14:textId="77777777" w:rsidR="00B8348C" w:rsidRPr="00F52884" w:rsidRDefault="00B8348C" w:rsidP="000C25A3">
      <w:pPr>
        <w:contextualSpacing/>
        <w:outlineLvl w:val="2"/>
        <w:rPr>
          <w:rFonts w:eastAsia="Times New Roman" w:cstheme="minorHAnsi"/>
          <w:b/>
          <w:szCs w:val="23"/>
          <w:lang w:val="fr-CA"/>
        </w:rPr>
      </w:pPr>
    </w:p>
    <w:p w14:paraId="5030936E" w14:textId="137BEA01" w:rsidR="00B8348C" w:rsidRPr="00F52884" w:rsidRDefault="00B8348C" w:rsidP="00DA2ACC">
      <w:pPr>
        <w:spacing w:before="60" w:after="60"/>
        <w:ind w:left="-360"/>
        <w:rPr>
          <w:rFonts w:cstheme="minorHAnsi"/>
          <w:b/>
          <w:szCs w:val="23"/>
          <w:lang w:val="fr-CA"/>
        </w:rPr>
      </w:pPr>
      <w:r w:rsidRPr="00F52884">
        <w:rPr>
          <w:rFonts w:cstheme="minorHAnsi"/>
          <w:b/>
          <w:bCs/>
          <w:szCs w:val="23"/>
          <w:lang w:val="fr-CA"/>
        </w:rPr>
        <w:t xml:space="preserve">1. </w:t>
      </w:r>
      <w:r w:rsidR="00DA2ACC" w:rsidRPr="00F52884">
        <w:rPr>
          <w:rFonts w:cstheme="minorHAnsi"/>
          <w:b/>
          <w:bCs/>
          <w:szCs w:val="23"/>
          <w:lang w:val="fr-CA"/>
        </w:rPr>
        <w:t xml:space="preserve"> </w:t>
      </w:r>
      <w:r w:rsidRPr="00F52884">
        <w:rPr>
          <w:rFonts w:cstheme="minorHAnsi"/>
          <w:b/>
          <w:bCs/>
          <w:szCs w:val="23"/>
          <w:lang w:val="fr-CA"/>
        </w:rPr>
        <w:t>NUNAVUT</w:t>
      </w:r>
    </w:p>
    <w:tbl>
      <w:tblPr>
        <w:tblW w:w="10242" w:type="dxa"/>
        <w:jc w:val="center"/>
        <w:tblCellMar>
          <w:top w:w="14" w:type="dxa"/>
          <w:left w:w="86" w:type="dxa"/>
          <w:bottom w:w="14" w:type="dxa"/>
          <w:right w:w="86" w:type="dxa"/>
        </w:tblCellMar>
        <w:tblLook w:val="0000" w:firstRow="0" w:lastRow="0" w:firstColumn="0" w:lastColumn="0" w:noHBand="0" w:noVBand="0"/>
      </w:tblPr>
      <w:tblGrid>
        <w:gridCol w:w="2520"/>
        <w:gridCol w:w="7083"/>
        <w:gridCol w:w="260"/>
        <w:gridCol w:w="116"/>
        <w:gridCol w:w="263"/>
      </w:tblGrid>
      <w:tr w:rsidR="00B8348C" w:rsidRPr="00F52884" w14:paraId="5A7EF08B" w14:textId="77777777" w:rsidTr="00DA2ACC">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294C796" w14:textId="77777777" w:rsidR="00B8348C" w:rsidRPr="00F52884" w:rsidRDefault="00B8348C" w:rsidP="000C25A3">
            <w:pPr>
              <w:spacing w:before="60" w:after="60"/>
              <w:rPr>
                <w:rFonts w:cstheme="minorHAnsi"/>
                <w:b/>
                <w:szCs w:val="23"/>
              </w:rPr>
            </w:pPr>
            <w:r w:rsidRPr="00F52884">
              <w:rPr>
                <w:rFonts w:cstheme="minorHAnsi"/>
                <w:szCs w:val="23"/>
                <w:lang w:val="fr-CA"/>
              </w:rPr>
              <w:br w:type="page"/>
            </w:r>
            <w:r w:rsidRPr="00F52884">
              <w:rPr>
                <w:rFonts w:cstheme="minorHAnsi"/>
                <w:b/>
                <w:bCs/>
                <w:szCs w:val="23"/>
                <w:lang w:val="fr-CA"/>
              </w:rPr>
              <w:t xml:space="preserve">Secteur : </w:t>
            </w:r>
          </w:p>
        </w:tc>
        <w:tc>
          <w:tcPr>
            <w:tcW w:w="7459" w:type="dxa"/>
            <w:gridSpan w:val="3"/>
            <w:tcBorders>
              <w:top w:val="single" w:sz="4" w:space="0" w:color="C0C0C0"/>
              <w:left w:val="nil"/>
              <w:bottom w:val="single" w:sz="4" w:space="0" w:color="C0C0C0"/>
              <w:right w:val="single" w:sz="4" w:space="0" w:color="FFFFFF"/>
            </w:tcBorders>
            <w:vAlign w:val="center"/>
          </w:tcPr>
          <w:p w14:paraId="50B9C385" w14:textId="77777777" w:rsidR="00B8348C" w:rsidRPr="00F52884" w:rsidRDefault="00B8348C" w:rsidP="000C25A3">
            <w:pPr>
              <w:spacing w:before="60" w:after="60"/>
              <w:rPr>
                <w:rFonts w:cstheme="minorHAnsi"/>
                <w:b/>
                <w:szCs w:val="23"/>
              </w:rPr>
            </w:pPr>
            <w:r w:rsidRPr="00F52884">
              <w:rPr>
                <w:rFonts w:cstheme="minorHAnsi"/>
                <w:szCs w:val="23"/>
                <w:lang w:val="fr-CA"/>
              </w:rPr>
              <w:t>Tourisme; agriculture; faune</w:t>
            </w:r>
          </w:p>
        </w:tc>
        <w:tc>
          <w:tcPr>
            <w:tcW w:w="263" w:type="dxa"/>
            <w:tcBorders>
              <w:top w:val="single" w:sz="4" w:space="0" w:color="C0C0C0"/>
              <w:left w:val="single" w:sz="4" w:space="0" w:color="FFFFFF"/>
              <w:bottom w:val="single" w:sz="4" w:space="0" w:color="C0C0C0"/>
              <w:right w:val="nil"/>
            </w:tcBorders>
            <w:vAlign w:val="center"/>
          </w:tcPr>
          <w:p w14:paraId="018EB33E" w14:textId="77777777" w:rsidR="00B8348C" w:rsidRPr="00F52884" w:rsidRDefault="00B8348C" w:rsidP="000C25A3">
            <w:pPr>
              <w:spacing w:before="60" w:after="60"/>
              <w:rPr>
                <w:rFonts w:cstheme="minorHAnsi"/>
                <w:szCs w:val="23"/>
              </w:rPr>
            </w:pPr>
          </w:p>
        </w:tc>
      </w:tr>
      <w:tr w:rsidR="00B8348C" w:rsidRPr="0068240F" w14:paraId="139A013D" w14:textId="77777777" w:rsidTr="00DA2ACC">
        <w:trPr>
          <w:trHeight w:val="246"/>
          <w:jc w:val="center"/>
        </w:trPr>
        <w:tc>
          <w:tcPr>
            <w:tcW w:w="2520" w:type="dxa"/>
            <w:tcBorders>
              <w:top w:val="single" w:sz="4" w:space="0" w:color="C0C0C0"/>
              <w:left w:val="nil"/>
              <w:bottom w:val="single" w:sz="4" w:space="0" w:color="C0C0C0"/>
              <w:right w:val="single" w:sz="4" w:space="0" w:color="FFFFFF"/>
            </w:tcBorders>
            <w:vAlign w:val="center"/>
          </w:tcPr>
          <w:p w14:paraId="52DEE5FA" w14:textId="77777777" w:rsidR="00B8348C" w:rsidRPr="00F52884" w:rsidRDefault="00B8348C" w:rsidP="000C25A3">
            <w:pPr>
              <w:spacing w:before="60" w:after="60"/>
              <w:rPr>
                <w:rFonts w:cstheme="minorHAnsi"/>
                <w:szCs w:val="23"/>
              </w:rPr>
            </w:pPr>
            <w:r w:rsidRPr="00F52884">
              <w:rPr>
                <w:rFonts w:cstheme="minorHAnsi"/>
                <w:b/>
                <w:bCs/>
                <w:szCs w:val="23"/>
                <w:lang w:val="fr-CA"/>
              </w:rPr>
              <w:t>Sous-secteur :</w:t>
            </w:r>
            <w:r w:rsidRPr="00F52884">
              <w:rPr>
                <w:rFonts w:cstheme="minorHAnsi"/>
                <w:szCs w:val="23"/>
                <w:lang w:val="fr-CA"/>
              </w:rPr>
              <w:t xml:space="preserve"> </w:t>
            </w:r>
          </w:p>
        </w:tc>
        <w:tc>
          <w:tcPr>
            <w:tcW w:w="7459" w:type="dxa"/>
            <w:gridSpan w:val="3"/>
            <w:tcBorders>
              <w:top w:val="single" w:sz="4" w:space="0" w:color="C0C0C0"/>
              <w:left w:val="nil"/>
              <w:bottom w:val="single" w:sz="4" w:space="0" w:color="C0C0C0"/>
              <w:right w:val="single" w:sz="4" w:space="0" w:color="FFFFFF"/>
            </w:tcBorders>
            <w:vAlign w:val="center"/>
          </w:tcPr>
          <w:p w14:paraId="4C299930"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annexes aux industries de la chasse, de la pêche et du piégeage; services de guides touristiques (tourisme en milieu sauvage); chasse pour compte propre; animaux vivants, cuirs, peaux et pelleteries</w:t>
            </w:r>
          </w:p>
        </w:tc>
        <w:tc>
          <w:tcPr>
            <w:tcW w:w="263" w:type="dxa"/>
            <w:tcBorders>
              <w:top w:val="single" w:sz="4" w:space="0" w:color="C0C0C0"/>
              <w:left w:val="single" w:sz="4" w:space="0" w:color="FFFFFF"/>
              <w:bottom w:val="single" w:sz="4" w:space="0" w:color="C0C0C0"/>
              <w:right w:val="nil"/>
            </w:tcBorders>
            <w:vAlign w:val="center"/>
          </w:tcPr>
          <w:p w14:paraId="72E69975" w14:textId="77777777" w:rsidR="00B8348C" w:rsidRPr="00F52884" w:rsidRDefault="00B8348C" w:rsidP="000C25A3">
            <w:pPr>
              <w:spacing w:before="60" w:after="60"/>
              <w:rPr>
                <w:rFonts w:cstheme="minorHAnsi"/>
                <w:szCs w:val="23"/>
                <w:lang w:val="fr-FR"/>
              </w:rPr>
            </w:pPr>
          </w:p>
        </w:tc>
      </w:tr>
      <w:tr w:rsidR="00B8348C" w:rsidRPr="00F52884" w14:paraId="58C70273" w14:textId="77777777" w:rsidTr="00DA2ACC">
        <w:trPr>
          <w:gridAfter w:val="2"/>
          <w:wAfter w:w="379"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162E2BA6" w14:textId="77777777" w:rsidR="00B8348C" w:rsidRPr="00F52884" w:rsidRDefault="00B8348C" w:rsidP="000C25A3">
            <w:pPr>
              <w:spacing w:before="60" w:after="60"/>
              <w:rPr>
                <w:rFonts w:cstheme="minorHAnsi"/>
                <w:szCs w:val="23"/>
              </w:rPr>
            </w:pPr>
            <w:r w:rsidRPr="00F52884">
              <w:rPr>
                <w:rFonts w:cstheme="minorHAnsi"/>
                <w:b/>
                <w:bCs/>
                <w:szCs w:val="23"/>
                <w:lang w:val="fr-CA"/>
              </w:rPr>
              <w:t>Classification de l’industrie :</w:t>
            </w:r>
            <w:r w:rsidRPr="00F52884">
              <w:rPr>
                <w:rFonts w:cstheme="minorHAnsi"/>
                <w:szCs w:val="23"/>
                <w:lang w:val="fr-CA"/>
              </w:rPr>
              <w:t xml:space="preserve"> </w:t>
            </w:r>
          </w:p>
        </w:tc>
        <w:tc>
          <w:tcPr>
            <w:tcW w:w="7083" w:type="dxa"/>
            <w:tcBorders>
              <w:top w:val="single" w:sz="4" w:space="0" w:color="C0C0C0"/>
              <w:left w:val="nil"/>
              <w:bottom w:val="single" w:sz="4" w:space="0" w:color="C0C0C0"/>
              <w:right w:val="single" w:sz="4" w:space="0" w:color="FFFFFF"/>
            </w:tcBorders>
            <w:vAlign w:val="center"/>
          </w:tcPr>
          <w:p w14:paraId="044D3269" w14:textId="77777777" w:rsidR="00B8348C" w:rsidRPr="00F52884" w:rsidRDefault="00B8348C" w:rsidP="000C25A3">
            <w:pPr>
              <w:spacing w:before="60" w:after="60"/>
              <w:rPr>
                <w:rFonts w:cstheme="minorHAnsi"/>
                <w:szCs w:val="23"/>
              </w:rPr>
            </w:pPr>
            <w:r w:rsidRPr="00F52884">
              <w:rPr>
                <w:rFonts w:cstheme="minorHAnsi"/>
                <w:szCs w:val="23"/>
                <w:lang w:val="fr-CA"/>
              </w:rPr>
              <w:t>CPC 021, 0297, 7472, 96419, 8813</w:t>
            </w:r>
          </w:p>
        </w:tc>
        <w:tc>
          <w:tcPr>
            <w:tcW w:w="260" w:type="dxa"/>
            <w:tcBorders>
              <w:top w:val="single" w:sz="4" w:space="0" w:color="C0C0C0"/>
              <w:left w:val="single" w:sz="4" w:space="0" w:color="FFFFFF"/>
              <w:bottom w:val="single" w:sz="4" w:space="0" w:color="C0C0C0"/>
              <w:right w:val="nil"/>
            </w:tcBorders>
            <w:vAlign w:val="center"/>
          </w:tcPr>
          <w:p w14:paraId="209394FA" w14:textId="77777777" w:rsidR="00B8348C" w:rsidRPr="00F52884" w:rsidRDefault="00B8348C" w:rsidP="000C25A3">
            <w:pPr>
              <w:spacing w:before="60" w:after="60"/>
              <w:ind w:left="4"/>
              <w:rPr>
                <w:rFonts w:cstheme="minorHAnsi"/>
                <w:szCs w:val="23"/>
              </w:rPr>
            </w:pPr>
          </w:p>
        </w:tc>
      </w:tr>
      <w:tr w:rsidR="00B8348C" w:rsidRPr="0068240F" w14:paraId="6C0F89A0" w14:textId="77777777" w:rsidTr="00DA2ACC">
        <w:trPr>
          <w:trHeight w:val="42"/>
          <w:jc w:val="center"/>
        </w:trPr>
        <w:tc>
          <w:tcPr>
            <w:tcW w:w="2520" w:type="dxa"/>
            <w:tcBorders>
              <w:top w:val="single" w:sz="4" w:space="0" w:color="C0C0C0"/>
              <w:left w:val="nil"/>
              <w:bottom w:val="single" w:sz="4" w:space="0" w:color="C0C0C0"/>
              <w:right w:val="single" w:sz="4" w:space="0" w:color="FFFFFF"/>
            </w:tcBorders>
          </w:tcPr>
          <w:p w14:paraId="65B5E87E" w14:textId="285F4D25" w:rsidR="00B8348C" w:rsidRPr="00F52884" w:rsidRDefault="00B8348C" w:rsidP="000C25A3">
            <w:pPr>
              <w:pStyle w:val="Text"/>
              <w:spacing w:before="60" w:after="60" w:line="240" w:lineRule="auto"/>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22" w:type="dxa"/>
            <w:gridSpan w:val="4"/>
            <w:tcBorders>
              <w:top w:val="single" w:sz="4" w:space="0" w:color="C0C0C0"/>
              <w:left w:val="single" w:sz="4" w:space="0" w:color="FFFFFF"/>
              <w:bottom w:val="single" w:sz="4" w:space="0" w:color="C0C0C0"/>
              <w:right w:val="single" w:sz="4" w:space="0" w:color="C0C0C0"/>
            </w:tcBorders>
          </w:tcPr>
          <w:p w14:paraId="0EA50723" w14:textId="2B1DBC9A" w:rsidR="00B8348C" w:rsidRPr="00F52884" w:rsidRDefault="00B8348C" w:rsidP="00B8348C">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(Traitement non discriminatoire), article 313 (Prescriptions de résultats)</w:t>
            </w:r>
          </w:p>
        </w:tc>
      </w:tr>
      <w:tr w:rsidR="00B8348C" w:rsidRPr="00F52884" w14:paraId="7BA2AF31" w14:textId="77777777" w:rsidTr="00DA2ACC">
        <w:trPr>
          <w:trHeight w:val="42"/>
          <w:jc w:val="center"/>
        </w:trPr>
        <w:tc>
          <w:tcPr>
            <w:tcW w:w="10242" w:type="dxa"/>
            <w:gridSpan w:val="5"/>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B1FBD02"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Mesures : </w:t>
            </w:r>
          </w:p>
        </w:tc>
      </w:tr>
      <w:tr w:rsidR="00B8348C" w:rsidRPr="0068240F" w14:paraId="3743E21B" w14:textId="77777777" w:rsidTr="00DA2ACC">
        <w:trPr>
          <w:trHeight w:val="273"/>
          <w:jc w:val="center"/>
        </w:trPr>
        <w:tc>
          <w:tcPr>
            <w:tcW w:w="10242" w:type="dxa"/>
            <w:gridSpan w:val="5"/>
            <w:tcBorders>
              <w:top w:val="single" w:sz="4" w:space="0" w:color="C0C0C0"/>
              <w:left w:val="single" w:sz="4" w:space="0" w:color="C0C0C0"/>
              <w:bottom w:val="single" w:sz="4" w:space="0" w:color="C0C0C0"/>
              <w:right w:val="single" w:sz="4" w:space="0" w:color="C0C0C0"/>
            </w:tcBorders>
          </w:tcPr>
          <w:p w14:paraId="2B27F738" w14:textId="14549124" w:rsidR="00B8348C" w:rsidRPr="00F52884" w:rsidRDefault="00B8348C" w:rsidP="00B8348C">
            <w:pPr>
              <w:tabs>
                <w:tab w:val="left" w:pos="913"/>
              </w:tabs>
              <w:spacing w:before="60" w:after="60"/>
              <w:rPr>
                <w:rFonts w:cstheme="minorHAnsi"/>
                <w:szCs w:val="23"/>
                <w:lang w:val="fr-CA"/>
              </w:rPr>
            </w:pPr>
            <w:r w:rsidRPr="00F52884">
              <w:rPr>
                <w:rFonts w:cstheme="minorHAnsi"/>
                <w:i/>
                <w:iCs/>
                <w:szCs w:val="23"/>
                <w:lang w:val="fr-CA"/>
              </w:rPr>
              <w:t>Loi sur la faune</w:t>
            </w:r>
            <w:r w:rsidRPr="00F52884">
              <w:rPr>
                <w:rFonts w:cstheme="minorHAnsi"/>
                <w:szCs w:val="23"/>
                <w:lang w:val="fr-CA"/>
              </w:rPr>
              <w:t xml:space="preserve">, </w:t>
            </w:r>
            <w:proofErr w:type="spellStart"/>
            <w:r w:rsidRPr="00F52884">
              <w:rPr>
                <w:rFonts w:cstheme="minorHAnsi"/>
                <w:szCs w:val="23"/>
                <w:lang w:val="fr-CA"/>
              </w:rPr>
              <w:t>LNu</w:t>
            </w:r>
            <w:proofErr w:type="spellEnd"/>
            <w:r w:rsidRPr="00F52884">
              <w:rPr>
                <w:rFonts w:cstheme="minorHAnsi"/>
                <w:szCs w:val="23"/>
                <w:lang w:val="fr-CA"/>
              </w:rPr>
              <w:t xml:space="preserve"> 2003, c 26, art 113</w:t>
            </w:r>
          </w:p>
        </w:tc>
      </w:tr>
      <w:tr w:rsidR="00B8348C" w:rsidRPr="00F52884" w14:paraId="11847F75" w14:textId="77777777" w:rsidTr="00DA2ACC">
        <w:trPr>
          <w:trHeight w:val="49"/>
          <w:jc w:val="center"/>
        </w:trPr>
        <w:tc>
          <w:tcPr>
            <w:tcW w:w="10242" w:type="dxa"/>
            <w:gridSpan w:val="5"/>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245F994" w14:textId="77777777" w:rsidR="00B8348C" w:rsidRPr="00F52884" w:rsidRDefault="00B8348C" w:rsidP="000C25A3">
            <w:pPr>
              <w:spacing w:before="60" w:after="60"/>
              <w:rPr>
                <w:rFonts w:cstheme="minorHAnsi"/>
                <w:b/>
                <w:szCs w:val="23"/>
              </w:rPr>
            </w:pPr>
            <w:r w:rsidRPr="00F52884">
              <w:rPr>
                <w:rFonts w:cstheme="minorHAnsi"/>
                <w:b/>
                <w:bCs/>
                <w:szCs w:val="23"/>
                <w:lang w:val="fr-CA"/>
              </w:rPr>
              <w:t>Description :</w:t>
            </w:r>
          </w:p>
        </w:tc>
      </w:tr>
      <w:tr w:rsidR="00B8348C" w:rsidRPr="0068240F" w14:paraId="43F1896B" w14:textId="77777777" w:rsidTr="00DA2ACC">
        <w:trPr>
          <w:trHeight w:val="66"/>
          <w:jc w:val="center"/>
        </w:trPr>
        <w:tc>
          <w:tcPr>
            <w:tcW w:w="10242" w:type="dxa"/>
            <w:gridSpan w:val="5"/>
            <w:tcBorders>
              <w:top w:val="single" w:sz="4" w:space="0" w:color="C0C0C0"/>
              <w:left w:val="single" w:sz="4" w:space="0" w:color="C0C0C0"/>
              <w:bottom w:val="single" w:sz="4" w:space="0" w:color="C0C0C0"/>
              <w:right w:val="single" w:sz="4" w:space="0" w:color="C0C0C0"/>
            </w:tcBorders>
          </w:tcPr>
          <w:p w14:paraId="231A5311" w14:textId="77777777" w:rsidR="00B8348C" w:rsidRPr="00F52884" w:rsidRDefault="00B8348C" w:rsidP="000C25A3">
            <w:pPr>
              <w:spacing w:before="60" w:after="60"/>
              <w:rPr>
                <w:rFonts w:cstheme="minorHAnsi"/>
                <w:szCs w:val="23"/>
                <w:lang w:val="fr-FR"/>
              </w:rPr>
            </w:pPr>
            <w:r w:rsidRPr="00F52884">
              <w:rPr>
                <w:rFonts w:cstheme="minorHAnsi"/>
                <w:szCs w:val="23"/>
                <w:lang w:val="fr-CA"/>
              </w:rPr>
              <w:t>Pour la délivrance d’un permis de commerçant, d’un permis de guide, d’un permis d’exploitation d’une ferme d’animaux à fourrure ou de gibier, d’un permis de tanneur ou d’un permis de taxidermiste, la préférence est accordée aux demandeurs qui ont leur résidence principale dans la région du Nunavut depuis au moins 18 mois, sans interruption, avant la présentation de leur demande. La préférence est aussi accordée aux demandes qui produiront vraisemblablement des bénéfices directs pour l’économie du Nunavut, particulièrement en faisant appel aux ressources humaines et économiques locales.</w:t>
            </w:r>
          </w:p>
        </w:tc>
      </w:tr>
    </w:tbl>
    <w:p w14:paraId="2431AA56" w14:textId="77777777" w:rsidR="00B8348C" w:rsidRPr="00F52884" w:rsidRDefault="00B8348C" w:rsidP="000C25A3">
      <w:pPr>
        <w:spacing w:before="60" w:after="60"/>
        <w:rPr>
          <w:rFonts w:cstheme="minorHAnsi"/>
          <w:szCs w:val="23"/>
          <w:lang w:val="fr-FR"/>
        </w:rPr>
      </w:pPr>
    </w:p>
    <w:p w14:paraId="20605E44" w14:textId="77777777" w:rsidR="00B8348C" w:rsidRPr="00F52884" w:rsidRDefault="00B8348C" w:rsidP="000C25A3">
      <w:pPr>
        <w:spacing w:before="60" w:after="60" w:line="276" w:lineRule="auto"/>
        <w:rPr>
          <w:rFonts w:cstheme="minorHAnsi"/>
          <w:szCs w:val="23"/>
          <w:lang w:val="fr-FR"/>
        </w:rPr>
      </w:pPr>
      <w:r w:rsidRPr="00F52884">
        <w:rPr>
          <w:rFonts w:cstheme="minorHAnsi"/>
          <w:szCs w:val="23"/>
          <w:lang w:val="fr-CA"/>
        </w:rPr>
        <w:br w:type="page"/>
      </w:r>
    </w:p>
    <w:p w14:paraId="1F64A798" w14:textId="77777777" w:rsidR="000002CE" w:rsidRPr="00F52884" w:rsidRDefault="000002CE" w:rsidP="000002CE">
      <w:pPr>
        <w:pStyle w:val="Heading2"/>
        <w:jc w:val="center"/>
        <w:rPr>
          <w:rFonts w:eastAsia="Times New Roman"/>
          <w:sz w:val="24"/>
          <w:szCs w:val="24"/>
          <w:lang w:val="fr-CA"/>
        </w:rPr>
      </w:pPr>
      <w:bookmarkStart w:id="300" w:name="_Toc470079089"/>
      <w:bookmarkStart w:id="301" w:name="_Toc476566348"/>
      <w:bookmarkStart w:id="302" w:name="_Toc156311801"/>
      <w:r w:rsidRPr="00F52884">
        <w:rPr>
          <w:rStyle w:val="shorttext"/>
          <w:rFonts w:ascii="Arial" w:hAnsi="Arial" w:cs="Arial"/>
          <w:sz w:val="24"/>
          <w:szCs w:val="24"/>
          <w:lang w:val="fr-FR"/>
        </w:rPr>
        <w:lastRenderedPageBreak/>
        <w:t xml:space="preserve">ANNEXE </w:t>
      </w:r>
      <w:proofErr w:type="gramStart"/>
      <w:r w:rsidRPr="00F52884">
        <w:rPr>
          <w:rStyle w:val="shorttext"/>
          <w:rFonts w:ascii="Arial" w:hAnsi="Arial" w:cs="Arial"/>
          <w:sz w:val="24"/>
          <w:szCs w:val="24"/>
          <w:lang w:val="fr-FR"/>
        </w:rPr>
        <w:t>II:</w:t>
      </w:r>
      <w:proofErr w:type="gramEnd"/>
      <w:r w:rsidRPr="00F52884">
        <w:rPr>
          <w:rStyle w:val="shorttext"/>
          <w:rFonts w:ascii="Arial" w:hAnsi="Arial" w:cs="Arial"/>
          <w:sz w:val="24"/>
          <w:szCs w:val="24"/>
          <w:lang w:val="fr-FR"/>
        </w:rPr>
        <w:t xml:space="preserve"> Exceptions au regard des mesures futures</w:t>
      </w:r>
      <w:bookmarkEnd w:id="302"/>
    </w:p>
    <w:p w14:paraId="737E36B3" w14:textId="77777777" w:rsidR="000002CE" w:rsidRPr="00F52884" w:rsidRDefault="000002CE" w:rsidP="00E94578">
      <w:pPr>
        <w:contextualSpacing/>
        <w:jc w:val="center"/>
        <w:outlineLvl w:val="2"/>
        <w:rPr>
          <w:rFonts w:ascii="Arial" w:eastAsia="Times New Roman" w:hAnsi="Arial" w:cs="Arial"/>
          <w:b/>
          <w:bCs/>
          <w:szCs w:val="23"/>
          <w:lang w:val="fr-CA"/>
        </w:rPr>
      </w:pPr>
    </w:p>
    <w:p w14:paraId="07F274E4" w14:textId="77777777" w:rsidR="000002CE" w:rsidRPr="00F52884" w:rsidRDefault="000002CE" w:rsidP="000002CE">
      <w:pPr>
        <w:pStyle w:val="Heading3"/>
        <w:jc w:val="center"/>
        <w:rPr>
          <w:sz w:val="24"/>
          <w:szCs w:val="24"/>
          <w:lang w:val="fr-CA"/>
        </w:rPr>
      </w:pPr>
      <w:bookmarkStart w:id="303" w:name="_Toc156311802"/>
      <w:r w:rsidRPr="00F52884">
        <w:rPr>
          <w:sz w:val="24"/>
          <w:szCs w:val="24"/>
          <w:lang w:val="fr-CA"/>
        </w:rPr>
        <w:t>Liste du Canada</w:t>
      </w:r>
      <w:bookmarkEnd w:id="300"/>
      <w:bookmarkEnd w:id="303"/>
    </w:p>
    <w:p w14:paraId="7B7B05F9" w14:textId="77777777" w:rsidR="000002CE" w:rsidRPr="00F52884" w:rsidRDefault="000002CE" w:rsidP="00E94578">
      <w:pPr>
        <w:contextualSpacing/>
        <w:jc w:val="center"/>
        <w:outlineLvl w:val="2"/>
        <w:rPr>
          <w:rFonts w:ascii="Arial" w:eastAsia="Times New Roman" w:hAnsi="Arial" w:cs="Arial"/>
          <w:b/>
          <w:bCs/>
          <w:szCs w:val="23"/>
          <w:lang w:val="fr-CA"/>
        </w:rPr>
      </w:pPr>
    </w:p>
    <w:p w14:paraId="39A115AC" w14:textId="77777777" w:rsidR="000002CE" w:rsidRPr="00F52884" w:rsidRDefault="000002CE" w:rsidP="00FA2285">
      <w:pPr>
        <w:jc w:val="center"/>
        <w:rPr>
          <w:b/>
          <w:sz w:val="24"/>
          <w:szCs w:val="24"/>
          <w:lang w:val="fr-CA"/>
        </w:rPr>
      </w:pPr>
      <w:r w:rsidRPr="00F52884">
        <w:rPr>
          <w:b/>
          <w:sz w:val="24"/>
          <w:szCs w:val="24"/>
          <w:lang w:val="fr-CA"/>
        </w:rPr>
        <w:t>Annexe II</w:t>
      </w:r>
    </w:p>
    <w:p w14:paraId="73C936D5" w14:textId="77777777" w:rsidR="000002CE" w:rsidRPr="00F52884" w:rsidRDefault="000002CE" w:rsidP="00E94578">
      <w:pPr>
        <w:contextualSpacing/>
        <w:rPr>
          <w:rFonts w:ascii="Arial" w:eastAsia="Times New Roman" w:hAnsi="Arial" w:cs="Arial"/>
          <w:szCs w:val="23"/>
          <w:lang w:val="fr-CA"/>
        </w:rPr>
      </w:pPr>
    </w:p>
    <w:p w14:paraId="094970EF" w14:textId="56D66D2B" w:rsidR="000002CE" w:rsidRPr="00F52884" w:rsidRDefault="00E94578" w:rsidP="00974F4C">
      <w:pPr>
        <w:spacing w:before="60" w:after="60"/>
        <w:ind w:left="-360"/>
        <w:rPr>
          <w:rFonts w:ascii="Arial" w:eastAsia="Arial" w:hAnsi="Arial" w:cs="Arial"/>
          <w:b/>
          <w:szCs w:val="23"/>
          <w:lang w:val="fr-CA"/>
        </w:rPr>
      </w:pPr>
      <w:r w:rsidRPr="00F52884">
        <w:rPr>
          <w:rFonts w:ascii="Arial" w:eastAsia="Arial" w:hAnsi="Arial" w:cs="Arial"/>
          <w:b/>
          <w:szCs w:val="23"/>
          <w:lang w:val="fr-CA"/>
        </w:rPr>
        <w:t xml:space="preserve">1.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79621494"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617E357F" w14:textId="4AEABBBC"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41D73D93" w14:textId="0156178A"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Tous les secteurs</w:t>
            </w:r>
          </w:p>
        </w:tc>
      </w:tr>
      <w:tr w:rsidR="00974F4C" w:rsidRPr="00F52884" w14:paraId="51957277"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B30A6A9"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42BC6C59" w14:textId="0E2FC7B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szCs w:val="23"/>
                <w:lang w:val="fr-CA"/>
              </w:rPr>
              <w:t>Tous les sous-secteurs</w:t>
            </w:r>
          </w:p>
        </w:tc>
      </w:tr>
      <w:tr w:rsidR="000002CE" w:rsidRPr="00F52884" w14:paraId="77E90990" w14:textId="77777777" w:rsidTr="00974F4C">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6D551ACA" w14:textId="77777777" w:rsidR="000002CE" w:rsidRPr="00F52884" w:rsidRDefault="000002CE" w:rsidP="00974F4C">
            <w:pPr>
              <w:spacing w:before="60" w:after="60"/>
              <w:ind w:right="-110"/>
              <w:rPr>
                <w:rFonts w:ascii="Arial" w:eastAsia="Arial" w:hAnsi="Arial" w:cs="Arial"/>
                <w:b/>
                <w:szCs w:val="23"/>
              </w:rPr>
            </w:pPr>
            <w:r w:rsidRPr="00F52884">
              <w:rPr>
                <w:rFonts w:ascii="Arial" w:eastAsia="Arial" w:hAnsi="Arial" w:cs="Arial"/>
                <w:b/>
                <w:bCs/>
                <w:szCs w:val="23"/>
                <w:lang w:val="fr-CA"/>
              </w:rPr>
              <w:t>Classification de l’industrie :</w:t>
            </w:r>
          </w:p>
        </w:tc>
        <w:tc>
          <w:tcPr>
            <w:tcW w:w="7853" w:type="dxa"/>
            <w:tcBorders>
              <w:top w:val="single" w:sz="4" w:space="0" w:color="C0C0C0"/>
              <w:left w:val="single" w:sz="4" w:space="0" w:color="FFFFFF"/>
              <w:bottom w:val="single" w:sz="4" w:space="0" w:color="C0C0C0"/>
              <w:right w:val="nil"/>
            </w:tcBorders>
            <w:vAlign w:val="center"/>
          </w:tcPr>
          <w:p w14:paraId="74F1B63C" w14:textId="77777777" w:rsidR="000002CE" w:rsidRPr="00F52884" w:rsidRDefault="000002CE" w:rsidP="00974F4C">
            <w:pPr>
              <w:spacing w:before="60" w:after="60"/>
              <w:ind w:left="28" w:hanging="28"/>
              <w:rPr>
                <w:rFonts w:ascii="Arial" w:eastAsia="Arial" w:hAnsi="Arial" w:cs="Arial"/>
                <w:szCs w:val="23"/>
              </w:rPr>
            </w:pPr>
          </w:p>
        </w:tc>
      </w:tr>
      <w:tr w:rsidR="00974F4C" w:rsidRPr="00F52884" w14:paraId="01E0A7B8" w14:textId="77777777" w:rsidTr="00974F4C">
        <w:trPr>
          <w:trHeight w:val="42"/>
          <w:jc w:val="center"/>
        </w:trPr>
        <w:tc>
          <w:tcPr>
            <w:tcW w:w="2250" w:type="dxa"/>
            <w:tcBorders>
              <w:top w:val="single" w:sz="4" w:space="0" w:color="C0C0C0"/>
              <w:left w:val="nil"/>
              <w:bottom w:val="single" w:sz="4" w:space="0" w:color="C0C0C0"/>
            </w:tcBorders>
          </w:tcPr>
          <w:p w14:paraId="57DB6416" w14:textId="0B50BFDD" w:rsidR="00974F4C" w:rsidRPr="00F52884" w:rsidRDefault="00974F4C" w:rsidP="00974F4C">
            <w:pPr>
              <w:spacing w:before="60" w:after="60"/>
              <w:ind w:left="432" w:hanging="432"/>
              <w:rPr>
                <w:rFonts w:ascii="Arial" w:eastAsia="Arial" w:hAnsi="Arial" w:cs="Arial"/>
                <w:szCs w:val="23"/>
                <w:lang w:val="fr-CA"/>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4220DD90" w14:textId="2A7A37F7" w:rsidR="00974F4C" w:rsidRPr="00F52884" w:rsidRDefault="00974F4C" w:rsidP="00974F4C">
            <w:pPr>
              <w:spacing w:before="60" w:after="60"/>
              <w:ind w:left="432" w:hanging="432"/>
              <w:rPr>
                <w:rFonts w:ascii="Arial" w:eastAsia="Arial" w:hAnsi="Arial" w:cs="Arial"/>
                <w:szCs w:val="23"/>
                <w:lang w:val="fr-CA"/>
              </w:rPr>
            </w:pPr>
            <w:r w:rsidRPr="00F52884">
              <w:rPr>
                <w:rFonts w:ascii="Arial" w:eastAsia="Arial" w:hAnsi="Arial" w:cs="Arial"/>
                <w:szCs w:val="23"/>
                <w:lang w:val="fr-CA"/>
              </w:rPr>
              <w:t>Article 201 (Traitement non discriminatoire)</w:t>
            </w:r>
          </w:p>
        </w:tc>
      </w:tr>
      <w:tr w:rsidR="000002CE" w:rsidRPr="00F52884" w14:paraId="62EBF005" w14:textId="77777777" w:rsidTr="00E94578">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28EFF7C"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60DFB0D2" w14:textId="77777777" w:rsidTr="00E94578">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1063D499" w14:textId="324D274D" w:rsidR="000002CE" w:rsidRPr="00F52884" w:rsidRDefault="000002CE" w:rsidP="00F52884">
            <w:pPr>
              <w:spacing w:before="60" w:after="60"/>
              <w:ind w:firstLine="6"/>
              <w:rPr>
                <w:rFonts w:ascii="Arial" w:eastAsia="Arial" w:hAnsi="Arial" w:cs="Arial"/>
                <w:szCs w:val="23"/>
                <w:lang w:val="fr-FR"/>
              </w:rPr>
            </w:pPr>
            <w:r w:rsidRPr="00F52884">
              <w:rPr>
                <w:rFonts w:ascii="Arial" w:eastAsia="Arial" w:hAnsi="Arial" w:cs="Arial"/>
                <w:szCs w:val="23"/>
                <w:lang w:val="fr-CA"/>
              </w:rPr>
              <w:t xml:space="preserve">L’article 201 (Traitement non discriminatoire) ne s’applique pas aux mesures du Canada relatives à la fourniture d’infrastructures.  Il est entendu que la présente exception n’a aucune incidence </w:t>
            </w:r>
            <w:proofErr w:type="gramStart"/>
            <w:r w:rsidRPr="00F52884">
              <w:rPr>
                <w:rFonts w:ascii="Arial" w:eastAsia="Arial" w:hAnsi="Arial" w:cs="Arial"/>
                <w:szCs w:val="23"/>
                <w:lang w:val="fr-CA"/>
              </w:rPr>
              <w:t>sur  le</w:t>
            </w:r>
            <w:proofErr w:type="gramEnd"/>
            <w:r w:rsidRPr="00F52884">
              <w:rPr>
                <w:rFonts w:ascii="Arial" w:eastAsia="Arial" w:hAnsi="Arial" w:cs="Arial"/>
                <w:szCs w:val="23"/>
                <w:lang w:val="fr-CA"/>
              </w:rPr>
              <w:t xml:space="preserve"> chapitre 5 (Marchés publics), l’article 320 (Stimulants interdits) et l’article 321 (Stimulants à éviter), ou toute autre obligation du présent accord. </w:t>
            </w:r>
          </w:p>
        </w:tc>
      </w:tr>
      <w:tr w:rsidR="000002CE" w:rsidRPr="00F52884" w14:paraId="14A9297D" w14:textId="77777777" w:rsidTr="00E94578">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008F4DD2" w14:textId="77777777" w:rsidR="000002CE" w:rsidRPr="00F52884" w:rsidRDefault="000002CE" w:rsidP="00974F4C">
            <w:pPr>
              <w:spacing w:before="60" w:after="60"/>
              <w:rPr>
                <w:rFonts w:ascii="Arial" w:eastAsia="Arial" w:hAnsi="Arial" w:cs="Arial"/>
                <w:caps/>
                <w:szCs w:val="23"/>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p>
        </w:tc>
      </w:tr>
      <w:tr w:rsidR="000002CE" w:rsidRPr="00F52884" w14:paraId="54573960" w14:textId="77777777" w:rsidTr="00E94578">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38A95CBB" w14:textId="77777777" w:rsidR="000002CE" w:rsidRPr="00F52884" w:rsidRDefault="000002CE" w:rsidP="00974F4C">
            <w:pPr>
              <w:spacing w:before="60" w:after="60"/>
              <w:ind w:left="292"/>
              <w:rPr>
                <w:rFonts w:ascii="Arial" w:eastAsia="Arial" w:hAnsi="Arial" w:cs="Arial"/>
                <w:b/>
                <w:szCs w:val="23"/>
              </w:rPr>
            </w:pPr>
          </w:p>
        </w:tc>
      </w:tr>
    </w:tbl>
    <w:p w14:paraId="31410C51" w14:textId="66EB8F73" w:rsidR="000002CE" w:rsidRPr="00F52884" w:rsidRDefault="000002CE" w:rsidP="00E94578">
      <w:pPr>
        <w:rPr>
          <w:rFonts w:ascii="Arial" w:eastAsia="Arial" w:hAnsi="Arial" w:cs="Arial"/>
          <w:b/>
          <w:szCs w:val="23"/>
        </w:rPr>
      </w:pPr>
    </w:p>
    <w:p w14:paraId="75EB22B0" w14:textId="77777777" w:rsidR="000002CE" w:rsidRPr="00F52884" w:rsidRDefault="000002CE" w:rsidP="00E94578">
      <w:pPr>
        <w:rPr>
          <w:rFonts w:ascii="Arial" w:eastAsia="Arial" w:hAnsi="Arial" w:cs="Arial"/>
          <w:b/>
          <w:szCs w:val="23"/>
        </w:rPr>
      </w:pPr>
    </w:p>
    <w:p w14:paraId="27823D3E" w14:textId="2E9B8C7F" w:rsidR="000002CE" w:rsidRPr="00F52884" w:rsidRDefault="00E94578" w:rsidP="00974F4C">
      <w:pPr>
        <w:spacing w:before="60" w:after="60"/>
        <w:ind w:left="-360"/>
        <w:rPr>
          <w:rFonts w:ascii="Arial" w:eastAsia="Arial" w:hAnsi="Arial" w:cs="Arial"/>
          <w:b/>
          <w:szCs w:val="23"/>
        </w:rPr>
      </w:pPr>
      <w:r w:rsidRPr="00F52884">
        <w:rPr>
          <w:rFonts w:ascii="Arial" w:eastAsia="Arial" w:hAnsi="Arial" w:cs="Arial"/>
          <w:b/>
          <w:szCs w:val="23"/>
          <w:lang w:val="fr-CA"/>
        </w:rPr>
        <w:t xml:space="preserve">2.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6304EE18"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A7447BE" w14:textId="76BD6588"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69F12427" w14:textId="4A02D154"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Pêches</w:t>
            </w:r>
          </w:p>
        </w:tc>
      </w:tr>
      <w:tr w:rsidR="00974F4C" w:rsidRPr="0068240F" w14:paraId="5568C9F3"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1AC7EF8"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4F2EE735" w14:textId="58AC83EF"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szCs w:val="23"/>
                <w:lang w:val="fr-CA"/>
              </w:rPr>
              <w:t>Pêche et services annexes à la pêche</w:t>
            </w:r>
          </w:p>
        </w:tc>
      </w:tr>
      <w:tr w:rsidR="000002CE" w:rsidRPr="00F52884" w14:paraId="6F428FCD" w14:textId="77777777" w:rsidTr="00974F4C">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018461F" w14:textId="56D720BF" w:rsidR="000002CE" w:rsidRPr="00F52884" w:rsidRDefault="000002CE" w:rsidP="00974F4C">
            <w:pPr>
              <w:spacing w:before="60" w:after="60"/>
              <w:ind w:right="-110"/>
              <w:rPr>
                <w:rFonts w:ascii="Arial" w:eastAsia="Arial" w:hAnsi="Arial" w:cs="Arial"/>
                <w:b/>
                <w:szCs w:val="23"/>
              </w:rPr>
            </w:pPr>
            <w:r w:rsidRPr="00F52884">
              <w:rPr>
                <w:rFonts w:ascii="Arial" w:eastAsia="Arial" w:hAnsi="Arial" w:cs="Arial"/>
                <w:b/>
                <w:bCs/>
                <w:szCs w:val="23"/>
                <w:lang w:val="fr-CA"/>
              </w:rPr>
              <w:t xml:space="preserve">Classification de l’industrie : </w:t>
            </w:r>
          </w:p>
        </w:tc>
        <w:tc>
          <w:tcPr>
            <w:tcW w:w="7853" w:type="dxa"/>
            <w:tcBorders>
              <w:top w:val="single" w:sz="4" w:space="0" w:color="C0C0C0"/>
              <w:left w:val="single" w:sz="4" w:space="0" w:color="FFFFFF"/>
              <w:bottom w:val="single" w:sz="4" w:space="0" w:color="C0C0C0"/>
              <w:right w:val="nil"/>
            </w:tcBorders>
            <w:vAlign w:val="center"/>
          </w:tcPr>
          <w:p w14:paraId="2E46DABF" w14:textId="7AF6AB77" w:rsidR="000002CE" w:rsidRPr="00F52884" w:rsidRDefault="00974F4C" w:rsidP="00974F4C">
            <w:pPr>
              <w:spacing w:before="60" w:after="60"/>
              <w:ind w:left="28" w:hanging="28"/>
              <w:rPr>
                <w:rFonts w:ascii="Arial" w:eastAsia="Arial" w:hAnsi="Arial" w:cs="Arial"/>
                <w:szCs w:val="23"/>
              </w:rPr>
            </w:pPr>
            <w:r w:rsidRPr="00F52884">
              <w:rPr>
                <w:rFonts w:ascii="Arial" w:eastAsia="Arial" w:hAnsi="Arial" w:cs="Arial"/>
                <w:szCs w:val="23"/>
                <w:lang w:val="fr-CA"/>
              </w:rPr>
              <w:t>CPC 04, 882</w:t>
            </w:r>
          </w:p>
        </w:tc>
      </w:tr>
      <w:tr w:rsidR="00974F4C" w:rsidRPr="0068240F" w14:paraId="23316B6F" w14:textId="77777777" w:rsidTr="00974F4C">
        <w:trPr>
          <w:trHeight w:val="42"/>
          <w:jc w:val="center"/>
        </w:trPr>
        <w:tc>
          <w:tcPr>
            <w:tcW w:w="2250" w:type="dxa"/>
            <w:tcBorders>
              <w:top w:val="single" w:sz="4" w:space="0" w:color="C0C0C0"/>
              <w:left w:val="nil"/>
              <w:bottom w:val="single" w:sz="4" w:space="0" w:color="C0C0C0"/>
            </w:tcBorders>
          </w:tcPr>
          <w:p w14:paraId="1C214573" w14:textId="54E981EC"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67939113" w14:textId="3479A2CA"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szCs w:val="23"/>
                <w:lang w:val="fr-CA"/>
              </w:rPr>
              <w:t>Article 201 (Traitement non discriminatoire), article 301 (Droit d’entrée et de sortie), article 307 (Accès aux marchés – Services), article 312 (Accès aux marchés – Investissement)</w:t>
            </w:r>
          </w:p>
        </w:tc>
      </w:tr>
      <w:tr w:rsidR="000002CE" w:rsidRPr="00F52884" w14:paraId="42F285FF"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9F33985"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69EC2860"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6D0B69F1" w14:textId="7A32EDB6" w:rsidR="000002CE" w:rsidRPr="00F52884" w:rsidRDefault="000002CE" w:rsidP="00974F4C">
            <w:pPr>
              <w:spacing w:before="120" w:after="120"/>
              <w:ind w:left="6"/>
              <w:rPr>
                <w:rFonts w:ascii="Arial" w:eastAsia="Arial" w:hAnsi="Arial" w:cs="Arial"/>
                <w:szCs w:val="23"/>
                <w:lang w:val="fr-FR"/>
              </w:rPr>
            </w:pPr>
            <w:r w:rsidRPr="00F52884">
              <w:rPr>
                <w:rFonts w:ascii="Arial" w:eastAsia="Arial" w:hAnsi="Arial" w:cs="Arial"/>
                <w:szCs w:val="23"/>
                <w:lang w:val="fr-CA"/>
              </w:rPr>
              <w:t>Le Canada se réserve le droit d’adopter ou de maintenir une mesure relative à la délivrance de licences pour des activités de pêche ou liées à la pêche, y compris l’entrée de navires de pêche étrangers dans la zone économique exclusive, les eaux territoriales, les eaux intérieures ou les ports du Canada, ainsi que l’utilisation de services à cet égard.</w:t>
            </w:r>
          </w:p>
        </w:tc>
      </w:tr>
      <w:tr w:rsidR="00F52884" w:rsidRPr="0068240F" w14:paraId="5FCDB9C4"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3D5E563" w14:textId="77777777" w:rsidR="000002CE" w:rsidRPr="00F52884" w:rsidRDefault="000002CE" w:rsidP="00974F4C">
            <w:pPr>
              <w:spacing w:before="60" w:after="60"/>
              <w:rPr>
                <w:rFonts w:ascii="Arial" w:eastAsia="Arial" w:hAnsi="Arial" w:cs="Arial"/>
                <w:caps/>
                <w:szCs w:val="23"/>
                <w:lang w:val="fr-CA"/>
              </w:rPr>
            </w:pPr>
            <w:r w:rsidRPr="00F52884">
              <w:rPr>
                <w:rFonts w:ascii="Arial" w:eastAsia="Arial" w:hAnsi="Arial" w:cs="Arial"/>
                <w:b/>
                <w:bCs/>
                <w:szCs w:val="23"/>
                <w:lang w:val="fr-CA"/>
              </w:rPr>
              <w:t>Toute mesure existante :</w:t>
            </w:r>
            <w:r w:rsidRPr="00F52884">
              <w:rPr>
                <w:rFonts w:ascii="Arial" w:hAnsi="Arial" w:cs="Arial"/>
                <w:lang w:val="fr-FR"/>
              </w:rPr>
              <w:t xml:space="preserve"> </w:t>
            </w:r>
            <w:r w:rsidRPr="00F52884">
              <w:rPr>
                <w:rStyle w:val="shorttext"/>
                <w:rFonts w:ascii="Arial" w:hAnsi="Arial" w:cs="Arial"/>
                <w:lang w:val="fr-FR"/>
              </w:rPr>
              <w:t>(Fourni à des fins illustratives)</w:t>
            </w:r>
            <w:r w:rsidRPr="00F52884">
              <w:rPr>
                <w:rFonts w:ascii="Arial" w:eastAsia="Arial" w:hAnsi="Arial" w:cs="Arial"/>
                <w:caps/>
                <w:szCs w:val="23"/>
                <w:lang w:val="fr-CA"/>
              </w:rPr>
              <w:t xml:space="preserve"> </w:t>
            </w:r>
          </w:p>
        </w:tc>
      </w:tr>
      <w:tr w:rsidR="000002CE" w:rsidRPr="0068240F" w14:paraId="43604BE4"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5FD6A394" w14:textId="346E70CA" w:rsidR="000002CE" w:rsidRPr="00F52884" w:rsidRDefault="000002CE" w:rsidP="00974F4C">
            <w:pPr>
              <w:spacing w:before="120" w:after="120"/>
              <w:ind w:left="6"/>
              <w:rPr>
                <w:rFonts w:ascii="Arial" w:eastAsia="Arial" w:hAnsi="Arial" w:cs="Arial"/>
                <w:iCs/>
                <w:szCs w:val="23"/>
                <w:lang w:val="fr-FR"/>
              </w:rPr>
            </w:pPr>
            <w:r w:rsidRPr="00F52884">
              <w:rPr>
                <w:rFonts w:ascii="Arial" w:eastAsia="Arial" w:hAnsi="Arial" w:cs="Arial"/>
                <w:i/>
                <w:iCs/>
                <w:szCs w:val="23"/>
                <w:lang w:val="fr-CA"/>
              </w:rPr>
              <w:lastRenderedPageBreak/>
              <w:t>Loi sur la protection des pêches côtières</w:t>
            </w:r>
            <w:r w:rsidRPr="00F52884">
              <w:rPr>
                <w:rFonts w:ascii="Arial" w:eastAsia="Arial" w:hAnsi="Arial" w:cs="Arial"/>
                <w:szCs w:val="23"/>
                <w:lang w:val="fr-CA"/>
              </w:rPr>
              <w:t xml:space="preserve">, LRC 1985, c C-33 </w:t>
            </w:r>
            <w:r w:rsidRPr="00F52884">
              <w:rPr>
                <w:rFonts w:ascii="Arial" w:eastAsia="Arial" w:hAnsi="Arial" w:cs="Arial"/>
                <w:szCs w:val="23"/>
                <w:lang w:val="fr-CA"/>
              </w:rPr>
              <w:br/>
            </w:r>
            <w:r w:rsidRPr="00F52884">
              <w:rPr>
                <w:rFonts w:ascii="Arial" w:eastAsia="Arial" w:hAnsi="Arial" w:cs="Arial"/>
                <w:i/>
                <w:iCs/>
                <w:szCs w:val="23"/>
                <w:lang w:val="fr-CA"/>
              </w:rPr>
              <w:t>Loi sur les pêches</w:t>
            </w:r>
            <w:r w:rsidRPr="00F52884">
              <w:rPr>
                <w:rFonts w:ascii="Arial" w:eastAsia="Arial" w:hAnsi="Arial" w:cs="Arial"/>
                <w:szCs w:val="23"/>
                <w:lang w:val="fr-CA"/>
              </w:rPr>
              <w:t xml:space="preserve">, LRC 1985, c F-14 </w:t>
            </w:r>
            <w:r w:rsidRPr="00F52884">
              <w:rPr>
                <w:rFonts w:ascii="Arial" w:eastAsia="Arial" w:hAnsi="Arial" w:cs="Arial"/>
                <w:szCs w:val="23"/>
                <w:lang w:val="fr-CA"/>
              </w:rPr>
              <w:br/>
            </w:r>
            <w:r w:rsidRPr="00F52884">
              <w:rPr>
                <w:rFonts w:ascii="Arial" w:eastAsia="Arial" w:hAnsi="Arial" w:cs="Arial"/>
                <w:i/>
                <w:iCs/>
                <w:szCs w:val="23"/>
                <w:lang w:val="fr-CA"/>
              </w:rPr>
              <w:t>Règlement sur la protection des pêcheries côtières</w:t>
            </w:r>
            <w:r w:rsidRPr="00F52884">
              <w:rPr>
                <w:rFonts w:ascii="Arial" w:eastAsia="Arial" w:hAnsi="Arial" w:cs="Arial"/>
                <w:szCs w:val="23"/>
                <w:lang w:val="fr-CA"/>
              </w:rPr>
              <w:t xml:space="preserve">, CRC 1978, c 413 </w:t>
            </w:r>
            <w:r w:rsidRPr="00F52884">
              <w:rPr>
                <w:rFonts w:ascii="Arial" w:eastAsia="Arial" w:hAnsi="Arial" w:cs="Arial"/>
                <w:szCs w:val="23"/>
                <w:lang w:val="fr-CA"/>
              </w:rPr>
              <w:br/>
              <w:t>Politique d’émission des permis pour la pêche commerciale dans l'Est du Canada - 1996</w:t>
            </w:r>
          </w:p>
          <w:p w14:paraId="484E55FB" w14:textId="0BE9B467" w:rsidR="000002CE" w:rsidRPr="00F52884" w:rsidRDefault="000002CE" w:rsidP="00974F4C">
            <w:pPr>
              <w:spacing w:before="120" w:after="120"/>
              <w:ind w:left="6"/>
              <w:rPr>
                <w:rFonts w:ascii="Arial" w:eastAsia="Arial" w:hAnsi="Arial" w:cs="Arial"/>
                <w:szCs w:val="23"/>
                <w:lang w:val="fr-FR"/>
              </w:rPr>
            </w:pPr>
            <w:r w:rsidRPr="00F52884">
              <w:rPr>
                <w:rFonts w:ascii="Arial" w:eastAsia="Arial" w:hAnsi="Arial" w:cs="Arial"/>
                <w:szCs w:val="23"/>
                <w:lang w:val="fr-CA"/>
              </w:rPr>
              <w:t>Politique sur l’investissement étranger dans le secteur canadien des pêches, 1985</w:t>
            </w:r>
          </w:p>
          <w:p w14:paraId="004569A3" w14:textId="16E5A720" w:rsidR="000002CE" w:rsidRPr="00F52884" w:rsidRDefault="000002CE" w:rsidP="00974F4C">
            <w:pPr>
              <w:spacing w:before="60" w:after="60"/>
              <w:ind w:left="6"/>
              <w:rPr>
                <w:rFonts w:ascii="Arial" w:eastAsia="Arial" w:hAnsi="Arial" w:cs="Arial"/>
                <w:szCs w:val="23"/>
                <w:lang w:val="fr-CA"/>
              </w:rPr>
            </w:pPr>
            <w:r w:rsidRPr="00F52884">
              <w:rPr>
                <w:rFonts w:ascii="Arial" w:eastAsia="Arial" w:hAnsi="Arial" w:cs="Arial"/>
                <w:i/>
                <w:iCs/>
                <w:szCs w:val="23"/>
                <w:lang w:val="fr-CA"/>
              </w:rPr>
              <w:t>Loi sur la commercialisation du poisson d’eau douce</w:t>
            </w:r>
            <w:r w:rsidRPr="00F52884">
              <w:rPr>
                <w:rFonts w:ascii="Arial" w:eastAsia="Arial" w:hAnsi="Arial" w:cs="Arial"/>
                <w:szCs w:val="23"/>
                <w:lang w:val="fr-CA"/>
              </w:rPr>
              <w:t>, LRC 1985, c F-13</w:t>
            </w:r>
          </w:p>
          <w:p w14:paraId="01F23177" w14:textId="03493D23" w:rsidR="000002CE" w:rsidRPr="00F52884" w:rsidRDefault="000002CE" w:rsidP="00974F4C">
            <w:pPr>
              <w:spacing w:before="60" w:after="60"/>
              <w:ind w:left="6"/>
              <w:rPr>
                <w:rFonts w:ascii="Arial" w:eastAsia="Arial" w:hAnsi="Arial" w:cs="Arial"/>
                <w:szCs w:val="23"/>
                <w:lang w:val="fr-FR"/>
              </w:rPr>
            </w:pPr>
            <w:r w:rsidRPr="00F52884">
              <w:rPr>
                <w:rFonts w:ascii="Arial" w:eastAsia="Arial" w:hAnsi="Arial" w:cs="Arial"/>
                <w:i/>
                <w:iCs/>
                <w:szCs w:val="23"/>
                <w:lang w:val="fr-CA"/>
              </w:rPr>
              <w:t>Règlement de pêche du Québec</w:t>
            </w:r>
            <w:r w:rsidRPr="00F52884">
              <w:rPr>
                <w:rFonts w:ascii="Arial" w:eastAsia="Arial" w:hAnsi="Arial" w:cs="Arial"/>
                <w:szCs w:val="23"/>
                <w:lang w:val="fr-CA"/>
              </w:rPr>
              <w:t xml:space="preserve">, </w:t>
            </w:r>
            <w:r w:rsidRPr="00F52884">
              <w:rPr>
                <w:rFonts w:ascii="Arial" w:eastAsia="Arial" w:hAnsi="Arial" w:cs="Arial"/>
                <w:i/>
                <w:szCs w:val="23"/>
                <w:lang w:val="fr-CA"/>
              </w:rPr>
              <w:t>1990</w:t>
            </w:r>
            <w:r w:rsidRPr="00F52884">
              <w:rPr>
                <w:rFonts w:ascii="Arial" w:eastAsia="Arial" w:hAnsi="Arial" w:cs="Arial"/>
                <w:szCs w:val="23"/>
                <w:lang w:val="fr-CA"/>
              </w:rPr>
              <w:t>, DORS/90-214</w:t>
            </w:r>
          </w:p>
        </w:tc>
      </w:tr>
    </w:tbl>
    <w:p w14:paraId="604C51BE" w14:textId="7FD67603" w:rsidR="000002CE" w:rsidRPr="00F52884" w:rsidRDefault="000002CE" w:rsidP="00E94578">
      <w:pPr>
        <w:rPr>
          <w:rFonts w:ascii="Arial" w:eastAsia="Arial" w:hAnsi="Arial" w:cs="Arial"/>
          <w:b/>
          <w:szCs w:val="23"/>
          <w:lang w:val="fr-FR"/>
        </w:rPr>
      </w:pPr>
    </w:p>
    <w:p w14:paraId="617A58C9" w14:textId="77777777" w:rsidR="000002CE" w:rsidRPr="00F52884" w:rsidRDefault="000002CE" w:rsidP="00E94578">
      <w:pPr>
        <w:rPr>
          <w:rFonts w:ascii="Arial" w:eastAsia="Arial" w:hAnsi="Arial" w:cs="Arial"/>
          <w:b/>
          <w:szCs w:val="23"/>
          <w:lang w:val="fr-FR"/>
        </w:rPr>
      </w:pPr>
    </w:p>
    <w:p w14:paraId="6AE8BD76" w14:textId="46A026AD" w:rsidR="000002CE" w:rsidRPr="00F52884" w:rsidRDefault="00E94578" w:rsidP="00974F4C">
      <w:pPr>
        <w:spacing w:before="60" w:after="60"/>
        <w:ind w:left="-360"/>
        <w:rPr>
          <w:rFonts w:ascii="Arial" w:eastAsia="Arial" w:hAnsi="Arial" w:cs="Arial"/>
          <w:b/>
          <w:szCs w:val="23"/>
        </w:rPr>
      </w:pPr>
      <w:r w:rsidRPr="00F52884">
        <w:rPr>
          <w:rFonts w:ascii="Arial" w:eastAsia="Arial" w:hAnsi="Arial" w:cs="Arial"/>
          <w:b/>
          <w:szCs w:val="23"/>
          <w:lang w:val="fr-CA"/>
        </w:rPr>
        <w:t xml:space="preserve">3.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58405C3E"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DB95718" w14:textId="47BF29A5"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4A4F1E0B" w14:textId="4F18F889"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Énergie</w:t>
            </w:r>
          </w:p>
        </w:tc>
      </w:tr>
      <w:tr w:rsidR="00974F4C" w:rsidRPr="00F52884" w14:paraId="31088DE5"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A41B373"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381FA4F8" w14:textId="1BD6F4A8"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szCs w:val="23"/>
                <w:lang w:val="fr-CA"/>
              </w:rPr>
              <w:t>Conduites et lignes électriques</w:t>
            </w:r>
          </w:p>
        </w:tc>
      </w:tr>
      <w:tr w:rsidR="000002CE" w:rsidRPr="00F52884" w14:paraId="3615F019" w14:textId="77777777" w:rsidTr="00974F4C">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0384ED4" w14:textId="00AD090C" w:rsidR="000002CE" w:rsidRPr="00F52884" w:rsidRDefault="000002CE" w:rsidP="00974F4C">
            <w:pPr>
              <w:spacing w:before="60" w:after="60"/>
              <w:ind w:right="-110"/>
              <w:rPr>
                <w:rFonts w:ascii="Arial" w:eastAsia="Arial" w:hAnsi="Arial" w:cs="Arial"/>
                <w:b/>
                <w:szCs w:val="23"/>
              </w:rPr>
            </w:pPr>
            <w:r w:rsidRPr="00F52884">
              <w:rPr>
                <w:rFonts w:ascii="Arial" w:eastAsia="Arial" w:hAnsi="Arial" w:cs="Arial"/>
                <w:b/>
                <w:bCs/>
                <w:szCs w:val="23"/>
                <w:lang w:val="fr-CA"/>
              </w:rPr>
              <w:t xml:space="preserve">Classification de l’industrie : </w:t>
            </w:r>
          </w:p>
        </w:tc>
        <w:tc>
          <w:tcPr>
            <w:tcW w:w="7853" w:type="dxa"/>
            <w:tcBorders>
              <w:top w:val="single" w:sz="4" w:space="0" w:color="C0C0C0"/>
              <w:left w:val="single" w:sz="4" w:space="0" w:color="FFFFFF"/>
              <w:bottom w:val="single" w:sz="4" w:space="0" w:color="C0C0C0"/>
              <w:right w:val="nil"/>
            </w:tcBorders>
            <w:vAlign w:val="center"/>
          </w:tcPr>
          <w:p w14:paraId="7B34DD2D" w14:textId="45134799" w:rsidR="000002CE" w:rsidRPr="00F52884" w:rsidRDefault="00974F4C" w:rsidP="00974F4C">
            <w:pPr>
              <w:spacing w:before="60" w:after="60"/>
              <w:ind w:left="28" w:hanging="28"/>
              <w:rPr>
                <w:rFonts w:ascii="Arial" w:eastAsia="Arial" w:hAnsi="Arial" w:cs="Arial"/>
                <w:szCs w:val="23"/>
              </w:rPr>
            </w:pPr>
            <w:r w:rsidRPr="00F52884">
              <w:rPr>
                <w:rFonts w:ascii="Arial" w:eastAsia="Arial" w:hAnsi="Arial" w:cs="Arial"/>
                <w:szCs w:val="23"/>
                <w:lang w:val="fr-CA"/>
              </w:rPr>
              <w:t>CPC 713, 5134, 5135, 17, 887</w:t>
            </w:r>
          </w:p>
        </w:tc>
      </w:tr>
      <w:tr w:rsidR="00974F4C" w:rsidRPr="0068240F" w14:paraId="1FD4DB8C" w14:textId="77777777" w:rsidTr="00974F4C">
        <w:trPr>
          <w:trHeight w:val="42"/>
          <w:jc w:val="center"/>
        </w:trPr>
        <w:tc>
          <w:tcPr>
            <w:tcW w:w="2250" w:type="dxa"/>
            <w:tcBorders>
              <w:top w:val="single" w:sz="4" w:space="0" w:color="C0C0C0"/>
              <w:left w:val="nil"/>
              <w:bottom w:val="single" w:sz="4" w:space="0" w:color="C0C0C0"/>
            </w:tcBorders>
          </w:tcPr>
          <w:p w14:paraId="69745A6F" w14:textId="439EDD85"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02A8C687" w14:textId="07896E09"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szCs w:val="23"/>
                <w:lang w:val="fr-CA"/>
              </w:rPr>
              <w:t>Article 301 (Droit d’entrée et de sortie), article 307 (Accès aux marchés – Services), article 312 (Accès aux marchés – Investissement)</w:t>
            </w:r>
          </w:p>
        </w:tc>
      </w:tr>
      <w:tr w:rsidR="000002CE" w:rsidRPr="00F52884" w14:paraId="016B98BA"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3F74DAC"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753BE6EA"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17CED7DD" w14:textId="77777777" w:rsidR="000002CE" w:rsidRPr="00F52884" w:rsidRDefault="000002CE" w:rsidP="00974F4C">
            <w:pPr>
              <w:spacing w:before="60" w:after="60"/>
              <w:ind w:left="6"/>
              <w:rPr>
                <w:rFonts w:ascii="Arial" w:eastAsia="Arial" w:hAnsi="Arial" w:cs="Arial"/>
                <w:szCs w:val="23"/>
                <w:lang w:val="fr-FR"/>
              </w:rPr>
            </w:pPr>
            <w:r w:rsidRPr="00F52884">
              <w:rPr>
                <w:rFonts w:ascii="Arial" w:eastAsia="Arial" w:hAnsi="Arial" w:cs="Arial"/>
                <w:szCs w:val="23"/>
                <w:lang w:val="fr-CA"/>
              </w:rPr>
              <w:t>Le Canada se réserve le droit d’adopter ou de maintenir une mesure relative à la délivrance de certificats pour le transport et la transmission par conduites et par lignes électriques.</w:t>
            </w:r>
          </w:p>
        </w:tc>
      </w:tr>
      <w:tr w:rsidR="000002CE" w:rsidRPr="0068240F" w14:paraId="7C6F61B1"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16169C1A" w14:textId="77777777" w:rsidR="000002CE" w:rsidRPr="00F52884" w:rsidRDefault="000002CE" w:rsidP="00974F4C">
            <w:pPr>
              <w:spacing w:before="60" w:after="60"/>
              <w:rPr>
                <w:rFonts w:ascii="Arial" w:eastAsia="Arial" w:hAnsi="Arial" w:cs="Arial"/>
                <w:caps/>
                <w:szCs w:val="23"/>
                <w:lang w:val="fr-CA"/>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r w:rsidRPr="00F52884">
              <w:rPr>
                <w:rStyle w:val="shorttext"/>
                <w:rFonts w:ascii="Arial" w:hAnsi="Arial" w:cs="Arial"/>
                <w:lang w:val="fr-FR"/>
              </w:rPr>
              <w:t>(Fourni à des fins illustratives)</w:t>
            </w:r>
          </w:p>
        </w:tc>
      </w:tr>
      <w:tr w:rsidR="00F52884" w:rsidRPr="0068240F" w14:paraId="20C6BC56"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7D518D82" w14:textId="47C5FD1F" w:rsidR="00304468" w:rsidRDefault="00304468" w:rsidP="00974F4C">
            <w:pPr>
              <w:spacing w:before="60" w:after="60"/>
              <w:ind w:left="6"/>
              <w:rPr>
                <w:rFonts w:ascii="Arial" w:eastAsia="Arial" w:hAnsi="Arial" w:cs="Arial"/>
                <w:i/>
                <w:iCs/>
                <w:szCs w:val="23"/>
                <w:lang w:val="fr-CA"/>
              </w:rPr>
            </w:pPr>
            <w:r w:rsidRPr="00304468">
              <w:rPr>
                <w:rFonts w:ascii="Arial" w:eastAsia="Arial" w:hAnsi="Arial" w:cs="Arial"/>
                <w:i/>
                <w:iCs/>
                <w:szCs w:val="23"/>
                <w:lang w:val="fr-CA"/>
              </w:rPr>
              <w:t>Loi sur la R</w:t>
            </w:r>
            <w:r>
              <w:rPr>
                <w:rFonts w:ascii="Arial" w:eastAsia="Arial" w:hAnsi="Arial" w:cs="Arial"/>
                <w:i/>
                <w:iCs/>
                <w:szCs w:val="23"/>
                <w:lang w:val="fr-CA"/>
              </w:rPr>
              <w:t>é</w:t>
            </w:r>
            <w:r w:rsidRPr="00304468">
              <w:rPr>
                <w:rFonts w:ascii="Arial" w:eastAsia="Arial" w:hAnsi="Arial" w:cs="Arial"/>
                <w:i/>
                <w:iCs/>
                <w:szCs w:val="23"/>
                <w:lang w:val="fr-CA"/>
              </w:rPr>
              <w:t>gie canadienne de l'</w:t>
            </w:r>
            <w:r>
              <w:rPr>
                <w:rFonts w:ascii="Arial" w:eastAsia="Arial" w:hAnsi="Arial" w:cs="Arial"/>
                <w:i/>
                <w:iCs/>
                <w:szCs w:val="23"/>
                <w:lang w:val="fr-CA"/>
              </w:rPr>
              <w:t>é</w:t>
            </w:r>
            <w:r w:rsidRPr="00304468">
              <w:rPr>
                <w:rFonts w:ascii="Arial" w:eastAsia="Arial" w:hAnsi="Arial" w:cs="Arial"/>
                <w:i/>
                <w:iCs/>
                <w:szCs w:val="23"/>
                <w:lang w:val="fr-CA"/>
              </w:rPr>
              <w:t xml:space="preserve">nergie, LC 2019, </w:t>
            </w:r>
            <w:proofErr w:type="spellStart"/>
            <w:r w:rsidRPr="00304468">
              <w:rPr>
                <w:rFonts w:ascii="Arial" w:eastAsia="Arial" w:hAnsi="Arial" w:cs="Arial"/>
                <w:i/>
                <w:iCs/>
                <w:szCs w:val="23"/>
                <w:lang w:val="fr-CA"/>
              </w:rPr>
              <w:t>ch</w:t>
            </w:r>
            <w:proofErr w:type="spellEnd"/>
            <w:r w:rsidRPr="00304468">
              <w:rPr>
                <w:rFonts w:ascii="Arial" w:eastAsia="Arial" w:hAnsi="Arial" w:cs="Arial"/>
                <w:i/>
                <w:iCs/>
                <w:szCs w:val="23"/>
                <w:lang w:val="fr-CA"/>
              </w:rPr>
              <w:t xml:space="preserve"> 28, art 10 </w:t>
            </w:r>
          </w:p>
          <w:p w14:paraId="5803B1BE" w14:textId="7277915A" w:rsidR="000002CE" w:rsidRPr="00F52884" w:rsidRDefault="000002CE" w:rsidP="00974F4C">
            <w:pPr>
              <w:spacing w:before="60" w:after="60"/>
              <w:ind w:left="6"/>
              <w:rPr>
                <w:rFonts w:ascii="Arial" w:eastAsia="Arial" w:hAnsi="Arial" w:cs="Arial"/>
                <w:szCs w:val="23"/>
                <w:lang w:val="fr-CA"/>
              </w:rPr>
            </w:pPr>
            <w:r w:rsidRPr="00F52884">
              <w:rPr>
                <w:rFonts w:ascii="Arial" w:eastAsia="Arial" w:hAnsi="Arial" w:cs="Arial"/>
                <w:i/>
                <w:iCs/>
                <w:szCs w:val="23"/>
                <w:lang w:val="fr-CA"/>
              </w:rPr>
              <w:t>Loi sur l’Office national de l’énergie</w:t>
            </w:r>
            <w:r w:rsidRPr="00F52884">
              <w:rPr>
                <w:rFonts w:ascii="Arial" w:eastAsia="Arial" w:hAnsi="Arial" w:cs="Arial"/>
                <w:szCs w:val="23"/>
                <w:lang w:val="fr-CA"/>
              </w:rPr>
              <w:t>, LRC 1985, c N-7</w:t>
            </w:r>
            <w:r w:rsidR="00304468">
              <w:rPr>
                <w:rFonts w:ascii="Arial" w:eastAsia="Arial" w:hAnsi="Arial" w:cs="Arial"/>
                <w:szCs w:val="23"/>
                <w:lang w:val="fr-CA"/>
              </w:rPr>
              <w:t xml:space="preserve"> </w:t>
            </w:r>
            <w:r w:rsidR="00304468" w:rsidRPr="00304468">
              <w:rPr>
                <w:rFonts w:ascii="Arial" w:eastAsia="Arial" w:hAnsi="Arial" w:cs="Arial"/>
                <w:szCs w:val="23"/>
                <w:lang w:val="fr-CA"/>
              </w:rPr>
              <w:t>[Abrog</w:t>
            </w:r>
            <w:r w:rsidR="00304468">
              <w:rPr>
                <w:rFonts w:ascii="Arial" w:eastAsia="Arial" w:hAnsi="Arial" w:cs="Arial"/>
                <w:szCs w:val="23"/>
                <w:lang w:val="fr-CA"/>
              </w:rPr>
              <w:t>é</w:t>
            </w:r>
            <w:r w:rsidR="00304468" w:rsidRPr="00304468">
              <w:rPr>
                <w:rFonts w:ascii="Arial" w:eastAsia="Arial" w:hAnsi="Arial" w:cs="Arial"/>
                <w:szCs w:val="23"/>
                <w:lang w:val="fr-CA"/>
              </w:rPr>
              <w:t xml:space="preserve">e, 2019, </w:t>
            </w:r>
            <w:proofErr w:type="spellStart"/>
            <w:r w:rsidR="00304468" w:rsidRPr="00304468">
              <w:rPr>
                <w:rFonts w:ascii="Arial" w:eastAsia="Arial" w:hAnsi="Arial" w:cs="Arial"/>
                <w:szCs w:val="23"/>
                <w:lang w:val="fr-CA"/>
              </w:rPr>
              <w:t>ch</w:t>
            </w:r>
            <w:proofErr w:type="spellEnd"/>
            <w:r w:rsidR="00304468" w:rsidRPr="00304468">
              <w:rPr>
                <w:rFonts w:ascii="Arial" w:eastAsia="Arial" w:hAnsi="Arial" w:cs="Arial"/>
                <w:szCs w:val="23"/>
                <w:lang w:val="fr-CA"/>
              </w:rPr>
              <w:t xml:space="preserve"> 28, art 44]</w:t>
            </w:r>
          </w:p>
        </w:tc>
      </w:tr>
    </w:tbl>
    <w:p w14:paraId="033401D1" w14:textId="77777777" w:rsidR="000002CE" w:rsidRPr="00F52884" w:rsidRDefault="000002CE" w:rsidP="00E94578">
      <w:pPr>
        <w:rPr>
          <w:rFonts w:ascii="Arial" w:eastAsia="Arial" w:hAnsi="Arial" w:cs="Arial"/>
          <w:b/>
          <w:szCs w:val="23"/>
          <w:lang w:val="fr-CA"/>
        </w:rPr>
      </w:pPr>
    </w:p>
    <w:p w14:paraId="7D3668D8" w14:textId="77777777" w:rsidR="000002CE" w:rsidRPr="00F52884" w:rsidRDefault="000002CE" w:rsidP="00E94578">
      <w:pPr>
        <w:rPr>
          <w:rFonts w:ascii="Arial" w:eastAsia="Arial" w:hAnsi="Arial" w:cs="Arial"/>
          <w:b/>
          <w:szCs w:val="23"/>
          <w:lang w:val="fr-CA"/>
        </w:rPr>
      </w:pPr>
    </w:p>
    <w:p w14:paraId="2B610FF9" w14:textId="640EEE20" w:rsidR="000002CE" w:rsidRPr="00F52884" w:rsidRDefault="00E94578" w:rsidP="00974F4C">
      <w:pPr>
        <w:spacing w:before="60" w:after="60"/>
        <w:ind w:left="-360"/>
        <w:rPr>
          <w:rFonts w:ascii="Arial" w:eastAsia="Arial" w:hAnsi="Arial" w:cs="Arial"/>
          <w:b/>
          <w:szCs w:val="23"/>
        </w:rPr>
      </w:pPr>
      <w:r w:rsidRPr="00F52884">
        <w:rPr>
          <w:rFonts w:ascii="Arial" w:eastAsia="Arial" w:hAnsi="Arial" w:cs="Arial"/>
          <w:b/>
          <w:szCs w:val="23"/>
          <w:lang w:val="fr-CA"/>
        </w:rPr>
        <w:t xml:space="preserve">4.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4A71D5D8"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5AE846B" w14:textId="64FA9061"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531AE937" w14:textId="3A039C1F"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Transports</w:t>
            </w:r>
          </w:p>
        </w:tc>
      </w:tr>
      <w:tr w:rsidR="00974F4C" w:rsidRPr="00F52884" w14:paraId="1C14FF3E"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B051065" w14:textId="77777777" w:rsidR="00974F4C" w:rsidRPr="00F52884" w:rsidRDefault="00974F4C" w:rsidP="00974F4C">
            <w:pPr>
              <w:spacing w:before="60" w:after="60"/>
              <w:rPr>
                <w:rFonts w:ascii="Arial" w:eastAsia="Arial" w:hAnsi="Arial" w:cs="Arial"/>
                <w:szCs w:val="23"/>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0C25AAC5" w14:textId="2F0C7117" w:rsidR="00974F4C"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Transport maritime</w:t>
            </w:r>
          </w:p>
        </w:tc>
      </w:tr>
      <w:tr w:rsidR="00974F4C" w:rsidRPr="0068240F" w14:paraId="6088AC37" w14:textId="77777777" w:rsidTr="00974F4C">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6B9D16EA" w14:textId="77777777" w:rsidR="00974F4C" w:rsidRPr="00F52884" w:rsidRDefault="00974F4C" w:rsidP="00974F4C">
            <w:pPr>
              <w:spacing w:before="60" w:after="60"/>
              <w:ind w:left="28" w:hanging="28"/>
              <w:rPr>
                <w:rFonts w:ascii="Arial" w:eastAsia="Arial" w:hAnsi="Arial" w:cs="Arial"/>
                <w:szCs w:val="23"/>
                <w:lang w:val="fr-FR"/>
              </w:rPr>
            </w:pPr>
            <w:r w:rsidRPr="00F52884">
              <w:rPr>
                <w:rFonts w:ascii="Arial" w:eastAsia="Arial" w:hAnsi="Arial" w:cs="Arial"/>
                <w:b/>
                <w:bCs/>
                <w:szCs w:val="23"/>
                <w:lang w:val="fr-CA"/>
              </w:rPr>
              <w:t xml:space="preserve">Classification de l’industrie : </w:t>
            </w:r>
          </w:p>
        </w:tc>
        <w:tc>
          <w:tcPr>
            <w:tcW w:w="7853" w:type="dxa"/>
            <w:tcBorders>
              <w:top w:val="single" w:sz="4" w:space="0" w:color="C0C0C0"/>
              <w:left w:val="nil"/>
              <w:bottom w:val="single" w:sz="4" w:space="0" w:color="C0C0C0"/>
              <w:right w:val="single" w:sz="4" w:space="0" w:color="FFFFFF"/>
            </w:tcBorders>
            <w:vAlign w:val="center"/>
          </w:tcPr>
          <w:p w14:paraId="0B031C45" w14:textId="77777777" w:rsidR="00974F4C" w:rsidRPr="00F52884" w:rsidRDefault="00974F4C" w:rsidP="00974F4C">
            <w:pPr>
              <w:spacing w:before="60" w:after="60"/>
              <w:ind w:left="28" w:hanging="28"/>
              <w:rPr>
                <w:rFonts w:ascii="Arial" w:eastAsia="Arial" w:hAnsi="Arial" w:cs="Arial"/>
                <w:szCs w:val="23"/>
                <w:lang w:val="fr-FR"/>
              </w:rPr>
            </w:pPr>
            <w:r w:rsidRPr="00F52884">
              <w:rPr>
                <w:rFonts w:ascii="Arial" w:eastAsia="Arial" w:hAnsi="Arial" w:cs="Arial"/>
                <w:szCs w:val="23"/>
                <w:lang w:val="fr-CA"/>
              </w:rPr>
              <w:t>Travaux de construction pour voies navigables, ports, barrages et autres ouvrages hydrauliques; services de transports maritimes et services de transports par les voies navigables intérieures; services annexes et autres des transports par eau; et toute autre activité commerciale maritime menée par un navire ou depuis un navire.</w:t>
            </w:r>
          </w:p>
          <w:p w14:paraId="6D79463E" w14:textId="11604648" w:rsidR="00974F4C" w:rsidRPr="00F52884" w:rsidRDefault="00974F4C" w:rsidP="00974F4C">
            <w:pPr>
              <w:spacing w:before="60" w:after="60"/>
              <w:ind w:left="28" w:hanging="28"/>
              <w:rPr>
                <w:rFonts w:ascii="Arial" w:eastAsia="Arial" w:hAnsi="Arial" w:cs="Arial"/>
                <w:szCs w:val="23"/>
                <w:lang w:val="fr-FR"/>
              </w:rPr>
            </w:pPr>
            <w:r w:rsidRPr="00F52884">
              <w:rPr>
                <w:rFonts w:ascii="Arial" w:eastAsia="Arial" w:hAnsi="Arial" w:cs="Arial"/>
                <w:szCs w:val="23"/>
                <w:lang w:val="fr-CA"/>
              </w:rPr>
              <w:t>CPC 721, 722, 745, 5133, 5223, toute autre activité commerciale maritime menée par un navire ou à partir d’un navire</w:t>
            </w:r>
          </w:p>
        </w:tc>
      </w:tr>
      <w:tr w:rsidR="00974F4C" w:rsidRPr="0068240F" w14:paraId="19DB2D58" w14:textId="77777777" w:rsidTr="00974F4C">
        <w:trPr>
          <w:trHeight w:val="42"/>
          <w:jc w:val="center"/>
        </w:trPr>
        <w:tc>
          <w:tcPr>
            <w:tcW w:w="2250" w:type="dxa"/>
            <w:tcBorders>
              <w:top w:val="single" w:sz="4" w:space="0" w:color="C0C0C0"/>
              <w:left w:val="nil"/>
              <w:bottom w:val="single" w:sz="4" w:space="0" w:color="C0C0C0"/>
            </w:tcBorders>
          </w:tcPr>
          <w:p w14:paraId="30CB6159" w14:textId="1ACA1A45"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764395EA" w14:textId="70F97753"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szCs w:val="23"/>
                <w:lang w:val="fr-CA"/>
              </w:rPr>
              <w:t>Article 201 (Traitement non discriminatoire), article 307 (Accès aux marchés – Services), article 312 (Accès aux marchés – Investissement)</w:t>
            </w:r>
          </w:p>
        </w:tc>
      </w:tr>
      <w:tr w:rsidR="000002CE" w:rsidRPr="00F52884" w14:paraId="7B6FB41E"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8673BD9"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36FDF848"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075DDD43" w14:textId="2D638CDD" w:rsidR="000002CE" w:rsidRPr="00F52884" w:rsidRDefault="000002CE" w:rsidP="00974F4C">
            <w:pPr>
              <w:spacing w:before="60" w:after="60"/>
              <w:ind w:left="6"/>
              <w:rPr>
                <w:rFonts w:ascii="Arial" w:eastAsia="Arial" w:hAnsi="Arial" w:cs="Arial"/>
                <w:szCs w:val="23"/>
                <w:lang w:val="fr-FR"/>
              </w:rPr>
            </w:pPr>
            <w:r w:rsidRPr="00F52884">
              <w:rPr>
                <w:rFonts w:ascii="Arial" w:eastAsia="Arial" w:hAnsi="Arial" w:cs="Arial"/>
                <w:szCs w:val="23"/>
                <w:lang w:val="fr-CA"/>
              </w:rPr>
              <w:lastRenderedPageBreak/>
              <w:t>Le Canada se réserve le droit d’adopter ou de maintenir une mesure qui affecte la fourniture de services maritimes ou à l’investissement dans de tels services dans les eaux de compétence canadienne, l’efficacité et la compétitivité des activités maritimes commerciales, l’harmonisation des prescriptions dans les eaux limitrophes ou la gestion des actifs et des biens gouvernementaux.</w:t>
            </w:r>
          </w:p>
        </w:tc>
      </w:tr>
      <w:tr w:rsidR="000002CE" w:rsidRPr="0068240F" w14:paraId="27E2F52F"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82AAAB0" w14:textId="77777777" w:rsidR="000002CE" w:rsidRPr="00F52884" w:rsidRDefault="000002CE" w:rsidP="00974F4C">
            <w:pPr>
              <w:spacing w:before="60" w:after="60"/>
              <w:rPr>
                <w:rFonts w:ascii="Arial" w:eastAsia="Arial" w:hAnsi="Arial" w:cs="Arial"/>
                <w:caps/>
                <w:szCs w:val="23"/>
                <w:lang w:val="fr-CA"/>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r w:rsidRPr="00F52884">
              <w:rPr>
                <w:rStyle w:val="shorttext"/>
                <w:rFonts w:ascii="Arial" w:hAnsi="Arial" w:cs="Arial"/>
                <w:lang w:val="fr-FR"/>
              </w:rPr>
              <w:t>(Fourni à des fins illustratives)</w:t>
            </w:r>
          </w:p>
        </w:tc>
      </w:tr>
      <w:tr w:rsidR="000002CE" w:rsidRPr="0068240F" w14:paraId="0F32C0BF"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48E4DE58" w14:textId="600044FD" w:rsidR="000002CE" w:rsidRPr="00F52884" w:rsidRDefault="000002CE" w:rsidP="00974F4C">
            <w:pPr>
              <w:spacing w:before="60" w:after="60"/>
              <w:rPr>
                <w:rFonts w:ascii="Arial" w:eastAsia="Arial" w:hAnsi="Arial" w:cs="Arial"/>
                <w:szCs w:val="23"/>
                <w:lang w:val="fr-FR"/>
              </w:rPr>
            </w:pPr>
            <w:r w:rsidRPr="00F52884">
              <w:rPr>
                <w:rFonts w:ascii="Arial" w:eastAsia="Arial" w:hAnsi="Arial" w:cs="Arial"/>
                <w:i/>
                <w:iCs/>
                <w:szCs w:val="23"/>
                <w:lang w:val="fr-CA"/>
              </w:rPr>
              <w:t>Loi sur le cabotage</w:t>
            </w:r>
            <w:r w:rsidRPr="00F52884">
              <w:rPr>
                <w:rFonts w:ascii="Arial" w:eastAsia="Arial" w:hAnsi="Arial" w:cs="Arial"/>
                <w:szCs w:val="23"/>
                <w:lang w:val="fr-CA"/>
              </w:rPr>
              <w:t>, LC 1992, c 31</w:t>
            </w:r>
          </w:p>
        </w:tc>
      </w:tr>
    </w:tbl>
    <w:p w14:paraId="40803078" w14:textId="4185E792" w:rsidR="000002CE" w:rsidRPr="00F52884" w:rsidRDefault="000002CE" w:rsidP="00E94578">
      <w:pPr>
        <w:rPr>
          <w:rFonts w:ascii="Arial" w:eastAsia="Arial" w:hAnsi="Arial" w:cs="Arial"/>
          <w:szCs w:val="23"/>
          <w:lang w:val="fr-CA"/>
        </w:rPr>
      </w:pPr>
    </w:p>
    <w:p w14:paraId="4911AAAC" w14:textId="77777777" w:rsidR="000002CE" w:rsidRPr="00F52884" w:rsidRDefault="000002CE" w:rsidP="00E94578">
      <w:pPr>
        <w:rPr>
          <w:rFonts w:ascii="Arial" w:eastAsia="Arial" w:hAnsi="Arial" w:cs="Arial"/>
          <w:szCs w:val="23"/>
          <w:lang w:val="fr-CA"/>
        </w:rPr>
      </w:pPr>
    </w:p>
    <w:p w14:paraId="10D04117" w14:textId="1ACCE7E3" w:rsidR="000002CE" w:rsidRPr="00F52884" w:rsidRDefault="00974F4C" w:rsidP="00974F4C">
      <w:pPr>
        <w:spacing w:before="60" w:after="60"/>
        <w:ind w:left="-360"/>
        <w:rPr>
          <w:rFonts w:ascii="Arial" w:eastAsia="Arial" w:hAnsi="Arial" w:cs="Arial"/>
          <w:b/>
          <w:szCs w:val="23"/>
        </w:rPr>
      </w:pPr>
      <w:r w:rsidRPr="00F52884">
        <w:rPr>
          <w:rFonts w:ascii="Arial" w:eastAsia="Arial" w:hAnsi="Arial" w:cs="Arial"/>
          <w:b/>
          <w:szCs w:val="23"/>
          <w:lang w:val="fr-CA"/>
        </w:rPr>
        <w:t xml:space="preserve">5.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0FB02303"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05DCC80" w14:textId="4FA5A4D2"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497B065E" w14:textId="738BDD83"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Transports</w:t>
            </w:r>
          </w:p>
        </w:tc>
      </w:tr>
      <w:tr w:rsidR="00974F4C" w:rsidRPr="0068240F" w14:paraId="5A709831"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623F7AF4"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733BDBEA" w14:textId="72409EDB"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szCs w:val="23"/>
                <w:lang w:val="fr-CA"/>
              </w:rPr>
              <w:t xml:space="preserve">Services de transports ferroviaires de voyageurs et de marchandises  </w:t>
            </w:r>
          </w:p>
        </w:tc>
      </w:tr>
      <w:tr w:rsidR="000002CE" w:rsidRPr="00F52884" w14:paraId="4B2706F5" w14:textId="77777777" w:rsidTr="00974F4C">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2C8B7721" w14:textId="5B06446A" w:rsidR="000002CE" w:rsidRPr="00F52884" w:rsidRDefault="000002CE" w:rsidP="00974F4C">
            <w:pPr>
              <w:spacing w:before="60" w:after="60"/>
              <w:ind w:right="-110"/>
              <w:rPr>
                <w:rFonts w:ascii="Arial" w:eastAsia="Arial" w:hAnsi="Arial" w:cs="Arial"/>
                <w:b/>
                <w:szCs w:val="23"/>
              </w:rPr>
            </w:pPr>
            <w:r w:rsidRPr="00F52884">
              <w:rPr>
                <w:rFonts w:ascii="Arial" w:eastAsia="Arial" w:hAnsi="Arial" w:cs="Arial"/>
                <w:b/>
                <w:bCs/>
                <w:szCs w:val="23"/>
                <w:lang w:val="fr-CA"/>
              </w:rPr>
              <w:t xml:space="preserve">Classification de l’industrie : </w:t>
            </w:r>
          </w:p>
        </w:tc>
        <w:tc>
          <w:tcPr>
            <w:tcW w:w="7853" w:type="dxa"/>
            <w:tcBorders>
              <w:top w:val="single" w:sz="4" w:space="0" w:color="C0C0C0"/>
              <w:left w:val="single" w:sz="4" w:space="0" w:color="FFFFFF"/>
              <w:bottom w:val="single" w:sz="4" w:space="0" w:color="C0C0C0"/>
              <w:right w:val="nil"/>
            </w:tcBorders>
            <w:vAlign w:val="center"/>
          </w:tcPr>
          <w:p w14:paraId="7D65F2F8" w14:textId="5D122CE4" w:rsidR="000002CE" w:rsidRPr="00F52884" w:rsidRDefault="00974F4C" w:rsidP="00974F4C">
            <w:pPr>
              <w:spacing w:before="60" w:after="60"/>
              <w:ind w:left="28" w:hanging="28"/>
              <w:rPr>
                <w:rFonts w:ascii="Arial" w:eastAsia="Arial" w:hAnsi="Arial" w:cs="Arial"/>
                <w:szCs w:val="23"/>
              </w:rPr>
            </w:pPr>
            <w:r w:rsidRPr="00F52884">
              <w:rPr>
                <w:rFonts w:ascii="Arial" w:eastAsia="Arial" w:hAnsi="Arial" w:cs="Arial"/>
                <w:szCs w:val="23"/>
                <w:lang w:val="fr-CA"/>
              </w:rPr>
              <w:t>CPC 7111, 7112</w:t>
            </w:r>
          </w:p>
        </w:tc>
      </w:tr>
      <w:tr w:rsidR="00974F4C" w:rsidRPr="0068240F" w14:paraId="2540D7E1" w14:textId="77777777" w:rsidTr="00974F4C">
        <w:trPr>
          <w:trHeight w:val="42"/>
          <w:jc w:val="center"/>
        </w:trPr>
        <w:tc>
          <w:tcPr>
            <w:tcW w:w="2250" w:type="dxa"/>
            <w:tcBorders>
              <w:top w:val="single" w:sz="4" w:space="0" w:color="C0C0C0"/>
              <w:left w:val="nil"/>
              <w:bottom w:val="single" w:sz="4" w:space="0" w:color="C0C0C0"/>
            </w:tcBorders>
          </w:tcPr>
          <w:p w14:paraId="358C2020" w14:textId="0563902E"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3342D061" w14:textId="0D1AB475"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szCs w:val="23"/>
                <w:lang w:val="fr-CA"/>
              </w:rPr>
              <w:t>Article 201 (Traitement non discriminatoire), article 307 (Accès aux marchés – Services), article 312 (Accès aux marchés – Investissement)</w:t>
            </w:r>
          </w:p>
        </w:tc>
      </w:tr>
      <w:tr w:rsidR="000002CE" w:rsidRPr="00F52884" w14:paraId="6B5D0544"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3A6A6E2"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2F99AF5B"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12966B29" w14:textId="3D1C0541" w:rsidR="000002CE" w:rsidRPr="00F52884" w:rsidRDefault="000002CE" w:rsidP="00974F4C">
            <w:pPr>
              <w:spacing w:before="120" w:after="120"/>
              <w:ind w:left="6"/>
              <w:rPr>
                <w:rFonts w:ascii="Arial" w:eastAsia="Arial" w:hAnsi="Arial" w:cs="Arial"/>
                <w:szCs w:val="23"/>
                <w:lang w:val="fr-FR"/>
              </w:rPr>
            </w:pPr>
            <w:r w:rsidRPr="00F52884">
              <w:rPr>
                <w:rFonts w:ascii="Arial" w:eastAsia="Arial" w:hAnsi="Arial" w:cs="Arial"/>
                <w:szCs w:val="23"/>
                <w:lang w:val="fr-CA"/>
              </w:rPr>
              <w:t>Le Canada se réserve le droit d’adopter ou de maintenir des mesures pouvant entraîner un service de transport ferroviaire de passagers de différents niveaux entre les régions du Canada, fondé sur des facteurs comme la demande de passagers et la nécessité de fournir le service aux collectivités éloignées.</w:t>
            </w:r>
            <w:r w:rsidRPr="00F52884">
              <w:rPr>
                <w:rFonts w:ascii="Arial" w:eastAsia="Arial" w:hAnsi="Arial" w:cs="Arial"/>
                <w:szCs w:val="23"/>
                <w:lang w:val="fr-CA"/>
              </w:rPr>
              <w:br/>
              <w:t>Afin d’assurer une exploitation intégrée et concurrentielle du système national de transport ferroviaire de marchandises, le Canada peut adopter ou maintenir des mesures relatives aux services de transport ferroviaire de marchandises.</w:t>
            </w:r>
          </w:p>
        </w:tc>
      </w:tr>
      <w:tr w:rsidR="000002CE" w:rsidRPr="0068240F" w14:paraId="4559672A"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5E8F706" w14:textId="77777777" w:rsidR="000002CE" w:rsidRPr="00F52884" w:rsidRDefault="000002CE" w:rsidP="00974F4C">
            <w:pPr>
              <w:spacing w:before="60" w:after="60"/>
              <w:rPr>
                <w:rFonts w:ascii="Arial" w:eastAsia="Arial" w:hAnsi="Arial" w:cs="Arial"/>
                <w:caps/>
                <w:szCs w:val="23"/>
                <w:lang w:val="fr-CA"/>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r w:rsidRPr="00F52884">
              <w:rPr>
                <w:rStyle w:val="shorttext"/>
                <w:rFonts w:ascii="Arial" w:hAnsi="Arial" w:cs="Arial"/>
                <w:lang w:val="fr-FR"/>
              </w:rPr>
              <w:t>(Fourni à des fins illustratives)</w:t>
            </w:r>
          </w:p>
        </w:tc>
      </w:tr>
      <w:tr w:rsidR="000002CE" w:rsidRPr="0068240F" w14:paraId="3D81CFFF"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11D782C3" w14:textId="3DF5F027" w:rsidR="000002CE" w:rsidRPr="00F52884" w:rsidRDefault="000002CE" w:rsidP="00974F4C">
            <w:pPr>
              <w:spacing w:before="120" w:after="120"/>
              <w:ind w:left="6"/>
              <w:rPr>
                <w:rFonts w:ascii="Arial" w:eastAsia="Arial" w:hAnsi="Arial" w:cs="Arial"/>
                <w:bCs/>
                <w:szCs w:val="23"/>
                <w:lang w:val="fr-FR"/>
              </w:rPr>
            </w:pPr>
            <w:r w:rsidRPr="00F52884">
              <w:rPr>
                <w:rFonts w:ascii="Arial" w:eastAsia="Arial" w:hAnsi="Arial" w:cs="Arial"/>
                <w:i/>
                <w:iCs/>
                <w:szCs w:val="23"/>
                <w:lang w:val="fr-CA"/>
              </w:rPr>
              <w:t>Loi sur la gestion des finances publiques</w:t>
            </w:r>
            <w:r w:rsidRPr="00F52884">
              <w:rPr>
                <w:rFonts w:ascii="Arial" w:eastAsia="Arial" w:hAnsi="Arial" w:cs="Arial"/>
                <w:szCs w:val="23"/>
                <w:lang w:val="fr-CA"/>
              </w:rPr>
              <w:t>, LRC 1985, c F-11 et tel que cela est énoncé dans la description</w:t>
            </w:r>
          </w:p>
          <w:p w14:paraId="13C037C7" w14:textId="7D820FEF" w:rsidR="000002CE" w:rsidRPr="00F52884" w:rsidRDefault="000002CE" w:rsidP="00974F4C">
            <w:pPr>
              <w:spacing w:before="120" w:after="120"/>
              <w:ind w:left="6"/>
              <w:rPr>
                <w:rFonts w:ascii="Arial" w:eastAsia="Arial" w:hAnsi="Arial" w:cs="Arial"/>
                <w:bCs/>
                <w:szCs w:val="23"/>
                <w:lang w:val="fr-FR"/>
              </w:rPr>
            </w:pPr>
            <w:r w:rsidRPr="00F52884">
              <w:rPr>
                <w:rFonts w:ascii="Arial" w:eastAsia="Arial" w:hAnsi="Arial" w:cs="Arial"/>
                <w:i/>
                <w:iCs/>
                <w:szCs w:val="23"/>
                <w:lang w:val="fr-CA"/>
              </w:rPr>
              <w:t>Loi sur les transports au Canada</w:t>
            </w:r>
            <w:r w:rsidRPr="00F52884">
              <w:rPr>
                <w:rFonts w:ascii="Arial" w:eastAsia="Arial" w:hAnsi="Arial" w:cs="Arial"/>
                <w:szCs w:val="23"/>
                <w:lang w:val="fr-CA"/>
              </w:rPr>
              <w:t>, LC 1996, c 10</w:t>
            </w:r>
          </w:p>
          <w:p w14:paraId="502884F7" w14:textId="01AA3259" w:rsidR="000002CE" w:rsidRPr="00F52884" w:rsidRDefault="000002CE" w:rsidP="00974F4C">
            <w:pPr>
              <w:spacing w:before="120" w:after="120"/>
              <w:ind w:left="6"/>
              <w:rPr>
                <w:rFonts w:ascii="Arial" w:eastAsia="Arial" w:hAnsi="Arial" w:cs="Arial"/>
                <w:bCs/>
                <w:szCs w:val="23"/>
                <w:lang w:val="fr-FR"/>
              </w:rPr>
            </w:pPr>
            <w:r w:rsidRPr="00F52884">
              <w:rPr>
                <w:rFonts w:ascii="Arial" w:eastAsia="Arial" w:hAnsi="Arial" w:cs="Arial"/>
                <w:i/>
                <w:iCs/>
                <w:szCs w:val="23"/>
                <w:lang w:val="fr-CA"/>
              </w:rPr>
              <w:t xml:space="preserve">Règlement sur l’interconnexion du trafic ferroviaire </w:t>
            </w:r>
            <w:r w:rsidRPr="00F52884">
              <w:rPr>
                <w:rFonts w:ascii="Arial" w:eastAsia="Arial" w:hAnsi="Arial" w:cs="Arial"/>
                <w:szCs w:val="23"/>
                <w:lang w:val="fr-CA"/>
              </w:rPr>
              <w:t>DORS/88-41</w:t>
            </w:r>
          </w:p>
        </w:tc>
      </w:tr>
    </w:tbl>
    <w:p w14:paraId="22A232CE" w14:textId="465E9F0E" w:rsidR="000002CE" w:rsidRPr="00F52884" w:rsidRDefault="000002CE" w:rsidP="00E94578">
      <w:pPr>
        <w:rPr>
          <w:rFonts w:ascii="Arial" w:eastAsia="Arial" w:hAnsi="Arial" w:cs="Arial"/>
          <w:szCs w:val="23"/>
          <w:lang w:val="fr-CA"/>
        </w:rPr>
      </w:pPr>
    </w:p>
    <w:p w14:paraId="3708A3DE" w14:textId="77777777" w:rsidR="000002CE" w:rsidRPr="00F52884" w:rsidRDefault="000002CE" w:rsidP="00E94578">
      <w:pPr>
        <w:rPr>
          <w:rFonts w:ascii="Arial" w:eastAsia="Arial" w:hAnsi="Arial" w:cs="Arial"/>
          <w:szCs w:val="23"/>
          <w:lang w:val="fr-CA"/>
        </w:rPr>
      </w:pPr>
    </w:p>
    <w:p w14:paraId="4383CF32" w14:textId="6C7D2AC8" w:rsidR="000002CE" w:rsidRPr="00F52884" w:rsidRDefault="00974F4C" w:rsidP="00974F4C">
      <w:pPr>
        <w:spacing w:before="60" w:after="60"/>
        <w:ind w:left="-360"/>
        <w:rPr>
          <w:rFonts w:ascii="Arial" w:eastAsia="Arial" w:hAnsi="Arial" w:cs="Arial"/>
          <w:b/>
          <w:szCs w:val="23"/>
        </w:rPr>
      </w:pPr>
      <w:r w:rsidRPr="00F52884">
        <w:rPr>
          <w:rFonts w:ascii="Arial" w:eastAsia="Arial" w:hAnsi="Arial" w:cs="Arial"/>
          <w:b/>
          <w:szCs w:val="23"/>
          <w:lang w:val="fr-CA"/>
        </w:rPr>
        <w:t xml:space="preserve">6.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974F4C" w:rsidRPr="00F52884" w14:paraId="374AB422"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A67247A" w14:textId="77777777" w:rsidR="00974F4C" w:rsidRPr="00F52884" w:rsidRDefault="00974F4C" w:rsidP="00974F4C">
            <w:pPr>
              <w:spacing w:before="60" w:after="60"/>
              <w:rPr>
                <w:rFonts w:ascii="Arial" w:eastAsia="Arial" w:hAnsi="Arial" w:cs="Arial"/>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nil"/>
              <w:bottom w:val="single" w:sz="4" w:space="0" w:color="C0C0C0"/>
              <w:right w:val="single" w:sz="4" w:space="0" w:color="FFFFFF"/>
            </w:tcBorders>
            <w:vAlign w:val="center"/>
          </w:tcPr>
          <w:p w14:paraId="32B07A25" w14:textId="637385A0" w:rsidR="00974F4C"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Transports</w:t>
            </w:r>
          </w:p>
        </w:tc>
      </w:tr>
      <w:tr w:rsidR="00974F4C" w:rsidRPr="0068240F" w14:paraId="2253920D" w14:textId="77777777" w:rsidTr="00974F4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FE61A14"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638789FF"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szCs w:val="23"/>
                <w:lang w:val="fr-CA"/>
              </w:rPr>
              <w:t>Tous les sous-secteurs des services de transports autres que les suivants :</w:t>
            </w:r>
          </w:p>
          <w:p w14:paraId="61C5F6AB" w14:textId="795A30CF"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 dépôt et d’entreposage des conteneurs maritimes</w:t>
            </w:r>
          </w:p>
          <w:p w14:paraId="0294E1B4" w14:textId="140F630C"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d’agence maritime</w:t>
            </w:r>
          </w:p>
          <w:p w14:paraId="24A3793B" w14:textId="2D578D51"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d’expédition de fret maritime</w:t>
            </w:r>
          </w:p>
          <w:p w14:paraId="2E6E80D0" w14:textId="12D51A9F"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 réparation et de maintenance des aéronefs</w:t>
            </w:r>
          </w:p>
          <w:p w14:paraId="605074C4" w14:textId="146AF019"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lastRenderedPageBreak/>
              <w:t>systèmes</w:t>
            </w:r>
            <w:proofErr w:type="gramEnd"/>
            <w:r w:rsidRPr="00F52884">
              <w:rPr>
                <w:rFonts w:ascii="Arial" w:eastAsia="Arial" w:hAnsi="Arial" w:cs="Arial"/>
                <w:szCs w:val="23"/>
                <w:lang w:val="fr-CA"/>
              </w:rPr>
              <w:t xml:space="preserve"> informatisés de réservation</w:t>
            </w:r>
          </w:p>
          <w:p w14:paraId="099C6ECE" w14:textId="6589BA9C"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 transports ferroviaires de voyageurs et de marchandises</w:t>
            </w:r>
          </w:p>
          <w:p w14:paraId="51538204" w14:textId="6FC8D01B"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maintenance</w:t>
            </w:r>
            <w:proofErr w:type="gramEnd"/>
            <w:r w:rsidRPr="00F52884">
              <w:rPr>
                <w:rFonts w:ascii="Arial" w:eastAsia="Arial" w:hAnsi="Arial" w:cs="Arial"/>
                <w:szCs w:val="23"/>
                <w:lang w:val="fr-CA"/>
              </w:rPr>
              <w:t xml:space="preserve"> et réparation de matériel de transports ferroviaires</w:t>
            </w:r>
          </w:p>
          <w:p w14:paraId="0BAFC19A" w14:textId="05E4890F"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 réparation </w:t>
            </w:r>
            <w:proofErr w:type="spellStart"/>
            <w:r w:rsidRPr="00F52884">
              <w:rPr>
                <w:rFonts w:ascii="Arial" w:eastAsia="Arial" w:hAnsi="Arial" w:cs="Arial"/>
                <w:szCs w:val="23"/>
                <w:lang w:val="fr-CA"/>
              </w:rPr>
              <w:t>n.c.a</w:t>
            </w:r>
            <w:proofErr w:type="spellEnd"/>
            <w:r w:rsidRPr="00F52884">
              <w:rPr>
                <w:rFonts w:ascii="Arial" w:eastAsia="Arial" w:hAnsi="Arial" w:cs="Arial"/>
                <w:szCs w:val="23"/>
                <w:lang w:val="fr-CA"/>
              </w:rPr>
              <w:t>. de véhicules automobiles, remorques et semi-remorques, à forfait ou sous contrat</w:t>
            </w:r>
          </w:p>
          <w:p w14:paraId="70A2E4DE" w14:textId="2B6AB1A2"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d’entretien et de réparation de véhicules automobiles </w:t>
            </w:r>
          </w:p>
          <w:p w14:paraId="34331422" w14:textId="372D5BA2"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d’entretien et de réparation de motocycles et motoneiges</w:t>
            </w:r>
          </w:p>
          <w:p w14:paraId="26981D04" w14:textId="62213023" w:rsidR="00974F4C" w:rsidRPr="00F52884" w:rsidRDefault="00974F4C" w:rsidP="00974F4C">
            <w:pPr>
              <w:spacing w:before="60" w:after="60"/>
              <w:ind w:left="292"/>
              <w:rPr>
                <w:rFonts w:ascii="Arial" w:eastAsia="Arial" w:hAnsi="Arial" w:cs="Arial"/>
                <w:szCs w:val="23"/>
                <w:lang w:val="fr-CA"/>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 manutention pour les transports terrestres</w:t>
            </w:r>
          </w:p>
          <w:p w14:paraId="349DF2ED" w14:textId="2E40AA33" w:rsidR="00974F4C" w:rsidRPr="00F52884" w:rsidRDefault="00974F4C" w:rsidP="00974F4C">
            <w:pPr>
              <w:spacing w:before="60" w:after="60"/>
              <w:ind w:left="292"/>
              <w:rPr>
                <w:rFonts w:ascii="Arial" w:eastAsia="Arial" w:hAnsi="Arial" w:cs="Arial"/>
                <w:szCs w:val="23"/>
                <w:lang w:val="fr-CA"/>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d’entreposage pour les transports terrestres</w:t>
            </w:r>
          </w:p>
          <w:p w14:paraId="2A7D4B16" w14:textId="01CE2732" w:rsidR="00974F4C" w:rsidRPr="00F52884" w:rsidRDefault="00974F4C" w:rsidP="00974F4C">
            <w:pPr>
              <w:spacing w:before="60" w:after="60"/>
              <w:ind w:left="292"/>
              <w:rPr>
                <w:rFonts w:ascii="Arial" w:eastAsia="Arial" w:hAnsi="Arial" w:cs="Arial"/>
                <w:szCs w:val="23"/>
                <w:lang w:val="fr-CA"/>
              </w:rPr>
            </w:pPr>
            <w:proofErr w:type="gramStart"/>
            <w:r w:rsidRPr="00F52884">
              <w:rPr>
                <w:rFonts w:ascii="Arial" w:eastAsia="Arial" w:hAnsi="Arial" w:cs="Arial"/>
                <w:szCs w:val="23"/>
                <w:lang w:val="fr-CA"/>
              </w:rPr>
              <w:t>services</w:t>
            </w:r>
            <w:proofErr w:type="gramEnd"/>
            <w:r w:rsidRPr="00F52884">
              <w:rPr>
                <w:rFonts w:ascii="Arial" w:eastAsia="Arial" w:hAnsi="Arial" w:cs="Arial"/>
                <w:szCs w:val="23"/>
                <w:lang w:val="fr-CA"/>
              </w:rPr>
              <w:t xml:space="preserve"> d’agences de transports de marchandises pour les transports terrestres</w:t>
            </w:r>
          </w:p>
          <w:p w14:paraId="2CCF288E" w14:textId="5CC25346" w:rsidR="00974F4C" w:rsidRPr="00F52884" w:rsidRDefault="00974F4C" w:rsidP="00974F4C">
            <w:pPr>
              <w:spacing w:before="60" w:after="60"/>
              <w:ind w:left="292"/>
              <w:rPr>
                <w:rFonts w:ascii="Arial" w:eastAsia="Arial" w:hAnsi="Arial" w:cs="Arial"/>
                <w:szCs w:val="23"/>
                <w:lang w:val="fr-FR"/>
              </w:rPr>
            </w:pPr>
            <w:proofErr w:type="gramStart"/>
            <w:r w:rsidRPr="00F52884">
              <w:rPr>
                <w:rFonts w:ascii="Arial" w:eastAsia="Arial" w:hAnsi="Arial" w:cs="Arial"/>
                <w:szCs w:val="23"/>
                <w:lang w:val="fr-CA"/>
              </w:rPr>
              <w:t>autres</w:t>
            </w:r>
            <w:proofErr w:type="gramEnd"/>
            <w:r w:rsidRPr="00F52884">
              <w:rPr>
                <w:rFonts w:ascii="Arial" w:eastAsia="Arial" w:hAnsi="Arial" w:cs="Arial"/>
                <w:szCs w:val="23"/>
                <w:lang w:val="fr-CA"/>
              </w:rPr>
              <w:t xml:space="preserve"> services annexes et auxiliaires des transports pour les transports terrestres</w:t>
            </w:r>
          </w:p>
        </w:tc>
      </w:tr>
      <w:tr w:rsidR="00F52884" w:rsidRPr="0068240F" w14:paraId="6E3544EB" w14:textId="77777777" w:rsidTr="00974F4C">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F80A9FB" w14:textId="77777777" w:rsidR="00974F4C" w:rsidRPr="00F52884" w:rsidRDefault="00974F4C" w:rsidP="00974F4C">
            <w:pPr>
              <w:spacing w:before="60" w:after="60"/>
              <w:ind w:left="28" w:hanging="28"/>
              <w:rPr>
                <w:rFonts w:ascii="Arial" w:eastAsia="Arial" w:hAnsi="Arial" w:cs="Arial"/>
                <w:szCs w:val="23"/>
                <w:lang w:val="fr-FR"/>
              </w:rPr>
            </w:pPr>
            <w:r w:rsidRPr="00F52884">
              <w:rPr>
                <w:rFonts w:ascii="Arial" w:eastAsia="Arial" w:hAnsi="Arial" w:cs="Arial"/>
                <w:b/>
                <w:bCs/>
                <w:szCs w:val="23"/>
                <w:lang w:val="fr-CA"/>
              </w:rPr>
              <w:lastRenderedPageBreak/>
              <w:t xml:space="preserve">Classification de l’industrie : </w:t>
            </w:r>
          </w:p>
        </w:tc>
        <w:tc>
          <w:tcPr>
            <w:tcW w:w="7853" w:type="dxa"/>
            <w:tcBorders>
              <w:top w:val="single" w:sz="4" w:space="0" w:color="C0C0C0"/>
              <w:left w:val="nil"/>
              <w:bottom w:val="single" w:sz="4" w:space="0" w:color="C0C0C0"/>
              <w:right w:val="single" w:sz="4" w:space="0" w:color="FFFFFF"/>
            </w:tcBorders>
            <w:vAlign w:val="center"/>
          </w:tcPr>
          <w:p w14:paraId="5EA8DF7D" w14:textId="77777777" w:rsidR="00974F4C" w:rsidRPr="00F52884" w:rsidRDefault="00974F4C" w:rsidP="00974F4C">
            <w:pPr>
              <w:spacing w:before="60" w:after="60"/>
              <w:ind w:left="28" w:hanging="28"/>
              <w:rPr>
                <w:rFonts w:ascii="Arial" w:eastAsia="Arial" w:hAnsi="Arial" w:cs="Arial"/>
                <w:szCs w:val="23"/>
                <w:lang w:val="fr-FR"/>
              </w:rPr>
            </w:pPr>
            <w:r w:rsidRPr="00F52884">
              <w:rPr>
                <w:rFonts w:ascii="Arial" w:eastAsia="Arial" w:hAnsi="Arial" w:cs="Arial"/>
                <w:szCs w:val="23"/>
                <w:lang w:val="fr-CA"/>
              </w:rPr>
              <w:t>Tout CPC 07, CPC 51, CPC 61, CPC 886, ainsi que toute autre activité commerciale menée par un navire, un aéronef, un véhicule automobile ou du matériel de transports ferroviaires, ou liée à ces derniers, autre que :</w:t>
            </w:r>
          </w:p>
          <w:p w14:paraId="0F92B3C0" w14:textId="77777777" w:rsidR="00974F4C" w:rsidRPr="00F52884" w:rsidRDefault="00974F4C" w:rsidP="00F52884">
            <w:pPr>
              <w:spacing w:before="60" w:after="60"/>
              <w:ind w:left="28"/>
              <w:rPr>
                <w:rFonts w:ascii="Arial" w:eastAsia="Arial" w:hAnsi="Arial" w:cs="Arial"/>
                <w:szCs w:val="23"/>
                <w:lang w:val="fr-CA"/>
              </w:rPr>
            </w:pPr>
            <w:r w:rsidRPr="00F52884">
              <w:rPr>
                <w:rFonts w:ascii="Arial" w:eastAsia="Arial" w:hAnsi="Arial" w:cs="Arial"/>
                <w:szCs w:val="23"/>
                <w:lang w:val="fr-CA"/>
              </w:rPr>
              <w:t>CPC 6112</w:t>
            </w:r>
          </w:p>
          <w:p w14:paraId="0A069176" w14:textId="77777777" w:rsidR="00974F4C" w:rsidRPr="00F52884" w:rsidRDefault="00974F4C" w:rsidP="00F52884">
            <w:pPr>
              <w:spacing w:before="60" w:after="60"/>
              <w:ind w:left="28"/>
              <w:rPr>
                <w:rFonts w:ascii="Arial" w:eastAsia="Arial" w:hAnsi="Arial" w:cs="Arial"/>
                <w:szCs w:val="23"/>
                <w:lang w:val="fr-CA"/>
              </w:rPr>
            </w:pPr>
            <w:r w:rsidRPr="00F52884">
              <w:rPr>
                <w:rFonts w:ascii="Arial" w:eastAsia="Arial" w:hAnsi="Arial" w:cs="Arial"/>
                <w:szCs w:val="23"/>
                <w:lang w:val="fr-CA"/>
              </w:rPr>
              <w:t>CPC 6122</w:t>
            </w:r>
          </w:p>
          <w:p w14:paraId="390724FF" w14:textId="77777777" w:rsidR="00974F4C" w:rsidRPr="00F52884" w:rsidRDefault="00974F4C" w:rsidP="00F52884">
            <w:pPr>
              <w:spacing w:before="60" w:after="60"/>
              <w:ind w:left="28"/>
              <w:rPr>
                <w:rFonts w:ascii="Arial" w:eastAsia="Arial" w:hAnsi="Arial" w:cs="Arial"/>
                <w:szCs w:val="23"/>
                <w:lang w:val="fr-CA"/>
              </w:rPr>
            </w:pPr>
            <w:r w:rsidRPr="00F52884">
              <w:rPr>
                <w:rFonts w:ascii="Arial" w:eastAsia="Arial" w:hAnsi="Arial" w:cs="Arial"/>
                <w:szCs w:val="23"/>
                <w:lang w:val="fr-CA"/>
              </w:rPr>
              <w:t>CPC 7111</w:t>
            </w:r>
          </w:p>
          <w:p w14:paraId="62232F43" w14:textId="77777777" w:rsidR="00974F4C" w:rsidRPr="00F52884" w:rsidRDefault="00974F4C" w:rsidP="00F52884">
            <w:pPr>
              <w:spacing w:before="60" w:after="60"/>
              <w:ind w:left="28"/>
              <w:rPr>
                <w:rFonts w:ascii="Arial" w:eastAsia="Arial" w:hAnsi="Arial" w:cs="Arial"/>
                <w:szCs w:val="23"/>
                <w:lang w:val="fr-CA"/>
              </w:rPr>
            </w:pPr>
            <w:r w:rsidRPr="00F52884">
              <w:rPr>
                <w:rFonts w:ascii="Arial" w:eastAsia="Arial" w:hAnsi="Arial" w:cs="Arial"/>
                <w:szCs w:val="23"/>
                <w:lang w:val="fr-CA"/>
              </w:rPr>
              <w:t>CPC 7112</w:t>
            </w:r>
          </w:p>
          <w:p w14:paraId="7AD91B5E" w14:textId="77777777" w:rsidR="00974F4C" w:rsidRPr="00F52884" w:rsidRDefault="00974F4C" w:rsidP="00F52884">
            <w:pPr>
              <w:spacing w:before="60" w:after="60"/>
              <w:ind w:left="28"/>
              <w:rPr>
                <w:rFonts w:ascii="Arial" w:eastAsia="Arial" w:hAnsi="Arial" w:cs="Arial"/>
                <w:szCs w:val="23"/>
                <w:lang w:val="fr-FR"/>
              </w:rPr>
            </w:pPr>
            <w:r w:rsidRPr="00F52884">
              <w:rPr>
                <w:rFonts w:ascii="Arial" w:eastAsia="Arial" w:hAnsi="Arial" w:cs="Arial"/>
                <w:szCs w:val="23"/>
                <w:lang w:val="fr-CA"/>
              </w:rPr>
              <w:t>CPC 741 (services de transports terrestres seulement)</w:t>
            </w:r>
          </w:p>
          <w:p w14:paraId="75FBD2EA" w14:textId="77777777" w:rsidR="00974F4C" w:rsidRPr="00F52884" w:rsidRDefault="00974F4C" w:rsidP="00F52884">
            <w:pPr>
              <w:spacing w:before="60" w:after="60"/>
              <w:ind w:left="28"/>
              <w:rPr>
                <w:rFonts w:ascii="Arial" w:eastAsia="Arial" w:hAnsi="Arial" w:cs="Arial"/>
                <w:szCs w:val="23"/>
                <w:lang w:val="fr-FR"/>
              </w:rPr>
            </w:pPr>
            <w:r w:rsidRPr="00F52884">
              <w:rPr>
                <w:rFonts w:ascii="Arial" w:eastAsia="Arial" w:hAnsi="Arial" w:cs="Arial"/>
                <w:szCs w:val="23"/>
                <w:lang w:val="fr-CA"/>
              </w:rPr>
              <w:t>CPC 742 (services de transports terrestres seulement)</w:t>
            </w:r>
          </w:p>
          <w:p w14:paraId="58D75F41" w14:textId="77777777" w:rsidR="00974F4C" w:rsidRPr="00F52884" w:rsidRDefault="00974F4C" w:rsidP="00F52884">
            <w:pPr>
              <w:spacing w:before="60" w:after="60"/>
              <w:ind w:left="28"/>
              <w:rPr>
                <w:rFonts w:ascii="Arial" w:eastAsia="Arial" w:hAnsi="Arial" w:cs="Arial"/>
                <w:szCs w:val="23"/>
                <w:lang w:val="fr-FR"/>
              </w:rPr>
            </w:pPr>
            <w:r w:rsidRPr="00F52884">
              <w:rPr>
                <w:rFonts w:ascii="Arial" w:eastAsia="Arial" w:hAnsi="Arial" w:cs="Arial"/>
                <w:szCs w:val="23"/>
                <w:lang w:val="fr-CA"/>
              </w:rPr>
              <w:t>CPC 7480 (services de transports terrestres seulement)</w:t>
            </w:r>
          </w:p>
          <w:p w14:paraId="596E3161" w14:textId="77777777" w:rsidR="00974F4C" w:rsidRPr="00F52884" w:rsidRDefault="00974F4C" w:rsidP="00F52884">
            <w:pPr>
              <w:spacing w:before="60" w:after="60"/>
              <w:ind w:left="28"/>
              <w:rPr>
                <w:rFonts w:ascii="Arial" w:eastAsia="Arial" w:hAnsi="Arial" w:cs="Arial"/>
                <w:szCs w:val="23"/>
                <w:lang w:val="fr-FR"/>
              </w:rPr>
            </w:pPr>
            <w:r w:rsidRPr="00F52884">
              <w:rPr>
                <w:rFonts w:ascii="Arial" w:eastAsia="Arial" w:hAnsi="Arial" w:cs="Arial"/>
                <w:szCs w:val="23"/>
                <w:lang w:val="fr-CA"/>
              </w:rPr>
              <w:t>CPC 7490 (services de transports terrestres seulement)</w:t>
            </w:r>
          </w:p>
          <w:p w14:paraId="73693E3C" w14:textId="77777777" w:rsidR="00974F4C" w:rsidRPr="00F52884" w:rsidRDefault="00974F4C" w:rsidP="00F52884">
            <w:pPr>
              <w:spacing w:before="60" w:after="60"/>
              <w:ind w:left="28"/>
              <w:rPr>
                <w:rFonts w:ascii="Arial" w:eastAsia="Arial" w:hAnsi="Arial" w:cs="Arial"/>
                <w:szCs w:val="23"/>
                <w:lang w:val="fr-CA"/>
              </w:rPr>
            </w:pPr>
            <w:r w:rsidRPr="00F52884">
              <w:rPr>
                <w:rFonts w:ascii="Arial" w:eastAsia="Arial" w:hAnsi="Arial" w:cs="Arial"/>
                <w:szCs w:val="23"/>
                <w:lang w:val="fr-CA"/>
              </w:rPr>
              <w:t>CPC 8867</w:t>
            </w:r>
          </w:p>
          <w:p w14:paraId="16AC61EB" w14:textId="2785887F" w:rsidR="00974F4C" w:rsidRPr="00F52884" w:rsidRDefault="00974F4C" w:rsidP="00F52884">
            <w:pPr>
              <w:spacing w:before="60" w:after="60"/>
              <w:ind w:left="28"/>
              <w:contextualSpacing/>
              <w:rPr>
                <w:rFonts w:ascii="Arial" w:eastAsia="Arial" w:hAnsi="Arial" w:cs="Arial"/>
                <w:szCs w:val="23"/>
                <w:lang w:val="fr-FR"/>
              </w:rPr>
            </w:pPr>
            <w:r w:rsidRPr="00F52884">
              <w:rPr>
                <w:rFonts w:ascii="Arial" w:eastAsia="Arial" w:hAnsi="Arial" w:cs="Arial"/>
                <w:szCs w:val="23"/>
                <w:lang w:val="fr-CA"/>
              </w:rPr>
              <w:t>CPC 8868 (matériel de transports ferroviaires seulement)</w:t>
            </w:r>
          </w:p>
        </w:tc>
      </w:tr>
      <w:tr w:rsidR="00974F4C" w:rsidRPr="0068240F" w14:paraId="369B88FB" w14:textId="77777777" w:rsidTr="00974F4C">
        <w:trPr>
          <w:trHeight w:val="42"/>
          <w:jc w:val="center"/>
        </w:trPr>
        <w:tc>
          <w:tcPr>
            <w:tcW w:w="2250" w:type="dxa"/>
            <w:tcBorders>
              <w:top w:val="single" w:sz="4" w:space="0" w:color="C0C0C0"/>
              <w:left w:val="nil"/>
              <w:bottom w:val="single" w:sz="4" w:space="0" w:color="C0C0C0"/>
            </w:tcBorders>
          </w:tcPr>
          <w:p w14:paraId="14F67239" w14:textId="2601816C"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0CA1CF54" w14:textId="1CBB9789"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szCs w:val="23"/>
                <w:lang w:val="fr-CA"/>
              </w:rPr>
              <w:t>Article 307 (Accès aux marchés – Services), article 312 (Accès aux marchés – Investissement)</w:t>
            </w:r>
          </w:p>
        </w:tc>
      </w:tr>
      <w:tr w:rsidR="000002CE" w:rsidRPr="00F52884" w14:paraId="24B564D0"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7E2D942"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57D6271A"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DE93D01" w14:textId="77777777" w:rsidR="000002CE" w:rsidRPr="00F52884" w:rsidRDefault="000002CE" w:rsidP="00FA2285">
            <w:pPr>
              <w:spacing w:before="60" w:after="60"/>
              <w:rPr>
                <w:rFonts w:ascii="Arial" w:eastAsia="Arial" w:hAnsi="Arial" w:cs="Arial"/>
                <w:szCs w:val="23"/>
                <w:lang w:val="fr-FR"/>
              </w:rPr>
            </w:pPr>
            <w:r w:rsidRPr="00F52884">
              <w:rPr>
                <w:rFonts w:ascii="Arial" w:eastAsia="Arial" w:hAnsi="Arial" w:cs="Arial"/>
                <w:szCs w:val="23"/>
                <w:lang w:val="fr-CA"/>
              </w:rPr>
              <w:t>Le Canada se réserve le droit d’adopter ou de maintenir une mesure relative à la désignation, à l’établissement, à l’expansion ou à l’exploitation de monopoles ou de fournisseurs de services exclusifs dans le secteur des transports.</w:t>
            </w:r>
          </w:p>
        </w:tc>
      </w:tr>
      <w:tr w:rsidR="000002CE" w:rsidRPr="00F52884" w14:paraId="1B7EB5C4"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DA7052F" w14:textId="77777777" w:rsidR="000002CE" w:rsidRPr="00F52884" w:rsidRDefault="000002CE" w:rsidP="00974F4C">
            <w:pPr>
              <w:spacing w:before="60" w:after="60"/>
              <w:rPr>
                <w:rFonts w:ascii="Arial" w:eastAsia="Arial" w:hAnsi="Arial" w:cs="Arial"/>
                <w:caps/>
                <w:szCs w:val="23"/>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p>
        </w:tc>
      </w:tr>
      <w:tr w:rsidR="000002CE" w:rsidRPr="00F52884" w14:paraId="67A84FD1"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70FE3F0" w14:textId="77777777" w:rsidR="000002CE" w:rsidRPr="00F52884" w:rsidRDefault="000002CE" w:rsidP="00974F4C">
            <w:pPr>
              <w:spacing w:before="60" w:after="60"/>
              <w:ind w:left="288"/>
              <w:rPr>
                <w:rFonts w:ascii="Arial" w:eastAsia="Arial" w:hAnsi="Arial" w:cs="Arial"/>
                <w:bCs/>
                <w:szCs w:val="23"/>
              </w:rPr>
            </w:pPr>
          </w:p>
        </w:tc>
      </w:tr>
    </w:tbl>
    <w:p w14:paraId="3F0AF8C4" w14:textId="16DCDF9B" w:rsidR="000002CE" w:rsidRPr="00F52884" w:rsidRDefault="000002CE" w:rsidP="00E94578">
      <w:pPr>
        <w:rPr>
          <w:rFonts w:ascii="Arial" w:eastAsia="Arial" w:hAnsi="Arial" w:cs="Arial"/>
          <w:b/>
          <w:szCs w:val="23"/>
        </w:rPr>
      </w:pPr>
    </w:p>
    <w:p w14:paraId="327AF38F" w14:textId="77777777" w:rsidR="000002CE" w:rsidRPr="00F52884" w:rsidRDefault="000002CE" w:rsidP="00E94578">
      <w:pPr>
        <w:rPr>
          <w:rFonts w:ascii="Arial" w:eastAsia="Arial" w:hAnsi="Arial" w:cs="Arial"/>
          <w:b/>
          <w:szCs w:val="23"/>
        </w:rPr>
      </w:pPr>
    </w:p>
    <w:p w14:paraId="22F64A00" w14:textId="23BCAE8B" w:rsidR="000002CE" w:rsidRPr="00F52884" w:rsidRDefault="00974F4C" w:rsidP="00974F4C">
      <w:pPr>
        <w:spacing w:before="60" w:after="60"/>
        <w:ind w:left="-360"/>
        <w:rPr>
          <w:rFonts w:ascii="Arial" w:eastAsia="Arial" w:hAnsi="Arial" w:cs="Arial"/>
          <w:b/>
          <w:szCs w:val="23"/>
        </w:rPr>
      </w:pPr>
      <w:r w:rsidRPr="00F52884">
        <w:rPr>
          <w:rFonts w:ascii="Arial" w:eastAsia="Arial" w:hAnsi="Arial" w:cs="Arial"/>
          <w:b/>
          <w:szCs w:val="23"/>
          <w:lang w:val="fr-CA"/>
        </w:rPr>
        <w:t xml:space="preserve">7.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0E58F5C2" w14:textId="77777777" w:rsidTr="00FA2285">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D81B0D3" w14:textId="7E7313E3"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53696BCA" w14:textId="7B7663D7"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Transports</w:t>
            </w:r>
          </w:p>
        </w:tc>
      </w:tr>
      <w:tr w:rsidR="00974F4C" w:rsidRPr="00F52884" w14:paraId="69D67EFB" w14:textId="77777777" w:rsidTr="00FA2285">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A0323F3"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05D8D0FF" w14:textId="2BA026F4" w:rsidR="00974F4C" w:rsidRPr="00F52884" w:rsidRDefault="00974F4C" w:rsidP="00974F4C">
            <w:pPr>
              <w:spacing w:before="60" w:after="60"/>
              <w:rPr>
                <w:rFonts w:ascii="Arial" w:eastAsia="Arial" w:hAnsi="Arial" w:cs="Arial"/>
                <w:szCs w:val="23"/>
                <w:lang w:val="fr-FR"/>
              </w:rPr>
            </w:pPr>
          </w:p>
        </w:tc>
      </w:tr>
      <w:tr w:rsidR="00974F4C" w:rsidRPr="0068240F" w14:paraId="73E5B989" w14:textId="77777777" w:rsidTr="00FA2285">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399D544" w14:textId="77777777" w:rsidR="00974F4C" w:rsidRPr="00F52884" w:rsidRDefault="00974F4C" w:rsidP="00974F4C">
            <w:pPr>
              <w:spacing w:before="60" w:after="60"/>
              <w:ind w:left="28" w:hanging="28"/>
              <w:rPr>
                <w:rFonts w:ascii="Arial" w:eastAsia="Arial" w:hAnsi="Arial" w:cs="Arial"/>
                <w:szCs w:val="23"/>
              </w:rPr>
            </w:pPr>
            <w:r w:rsidRPr="00F52884">
              <w:rPr>
                <w:rFonts w:ascii="Arial" w:eastAsia="Arial" w:hAnsi="Arial" w:cs="Arial"/>
                <w:b/>
                <w:bCs/>
                <w:szCs w:val="23"/>
                <w:lang w:val="fr-CA"/>
              </w:rPr>
              <w:lastRenderedPageBreak/>
              <w:t xml:space="preserve">Classification de l’industrie : </w:t>
            </w:r>
          </w:p>
        </w:tc>
        <w:tc>
          <w:tcPr>
            <w:tcW w:w="7853" w:type="dxa"/>
            <w:tcBorders>
              <w:top w:val="single" w:sz="4" w:space="0" w:color="C0C0C0"/>
              <w:left w:val="nil"/>
              <w:bottom w:val="single" w:sz="4" w:space="0" w:color="C0C0C0"/>
              <w:right w:val="single" w:sz="4" w:space="0" w:color="FFFFFF"/>
            </w:tcBorders>
            <w:vAlign w:val="center"/>
          </w:tcPr>
          <w:p w14:paraId="64D253CD" w14:textId="56AFBFE6" w:rsidR="00974F4C" w:rsidRPr="00B04E29" w:rsidRDefault="00974F4C" w:rsidP="00974F4C">
            <w:pPr>
              <w:spacing w:before="60" w:after="60"/>
              <w:ind w:left="28" w:hanging="28"/>
              <w:rPr>
                <w:rFonts w:ascii="Arial" w:eastAsia="Arial" w:hAnsi="Arial" w:cs="Arial"/>
                <w:szCs w:val="23"/>
                <w:lang w:val="fr-CA"/>
              </w:rPr>
            </w:pPr>
            <w:r w:rsidRPr="00F52884">
              <w:rPr>
                <w:rFonts w:ascii="Arial" w:eastAsia="Arial" w:hAnsi="Arial" w:cs="Arial"/>
                <w:szCs w:val="23"/>
                <w:lang w:val="fr-CA"/>
              </w:rPr>
              <w:t>Aviation; transport aérien; tous les services annexes de l’aviation et du transport aérien</w:t>
            </w:r>
          </w:p>
        </w:tc>
      </w:tr>
      <w:tr w:rsidR="00974F4C" w:rsidRPr="0068240F" w14:paraId="0C865A70" w14:textId="77777777" w:rsidTr="00FA2285">
        <w:trPr>
          <w:trHeight w:val="42"/>
          <w:jc w:val="center"/>
        </w:trPr>
        <w:tc>
          <w:tcPr>
            <w:tcW w:w="2250" w:type="dxa"/>
            <w:tcBorders>
              <w:top w:val="single" w:sz="4" w:space="0" w:color="C0C0C0"/>
              <w:left w:val="nil"/>
              <w:bottom w:val="single" w:sz="4" w:space="0" w:color="C0C0C0"/>
            </w:tcBorders>
          </w:tcPr>
          <w:p w14:paraId="77A968CA" w14:textId="2F61ABDA"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4F0BA359" w14:textId="2F39CEBC" w:rsidR="00974F4C" w:rsidRPr="00F52884" w:rsidRDefault="00974F4C" w:rsidP="00974F4C">
            <w:pPr>
              <w:spacing w:before="60" w:after="60"/>
              <w:ind w:left="8" w:hanging="8"/>
              <w:rPr>
                <w:rFonts w:ascii="Arial" w:eastAsia="Arial" w:hAnsi="Arial" w:cs="Arial"/>
                <w:szCs w:val="23"/>
                <w:lang w:val="fr-FR"/>
              </w:rPr>
            </w:pPr>
            <w:r w:rsidRPr="00F52884">
              <w:rPr>
                <w:rFonts w:ascii="Arial" w:eastAsia="Arial" w:hAnsi="Arial" w:cs="Arial"/>
                <w:szCs w:val="23"/>
                <w:lang w:val="fr-CA"/>
              </w:rPr>
              <w:t>Toutes les obligations, sauf celles modifiées par la description</w:t>
            </w:r>
          </w:p>
        </w:tc>
      </w:tr>
      <w:tr w:rsidR="000002CE" w:rsidRPr="00F52884" w14:paraId="0098B903"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9482AA5"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0898CD3E"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24238E5" w14:textId="55E73626" w:rsidR="000002CE" w:rsidRPr="00F52884" w:rsidRDefault="000002CE" w:rsidP="00974F4C">
            <w:pPr>
              <w:spacing w:before="120" w:after="120"/>
              <w:ind w:left="6"/>
              <w:rPr>
                <w:rFonts w:ascii="Arial" w:eastAsia="Arial" w:hAnsi="Arial" w:cs="Arial"/>
                <w:szCs w:val="23"/>
                <w:lang w:val="fr-CA"/>
              </w:rPr>
            </w:pPr>
            <w:r w:rsidRPr="00F52884">
              <w:rPr>
                <w:rFonts w:ascii="Arial" w:eastAsia="Arial" w:hAnsi="Arial" w:cs="Arial"/>
                <w:szCs w:val="23"/>
                <w:lang w:val="fr-CA"/>
              </w:rPr>
              <w:t>Le présent accord ne s’applique pas aux mesures relatives à l’aviation ou au transport aérien, ou aux services annexes de l’aviation ou du transport aérien. Nonobstant ce qui précède, l’article 203 (Transparence) et l’article 402 (Notification réglementaire) s’applique aux mesures du Canada relatives à l’aviation ou au transport aérien, ou aux services annexes de l’aviation ou du transport aérien.</w:t>
            </w:r>
          </w:p>
          <w:p w14:paraId="618D6642" w14:textId="18BF2BBC" w:rsidR="000002CE" w:rsidRPr="00F52884" w:rsidRDefault="000002CE" w:rsidP="00974F4C">
            <w:pPr>
              <w:spacing w:before="120" w:after="120"/>
              <w:ind w:left="6"/>
              <w:rPr>
                <w:rFonts w:ascii="Arial" w:eastAsia="Arial" w:hAnsi="Arial" w:cs="Arial"/>
                <w:szCs w:val="23"/>
                <w:lang w:val="fr-CA"/>
              </w:rPr>
            </w:pPr>
            <w:r w:rsidRPr="00F52884">
              <w:rPr>
                <w:rFonts w:ascii="Arial" w:eastAsia="Arial" w:hAnsi="Arial" w:cs="Arial"/>
                <w:szCs w:val="23"/>
                <w:lang w:val="fr-FR"/>
              </w:rPr>
              <w:t xml:space="preserve">Nonobstant ce qui précède, le chapitre </w:t>
            </w:r>
            <w:r w:rsidR="001C0611" w:rsidRPr="00F52884">
              <w:rPr>
                <w:rFonts w:ascii="Arial" w:eastAsia="Arial" w:hAnsi="Arial" w:cs="Arial"/>
                <w:szCs w:val="23"/>
                <w:lang w:val="fr-FR"/>
              </w:rPr>
              <w:t xml:space="preserve">Cinq </w:t>
            </w:r>
            <w:r w:rsidRPr="00F52884">
              <w:rPr>
                <w:rFonts w:ascii="Arial" w:eastAsia="Arial" w:hAnsi="Arial" w:cs="Arial"/>
                <w:szCs w:val="23"/>
                <w:lang w:val="fr-FR"/>
              </w:rPr>
              <w:t>(Marchés publics) s'applique aux mesures relatives à l'acquisition de produits et services aéronautiques par une entité contractante.</w:t>
            </w:r>
            <w:r w:rsidRPr="00F52884" w:rsidDel="00906776">
              <w:rPr>
                <w:rFonts w:ascii="Arial" w:eastAsia="Arial" w:hAnsi="Arial" w:cs="Arial"/>
                <w:szCs w:val="23"/>
                <w:lang w:val="fr-CA"/>
              </w:rPr>
              <w:t xml:space="preserve"> </w:t>
            </w:r>
          </w:p>
        </w:tc>
      </w:tr>
      <w:tr w:rsidR="000002CE" w:rsidRPr="00F52884" w14:paraId="396EBCE5"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9068023" w14:textId="77777777" w:rsidR="000002CE" w:rsidRPr="00F52884" w:rsidRDefault="000002CE" w:rsidP="00974F4C">
            <w:pPr>
              <w:spacing w:before="60" w:after="60"/>
              <w:rPr>
                <w:rFonts w:ascii="Arial" w:eastAsia="Arial" w:hAnsi="Arial" w:cs="Arial"/>
                <w:caps/>
                <w:szCs w:val="23"/>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p>
        </w:tc>
      </w:tr>
      <w:tr w:rsidR="000002CE" w:rsidRPr="00F52884" w14:paraId="17A3C757"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8517288" w14:textId="77777777" w:rsidR="000002CE" w:rsidRPr="00F52884" w:rsidRDefault="000002CE" w:rsidP="00974F4C">
            <w:pPr>
              <w:spacing w:before="60" w:after="60"/>
              <w:ind w:left="292"/>
              <w:rPr>
                <w:rFonts w:ascii="Arial" w:eastAsia="Arial" w:hAnsi="Arial" w:cs="Arial"/>
                <w:szCs w:val="23"/>
              </w:rPr>
            </w:pPr>
          </w:p>
        </w:tc>
      </w:tr>
    </w:tbl>
    <w:p w14:paraId="012318B8" w14:textId="3AA80AE9" w:rsidR="000002CE" w:rsidRPr="00F52884" w:rsidRDefault="000002CE" w:rsidP="00E94578">
      <w:pPr>
        <w:rPr>
          <w:rFonts w:ascii="Arial" w:eastAsia="Arial" w:hAnsi="Arial" w:cs="Arial"/>
          <w:b/>
          <w:szCs w:val="23"/>
        </w:rPr>
      </w:pPr>
    </w:p>
    <w:p w14:paraId="5BB77279" w14:textId="77777777" w:rsidR="000002CE" w:rsidRPr="00F52884" w:rsidRDefault="000002CE" w:rsidP="00E94578">
      <w:pPr>
        <w:rPr>
          <w:rFonts w:ascii="Arial" w:eastAsia="Arial" w:hAnsi="Arial" w:cs="Arial"/>
          <w:b/>
          <w:szCs w:val="23"/>
        </w:rPr>
      </w:pPr>
    </w:p>
    <w:p w14:paraId="3A780297" w14:textId="5C70F5F3" w:rsidR="000002CE" w:rsidRPr="00F52884" w:rsidRDefault="00974F4C" w:rsidP="00974F4C">
      <w:pPr>
        <w:spacing w:before="60" w:after="60"/>
        <w:ind w:left="-360"/>
        <w:rPr>
          <w:rFonts w:ascii="Arial" w:eastAsia="Arial" w:hAnsi="Arial" w:cs="Arial"/>
          <w:szCs w:val="23"/>
        </w:rPr>
      </w:pPr>
      <w:r w:rsidRPr="00F52884">
        <w:rPr>
          <w:rFonts w:ascii="Arial" w:eastAsia="Arial" w:hAnsi="Arial" w:cs="Arial"/>
          <w:b/>
          <w:szCs w:val="23"/>
          <w:lang w:val="fr-CA"/>
        </w:rPr>
        <w:t xml:space="preserve">8.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6C80EAF8" w14:textId="77777777" w:rsidTr="00FA2285">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9083A18" w14:textId="63C72B35"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3BA9647D" w14:textId="6C98BDD8" w:rsidR="000002CE" w:rsidRPr="00F52884" w:rsidRDefault="00FA2285" w:rsidP="00974F4C">
            <w:pPr>
              <w:spacing w:before="60" w:after="60"/>
              <w:rPr>
                <w:rFonts w:ascii="Arial" w:eastAsia="Arial" w:hAnsi="Arial" w:cs="Arial"/>
                <w:szCs w:val="23"/>
              </w:rPr>
            </w:pPr>
            <w:r w:rsidRPr="00F52884">
              <w:rPr>
                <w:rFonts w:ascii="Arial" w:eastAsia="Arial" w:hAnsi="Arial" w:cs="Arial"/>
                <w:szCs w:val="23"/>
                <w:lang w:val="fr-CA"/>
              </w:rPr>
              <w:t>Tous les secteurs</w:t>
            </w:r>
          </w:p>
        </w:tc>
      </w:tr>
      <w:tr w:rsidR="00FA2285" w:rsidRPr="00F52884" w14:paraId="625373AF" w14:textId="77777777" w:rsidTr="00FA2285">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934C65D" w14:textId="77777777" w:rsidR="00FA2285" w:rsidRPr="00F52884" w:rsidRDefault="00FA2285"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28C32AF3" w14:textId="12097177" w:rsidR="00FA2285" w:rsidRPr="00F52884" w:rsidRDefault="00FA2285" w:rsidP="00974F4C">
            <w:pPr>
              <w:spacing w:before="60" w:after="60"/>
              <w:rPr>
                <w:rFonts w:ascii="Arial" w:eastAsia="Arial" w:hAnsi="Arial" w:cs="Arial"/>
                <w:szCs w:val="23"/>
                <w:lang w:val="fr-FR"/>
              </w:rPr>
            </w:pPr>
            <w:r w:rsidRPr="00F52884">
              <w:rPr>
                <w:rFonts w:ascii="Arial" w:eastAsia="Arial" w:hAnsi="Arial" w:cs="Arial"/>
                <w:szCs w:val="23"/>
                <w:lang w:val="fr-CA"/>
              </w:rPr>
              <w:t>Tous les sous-secteurs</w:t>
            </w:r>
          </w:p>
        </w:tc>
      </w:tr>
      <w:tr w:rsidR="00FA2285" w:rsidRPr="00F52884" w14:paraId="62253F53" w14:textId="77777777" w:rsidTr="00FA2285">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5283FEA" w14:textId="77777777" w:rsidR="00FA2285" w:rsidRPr="00F52884" w:rsidRDefault="00FA2285" w:rsidP="00974F4C">
            <w:pPr>
              <w:spacing w:before="60" w:after="60"/>
              <w:ind w:left="28" w:hanging="28"/>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7853" w:type="dxa"/>
            <w:tcBorders>
              <w:top w:val="single" w:sz="4" w:space="0" w:color="C0C0C0"/>
              <w:left w:val="nil"/>
              <w:bottom w:val="single" w:sz="4" w:space="0" w:color="C0C0C0"/>
              <w:right w:val="single" w:sz="4" w:space="0" w:color="FFFFFF"/>
            </w:tcBorders>
            <w:vAlign w:val="center"/>
          </w:tcPr>
          <w:p w14:paraId="3689DE63" w14:textId="610C6FC2" w:rsidR="00FA2285" w:rsidRPr="00F52884" w:rsidRDefault="00FA2285" w:rsidP="00974F4C">
            <w:pPr>
              <w:spacing w:before="60" w:after="60"/>
              <w:ind w:left="28" w:hanging="28"/>
              <w:rPr>
                <w:rFonts w:ascii="Arial" w:eastAsia="Arial" w:hAnsi="Arial" w:cs="Arial"/>
                <w:szCs w:val="23"/>
              </w:rPr>
            </w:pPr>
          </w:p>
        </w:tc>
      </w:tr>
      <w:tr w:rsidR="00FA2285" w:rsidRPr="00F52884" w14:paraId="45ABEA6B" w14:textId="77777777" w:rsidTr="00FA2285">
        <w:trPr>
          <w:trHeight w:val="42"/>
          <w:jc w:val="center"/>
        </w:trPr>
        <w:tc>
          <w:tcPr>
            <w:tcW w:w="2250" w:type="dxa"/>
            <w:tcBorders>
              <w:top w:val="single" w:sz="4" w:space="0" w:color="C0C0C0"/>
              <w:left w:val="nil"/>
              <w:bottom w:val="single" w:sz="4" w:space="0" w:color="C0C0C0"/>
            </w:tcBorders>
          </w:tcPr>
          <w:p w14:paraId="1F63C7D7" w14:textId="3042E01C" w:rsidR="00FA2285" w:rsidRPr="00F52884" w:rsidRDefault="00FA2285" w:rsidP="00974F4C">
            <w:pPr>
              <w:spacing w:before="60" w:after="60"/>
              <w:ind w:left="8" w:hanging="8"/>
              <w:rPr>
                <w:rFonts w:ascii="Arial" w:eastAsia="Arial" w:hAnsi="Arial" w:cs="Arial"/>
                <w:szCs w:val="23"/>
                <w:lang w:val="fr-CA"/>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49FB384E" w14:textId="5C6CBAD0" w:rsidR="00FA2285" w:rsidRPr="00F52884" w:rsidRDefault="00FA2285" w:rsidP="00974F4C">
            <w:pPr>
              <w:spacing w:before="60" w:after="60"/>
              <w:ind w:left="8" w:hanging="8"/>
              <w:rPr>
                <w:rFonts w:ascii="Arial" w:eastAsia="Arial" w:hAnsi="Arial" w:cs="Arial"/>
                <w:szCs w:val="23"/>
                <w:lang w:val="fr-CA"/>
              </w:rPr>
            </w:pPr>
            <w:r w:rsidRPr="00F52884">
              <w:rPr>
                <w:rFonts w:ascii="Arial" w:eastAsia="Arial" w:hAnsi="Arial" w:cs="Arial"/>
                <w:szCs w:val="23"/>
                <w:lang w:val="fr-CA"/>
              </w:rPr>
              <w:t>Article 201 (Traitement non discriminatoire)</w:t>
            </w:r>
          </w:p>
        </w:tc>
      </w:tr>
      <w:tr w:rsidR="000002CE" w:rsidRPr="00F52884" w14:paraId="7298DB2D"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F4CDBCB"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0BF8CEA2"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6D1D44DB" w14:textId="77777777" w:rsidR="000002CE" w:rsidRPr="00F52884" w:rsidRDefault="000002CE" w:rsidP="00FA2285">
            <w:pPr>
              <w:spacing w:before="120" w:after="120"/>
              <w:ind w:firstLine="6"/>
              <w:rPr>
                <w:rFonts w:ascii="Arial" w:eastAsia="Arial" w:hAnsi="Arial" w:cs="Arial"/>
                <w:i/>
                <w:szCs w:val="23"/>
                <w:lang w:val="fr-FR"/>
              </w:rPr>
            </w:pPr>
            <w:r w:rsidRPr="00F52884">
              <w:rPr>
                <w:rFonts w:ascii="Arial" w:eastAsia="Arial" w:hAnsi="Arial" w:cs="Arial"/>
                <w:szCs w:val="23"/>
                <w:lang w:val="fr-CA"/>
              </w:rPr>
              <w:t>Le Canada se réserve le droit d’adopter ou de maintenir une mesure, faisant partie d’un cadre général de développement économique et régional, si les conditions suivantes sont réunies :</w:t>
            </w:r>
          </w:p>
          <w:p w14:paraId="16E77AF9" w14:textId="77777777" w:rsidR="000002CE" w:rsidRPr="00F52884" w:rsidRDefault="000002CE" w:rsidP="00FA2285">
            <w:pPr>
              <w:numPr>
                <w:ilvl w:val="0"/>
                <w:numId w:val="283"/>
              </w:numPr>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la</w:t>
            </w:r>
            <w:proofErr w:type="gramEnd"/>
            <w:r w:rsidRPr="00F52884">
              <w:rPr>
                <w:rFonts w:ascii="Arial" w:eastAsia="Arial" w:hAnsi="Arial" w:cs="Arial"/>
                <w:szCs w:val="23"/>
                <w:lang w:val="fr-CA"/>
              </w:rPr>
              <w:t xml:space="preserve"> mesure n’a pas pour effet d’entraver indûment l’accès des personnes, des produits, des services ou des investissements d’une autre Partie;</w:t>
            </w:r>
          </w:p>
          <w:p w14:paraId="5341D998" w14:textId="1A446520" w:rsidR="000002CE" w:rsidRPr="00F52884" w:rsidRDefault="000002CE" w:rsidP="00FA2285">
            <w:pPr>
              <w:numPr>
                <w:ilvl w:val="0"/>
                <w:numId w:val="283"/>
              </w:numPr>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la</w:t>
            </w:r>
            <w:proofErr w:type="gramEnd"/>
            <w:r w:rsidRPr="00F52884">
              <w:rPr>
                <w:rFonts w:ascii="Arial" w:eastAsia="Arial" w:hAnsi="Arial" w:cs="Arial"/>
                <w:szCs w:val="23"/>
                <w:lang w:val="fr-CA"/>
              </w:rPr>
              <w:t xml:space="preserve"> mesure n’est pas plus restrictive pour le commerce  qu’il n’est nécessaire pour la réalisation de son objectif particulier.</w:t>
            </w:r>
          </w:p>
          <w:p w14:paraId="20457D1A" w14:textId="77777777" w:rsidR="000002CE" w:rsidRPr="00F52884" w:rsidRDefault="000002CE" w:rsidP="00FA2285">
            <w:pPr>
              <w:spacing w:before="120" w:after="120"/>
              <w:rPr>
                <w:rFonts w:ascii="Arial" w:eastAsia="Arial" w:hAnsi="Arial" w:cs="Arial"/>
                <w:i/>
                <w:szCs w:val="23"/>
                <w:lang w:val="fr-FR"/>
              </w:rPr>
            </w:pPr>
            <w:r w:rsidRPr="00F52884">
              <w:rPr>
                <w:rFonts w:ascii="Arial" w:eastAsia="Arial" w:hAnsi="Arial" w:cs="Arial"/>
                <w:szCs w:val="23"/>
                <w:lang w:val="fr-CA"/>
              </w:rPr>
              <w:t>Pour l’application de la présente exception, l’expression « cadre général de développement économique et régional » s’entend d’un régime d’origine législative ou d’un programme qui :</w:t>
            </w:r>
          </w:p>
          <w:p w14:paraId="24DD22F7" w14:textId="77777777" w:rsidR="000002CE" w:rsidRPr="00F52884" w:rsidRDefault="000002CE" w:rsidP="00FA2285">
            <w:pPr>
              <w:numPr>
                <w:ilvl w:val="1"/>
                <w:numId w:val="282"/>
              </w:numPr>
              <w:tabs>
                <w:tab w:val="clear" w:pos="144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comporte</w:t>
            </w:r>
            <w:proofErr w:type="gramEnd"/>
            <w:r w:rsidRPr="00F52884">
              <w:rPr>
                <w:rFonts w:ascii="Arial" w:eastAsia="Arial" w:hAnsi="Arial" w:cs="Arial"/>
                <w:szCs w:val="23"/>
                <w:lang w:val="fr-CA"/>
              </w:rPr>
              <w:t xml:space="preserve"> des critères d’admissibilité ou des priorités en matière de développement fondés notamment sur des facteurs tels que la région géographique, le secteur ou le groupe démographique;</w:t>
            </w:r>
          </w:p>
          <w:p w14:paraId="5293335F" w14:textId="77777777" w:rsidR="000002CE" w:rsidRPr="00F52884" w:rsidRDefault="000002CE" w:rsidP="00FA2285">
            <w:pPr>
              <w:numPr>
                <w:ilvl w:val="1"/>
                <w:numId w:val="282"/>
              </w:numPr>
              <w:tabs>
                <w:tab w:val="clear" w:pos="144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est</w:t>
            </w:r>
            <w:proofErr w:type="gramEnd"/>
            <w:r w:rsidRPr="00F52884">
              <w:rPr>
                <w:rFonts w:ascii="Arial" w:eastAsia="Arial" w:hAnsi="Arial" w:cs="Arial"/>
                <w:szCs w:val="23"/>
                <w:lang w:val="fr-CA"/>
              </w:rPr>
              <w:t xml:space="preserve"> ouvert de façon générale aux bénéficiaires répondant aux critères d’admissibilité;</w:t>
            </w:r>
          </w:p>
          <w:p w14:paraId="7426B4F3" w14:textId="77777777" w:rsidR="000002CE" w:rsidRPr="00F52884" w:rsidRDefault="000002CE" w:rsidP="00FA2285">
            <w:pPr>
              <w:numPr>
                <w:ilvl w:val="1"/>
                <w:numId w:val="282"/>
              </w:numPr>
              <w:tabs>
                <w:tab w:val="clear" w:pos="1440"/>
              </w:tabs>
              <w:spacing w:before="120" w:after="120"/>
              <w:ind w:left="906" w:hanging="540"/>
              <w:rPr>
                <w:rFonts w:ascii="Arial" w:eastAsia="Arial" w:hAnsi="Arial" w:cs="Arial"/>
                <w:szCs w:val="23"/>
                <w:lang w:val="fr-FR"/>
              </w:rPr>
            </w:pPr>
            <w:proofErr w:type="gramStart"/>
            <w:r w:rsidRPr="00F52884">
              <w:rPr>
                <w:rFonts w:ascii="Arial" w:eastAsia="Arial" w:hAnsi="Arial" w:cs="Arial"/>
                <w:szCs w:val="23"/>
                <w:lang w:val="fr-CA"/>
              </w:rPr>
              <w:t>énonce</w:t>
            </w:r>
            <w:proofErr w:type="gramEnd"/>
            <w:r w:rsidRPr="00F52884">
              <w:rPr>
                <w:rFonts w:ascii="Arial" w:eastAsia="Arial" w:hAnsi="Arial" w:cs="Arial"/>
                <w:szCs w:val="23"/>
                <w:lang w:val="fr-CA"/>
              </w:rPr>
              <w:t xml:space="preserve"> des objectifs raisonnables et mesurables de rendement ou de développement économique.</w:t>
            </w:r>
          </w:p>
        </w:tc>
      </w:tr>
      <w:tr w:rsidR="000002CE" w:rsidRPr="00F52884" w14:paraId="3DF42E1A"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31BD62B" w14:textId="77777777" w:rsidR="000002CE" w:rsidRPr="00F52884" w:rsidRDefault="000002CE" w:rsidP="00974F4C">
            <w:pPr>
              <w:spacing w:before="60" w:after="60"/>
              <w:rPr>
                <w:rFonts w:ascii="Arial" w:eastAsia="Arial" w:hAnsi="Arial" w:cs="Arial"/>
                <w:caps/>
                <w:szCs w:val="23"/>
              </w:rPr>
            </w:pPr>
            <w:r w:rsidRPr="00F52884">
              <w:rPr>
                <w:rFonts w:ascii="Arial" w:eastAsia="Arial" w:hAnsi="Arial" w:cs="Arial"/>
                <w:b/>
                <w:bCs/>
                <w:szCs w:val="23"/>
                <w:lang w:val="fr-CA"/>
              </w:rPr>
              <w:lastRenderedPageBreak/>
              <w:t>Toute mesure existante :</w:t>
            </w:r>
            <w:r w:rsidRPr="00F52884">
              <w:rPr>
                <w:rFonts w:ascii="Arial" w:eastAsia="Arial" w:hAnsi="Arial" w:cs="Arial"/>
                <w:caps/>
                <w:szCs w:val="23"/>
                <w:lang w:val="fr-CA"/>
              </w:rPr>
              <w:t xml:space="preserve"> </w:t>
            </w:r>
          </w:p>
        </w:tc>
      </w:tr>
      <w:tr w:rsidR="000002CE" w:rsidRPr="00F52884" w14:paraId="26F65D0F"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5B99664C" w14:textId="77777777" w:rsidR="000002CE" w:rsidRPr="00F52884" w:rsidRDefault="000002CE" w:rsidP="00974F4C">
            <w:pPr>
              <w:spacing w:before="60" w:after="60"/>
              <w:ind w:left="292"/>
              <w:rPr>
                <w:rFonts w:ascii="Arial" w:eastAsia="Arial" w:hAnsi="Arial" w:cs="Arial"/>
                <w:szCs w:val="23"/>
              </w:rPr>
            </w:pPr>
          </w:p>
        </w:tc>
      </w:tr>
    </w:tbl>
    <w:p w14:paraId="31A7156E" w14:textId="7F4D3BB3" w:rsidR="000002CE" w:rsidRPr="00F52884" w:rsidRDefault="000002CE" w:rsidP="00E94578">
      <w:pPr>
        <w:rPr>
          <w:rFonts w:ascii="Arial" w:eastAsia="Arial" w:hAnsi="Arial" w:cs="Arial"/>
          <w:b/>
          <w:szCs w:val="23"/>
          <w:lang w:val="fr-FR"/>
        </w:rPr>
      </w:pPr>
    </w:p>
    <w:p w14:paraId="50F83F02" w14:textId="77777777" w:rsidR="000002CE" w:rsidRPr="00F52884" w:rsidRDefault="000002CE" w:rsidP="00E94578">
      <w:pPr>
        <w:rPr>
          <w:rFonts w:ascii="Arial" w:eastAsia="Arial" w:hAnsi="Arial" w:cs="Arial"/>
          <w:b/>
          <w:szCs w:val="23"/>
          <w:lang w:val="fr-FR"/>
        </w:rPr>
      </w:pPr>
    </w:p>
    <w:p w14:paraId="71EDE5F0" w14:textId="70F15B60" w:rsidR="000002CE" w:rsidRPr="00F52884" w:rsidRDefault="00A62726" w:rsidP="00974F4C">
      <w:pPr>
        <w:spacing w:before="60" w:after="60"/>
        <w:ind w:left="-360"/>
        <w:rPr>
          <w:rFonts w:ascii="Arial" w:eastAsia="Arial" w:hAnsi="Arial" w:cs="Arial"/>
          <w:b/>
          <w:szCs w:val="23"/>
        </w:rPr>
      </w:pPr>
      <w:r>
        <w:rPr>
          <w:rFonts w:ascii="Arial" w:eastAsia="Arial" w:hAnsi="Arial" w:cs="Arial"/>
          <w:b/>
          <w:szCs w:val="23"/>
          <w:lang w:val="fr-CA"/>
        </w:rPr>
        <w:t>9</w:t>
      </w:r>
      <w:r w:rsidR="000002CE" w:rsidRPr="00F52884">
        <w:rPr>
          <w:rFonts w:ascii="Arial" w:eastAsia="Arial" w:hAnsi="Arial" w:cs="Arial"/>
          <w:b/>
          <w:szCs w:val="23"/>
          <w:lang w:val="fr-CA"/>
        </w:rPr>
        <w:t>.</w:t>
      </w:r>
      <w:r w:rsidR="000002CE" w:rsidRPr="00F52884">
        <w:rPr>
          <w:rFonts w:ascii="Arial" w:eastAsia="Arial" w:hAnsi="Arial" w:cs="Arial"/>
          <w:b/>
          <w:szCs w:val="23"/>
          <w:lang w:val="fr-CA"/>
        </w:rPr>
        <w:tab/>
      </w:r>
      <w:r w:rsidR="00974F4C" w:rsidRPr="00F52884">
        <w:rPr>
          <w:rFonts w:ascii="Arial" w:eastAsia="Arial" w:hAnsi="Arial" w:cs="Arial"/>
          <w:b/>
          <w:szCs w:val="23"/>
          <w:lang w:val="fr-CA"/>
        </w:rPr>
        <w:t xml:space="preserve"> </w:t>
      </w:r>
      <w:r w:rsidR="000002CE" w:rsidRPr="00F52884">
        <w:rPr>
          <w:rFonts w:ascii="Arial" w:eastAsia="Arial" w:hAnsi="Arial" w:cs="Arial"/>
          <w:b/>
          <w:szCs w:val="23"/>
          <w:lang w:val="fr-CA"/>
        </w:rPr>
        <w:t>Canada</w:t>
      </w:r>
    </w:p>
    <w:tbl>
      <w:tblPr>
        <w:tblW w:w="10296" w:type="dxa"/>
        <w:jc w:val="center"/>
        <w:tblCellMar>
          <w:top w:w="14" w:type="dxa"/>
          <w:left w:w="86" w:type="dxa"/>
          <w:bottom w:w="14" w:type="dxa"/>
          <w:right w:w="86" w:type="dxa"/>
        </w:tblCellMar>
        <w:tblLook w:val="0000" w:firstRow="0" w:lastRow="0" w:firstColumn="0" w:lastColumn="0" w:noHBand="0" w:noVBand="0"/>
      </w:tblPr>
      <w:tblGrid>
        <w:gridCol w:w="2250"/>
        <w:gridCol w:w="7853"/>
        <w:gridCol w:w="193"/>
      </w:tblGrid>
      <w:tr w:rsidR="000002CE" w:rsidRPr="00F52884" w14:paraId="198A97DB" w14:textId="77777777" w:rsidTr="00FA2285">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E9B253E" w14:textId="6DA12F60" w:rsidR="000002CE" w:rsidRPr="00F52884" w:rsidRDefault="000002CE" w:rsidP="00974F4C">
            <w:pPr>
              <w:spacing w:before="60" w:after="60"/>
              <w:rPr>
                <w:rFonts w:ascii="Arial" w:eastAsia="Arial" w:hAnsi="Arial" w:cs="Arial"/>
                <w:b/>
                <w:szCs w:val="23"/>
              </w:rPr>
            </w:pPr>
            <w:r w:rsidRPr="00F52884">
              <w:rPr>
                <w:rFonts w:ascii="Arial" w:eastAsia="Arial" w:hAnsi="Arial" w:cs="Arial"/>
                <w:b/>
                <w:bCs/>
                <w:szCs w:val="23"/>
                <w:lang w:val="fr-CA"/>
              </w:rPr>
              <w:t xml:space="preserve">Secteur : </w:t>
            </w:r>
          </w:p>
        </w:tc>
        <w:tc>
          <w:tcPr>
            <w:tcW w:w="8046" w:type="dxa"/>
            <w:gridSpan w:val="2"/>
            <w:tcBorders>
              <w:top w:val="single" w:sz="4" w:space="0" w:color="C0C0C0"/>
              <w:left w:val="single" w:sz="4" w:space="0" w:color="FFFFFF"/>
              <w:bottom w:val="single" w:sz="4" w:space="0" w:color="C0C0C0"/>
              <w:right w:val="nil"/>
            </w:tcBorders>
            <w:vAlign w:val="center"/>
          </w:tcPr>
          <w:p w14:paraId="30F09B82" w14:textId="3015C1E3" w:rsidR="000002CE" w:rsidRPr="00F52884" w:rsidRDefault="00974F4C" w:rsidP="00974F4C">
            <w:pPr>
              <w:spacing w:before="60" w:after="60"/>
              <w:rPr>
                <w:rFonts w:ascii="Arial" w:eastAsia="Arial" w:hAnsi="Arial" w:cs="Arial"/>
                <w:szCs w:val="23"/>
              </w:rPr>
            </w:pPr>
            <w:r w:rsidRPr="00F52884">
              <w:rPr>
                <w:rFonts w:ascii="Arial" w:eastAsia="Arial" w:hAnsi="Arial" w:cs="Arial"/>
                <w:szCs w:val="23"/>
                <w:lang w:val="fr-CA"/>
              </w:rPr>
              <w:t>Immigration</w:t>
            </w:r>
          </w:p>
        </w:tc>
      </w:tr>
      <w:tr w:rsidR="00974F4C" w:rsidRPr="00F52884" w14:paraId="45A97F0B" w14:textId="77777777" w:rsidTr="00FA2285">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06482A2" w14:textId="77777777"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 xml:space="preserve">Sous-secteur : </w:t>
            </w:r>
          </w:p>
        </w:tc>
        <w:tc>
          <w:tcPr>
            <w:tcW w:w="8046" w:type="dxa"/>
            <w:gridSpan w:val="2"/>
            <w:tcBorders>
              <w:top w:val="single" w:sz="4" w:space="0" w:color="C0C0C0"/>
              <w:left w:val="nil"/>
              <w:bottom w:val="single" w:sz="4" w:space="0" w:color="C0C0C0"/>
              <w:right w:val="single" w:sz="4" w:space="0" w:color="FFFFFF"/>
            </w:tcBorders>
            <w:vAlign w:val="center"/>
          </w:tcPr>
          <w:p w14:paraId="74F066ED" w14:textId="3DA0E0FD"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szCs w:val="23"/>
                <w:lang w:val="fr-CA"/>
              </w:rPr>
              <w:t>Travailleurs étrangers temporaires</w:t>
            </w:r>
          </w:p>
        </w:tc>
      </w:tr>
      <w:tr w:rsidR="00FA2285" w:rsidRPr="00F52884" w14:paraId="2CC3B62C" w14:textId="77777777" w:rsidTr="00FA2285">
        <w:trPr>
          <w:gridAfter w:val="1"/>
          <w:wAfter w:w="193"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C537CF6" w14:textId="77777777" w:rsidR="00FA2285" w:rsidRPr="00F52884" w:rsidRDefault="00FA2285" w:rsidP="00974F4C">
            <w:pPr>
              <w:spacing w:before="60" w:after="60"/>
              <w:ind w:left="28" w:hanging="28"/>
              <w:rPr>
                <w:rFonts w:ascii="Arial" w:eastAsia="Arial" w:hAnsi="Arial" w:cs="Arial"/>
                <w:szCs w:val="23"/>
              </w:rPr>
            </w:pPr>
            <w:r w:rsidRPr="00F52884">
              <w:rPr>
                <w:rFonts w:ascii="Arial" w:eastAsia="Arial" w:hAnsi="Arial" w:cs="Arial"/>
                <w:b/>
                <w:bCs/>
                <w:szCs w:val="23"/>
                <w:lang w:val="fr-CA"/>
              </w:rPr>
              <w:t xml:space="preserve">Classification de l’industrie : </w:t>
            </w:r>
          </w:p>
        </w:tc>
        <w:tc>
          <w:tcPr>
            <w:tcW w:w="7853" w:type="dxa"/>
            <w:tcBorders>
              <w:top w:val="single" w:sz="4" w:space="0" w:color="C0C0C0"/>
              <w:left w:val="nil"/>
              <w:bottom w:val="single" w:sz="4" w:space="0" w:color="C0C0C0"/>
              <w:right w:val="single" w:sz="4" w:space="0" w:color="FFFFFF"/>
            </w:tcBorders>
            <w:vAlign w:val="center"/>
          </w:tcPr>
          <w:p w14:paraId="127BA709" w14:textId="43A42CB2" w:rsidR="00FA2285" w:rsidRPr="00F52884" w:rsidRDefault="00FA2285" w:rsidP="00974F4C">
            <w:pPr>
              <w:spacing w:before="60" w:after="60"/>
              <w:ind w:left="28" w:hanging="28"/>
              <w:rPr>
                <w:rFonts w:ascii="Arial" w:eastAsia="Arial" w:hAnsi="Arial" w:cs="Arial"/>
                <w:szCs w:val="23"/>
              </w:rPr>
            </w:pPr>
          </w:p>
        </w:tc>
      </w:tr>
      <w:tr w:rsidR="00974F4C" w:rsidRPr="0068240F" w14:paraId="40E22523" w14:textId="77777777" w:rsidTr="00FA2285">
        <w:trPr>
          <w:trHeight w:val="42"/>
          <w:jc w:val="center"/>
        </w:trPr>
        <w:tc>
          <w:tcPr>
            <w:tcW w:w="2250" w:type="dxa"/>
            <w:tcBorders>
              <w:top w:val="single" w:sz="4" w:space="0" w:color="C0C0C0"/>
              <w:left w:val="nil"/>
              <w:bottom w:val="single" w:sz="4" w:space="0" w:color="C0C0C0"/>
            </w:tcBorders>
          </w:tcPr>
          <w:p w14:paraId="2395B65E" w14:textId="7CC6E7A5" w:rsidR="00974F4C" w:rsidRPr="00F52884" w:rsidRDefault="00974F4C" w:rsidP="00974F4C">
            <w:pPr>
              <w:spacing w:before="60" w:after="60"/>
              <w:rPr>
                <w:rFonts w:ascii="Arial" w:eastAsia="Arial" w:hAnsi="Arial" w:cs="Arial"/>
                <w:szCs w:val="23"/>
                <w:lang w:val="fr-FR"/>
              </w:rPr>
            </w:pPr>
            <w:r w:rsidRPr="00F52884">
              <w:rPr>
                <w:rFonts w:ascii="Arial" w:eastAsia="Arial" w:hAnsi="Arial" w:cs="Arial"/>
                <w:b/>
                <w:bCs/>
                <w:szCs w:val="23"/>
                <w:lang w:val="fr-CA"/>
              </w:rPr>
              <w:t>Type d’exception :</w:t>
            </w:r>
            <w:r w:rsidRPr="00F52884">
              <w:rPr>
                <w:rFonts w:ascii="Arial" w:eastAsia="Arial" w:hAnsi="Arial" w:cs="Arial"/>
                <w:szCs w:val="23"/>
                <w:lang w:val="fr-CA"/>
              </w:rPr>
              <w:t xml:space="preserve"> </w:t>
            </w:r>
          </w:p>
        </w:tc>
        <w:tc>
          <w:tcPr>
            <w:tcW w:w="8046" w:type="dxa"/>
            <w:gridSpan w:val="2"/>
            <w:tcBorders>
              <w:top w:val="single" w:sz="4" w:space="0" w:color="C0C0C0"/>
              <w:left w:val="nil"/>
              <w:bottom w:val="single" w:sz="4" w:space="0" w:color="C0C0C0"/>
            </w:tcBorders>
          </w:tcPr>
          <w:p w14:paraId="6B308EC6" w14:textId="0E6F83DD" w:rsidR="00974F4C" w:rsidRPr="00F52884" w:rsidRDefault="00974F4C" w:rsidP="00F52884">
            <w:pPr>
              <w:spacing w:before="60" w:after="60"/>
              <w:rPr>
                <w:rFonts w:ascii="Arial" w:eastAsia="Arial" w:hAnsi="Arial" w:cs="Arial"/>
                <w:szCs w:val="23"/>
                <w:lang w:val="fr-FR"/>
              </w:rPr>
            </w:pPr>
            <w:r w:rsidRPr="00F52884">
              <w:rPr>
                <w:rFonts w:ascii="Arial" w:eastAsia="Arial" w:hAnsi="Arial" w:cs="Arial"/>
                <w:szCs w:val="23"/>
                <w:lang w:val="fr-CA"/>
              </w:rPr>
              <w:t>Article 201 (Traitement non discriminatoire), article 307 (Accès aux marchés – Services), article 312 (Accès aux marchés – Investissement)</w:t>
            </w:r>
          </w:p>
        </w:tc>
      </w:tr>
      <w:tr w:rsidR="000002CE" w:rsidRPr="00F52884" w14:paraId="1F397FE3"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EB77613" w14:textId="77777777" w:rsidR="000002CE" w:rsidRPr="00F52884" w:rsidRDefault="000002CE" w:rsidP="00974F4C">
            <w:pPr>
              <w:spacing w:before="60" w:after="60"/>
              <w:ind w:left="288" w:hanging="288"/>
              <w:rPr>
                <w:rFonts w:ascii="Arial" w:eastAsia="Arial" w:hAnsi="Arial" w:cs="Arial"/>
                <w:szCs w:val="23"/>
              </w:rPr>
            </w:pPr>
            <w:r w:rsidRPr="00F52884">
              <w:rPr>
                <w:rFonts w:ascii="Arial" w:eastAsia="Arial" w:hAnsi="Arial" w:cs="Arial"/>
                <w:b/>
                <w:bCs/>
                <w:szCs w:val="23"/>
                <w:lang w:val="fr-CA"/>
              </w:rPr>
              <w:t xml:space="preserve">Description : </w:t>
            </w:r>
          </w:p>
        </w:tc>
      </w:tr>
      <w:tr w:rsidR="000002CE" w:rsidRPr="0068240F" w14:paraId="21C266A8" w14:textId="77777777" w:rsidTr="00974F4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7BEBD7CA" w14:textId="77777777" w:rsidR="000002CE" w:rsidRPr="00F52884" w:rsidRDefault="000002CE" w:rsidP="00974F4C">
            <w:pPr>
              <w:spacing w:before="60" w:after="60"/>
              <w:ind w:firstLine="6"/>
              <w:rPr>
                <w:rFonts w:ascii="Arial" w:eastAsia="Arial" w:hAnsi="Arial" w:cs="Arial"/>
                <w:szCs w:val="23"/>
                <w:lang w:val="fr-FR"/>
              </w:rPr>
            </w:pPr>
            <w:r w:rsidRPr="00F52884">
              <w:rPr>
                <w:rFonts w:ascii="Arial" w:eastAsia="Arial" w:hAnsi="Arial" w:cs="Arial"/>
                <w:szCs w:val="23"/>
                <w:lang w:val="fr-CA"/>
              </w:rPr>
              <w:t>Le Canada se réserve le droit d’adopter ou de maintenir une mesure relative au Programme des travailleurs étrangers temporaires et au Programme de mobilité internationale, ou à des programmes ultérieurs, ou d’autres mesures qui régissent la capacité des ressortissants étrangers à travailler au Canada de manière temporaire.</w:t>
            </w:r>
          </w:p>
        </w:tc>
      </w:tr>
      <w:tr w:rsidR="000002CE" w:rsidRPr="00F52884" w14:paraId="3AF2A1CB"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9E901B0" w14:textId="77777777" w:rsidR="000002CE" w:rsidRPr="00F52884" w:rsidRDefault="000002CE" w:rsidP="00974F4C">
            <w:pPr>
              <w:spacing w:before="60" w:after="60"/>
              <w:rPr>
                <w:rFonts w:ascii="Arial" w:eastAsia="Arial" w:hAnsi="Arial" w:cs="Arial"/>
                <w:caps/>
                <w:szCs w:val="23"/>
              </w:rPr>
            </w:pPr>
            <w:r w:rsidRPr="00F52884">
              <w:rPr>
                <w:rFonts w:ascii="Arial" w:eastAsia="Arial" w:hAnsi="Arial" w:cs="Arial"/>
                <w:b/>
                <w:bCs/>
                <w:szCs w:val="23"/>
                <w:lang w:val="fr-CA"/>
              </w:rPr>
              <w:t>Toute mesure existante :</w:t>
            </w:r>
            <w:r w:rsidRPr="00F52884">
              <w:rPr>
                <w:rFonts w:ascii="Arial" w:eastAsia="Arial" w:hAnsi="Arial" w:cs="Arial"/>
                <w:caps/>
                <w:szCs w:val="23"/>
                <w:lang w:val="fr-CA"/>
              </w:rPr>
              <w:t xml:space="preserve"> </w:t>
            </w:r>
          </w:p>
        </w:tc>
      </w:tr>
      <w:tr w:rsidR="000002CE" w:rsidRPr="00F52884" w14:paraId="6B85A80C" w14:textId="77777777" w:rsidTr="00974F4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0935AEF5" w14:textId="77777777" w:rsidR="000002CE" w:rsidRPr="00F52884" w:rsidRDefault="000002CE" w:rsidP="00974F4C">
            <w:pPr>
              <w:spacing w:before="60" w:after="60"/>
              <w:ind w:left="292"/>
              <w:rPr>
                <w:rFonts w:ascii="Arial" w:eastAsia="Arial" w:hAnsi="Arial" w:cs="Arial"/>
                <w:szCs w:val="23"/>
              </w:rPr>
            </w:pPr>
          </w:p>
        </w:tc>
      </w:tr>
    </w:tbl>
    <w:p w14:paraId="018CB34C" w14:textId="77777777" w:rsidR="000002CE" w:rsidRPr="00F52884" w:rsidRDefault="000002CE" w:rsidP="00E94578">
      <w:pPr>
        <w:contextualSpacing/>
        <w:rPr>
          <w:rFonts w:ascii="Arial" w:eastAsia="Times New Roman" w:hAnsi="Arial" w:cs="Arial"/>
          <w:szCs w:val="23"/>
          <w:lang w:val="fr-CA"/>
        </w:rPr>
      </w:pPr>
    </w:p>
    <w:p w14:paraId="0DC7237C" w14:textId="77777777" w:rsidR="000002CE" w:rsidRPr="00F52884" w:rsidRDefault="000002CE">
      <w:pPr>
        <w:rPr>
          <w:lang w:val="fr-CA"/>
        </w:rPr>
      </w:pPr>
    </w:p>
    <w:p w14:paraId="0C9CA941" w14:textId="01202523" w:rsidR="00B8348C" w:rsidRPr="00F52884" w:rsidRDefault="000002CE" w:rsidP="000C25A3">
      <w:pPr>
        <w:rPr>
          <w:rFonts w:eastAsia="Times New Roman" w:cstheme="minorHAnsi"/>
          <w:b/>
          <w:bCs/>
          <w:sz w:val="24"/>
          <w:szCs w:val="24"/>
          <w:lang w:val="fr-CA"/>
        </w:rPr>
      </w:pPr>
      <w:r w:rsidRPr="00F52884">
        <w:rPr>
          <w:rFonts w:eastAsia="Times New Roman" w:cstheme="minorHAnsi"/>
          <w:sz w:val="24"/>
          <w:szCs w:val="24"/>
          <w:lang w:val="fr-CA"/>
        </w:rPr>
        <w:br w:type="page"/>
      </w:r>
      <w:bookmarkEnd w:id="301"/>
    </w:p>
    <w:p w14:paraId="7115E632" w14:textId="77777777" w:rsidR="00B8348C" w:rsidRPr="00F52884" w:rsidRDefault="00B8348C" w:rsidP="00B8348C">
      <w:pPr>
        <w:pStyle w:val="Heading3"/>
        <w:jc w:val="center"/>
        <w:rPr>
          <w:rFonts w:asciiTheme="minorHAnsi" w:hAnsiTheme="minorHAnsi" w:cstheme="minorHAnsi"/>
          <w:sz w:val="24"/>
          <w:szCs w:val="24"/>
          <w:lang w:val="fr-CA"/>
        </w:rPr>
      </w:pPr>
      <w:bookmarkStart w:id="304" w:name="_Toc476566350"/>
      <w:bookmarkStart w:id="305" w:name="_Toc156311803"/>
      <w:r w:rsidRPr="00F52884">
        <w:rPr>
          <w:rFonts w:asciiTheme="minorHAnsi" w:hAnsiTheme="minorHAnsi" w:cstheme="minorHAnsi"/>
          <w:sz w:val="24"/>
          <w:szCs w:val="24"/>
          <w:lang w:val="fr-CA"/>
        </w:rPr>
        <w:lastRenderedPageBreak/>
        <w:t>Liste de l’Ontario</w:t>
      </w:r>
      <w:bookmarkEnd w:id="304"/>
      <w:bookmarkEnd w:id="305"/>
    </w:p>
    <w:p w14:paraId="702D0638" w14:textId="77777777" w:rsidR="00B8348C" w:rsidRPr="00F52884" w:rsidRDefault="00B8348C" w:rsidP="000C25A3">
      <w:pPr>
        <w:contextualSpacing/>
        <w:jc w:val="center"/>
        <w:outlineLvl w:val="2"/>
        <w:rPr>
          <w:rFonts w:eastAsia="Times New Roman" w:cstheme="minorHAnsi"/>
          <w:b/>
          <w:sz w:val="24"/>
          <w:szCs w:val="24"/>
          <w:lang w:val="fr-CA"/>
        </w:rPr>
      </w:pPr>
    </w:p>
    <w:p w14:paraId="0A548E81" w14:textId="77777777" w:rsidR="00B8348C" w:rsidRPr="00F52884" w:rsidRDefault="00B8348C" w:rsidP="000C25A3">
      <w:pPr>
        <w:jc w:val="center"/>
        <w:rPr>
          <w:rFonts w:cstheme="minorHAnsi"/>
          <w:b/>
          <w:sz w:val="24"/>
          <w:szCs w:val="24"/>
          <w:lang w:val="fr-CA"/>
        </w:rPr>
      </w:pPr>
      <w:r w:rsidRPr="00F52884">
        <w:rPr>
          <w:rFonts w:cstheme="minorHAnsi"/>
          <w:b/>
          <w:bCs/>
          <w:sz w:val="24"/>
          <w:szCs w:val="24"/>
          <w:lang w:val="fr-CA"/>
        </w:rPr>
        <w:t>Annexe II</w:t>
      </w:r>
    </w:p>
    <w:p w14:paraId="68EB9D96" w14:textId="77777777" w:rsidR="00B8348C" w:rsidRPr="00F52884" w:rsidRDefault="00B8348C" w:rsidP="000C25A3">
      <w:pPr>
        <w:contextualSpacing/>
        <w:jc w:val="center"/>
        <w:outlineLvl w:val="2"/>
        <w:rPr>
          <w:rFonts w:eastAsia="Times New Roman" w:cstheme="minorHAnsi"/>
          <w:b/>
          <w:szCs w:val="23"/>
          <w:lang w:val="fr-CA"/>
        </w:rPr>
      </w:pPr>
    </w:p>
    <w:p w14:paraId="32098292" w14:textId="29510C0F" w:rsidR="00B8348C" w:rsidRPr="00F52884" w:rsidRDefault="00B8348C" w:rsidP="000C25A3">
      <w:pPr>
        <w:spacing w:before="60" w:after="60"/>
        <w:ind w:left="-360"/>
        <w:rPr>
          <w:rFonts w:cstheme="minorHAnsi"/>
          <w:b/>
          <w:szCs w:val="23"/>
          <w:lang w:val="fr-CA"/>
        </w:rPr>
      </w:pPr>
      <w:r w:rsidRPr="00F52884">
        <w:rPr>
          <w:rFonts w:cstheme="minorHAnsi"/>
          <w:b/>
          <w:bCs/>
          <w:szCs w:val="23"/>
          <w:lang w:val="fr-CA"/>
        </w:rPr>
        <w:t xml:space="preserve">1. </w:t>
      </w:r>
      <w:r w:rsidR="00DA2ACC" w:rsidRPr="00F52884">
        <w:rPr>
          <w:rFonts w:cstheme="minorHAnsi"/>
          <w:b/>
          <w:bCs/>
          <w:szCs w:val="23"/>
          <w:lang w:val="fr-CA"/>
        </w:rPr>
        <w:t xml:space="preserve"> </w:t>
      </w:r>
      <w:r w:rsidRPr="00F52884">
        <w:rPr>
          <w:rFonts w:cstheme="minorHAnsi"/>
          <w:b/>
          <w:bCs/>
          <w:szCs w:val="23"/>
          <w:lang w:val="fr-CA"/>
        </w:rPr>
        <w:t>ONTARIO</w:t>
      </w:r>
      <w:r w:rsidRPr="00F52884">
        <w:rPr>
          <w:rFonts w:cstheme="minorHAnsi"/>
          <w:szCs w:val="23"/>
          <w:lang w:val="fr-CA"/>
        </w:rPr>
        <w:tab/>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6105"/>
        <w:gridCol w:w="1255"/>
        <w:gridCol w:w="422"/>
      </w:tblGrid>
      <w:tr w:rsidR="00B8348C" w:rsidRPr="00F52884" w14:paraId="717D2B08" w14:textId="77777777" w:rsidTr="00DA2AC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31E2F74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Secteur : </w:t>
            </w:r>
          </w:p>
        </w:tc>
        <w:tc>
          <w:tcPr>
            <w:tcW w:w="7782" w:type="dxa"/>
            <w:gridSpan w:val="3"/>
            <w:tcBorders>
              <w:top w:val="single" w:sz="4" w:space="0" w:color="C0C0C0"/>
              <w:left w:val="nil"/>
              <w:bottom w:val="single" w:sz="4" w:space="0" w:color="C0C0C0"/>
              <w:right w:val="single" w:sz="4" w:space="0" w:color="FFFFFF"/>
            </w:tcBorders>
            <w:vAlign w:val="center"/>
          </w:tcPr>
          <w:p w14:paraId="6B352945"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454D8C13" w14:textId="77777777" w:rsidTr="00DA2ACC">
        <w:trPr>
          <w:gridAfter w:val="2"/>
          <w:wAfter w:w="1677"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69E8D28E"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6105" w:type="dxa"/>
            <w:tcBorders>
              <w:top w:val="single" w:sz="4" w:space="0" w:color="C0C0C0"/>
              <w:left w:val="single" w:sz="4" w:space="0" w:color="FFFFFF"/>
              <w:bottom w:val="single" w:sz="4" w:space="0" w:color="C0C0C0"/>
              <w:right w:val="nil"/>
            </w:tcBorders>
            <w:vAlign w:val="center"/>
          </w:tcPr>
          <w:p w14:paraId="23E28D25" w14:textId="5347DDD9" w:rsidR="00B8348C" w:rsidRPr="00365618" w:rsidRDefault="00B8348C" w:rsidP="00365618">
            <w:pPr>
              <w:spacing w:before="60" w:after="60"/>
              <w:rPr>
                <w:rFonts w:cs="Times New Roman"/>
                <w:szCs w:val="23"/>
                <w:lang w:val="fr-CA"/>
              </w:rPr>
            </w:pPr>
            <w:r w:rsidRPr="00365618">
              <w:rPr>
                <w:rFonts w:cstheme="minorHAnsi"/>
                <w:szCs w:val="23"/>
                <w:lang w:val="fr-CA"/>
              </w:rPr>
              <w:t>Production, transport et distribution d’électricité, de gaz, de vapeur et d’eau chaude; pétrole brut et gaz naturel; gaz de pétrole et autres hydrocarbures gazeux, sauf le gaz naturel; services de transports par conduites</w:t>
            </w:r>
            <w:r w:rsidR="00365618" w:rsidRPr="00365618">
              <w:rPr>
                <w:rFonts w:cstheme="minorHAnsi"/>
                <w:szCs w:val="23"/>
                <w:lang w:val="fr-CA"/>
              </w:rPr>
              <w:t xml:space="preserve"> </w:t>
            </w:r>
            <w:r w:rsidR="00365618" w:rsidRPr="00365618">
              <w:rPr>
                <w:szCs w:val="23"/>
                <w:lang w:val="fr-CA"/>
              </w:rPr>
              <w:t>(à l’exception des pipelines pour hydrocarbures)</w:t>
            </w:r>
            <w:r w:rsidRPr="00365618">
              <w:rPr>
                <w:rFonts w:cstheme="minorHAnsi"/>
                <w:szCs w:val="23"/>
                <w:lang w:val="fr-CA"/>
              </w:rPr>
              <w:t>; services annexes à la distribution d’énergie</w:t>
            </w:r>
          </w:p>
        </w:tc>
      </w:tr>
      <w:tr w:rsidR="00B8348C" w:rsidRPr="00F52884" w14:paraId="084171BD" w14:textId="77777777" w:rsidTr="00DA2ACC">
        <w:trPr>
          <w:gridAfter w:val="1"/>
          <w:wAfter w:w="422"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4B038141" w14:textId="77777777" w:rsidR="00B8348C" w:rsidRPr="00F52884" w:rsidRDefault="00B8348C" w:rsidP="000C25A3">
            <w:pPr>
              <w:spacing w:before="60" w:after="60"/>
              <w:ind w:right="-110"/>
              <w:rPr>
                <w:rFonts w:cstheme="minorHAnsi"/>
                <w:szCs w:val="23"/>
              </w:rPr>
            </w:pPr>
            <w:r w:rsidRPr="00F52884">
              <w:rPr>
                <w:rFonts w:cstheme="minorHAnsi"/>
                <w:b/>
                <w:bCs/>
                <w:szCs w:val="23"/>
                <w:lang w:val="fr-CA"/>
              </w:rPr>
              <w:t xml:space="preserve">Classification de l’industrie : </w:t>
            </w:r>
          </w:p>
        </w:tc>
        <w:tc>
          <w:tcPr>
            <w:tcW w:w="7360" w:type="dxa"/>
            <w:gridSpan w:val="2"/>
            <w:tcBorders>
              <w:top w:val="single" w:sz="4" w:space="0" w:color="C0C0C0"/>
              <w:left w:val="nil"/>
              <w:bottom w:val="single" w:sz="4" w:space="0" w:color="C0C0C0"/>
              <w:right w:val="single" w:sz="4" w:space="0" w:color="FFFFFF"/>
            </w:tcBorders>
            <w:vAlign w:val="center"/>
          </w:tcPr>
          <w:p w14:paraId="608277F9" w14:textId="77777777" w:rsidR="00B8348C" w:rsidRPr="00F52884" w:rsidRDefault="00B8348C" w:rsidP="000C25A3">
            <w:pPr>
              <w:spacing w:before="60" w:after="60"/>
              <w:ind w:right="-110"/>
              <w:rPr>
                <w:rFonts w:cstheme="minorHAnsi"/>
                <w:szCs w:val="23"/>
              </w:rPr>
            </w:pPr>
            <w:r w:rsidRPr="00F52884">
              <w:rPr>
                <w:rFonts w:cstheme="minorHAnsi"/>
                <w:szCs w:val="23"/>
                <w:lang w:val="fr-CA"/>
              </w:rPr>
              <w:t>CPC 17, 120, 334, 713, 887</w:t>
            </w:r>
          </w:p>
        </w:tc>
      </w:tr>
      <w:tr w:rsidR="00B8348C" w:rsidRPr="0068240F" w14:paraId="47B797BE" w14:textId="77777777" w:rsidTr="00DA2ACC">
        <w:trPr>
          <w:trHeight w:val="42"/>
          <w:jc w:val="center"/>
        </w:trPr>
        <w:tc>
          <w:tcPr>
            <w:tcW w:w="2424" w:type="dxa"/>
            <w:tcBorders>
              <w:top w:val="single" w:sz="4" w:space="0" w:color="C0C0C0"/>
              <w:left w:val="nil"/>
              <w:bottom w:val="single" w:sz="4" w:space="0" w:color="C0C0C0"/>
            </w:tcBorders>
          </w:tcPr>
          <w:p w14:paraId="51B510D0" w14:textId="24367988" w:rsidR="00B8348C" w:rsidRPr="00F52884" w:rsidDel="00914153" w:rsidRDefault="00B8348C" w:rsidP="000C25A3">
            <w:pPr>
              <w:spacing w:before="60" w:after="60"/>
              <w:ind w:left="432" w:hanging="432"/>
              <w:rPr>
                <w:rFonts w:cstheme="minorHAnsi"/>
                <w:szCs w:val="23"/>
              </w:rPr>
            </w:pPr>
            <w:r w:rsidRPr="00F52884">
              <w:rPr>
                <w:rFonts w:cstheme="minorHAnsi"/>
                <w:b/>
                <w:bCs/>
                <w:szCs w:val="23"/>
                <w:lang w:val="fr-CA"/>
              </w:rPr>
              <w:t xml:space="preserve">Type d’exception : </w:t>
            </w:r>
          </w:p>
        </w:tc>
        <w:tc>
          <w:tcPr>
            <w:tcW w:w="7782" w:type="dxa"/>
            <w:gridSpan w:val="3"/>
            <w:tcBorders>
              <w:top w:val="single" w:sz="4" w:space="0" w:color="C0C0C0"/>
              <w:left w:val="nil"/>
              <w:bottom w:val="single" w:sz="4" w:space="0" w:color="C0C0C0"/>
            </w:tcBorders>
          </w:tcPr>
          <w:p w14:paraId="2A52DB66" w14:textId="77777777" w:rsidR="00B8348C" w:rsidRPr="00F52884" w:rsidRDefault="00B8348C" w:rsidP="000C25A3">
            <w:pPr>
              <w:spacing w:before="60" w:after="60"/>
              <w:ind w:firstLine="6"/>
              <w:rPr>
                <w:rFonts w:cstheme="minorHAnsi"/>
                <w:szCs w:val="23"/>
                <w:lang w:val="fr-FR"/>
              </w:rPr>
            </w:pPr>
            <w:r w:rsidRPr="00F52884">
              <w:rPr>
                <w:rFonts w:cstheme="minorHAnsi"/>
                <w:szCs w:val="23"/>
                <w:lang w:val="fr-CA"/>
              </w:rPr>
              <w:t xml:space="preserve">Article 301 (Droit d’entrée et de sortie), article 307 (Accès aux marchés – Services), article 312 (Accès aux marchés – Investissement) </w:t>
            </w:r>
          </w:p>
        </w:tc>
      </w:tr>
      <w:tr w:rsidR="00B8348C" w:rsidRPr="00F52884" w14:paraId="2041EED6" w14:textId="77777777" w:rsidTr="00DA2ACC">
        <w:trPr>
          <w:trHeight w:val="42"/>
          <w:jc w:val="center"/>
        </w:trPr>
        <w:tc>
          <w:tcPr>
            <w:tcW w:w="10206"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9453CFF" w14:textId="77777777" w:rsidR="00B8348C" w:rsidRPr="00F52884" w:rsidRDefault="00B8348C" w:rsidP="000C25A3">
            <w:pPr>
              <w:spacing w:before="60" w:after="60"/>
              <w:ind w:left="288" w:hanging="288"/>
              <w:rPr>
                <w:rFonts w:cstheme="minorHAnsi"/>
                <w:szCs w:val="23"/>
              </w:rPr>
            </w:pPr>
            <w:r w:rsidRPr="00F52884">
              <w:rPr>
                <w:rFonts w:cstheme="minorHAnsi"/>
                <w:b/>
                <w:bCs/>
                <w:szCs w:val="23"/>
                <w:lang w:val="fr-CA"/>
              </w:rPr>
              <w:t xml:space="preserve">Description : </w:t>
            </w:r>
          </w:p>
        </w:tc>
      </w:tr>
      <w:tr w:rsidR="00B8348C" w:rsidRPr="0068240F" w14:paraId="09FC81B5" w14:textId="77777777" w:rsidTr="00DA2ACC">
        <w:trPr>
          <w:trHeight w:val="120"/>
          <w:jc w:val="center"/>
        </w:trPr>
        <w:tc>
          <w:tcPr>
            <w:tcW w:w="10206" w:type="dxa"/>
            <w:gridSpan w:val="4"/>
            <w:tcBorders>
              <w:top w:val="single" w:sz="4" w:space="0" w:color="C0C0C0"/>
              <w:left w:val="single" w:sz="4" w:space="0" w:color="C0C0C0"/>
              <w:bottom w:val="single" w:sz="4" w:space="0" w:color="C0C0C0"/>
              <w:right w:val="single" w:sz="4" w:space="0" w:color="C0C0C0"/>
            </w:tcBorders>
          </w:tcPr>
          <w:p w14:paraId="1C74464F" w14:textId="77777777" w:rsidR="00B8348C" w:rsidRPr="006E3B0F" w:rsidRDefault="00B8348C" w:rsidP="000C25A3">
            <w:pPr>
              <w:pStyle w:val="NoSpacing"/>
              <w:spacing w:before="120" w:after="120"/>
              <w:rPr>
                <w:rFonts w:cstheme="minorHAnsi"/>
                <w:sz w:val="23"/>
                <w:szCs w:val="23"/>
                <w:lang w:val="fr-FR"/>
              </w:rPr>
            </w:pPr>
            <w:r w:rsidRPr="006E3B0F">
              <w:rPr>
                <w:rFonts w:cstheme="minorHAnsi"/>
                <w:sz w:val="23"/>
                <w:szCs w:val="23"/>
                <w:lang w:val="fr-CA"/>
              </w:rPr>
              <w:t xml:space="preserve">L’Ontario se réserve le droit d’adopter ou de maintenir une mesure limitant l’accès aux marchés de l’exploration, de la production, de l’extraction, de l’importation, de l’exportation, du transport, de la transmission, de la distribution, du stockage, de la vente, de la vente au détail, de la commercialisation, de la conservation, de la gestion de la demande ou de la charge et de la mise en valeur de l’énergie (y compris l’électricité, le gaz naturel et l’énergie renouvelable), à l’exception des mesures imposant des limitations concernant la participation de capital étranger, exprimées sous la forme d’une limite maximale en pourcentage de la détention d’actions par des étrangers, ou concernant la valeur totale d’investissements étrangers particuliers ou des investissements étrangers globaux.  </w:t>
            </w:r>
          </w:p>
          <w:p w14:paraId="33BA11E0" w14:textId="77777777" w:rsidR="00B8348C" w:rsidRPr="00365618" w:rsidRDefault="00B8348C" w:rsidP="000C25A3">
            <w:pPr>
              <w:pStyle w:val="NoSpacing"/>
              <w:spacing w:before="120" w:after="120"/>
              <w:rPr>
                <w:rFonts w:ascii="Arial" w:hAnsi="Arial" w:cs="Arial"/>
                <w:sz w:val="23"/>
                <w:szCs w:val="23"/>
                <w:lang w:val="fr-FR"/>
              </w:rPr>
            </w:pPr>
            <w:r w:rsidRPr="006E3B0F">
              <w:rPr>
                <w:rFonts w:cstheme="minorHAnsi"/>
                <w:sz w:val="23"/>
                <w:szCs w:val="23"/>
                <w:lang w:val="fr-CA"/>
              </w:rPr>
              <w:t xml:space="preserve">L’Ontario se réserve le droit d’adopter ou de maintenir une mesure limitant l’accès aux marchés se rapportant à l’octroi de droits exclusifs de posséder ou d’exploiter un système de transmission ou de distribution, ou de produire, de générer, de stocker, de vendre, de vendre au détail ou de </w:t>
            </w:r>
            <w:r w:rsidRPr="00365618">
              <w:rPr>
                <w:rFonts w:ascii="Arial" w:hAnsi="Arial" w:cs="Arial"/>
                <w:sz w:val="23"/>
                <w:szCs w:val="23"/>
                <w:lang w:val="fr-CA"/>
              </w:rPr>
              <w:t>commercialiser l’énergie (y compris l’électricité, le gaz naturel et l’énergie renouvelable).</w:t>
            </w:r>
          </w:p>
          <w:p w14:paraId="09CF72CF" w14:textId="77777777" w:rsidR="004C0B41" w:rsidRPr="00365618" w:rsidRDefault="00B8348C" w:rsidP="004C0B41">
            <w:pPr>
              <w:pStyle w:val="Default"/>
              <w:rPr>
                <w:rFonts w:ascii="Arial" w:hAnsi="Arial" w:cs="Arial"/>
                <w:sz w:val="23"/>
                <w:szCs w:val="23"/>
                <w:lang w:val="fr-CA"/>
              </w:rPr>
            </w:pPr>
            <w:r w:rsidRPr="00365618">
              <w:rPr>
                <w:rFonts w:ascii="Arial" w:hAnsi="Arial" w:cs="Arial"/>
                <w:sz w:val="23"/>
                <w:szCs w:val="23"/>
                <w:lang w:val="fr-CA"/>
              </w:rPr>
              <w:t>Il est entendu que la présente exception est sans préjudice du droit de l’Ontario d’imposer des limitations à la participation de capital étranger au moment de la vente ou de la cession de son capital-actions dans une entreprise d’État ou une entité publique existante, ou des actifs d’une telle entreprise ou entité exerçant les activités susmentionnées.</w:t>
            </w:r>
          </w:p>
          <w:p w14:paraId="604EF96C" w14:textId="77777777" w:rsidR="00365618" w:rsidRPr="00365618" w:rsidRDefault="00365618" w:rsidP="004C0B41">
            <w:pPr>
              <w:pStyle w:val="Default"/>
              <w:rPr>
                <w:rFonts w:ascii="Arial" w:hAnsi="Arial" w:cs="Arial"/>
                <w:sz w:val="23"/>
                <w:szCs w:val="23"/>
                <w:lang w:val="fr-CA"/>
              </w:rPr>
            </w:pPr>
          </w:p>
          <w:p w14:paraId="044C9BAA" w14:textId="446C3EE6" w:rsidR="00365618" w:rsidRPr="004C0B41" w:rsidRDefault="00365618" w:rsidP="004C0B41">
            <w:pPr>
              <w:pStyle w:val="Default"/>
              <w:rPr>
                <w:sz w:val="20"/>
                <w:szCs w:val="20"/>
                <w:lang w:val="fr-CA"/>
              </w:rPr>
            </w:pPr>
            <w:r w:rsidRPr="00365618">
              <w:rPr>
                <w:rFonts w:ascii="Arial" w:hAnsi="Arial" w:cs="Arial"/>
                <w:sz w:val="23"/>
                <w:szCs w:val="23"/>
                <w:lang w:val="fr-CA"/>
              </w:rPr>
              <w:t xml:space="preserve">Il est entendu qu’aucune disposition de la présente exception ne s’applique aux pipelines pour hydrocarbures. </w:t>
            </w:r>
          </w:p>
        </w:tc>
      </w:tr>
      <w:tr w:rsidR="00B8348C" w:rsidRPr="00F52884" w14:paraId="63A29600" w14:textId="77777777" w:rsidTr="00DA2ACC">
        <w:trPr>
          <w:trHeight w:val="42"/>
          <w:jc w:val="center"/>
        </w:trPr>
        <w:tc>
          <w:tcPr>
            <w:tcW w:w="10206"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708B207"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06CF499F" w14:textId="77777777" w:rsidTr="00DA2ACC">
        <w:trPr>
          <w:trHeight w:val="42"/>
          <w:jc w:val="center"/>
        </w:trPr>
        <w:tc>
          <w:tcPr>
            <w:tcW w:w="10206" w:type="dxa"/>
            <w:gridSpan w:val="4"/>
            <w:tcBorders>
              <w:top w:val="single" w:sz="4" w:space="0" w:color="C0C0C0"/>
              <w:left w:val="single" w:sz="4" w:space="0" w:color="C0C0C0"/>
              <w:bottom w:val="single" w:sz="4" w:space="0" w:color="C0C0C0"/>
              <w:right w:val="single" w:sz="4" w:space="0" w:color="C0C0C0"/>
            </w:tcBorders>
            <w:shd w:val="clear" w:color="auto" w:fill="auto"/>
          </w:tcPr>
          <w:p w14:paraId="6F616792" w14:textId="77777777" w:rsidR="00B8348C" w:rsidRPr="00F52884" w:rsidRDefault="00B8348C" w:rsidP="000C25A3">
            <w:pPr>
              <w:spacing w:before="60" w:after="60"/>
              <w:rPr>
                <w:rFonts w:eastAsia="Arial" w:cstheme="minorHAnsi"/>
                <w:b/>
                <w:szCs w:val="23"/>
              </w:rPr>
            </w:pPr>
          </w:p>
        </w:tc>
      </w:tr>
    </w:tbl>
    <w:p w14:paraId="59481CB8" w14:textId="77777777" w:rsidR="00B8348C" w:rsidRPr="00F52884" w:rsidRDefault="00B8348C" w:rsidP="000C25A3">
      <w:pPr>
        <w:tabs>
          <w:tab w:val="left" w:pos="972"/>
          <w:tab w:val="left" w:pos="2316"/>
        </w:tabs>
        <w:ind w:left="-360"/>
        <w:rPr>
          <w:rFonts w:cstheme="minorHAnsi"/>
          <w:szCs w:val="23"/>
        </w:rPr>
      </w:pPr>
      <w:r w:rsidRPr="00F52884">
        <w:rPr>
          <w:rFonts w:cstheme="minorHAnsi"/>
          <w:szCs w:val="23"/>
          <w:lang w:val="fr-CA"/>
        </w:rPr>
        <w:tab/>
      </w:r>
      <w:r w:rsidRPr="00F52884">
        <w:rPr>
          <w:rFonts w:cstheme="minorHAnsi"/>
          <w:szCs w:val="23"/>
          <w:lang w:val="fr-CA"/>
        </w:rPr>
        <w:tab/>
      </w:r>
    </w:p>
    <w:p w14:paraId="1E3C5F70" w14:textId="77777777" w:rsidR="004C0B41" w:rsidRDefault="004C0B41" w:rsidP="000C25A3">
      <w:pPr>
        <w:ind w:left="-360"/>
        <w:rPr>
          <w:rFonts w:cstheme="minorHAnsi"/>
          <w:szCs w:val="23"/>
        </w:rPr>
      </w:pPr>
    </w:p>
    <w:p w14:paraId="6F54785D" w14:textId="77777777" w:rsidR="00EA3915" w:rsidRDefault="00EA3915" w:rsidP="000C25A3">
      <w:pPr>
        <w:ind w:left="-360"/>
        <w:rPr>
          <w:rFonts w:cstheme="minorHAnsi"/>
          <w:szCs w:val="23"/>
        </w:rPr>
      </w:pPr>
    </w:p>
    <w:p w14:paraId="212DF4D0"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lastRenderedPageBreak/>
        <w:t xml:space="preserve">2. </w:t>
      </w:r>
      <w:r w:rsidRPr="00EA3915">
        <w:rPr>
          <w:rFonts w:ascii="Arial" w:eastAsia="Times New Roman" w:hAnsi="Arial" w:cs="Arial"/>
          <w:b/>
          <w:bCs/>
          <w:szCs w:val="23"/>
          <w:lang w:val="fr-CA"/>
        </w:rPr>
        <w:t>ONTARIO</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540D6E13"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7B15A1E8"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07F13307"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4B3F3CD4"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68240F" w14:paraId="5A3DE298"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2244BFAC"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4279EB1F"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EA3915" w:rsidRPr="00EA3915" w14:paraId="7F259210"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132AD55C"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6D47F2BA"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7C37AE45"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68240F" w14:paraId="66BBF8BD"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5F615989"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34B4C200"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15833CB0"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Article 301 (Droit d’entrée et de sortie), article 307 (Accès aux marchés – Services), article 312 (Accès aux marchés – Investissement) </w:t>
            </w:r>
          </w:p>
        </w:tc>
      </w:tr>
      <w:tr w:rsidR="00EA3915" w:rsidRPr="00EA3915" w14:paraId="0E560826"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54424B77"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r w:rsidRPr="00EA3915">
              <w:rPr>
                <w:rFonts w:ascii="Arial" w:eastAsia="Calibri" w:hAnsi="Arial" w:cs="Arial"/>
                <w:b/>
                <w:szCs w:val="24"/>
                <w:lang w:eastAsia="en-CA" w:bidi="en-US"/>
              </w:rPr>
              <w:t xml:space="preserve"> </w:t>
            </w:r>
          </w:p>
        </w:tc>
      </w:tr>
      <w:tr w:rsidR="00EA3915" w:rsidRPr="0068240F" w14:paraId="6529ADCD"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5834D35"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L’Ontario se réserve le droit d’adopter et de maintenir une mesure limitant l’accès aux marchés et le droit d’entrée et de sortie associés à la vente au détail et en gros du cannabis dans les cinq ans suivant l’entrée en vigueur de cette exception propre aux parties. Toute mesure de ce type adoptée par l’Ontario durant la période susmentionnée continuera d’être réservée en vertu de l’article 301 (Droit d’entrée et de sortie), de l’article 307 (Accès aux marchés – Services) et de l’article 312 (Accès aux marchés – Investissements) après l’expiration de ladite période, notamment : </w:t>
            </w:r>
          </w:p>
          <w:p w14:paraId="6935B4F5"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a) maintien ou le renouvellement rapide de la mesure; </w:t>
            </w:r>
          </w:p>
          <w:p w14:paraId="4C6BF884"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b) la modification d’une mesure si la modification ne diminue pas la conformité de la mesure aux obligations, comme si elle existait immédiatement avant la modification. </w:t>
            </w:r>
          </w:p>
        </w:tc>
      </w:tr>
      <w:tr w:rsidR="00EA3915" w:rsidRPr="0068240F" w14:paraId="3B351DC1"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0AFD871D" w14:textId="77777777" w:rsidR="00EA3915" w:rsidRPr="00EA3915" w:rsidRDefault="00EA3915" w:rsidP="00EA3915">
            <w:pPr>
              <w:spacing w:before="60" w:after="60"/>
              <w:rPr>
                <w:rFonts w:ascii="Arial" w:eastAsia="Calibri" w:hAnsi="Arial" w:cs="Arial"/>
                <w:b/>
                <w:szCs w:val="24"/>
                <w:lang w:val="fr-CA" w:eastAsia="en-CA" w:bidi="en-US"/>
              </w:rPr>
            </w:pPr>
            <w:r w:rsidRPr="00EA3915">
              <w:rPr>
                <w:rFonts w:ascii="Arial" w:eastAsia="Calibri" w:hAnsi="Arial" w:cs="Arial"/>
                <w:b/>
                <w:szCs w:val="24"/>
                <w:lang w:val="fr-CA" w:eastAsia="en-CA" w:bidi="en-US"/>
              </w:rPr>
              <w:t xml:space="preserve">Toute mesure existante : </w:t>
            </w:r>
            <w:r w:rsidRPr="00EA3915">
              <w:rPr>
                <w:rFonts w:ascii="Arial" w:eastAsia="Calibri" w:hAnsi="Arial" w:cs="Arial"/>
                <w:bCs/>
                <w:szCs w:val="24"/>
                <w:lang w:val="fr-CA" w:eastAsia="en-CA" w:bidi="en-US"/>
              </w:rPr>
              <w:t>(À titre d’exemple seulement)</w:t>
            </w:r>
          </w:p>
        </w:tc>
      </w:tr>
      <w:tr w:rsidR="00EA3915" w:rsidRPr="0068240F" w14:paraId="037F0F65"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7FC3541E" w14:textId="77777777" w:rsidR="00EA3915" w:rsidRPr="00EA3915" w:rsidRDefault="00EA3915" w:rsidP="00EA3915">
            <w:pPr>
              <w:spacing w:before="60" w:after="60"/>
              <w:rPr>
                <w:rFonts w:ascii="Arial" w:eastAsia="Calibri" w:hAnsi="Arial" w:cs="Arial"/>
                <w:bCs/>
                <w:szCs w:val="24"/>
                <w:lang w:val="fr-CA" w:eastAsia="en-CA" w:bidi="en-US"/>
              </w:rPr>
            </w:pPr>
          </w:p>
        </w:tc>
      </w:tr>
    </w:tbl>
    <w:p w14:paraId="1908D941" w14:textId="77777777" w:rsidR="00EA3915" w:rsidRPr="0068240F" w:rsidRDefault="00EA3915" w:rsidP="000C25A3">
      <w:pPr>
        <w:ind w:left="-360"/>
        <w:rPr>
          <w:rFonts w:cstheme="minorHAnsi"/>
          <w:szCs w:val="23"/>
          <w:lang w:val="fr-FR"/>
        </w:rPr>
      </w:pPr>
    </w:p>
    <w:p w14:paraId="19B4F0DB" w14:textId="77777777" w:rsidR="00B8348C" w:rsidRPr="0068240F" w:rsidRDefault="00B8348C" w:rsidP="00F856A2">
      <w:pPr>
        <w:contextualSpacing/>
        <w:jc w:val="center"/>
        <w:outlineLvl w:val="2"/>
        <w:rPr>
          <w:rFonts w:eastAsia="Times New Roman" w:cstheme="minorHAnsi"/>
          <w:b/>
          <w:szCs w:val="23"/>
          <w:lang w:val="fr-FR"/>
        </w:rPr>
      </w:pPr>
    </w:p>
    <w:p w14:paraId="4D88D015" w14:textId="77777777" w:rsidR="00B8348C" w:rsidRPr="009A780E" w:rsidRDefault="00B8348C" w:rsidP="00F52884">
      <w:pPr>
        <w:pStyle w:val="Heading3"/>
        <w:jc w:val="center"/>
        <w:rPr>
          <w:rFonts w:asciiTheme="minorHAnsi" w:hAnsiTheme="minorHAnsi" w:cstheme="minorHAnsi"/>
          <w:sz w:val="24"/>
          <w:szCs w:val="24"/>
          <w:lang w:val="fr-FR"/>
        </w:rPr>
      </w:pPr>
      <w:r w:rsidRPr="00F52884">
        <w:rPr>
          <w:rFonts w:asciiTheme="minorHAnsi" w:hAnsiTheme="minorHAnsi" w:cstheme="minorHAnsi"/>
          <w:b w:val="0"/>
          <w:bCs w:val="0"/>
          <w:sz w:val="23"/>
          <w:szCs w:val="23"/>
          <w:lang w:val="fr-CA"/>
        </w:rPr>
        <w:br w:type="page"/>
      </w:r>
      <w:bookmarkStart w:id="306" w:name="_Toc156311804"/>
      <w:r w:rsidRPr="009A780E">
        <w:rPr>
          <w:rFonts w:asciiTheme="minorHAnsi" w:hAnsiTheme="minorHAnsi" w:cstheme="minorHAnsi"/>
          <w:sz w:val="24"/>
          <w:szCs w:val="24"/>
          <w:lang w:val="fr-FR"/>
        </w:rPr>
        <w:lastRenderedPageBreak/>
        <w:t>Liste du Québec</w:t>
      </w:r>
      <w:bookmarkEnd w:id="306"/>
    </w:p>
    <w:p w14:paraId="14A39D42" w14:textId="77777777" w:rsidR="00B8348C" w:rsidRPr="009A780E" w:rsidRDefault="00B8348C" w:rsidP="00F52884">
      <w:pPr>
        <w:rPr>
          <w:sz w:val="24"/>
          <w:szCs w:val="24"/>
          <w:lang w:val="fr-FR"/>
        </w:rPr>
      </w:pPr>
    </w:p>
    <w:p w14:paraId="63D4A878" w14:textId="77777777" w:rsidR="00B8348C" w:rsidRPr="009A780E" w:rsidRDefault="00B8348C" w:rsidP="00F52884">
      <w:pPr>
        <w:jc w:val="center"/>
        <w:rPr>
          <w:sz w:val="24"/>
          <w:szCs w:val="24"/>
          <w:lang w:val="fr-FR"/>
        </w:rPr>
      </w:pPr>
      <w:r w:rsidRPr="009A780E">
        <w:rPr>
          <w:b/>
          <w:sz w:val="24"/>
          <w:szCs w:val="24"/>
          <w:lang w:val="fr-FR"/>
        </w:rPr>
        <w:t>Annexe II</w:t>
      </w:r>
    </w:p>
    <w:p w14:paraId="704FE5F9" w14:textId="77777777" w:rsidR="00B8348C" w:rsidRPr="009A780E" w:rsidRDefault="00B8348C" w:rsidP="000C25A3">
      <w:pPr>
        <w:rPr>
          <w:rFonts w:cstheme="minorHAnsi"/>
          <w:b/>
          <w:szCs w:val="23"/>
          <w:lang w:val="fr-FR"/>
        </w:rPr>
      </w:pPr>
    </w:p>
    <w:p w14:paraId="44366E41" w14:textId="77777777" w:rsidR="00B8348C" w:rsidRPr="009A780E" w:rsidRDefault="00B8348C" w:rsidP="000C25A3">
      <w:pPr>
        <w:rPr>
          <w:rFonts w:cstheme="minorHAnsi"/>
          <w:b/>
          <w:szCs w:val="23"/>
          <w:lang w:val="fr-FR"/>
        </w:rPr>
      </w:pPr>
    </w:p>
    <w:p w14:paraId="7730838F" w14:textId="2C4C9FAD" w:rsidR="00B8348C" w:rsidRPr="00F52884" w:rsidRDefault="00DA2ACC" w:rsidP="00DA2ACC">
      <w:pPr>
        <w:pStyle w:val="ListParagraph"/>
        <w:spacing w:before="60" w:after="60"/>
        <w:ind w:left="-360"/>
        <w:rPr>
          <w:rFonts w:cstheme="minorHAnsi"/>
          <w:b/>
          <w:szCs w:val="23"/>
          <w:lang w:val="fr-CA"/>
        </w:rPr>
      </w:pPr>
      <w:r w:rsidRPr="00F52884">
        <w:rPr>
          <w:rFonts w:cstheme="minorHAnsi"/>
          <w:b/>
          <w:szCs w:val="23"/>
          <w:lang w:val="fr-CA"/>
        </w:rPr>
        <w:t xml:space="preserve">1.  </w:t>
      </w:r>
      <w:r w:rsidR="00B8348C" w:rsidRPr="00F52884">
        <w:rPr>
          <w:rFonts w:cstheme="minorHAnsi"/>
          <w:b/>
          <w:szCs w:val="23"/>
          <w:lang w:val="fr-CA"/>
        </w:rPr>
        <w:t>QUÉBEC</w:t>
      </w:r>
    </w:p>
    <w:tbl>
      <w:tblPr>
        <w:tblW w:w="10300" w:type="dxa"/>
        <w:jc w:val="center"/>
        <w:tblCellMar>
          <w:top w:w="14" w:type="dxa"/>
          <w:left w:w="86" w:type="dxa"/>
          <w:bottom w:w="14" w:type="dxa"/>
          <w:right w:w="86" w:type="dxa"/>
        </w:tblCellMar>
        <w:tblLook w:val="0000" w:firstRow="0" w:lastRow="0" w:firstColumn="0" w:lastColumn="0" w:noHBand="0" w:noVBand="0"/>
      </w:tblPr>
      <w:tblGrid>
        <w:gridCol w:w="2250"/>
        <w:gridCol w:w="7652"/>
        <w:gridCol w:w="398"/>
      </w:tblGrid>
      <w:tr w:rsidR="00B8348C" w:rsidRPr="00F52884" w14:paraId="6BEB03D7"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B33FDE3" w14:textId="00C0F569" w:rsidR="00B8348C" w:rsidRPr="00F52884" w:rsidRDefault="00B8348C" w:rsidP="00DA2ACC">
            <w:pPr>
              <w:spacing w:before="60" w:after="60"/>
              <w:rPr>
                <w:rFonts w:cstheme="minorHAnsi"/>
                <w:b/>
                <w:szCs w:val="23"/>
                <w:lang w:val="fr-CA"/>
              </w:rPr>
            </w:pPr>
            <w:r w:rsidRPr="00F52884">
              <w:rPr>
                <w:rFonts w:cstheme="minorHAnsi"/>
                <w:b/>
                <w:szCs w:val="23"/>
                <w:lang w:val="fr-CA"/>
              </w:rPr>
              <w:t>Secteur :</w:t>
            </w:r>
            <w:r w:rsidRPr="00F52884">
              <w:rPr>
                <w:rFonts w:cstheme="minorHAnsi"/>
                <w:szCs w:val="23"/>
                <w:lang w:val="fr-CA"/>
              </w:rPr>
              <w:t xml:space="preserve"> </w:t>
            </w:r>
          </w:p>
        </w:tc>
        <w:tc>
          <w:tcPr>
            <w:tcW w:w="8050" w:type="dxa"/>
            <w:gridSpan w:val="2"/>
            <w:tcBorders>
              <w:top w:val="single" w:sz="4" w:space="0" w:color="C0C0C0"/>
              <w:left w:val="single" w:sz="4" w:space="0" w:color="FFFFFF"/>
              <w:bottom w:val="single" w:sz="4" w:space="0" w:color="C0C0C0"/>
              <w:right w:val="nil"/>
            </w:tcBorders>
            <w:vAlign w:val="center"/>
          </w:tcPr>
          <w:p w14:paraId="349FA789" w14:textId="62ADDAE0" w:rsidR="00B8348C" w:rsidRPr="00F52884" w:rsidRDefault="00DA2ACC" w:rsidP="00DA2ACC">
            <w:pPr>
              <w:spacing w:before="60" w:after="60"/>
              <w:rPr>
                <w:rFonts w:cstheme="minorHAnsi"/>
                <w:szCs w:val="23"/>
                <w:lang w:val="fr-CA"/>
              </w:rPr>
            </w:pPr>
            <w:r w:rsidRPr="00F52884">
              <w:rPr>
                <w:rFonts w:cstheme="minorHAnsi"/>
                <w:szCs w:val="23"/>
                <w:lang w:val="fr-CA"/>
              </w:rPr>
              <w:t>Agriculture, pêche, aquaculture</w:t>
            </w:r>
          </w:p>
        </w:tc>
      </w:tr>
      <w:tr w:rsidR="00B8348C" w:rsidRPr="00F52884" w14:paraId="465492CB"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31FF3D7A" w14:textId="23EF16F1" w:rsidR="00B8348C" w:rsidRPr="00F52884" w:rsidRDefault="00B8348C" w:rsidP="00DA2ACC">
            <w:pPr>
              <w:spacing w:before="60" w:after="60"/>
              <w:rPr>
                <w:rFonts w:cstheme="minorHAnsi"/>
                <w:b/>
                <w:szCs w:val="23"/>
                <w:lang w:val="fr-CA"/>
              </w:rPr>
            </w:pPr>
            <w:r w:rsidRPr="00F52884">
              <w:rPr>
                <w:rFonts w:cstheme="minorHAnsi"/>
                <w:b/>
                <w:szCs w:val="23"/>
                <w:lang w:val="fr-CA"/>
              </w:rPr>
              <w:t xml:space="preserve">Sous-secteur : </w:t>
            </w:r>
          </w:p>
        </w:tc>
        <w:tc>
          <w:tcPr>
            <w:tcW w:w="8050" w:type="dxa"/>
            <w:gridSpan w:val="2"/>
            <w:tcBorders>
              <w:top w:val="single" w:sz="4" w:space="0" w:color="C0C0C0"/>
              <w:left w:val="single" w:sz="4" w:space="0" w:color="FFFFFF"/>
              <w:bottom w:val="single" w:sz="4" w:space="0" w:color="C0C0C0"/>
              <w:right w:val="nil"/>
            </w:tcBorders>
            <w:vAlign w:val="center"/>
          </w:tcPr>
          <w:p w14:paraId="27E63A3A" w14:textId="5EC2D427" w:rsidR="00B8348C" w:rsidRPr="00F52884" w:rsidRDefault="00DA2ACC" w:rsidP="00DA2ACC">
            <w:pPr>
              <w:spacing w:before="60" w:after="60"/>
              <w:rPr>
                <w:rFonts w:cstheme="minorHAnsi"/>
                <w:szCs w:val="23"/>
                <w:lang w:val="fr-CA"/>
              </w:rPr>
            </w:pPr>
            <w:r w:rsidRPr="00F52884">
              <w:rPr>
                <w:rFonts w:cstheme="minorHAnsi"/>
                <w:szCs w:val="23"/>
                <w:lang w:val="fr-CA"/>
              </w:rPr>
              <w:t>Tous</w:t>
            </w:r>
          </w:p>
        </w:tc>
      </w:tr>
      <w:tr w:rsidR="00B8348C" w:rsidRPr="0068240F" w14:paraId="533708C7" w14:textId="77777777" w:rsidTr="00DA2ACC">
        <w:trPr>
          <w:gridAfter w:val="1"/>
          <w:wAfter w:w="398"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59059C7" w14:textId="14C82AEB" w:rsidR="00B8348C" w:rsidRPr="00F52884" w:rsidRDefault="00B8348C" w:rsidP="00DA2ACC">
            <w:pPr>
              <w:spacing w:before="60" w:after="60"/>
              <w:rPr>
                <w:rFonts w:cstheme="minorHAnsi"/>
                <w:b/>
                <w:szCs w:val="23"/>
                <w:lang w:val="fr-CA"/>
              </w:rPr>
            </w:pPr>
            <w:r w:rsidRPr="00F52884">
              <w:rPr>
                <w:rFonts w:cstheme="minorHAnsi"/>
                <w:b/>
                <w:szCs w:val="23"/>
                <w:lang w:val="fr-CA"/>
              </w:rPr>
              <w:t>Classification de l’industrie :</w:t>
            </w:r>
            <w:r w:rsidRPr="00F52884">
              <w:rPr>
                <w:rFonts w:cstheme="minorHAnsi"/>
                <w:szCs w:val="23"/>
                <w:lang w:val="fr-CA"/>
              </w:rPr>
              <w:t xml:space="preserve"> </w:t>
            </w:r>
          </w:p>
        </w:tc>
        <w:tc>
          <w:tcPr>
            <w:tcW w:w="7652" w:type="dxa"/>
            <w:tcBorders>
              <w:top w:val="single" w:sz="4" w:space="0" w:color="C0C0C0"/>
              <w:left w:val="single" w:sz="4" w:space="0" w:color="FFFFFF"/>
              <w:bottom w:val="single" w:sz="4" w:space="0" w:color="C0C0C0"/>
              <w:right w:val="nil"/>
            </w:tcBorders>
            <w:vAlign w:val="center"/>
          </w:tcPr>
          <w:p w14:paraId="7DD0ED92" w14:textId="3232CA95" w:rsidR="00B8348C" w:rsidRPr="00F52884" w:rsidRDefault="00DA2ACC" w:rsidP="00DA2ACC">
            <w:pPr>
              <w:spacing w:before="60" w:after="60"/>
              <w:ind w:left="28" w:hanging="28"/>
              <w:rPr>
                <w:rFonts w:cstheme="minorHAnsi"/>
                <w:szCs w:val="23"/>
                <w:lang w:val="fr-CA"/>
              </w:rPr>
            </w:pPr>
            <w:r w:rsidRPr="00F52884">
              <w:rPr>
                <w:rFonts w:cstheme="minorHAnsi"/>
                <w:szCs w:val="23"/>
                <w:lang w:val="fr-CA"/>
              </w:rPr>
              <w:t>CPC 01, 02, 04, 21, 22, 23, 8811 (</w:t>
            </w:r>
            <w:r w:rsidRPr="00F52884">
              <w:rPr>
                <w:rFonts w:cstheme="minorHAnsi"/>
                <w:szCs w:val="23"/>
                <w:shd w:val="clear" w:color="auto" w:fill="FFFFFF"/>
                <w:lang w:val="fr-CA"/>
              </w:rPr>
              <w:t>à l’exception de la location d’équipement agricole avec opérateur)</w:t>
            </w:r>
            <w:r w:rsidRPr="00F52884">
              <w:rPr>
                <w:rFonts w:cstheme="minorHAnsi"/>
                <w:szCs w:val="23"/>
                <w:lang w:val="fr-CA"/>
              </w:rPr>
              <w:t>, 8812, 882</w:t>
            </w:r>
          </w:p>
        </w:tc>
      </w:tr>
      <w:tr w:rsidR="00DA2ACC" w:rsidRPr="0068240F" w14:paraId="3E5FEC37" w14:textId="77777777" w:rsidTr="00DA2ACC">
        <w:trPr>
          <w:trHeight w:val="42"/>
          <w:jc w:val="center"/>
        </w:trPr>
        <w:tc>
          <w:tcPr>
            <w:tcW w:w="2250" w:type="dxa"/>
            <w:tcBorders>
              <w:top w:val="single" w:sz="4" w:space="0" w:color="C0C0C0"/>
              <w:left w:val="nil"/>
              <w:bottom w:val="single" w:sz="4" w:space="0" w:color="C0C0C0"/>
            </w:tcBorders>
          </w:tcPr>
          <w:p w14:paraId="2746972B" w14:textId="77777777" w:rsidR="00DA2ACC" w:rsidRPr="00F52884" w:rsidRDefault="00DA2ACC" w:rsidP="00DA2AC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sz w:val="23"/>
                <w:szCs w:val="23"/>
                <w:lang w:val="fr-CA"/>
              </w:rPr>
              <w:t xml:space="preserve">Type d’exception : </w:t>
            </w:r>
          </w:p>
        </w:tc>
        <w:tc>
          <w:tcPr>
            <w:tcW w:w="8050" w:type="dxa"/>
            <w:gridSpan w:val="2"/>
            <w:tcBorders>
              <w:top w:val="single" w:sz="4" w:space="0" w:color="C0C0C0"/>
              <w:left w:val="nil"/>
              <w:bottom w:val="single" w:sz="4" w:space="0" w:color="C0C0C0"/>
            </w:tcBorders>
          </w:tcPr>
          <w:p w14:paraId="0158952F" w14:textId="2E3546DB" w:rsidR="00DA2ACC" w:rsidRPr="00F52884" w:rsidRDefault="00DA2ACC" w:rsidP="00DA2ACC">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 xml:space="preserve">Article 301 (Droit d’entrée et de sortie), article 307 (Accès au </w:t>
            </w:r>
            <w:proofErr w:type="gramStart"/>
            <w:r w:rsidRPr="00F52884">
              <w:rPr>
                <w:rFonts w:asciiTheme="minorHAnsi" w:hAnsiTheme="minorHAnsi" w:cstheme="minorHAnsi"/>
                <w:sz w:val="23"/>
                <w:szCs w:val="23"/>
                <w:lang w:val="fr-CA"/>
              </w:rPr>
              <w:t>marché  ̶</w:t>
            </w:r>
            <w:proofErr w:type="gramEnd"/>
            <w:r w:rsidRPr="00F52884">
              <w:rPr>
                <w:rFonts w:asciiTheme="minorHAnsi" w:hAnsiTheme="minorHAnsi" w:cstheme="minorHAnsi"/>
                <w:sz w:val="23"/>
                <w:szCs w:val="23"/>
                <w:lang w:val="fr-CA"/>
              </w:rPr>
              <w:t xml:space="preserve">  Services), article 312 (Accès au marché  ̶  Investissement).</w:t>
            </w:r>
          </w:p>
        </w:tc>
      </w:tr>
      <w:tr w:rsidR="00B8348C" w:rsidRPr="00F52884" w14:paraId="6ED51E90"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0F5C00B" w14:textId="77777777" w:rsidR="00B8348C" w:rsidRPr="00F52884" w:rsidRDefault="00B8348C" w:rsidP="00DA2ACC">
            <w:pPr>
              <w:pStyle w:val="RequirementsList"/>
              <w:numPr>
                <w:ilvl w:val="0"/>
                <w:numId w:val="0"/>
              </w:numPr>
              <w:spacing w:before="60" w:after="60" w:line="240" w:lineRule="auto"/>
              <w:ind w:left="288" w:hanging="288"/>
              <w:rPr>
                <w:rFonts w:asciiTheme="minorHAnsi" w:hAnsiTheme="minorHAnsi" w:cstheme="minorHAnsi"/>
                <w:sz w:val="23"/>
                <w:szCs w:val="23"/>
                <w:lang w:val="fr-CA" w:eastAsia="fr-CA"/>
              </w:rPr>
            </w:pPr>
            <w:r w:rsidRPr="00F52884">
              <w:rPr>
                <w:rFonts w:asciiTheme="minorHAnsi" w:hAnsiTheme="minorHAnsi" w:cstheme="minorHAnsi"/>
                <w:b/>
                <w:sz w:val="23"/>
                <w:szCs w:val="23"/>
                <w:lang w:val="fr-CA"/>
              </w:rPr>
              <w:t xml:space="preserve">Description : </w:t>
            </w:r>
          </w:p>
        </w:tc>
      </w:tr>
      <w:tr w:rsidR="00B8348C" w:rsidRPr="0068240F" w14:paraId="08F83CD7" w14:textId="77777777" w:rsidTr="00DA2ACC">
        <w:trPr>
          <w:trHeight w:val="120"/>
          <w:jc w:val="center"/>
        </w:trPr>
        <w:tc>
          <w:tcPr>
            <w:tcW w:w="10300" w:type="dxa"/>
            <w:gridSpan w:val="3"/>
            <w:tcBorders>
              <w:top w:val="single" w:sz="4" w:space="0" w:color="C0C0C0"/>
              <w:left w:val="single" w:sz="4" w:space="0" w:color="C0C0C0"/>
              <w:bottom w:val="single" w:sz="4" w:space="0" w:color="C0C0C0"/>
              <w:right w:val="single" w:sz="4" w:space="0" w:color="C0C0C0"/>
            </w:tcBorders>
          </w:tcPr>
          <w:p w14:paraId="01027FD7" w14:textId="04496A16"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shd w:val="clear" w:color="auto" w:fill="FFFFFF"/>
                <w:lang w:val="fr-CA"/>
              </w:rPr>
            </w:pPr>
            <w:r w:rsidRPr="00F52884">
              <w:rPr>
                <w:rFonts w:asciiTheme="minorHAnsi" w:hAnsiTheme="minorHAnsi" w:cstheme="minorHAnsi"/>
                <w:sz w:val="23"/>
                <w:szCs w:val="23"/>
                <w:shd w:val="clear" w:color="auto" w:fill="FFFFFF"/>
                <w:lang w:val="fr-CA"/>
              </w:rPr>
              <w:t>Le Québec se réserve le droit d’adopter ou de maintenir toute mesure relative à la production, au transfert de bien ou de propriété, à la transformation et à la mise en marché collective des produits de l’aquaculture, des produits marins et des produits de la pêche.</w:t>
            </w:r>
          </w:p>
          <w:p w14:paraId="57EF0DFB" w14:textId="7777777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sz w:val="23"/>
                <w:szCs w:val="23"/>
                <w:shd w:val="clear" w:color="auto" w:fill="FFFFFF"/>
                <w:lang w:val="fr-CA"/>
              </w:rPr>
              <w:t>Le Québec se réserve aussi le droit d’adopter ou de maintenir toute mesure relative à la délivrance de permis tel que le prévoit la</w:t>
            </w:r>
            <w:r w:rsidRPr="00F52884">
              <w:rPr>
                <w:rStyle w:val="apple-converted-space"/>
                <w:rFonts w:asciiTheme="minorHAnsi" w:hAnsiTheme="minorHAnsi" w:cstheme="minorHAnsi"/>
                <w:b/>
                <w:sz w:val="23"/>
                <w:szCs w:val="23"/>
                <w:shd w:val="clear" w:color="auto" w:fill="FFFFFF"/>
                <w:lang w:val="fr-CA"/>
              </w:rPr>
              <w:t xml:space="preserve"> </w:t>
            </w:r>
            <w:r w:rsidRPr="00F52884">
              <w:rPr>
                <w:rStyle w:val="Emphasis"/>
                <w:rFonts w:asciiTheme="minorHAnsi" w:hAnsiTheme="minorHAnsi" w:cstheme="minorHAnsi"/>
                <w:b w:val="0"/>
                <w:sz w:val="23"/>
                <w:szCs w:val="23"/>
                <w:shd w:val="clear" w:color="auto" w:fill="FFFFFF"/>
                <w:lang w:val="fr-CA"/>
              </w:rPr>
              <w:t>Loi sur les produits alimentaires</w:t>
            </w:r>
            <w:r w:rsidRPr="00F52884">
              <w:rPr>
                <w:rFonts w:asciiTheme="minorHAnsi" w:hAnsiTheme="minorHAnsi" w:cstheme="minorHAnsi"/>
                <w:b/>
                <w:sz w:val="23"/>
                <w:szCs w:val="23"/>
                <w:shd w:val="clear" w:color="auto" w:fill="FFFFFF"/>
                <w:lang w:val="fr-CA"/>
              </w:rPr>
              <w:t>.</w:t>
            </w:r>
          </w:p>
        </w:tc>
      </w:tr>
      <w:tr w:rsidR="00B8348C" w:rsidRPr="0068240F" w14:paraId="3961371A"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642BD34" w14:textId="4CEC1DE5" w:rsidR="00B8348C" w:rsidRPr="00F52884" w:rsidRDefault="00B8348C" w:rsidP="00DA2ACC">
            <w:pPr>
              <w:pStyle w:val="NoSpacing"/>
              <w:spacing w:before="60" w:after="60"/>
              <w:rPr>
                <w:rFonts w:cstheme="minorHAnsi"/>
                <w:caps/>
                <w:sz w:val="23"/>
                <w:szCs w:val="23"/>
                <w:lang w:val="fr-CA" w:eastAsia="fr-CA"/>
              </w:rPr>
            </w:pPr>
            <w:r w:rsidRPr="00F52884">
              <w:rPr>
                <w:rFonts w:cstheme="minorHAnsi"/>
                <w:b/>
                <w:sz w:val="23"/>
                <w:szCs w:val="23"/>
                <w:lang w:val="fr-CA" w:eastAsia="fr-CA"/>
              </w:rPr>
              <w:t>Mesures existantes :</w:t>
            </w:r>
            <w:r w:rsidRPr="00F52884">
              <w:rPr>
                <w:rFonts w:cstheme="minorHAnsi"/>
                <w:caps/>
                <w:sz w:val="23"/>
                <w:szCs w:val="23"/>
                <w:lang w:val="fr-CA" w:eastAsia="fr-CA"/>
              </w:rPr>
              <w:t>(</w:t>
            </w:r>
            <w:r w:rsidRPr="00F52884">
              <w:rPr>
                <w:rFonts w:cstheme="minorHAnsi"/>
                <w:sz w:val="23"/>
                <w:szCs w:val="23"/>
                <w:lang w:val="fr-CA" w:eastAsia="fr-CA"/>
              </w:rPr>
              <w:t>Fourni à des fins illustratives)</w:t>
            </w:r>
          </w:p>
        </w:tc>
      </w:tr>
      <w:tr w:rsidR="00B8348C" w:rsidRPr="0068240F" w14:paraId="4830ADDC"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auto"/>
          </w:tcPr>
          <w:p w14:paraId="618BB7A9" w14:textId="538F9D66"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les produits alimentaires</w:t>
            </w:r>
            <w:r w:rsidRPr="00F52884">
              <w:rPr>
                <w:rFonts w:asciiTheme="minorHAnsi" w:hAnsiTheme="minorHAnsi" w:cstheme="minorHAnsi"/>
                <w:b/>
                <w:szCs w:val="23"/>
                <w:lang w:val="fr-CA"/>
              </w:rPr>
              <w:t xml:space="preserve">, </w:t>
            </w:r>
            <w:r w:rsidRPr="00F52884">
              <w:rPr>
                <w:rFonts w:asciiTheme="minorHAnsi" w:hAnsiTheme="minorHAnsi" w:cstheme="minorHAnsi"/>
                <w:szCs w:val="23"/>
                <w:lang w:val="fr-CA"/>
              </w:rPr>
              <w:t>RLRQ c P-29</w:t>
            </w:r>
          </w:p>
          <w:p w14:paraId="4811B8B8" w14:textId="68BF8F1C"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visant la régularisation et le développement d’abattoirs de proximité</w:t>
            </w:r>
            <w:r w:rsidRPr="00F52884">
              <w:rPr>
                <w:rFonts w:asciiTheme="minorHAnsi" w:hAnsiTheme="minorHAnsi" w:cstheme="minorHAnsi"/>
                <w:b/>
                <w:szCs w:val="23"/>
                <w:lang w:val="fr-CA"/>
              </w:rPr>
              <w:t xml:space="preserve">, </w:t>
            </w:r>
            <w:r w:rsidRPr="00F52884">
              <w:rPr>
                <w:rFonts w:asciiTheme="minorHAnsi" w:hAnsiTheme="minorHAnsi" w:cstheme="minorHAnsi"/>
                <w:szCs w:val="23"/>
                <w:lang w:val="fr-CA"/>
              </w:rPr>
              <w:t>RLRQ c R-19.1</w:t>
            </w:r>
          </w:p>
          <w:p w14:paraId="6AE83B04" w14:textId="565F6C79"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la mise en marché des produits agricoles, alimentaires et de la pêche</w:t>
            </w:r>
            <w:r w:rsidRPr="00F52884">
              <w:rPr>
                <w:rFonts w:asciiTheme="minorHAnsi" w:hAnsiTheme="minorHAnsi" w:cstheme="minorHAnsi"/>
                <w:szCs w:val="23"/>
                <w:lang w:val="fr-CA"/>
              </w:rPr>
              <w:t xml:space="preserve">, </w:t>
            </w:r>
            <w:proofErr w:type="spellStart"/>
            <w:r w:rsidRPr="00F52884">
              <w:rPr>
                <w:rFonts w:asciiTheme="minorHAnsi" w:hAnsiTheme="minorHAnsi" w:cstheme="minorHAnsi"/>
                <w:szCs w:val="23"/>
                <w:lang w:val="fr-CA"/>
              </w:rPr>
              <w:t>RLRQc</w:t>
            </w:r>
            <w:proofErr w:type="spellEnd"/>
            <w:r w:rsidRPr="00F52884">
              <w:rPr>
                <w:rFonts w:asciiTheme="minorHAnsi" w:hAnsiTheme="minorHAnsi" w:cstheme="minorHAnsi"/>
                <w:szCs w:val="23"/>
                <w:lang w:val="fr-CA"/>
              </w:rPr>
              <w:t xml:space="preserve"> M-35.1</w:t>
            </w:r>
          </w:p>
          <w:p w14:paraId="6A2CEFED" w14:textId="6830A971"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la commercialisation des produits marins</w:t>
            </w:r>
            <w:r w:rsidRPr="00F52884">
              <w:rPr>
                <w:rFonts w:asciiTheme="minorHAnsi" w:hAnsiTheme="minorHAnsi" w:cstheme="minorHAnsi"/>
                <w:szCs w:val="23"/>
                <w:lang w:val="fr-CA"/>
              </w:rPr>
              <w:t>, RLRQ c C-32.1</w:t>
            </w:r>
          </w:p>
          <w:p w14:paraId="58FD5174" w14:textId="342E640B"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la transformation des produits marins</w:t>
            </w:r>
            <w:r w:rsidRPr="00F52884">
              <w:rPr>
                <w:rFonts w:asciiTheme="minorHAnsi" w:hAnsiTheme="minorHAnsi" w:cstheme="minorHAnsi"/>
                <w:szCs w:val="23"/>
                <w:lang w:val="fr-CA"/>
              </w:rPr>
              <w:t>, RLRQ c T-11.01</w:t>
            </w:r>
          </w:p>
          <w:p w14:paraId="092AC0BC" w14:textId="67978C6D"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b/>
                <w:szCs w:val="23"/>
                <w:lang w:val="fr-CA"/>
              </w:rPr>
            </w:pPr>
            <w:r w:rsidRPr="00F52884">
              <w:rPr>
                <w:rStyle w:val="Emphasis"/>
                <w:rFonts w:asciiTheme="minorHAnsi" w:hAnsiTheme="minorHAnsi" w:cstheme="minorHAnsi"/>
                <w:b w:val="0"/>
                <w:szCs w:val="23"/>
                <w:lang w:val="fr-CA"/>
              </w:rPr>
              <w:t xml:space="preserve">Loi sur l’aquaculture commerciale, </w:t>
            </w:r>
            <w:r w:rsidRPr="00F52884">
              <w:rPr>
                <w:rFonts w:asciiTheme="minorHAnsi" w:hAnsiTheme="minorHAnsi" w:cstheme="minorHAnsi"/>
                <w:szCs w:val="23"/>
                <w:lang w:val="fr-CA"/>
              </w:rPr>
              <w:t>RLRQ</w:t>
            </w:r>
            <w:r w:rsidRPr="00F52884">
              <w:rPr>
                <w:rStyle w:val="Emphasis"/>
                <w:rFonts w:asciiTheme="minorHAnsi" w:hAnsiTheme="minorHAnsi" w:cstheme="minorHAnsi"/>
                <w:b w:val="0"/>
                <w:szCs w:val="23"/>
                <w:lang w:val="fr-CA"/>
              </w:rPr>
              <w:t xml:space="preserve"> </w:t>
            </w:r>
            <w:r w:rsidRPr="00F52884">
              <w:rPr>
                <w:rStyle w:val="Emphasis"/>
                <w:rFonts w:asciiTheme="minorHAnsi" w:hAnsiTheme="minorHAnsi" w:cstheme="minorHAnsi"/>
                <w:b w:val="0"/>
                <w:i w:val="0"/>
                <w:szCs w:val="23"/>
                <w:lang w:val="fr-CA"/>
              </w:rPr>
              <w:t>c A-20.2</w:t>
            </w:r>
          </w:p>
        </w:tc>
      </w:tr>
    </w:tbl>
    <w:p w14:paraId="0E8AA84B" w14:textId="77777777" w:rsidR="00B8348C" w:rsidRPr="00F52884" w:rsidRDefault="00B8348C" w:rsidP="00C17162">
      <w:pPr>
        <w:rPr>
          <w:rFonts w:cstheme="minorHAnsi"/>
          <w:b/>
          <w:szCs w:val="23"/>
          <w:lang w:val="fr-CA"/>
        </w:rPr>
      </w:pPr>
    </w:p>
    <w:p w14:paraId="7866F0C7" w14:textId="77777777" w:rsidR="00B8348C" w:rsidRPr="00F52884" w:rsidRDefault="00B8348C" w:rsidP="00C17162">
      <w:pPr>
        <w:rPr>
          <w:rFonts w:cstheme="minorHAnsi"/>
          <w:b/>
          <w:szCs w:val="23"/>
          <w:lang w:val="fr-CA"/>
        </w:rPr>
      </w:pPr>
    </w:p>
    <w:p w14:paraId="202FF097" w14:textId="5C940BD4" w:rsidR="00B8348C" w:rsidRPr="00F52884" w:rsidRDefault="00DA2ACC" w:rsidP="00DA2ACC">
      <w:pPr>
        <w:pStyle w:val="ListParagraph"/>
        <w:spacing w:before="60" w:after="60"/>
        <w:ind w:left="-360"/>
        <w:rPr>
          <w:rFonts w:cstheme="minorHAnsi"/>
          <w:b/>
          <w:szCs w:val="23"/>
          <w:lang w:val="fr-CA"/>
        </w:rPr>
      </w:pPr>
      <w:r w:rsidRPr="00F52884">
        <w:rPr>
          <w:rFonts w:cstheme="minorHAnsi"/>
          <w:b/>
          <w:szCs w:val="23"/>
          <w:lang w:val="fr-CA"/>
        </w:rPr>
        <w:t xml:space="preserve">2.  </w:t>
      </w:r>
      <w:r w:rsidR="00B8348C" w:rsidRPr="00F52884">
        <w:rPr>
          <w:rFonts w:cstheme="minorHAnsi"/>
          <w:b/>
          <w:szCs w:val="23"/>
          <w:lang w:val="fr-CA"/>
        </w:rPr>
        <w:t>QUÉBEC</w:t>
      </w:r>
    </w:p>
    <w:tbl>
      <w:tblPr>
        <w:tblW w:w="10300" w:type="dxa"/>
        <w:jc w:val="center"/>
        <w:tblCellMar>
          <w:top w:w="14" w:type="dxa"/>
          <w:left w:w="86" w:type="dxa"/>
          <w:bottom w:w="14" w:type="dxa"/>
          <w:right w:w="86" w:type="dxa"/>
        </w:tblCellMar>
        <w:tblLook w:val="0000" w:firstRow="0" w:lastRow="0" w:firstColumn="0" w:lastColumn="0" w:noHBand="0" w:noVBand="0"/>
      </w:tblPr>
      <w:tblGrid>
        <w:gridCol w:w="2250"/>
        <w:gridCol w:w="7625"/>
        <w:gridCol w:w="425"/>
      </w:tblGrid>
      <w:tr w:rsidR="00B8348C" w:rsidRPr="00F52884" w14:paraId="677E9F9E"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6A2D92B7" w14:textId="46A2EE14" w:rsidR="00B8348C" w:rsidRPr="00F52884" w:rsidRDefault="00B8348C" w:rsidP="00DA2ACC">
            <w:pPr>
              <w:spacing w:before="60" w:after="60"/>
              <w:rPr>
                <w:rFonts w:cstheme="minorHAnsi"/>
                <w:b/>
                <w:szCs w:val="23"/>
                <w:lang w:val="fr-CA"/>
              </w:rPr>
            </w:pPr>
            <w:r w:rsidRPr="00F52884">
              <w:rPr>
                <w:rFonts w:cstheme="minorHAnsi"/>
                <w:b/>
                <w:szCs w:val="23"/>
                <w:lang w:val="fr-CA"/>
              </w:rPr>
              <w:t>Secteur :</w:t>
            </w:r>
            <w:r w:rsidRPr="00F52884">
              <w:rPr>
                <w:rFonts w:cstheme="minorHAnsi"/>
                <w:szCs w:val="23"/>
                <w:lang w:val="fr-CA"/>
              </w:rPr>
              <w:t xml:space="preserve"> </w:t>
            </w:r>
          </w:p>
        </w:tc>
        <w:tc>
          <w:tcPr>
            <w:tcW w:w="8050" w:type="dxa"/>
            <w:gridSpan w:val="2"/>
            <w:tcBorders>
              <w:top w:val="single" w:sz="4" w:space="0" w:color="C0C0C0"/>
              <w:left w:val="single" w:sz="4" w:space="0" w:color="FFFFFF"/>
              <w:bottom w:val="single" w:sz="4" w:space="0" w:color="C0C0C0"/>
              <w:right w:val="nil"/>
            </w:tcBorders>
            <w:vAlign w:val="center"/>
          </w:tcPr>
          <w:p w14:paraId="716269B8" w14:textId="576AD4E3" w:rsidR="00B8348C" w:rsidRPr="00F52884" w:rsidRDefault="00DA2ACC" w:rsidP="00DA2ACC">
            <w:pPr>
              <w:spacing w:before="60" w:after="60"/>
              <w:rPr>
                <w:rFonts w:cstheme="minorHAnsi"/>
                <w:szCs w:val="23"/>
                <w:lang w:val="fr-CA"/>
              </w:rPr>
            </w:pPr>
            <w:r w:rsidRPr="00F52884">
              <w:rPr>
                <w:rFonts w:cstheme="minorHAnsi"/>
                <w:szCs w:val="23"/>
                <w:lang w:val="fr-CA"/>
              </w:rPr>
              <w:t>Foresterie</w:t>
            </w:r>
          </w:p>
        </w:tc>
      </w:tr>
      <w:tr w:rsidR="00B8348C" w:rsidRPr="00F52884" w14:paraId="586C7B9F"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7FBE6043" w14:textId="435F2EAF" w:rsidR="00B8348C" w:rsidRPr="00F52884" w:rsidRDefault="00B8348C" w:rsidP="00DA2ACC">
            <w:pPr>
              <w:spacing w:before="60" w:after="60"/>
              <w:rPr>
                <w:rFonts w:cstheme="minorHAnsi"/>
                <w:b/>
                <w:szCs w:val="23"/>
                <w:lang w:val="fr-CA"/>
              </w:rPr>
            </w:pPr>
            <w:r w:rsidRPr="00F52884">
              <w:rPr>
                <w:rFonts w:cstheme="minorHAnsi"/>
                <w:b/>
                <w:szCs w:val="23"/>
                <w:lang w:val="fr-CA"/>
              </w:rPr>
              <w:t xml:space="preserve">Sous-secteur : </w:t>
            </w:r>
          </w:p>
        </w:tc>
        <w:tc>
          <w:tcPr>
            <w:tcW w:w="8050" w:type="dxa"/>
            <w:gridSpan w:val="2"/>
            <w:tcBorders>
              <w:top w:val="single" w:sz="4" w:space="0" w:color="C0C0C0"/>
              <w:left w:val="single" w:sz="4" w:space="0" w:color="FFFFFF"/>
              <w:bottom w:val="single" w:sz="4" w:space="0" w:color="C0C0C0"/>
              <w:right w:val="nil"/>
            </w:tcBorders>
            <w:vAlign w:val="center"/>
          </w:tcPr>
          <w:p w14:paraId="457FF1CF" w14:textId="61C5A44F" w:rsidR="00B8348C" w:rsidRPr="00F52884" w:rsidRDefault="00DA2ACC" w:rsidP="00DA2ACC">
            <w:pPr>
              <w:spacing w:before="60" w:after="60"/>
              <w:rPr>
                <w:rFonts w:cstheme="minorHAnsi"/>
                <w:szCs w:val="23"/>
                <w:lang w:val="fr-CA"/>
              </w:rPr>
            </w:pPr>
            <w:r w:rsidRPr="00F52884">
              <w:rPr>
                <w:rFonts w:cstheme="minorHAnsi"/>
                <w:szCs w:val="23"/>
                <w:lang w:val="fr-CA"/>
              </w:rPr>
              <w:t>Tous</w:t>
            </w:r>
          </w:p>
        </w:tc>
      </w:tr>
      <w:tr w:rsidR="00B8348C" w:rsidRPr="00F52884" w14:paraId="76F251F8" w14:textId="77777777" w:rsidTr="00DA2ACC">
        <w:trPr>
          <w:gridAfter w:val="1"/>
          <w:wAfter w:w="425"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54CF7267" w14:textId="4D1AA9D3" w:rsidR="00B8348C" w:rsidRPr="00F52884" w:rsidRDefault="00B8348C" w:rsidP="00DA2ACC">
            <w:pPr>
              <w:spacing w:before="60" w:after="60"/>
              <w:rPr>
                <w:rFonts w:cstheme="minorHAnsi"/>
                <w:b/>
                <w:szCs w:val="23"/>
                <w:lang w:val="fr-CA"/>
              </w:rPr>
            </w:pPr>
            <w:r w:rsidRPr="00F52884">
              <w:rPr>
                <w:rFonts w:cstheme="minorHAnsi"/>
                <w:b/>
                <w:szCs w:val="23"/>
                <w:lang w:val="fr-CA"/>
              </w:rPr>
              <w:t>Classification de l’industrie :</w:t>
            </w:r>
            <w:r w:rsidRPr="00F52884">
              <w:rPr>
                <w:rFonts w:cstheme="minorHAnsi"/>
                <w:szCs w:val="23"/>
                <w:lang w:val="fr-CA"/>
              </w:rPr>
              <w:t xml:space="preserve"> </w:t>
            </w:r>
          </w:p>
        </w:tc>
        <w:tc>
          <w:tcPr>
            <w:tcW w:w="7625" w:type="dxa"/>
            <w:tcBorders>
              <w:top w:val="single" w:sz="4" w:space="0" w:color="C0C0C0"/>
              <w:left w:val="single" w:sz="4" w:space="0" w:color="FFFFFF"/>
              <w:bottom w:val="single" w:sz="4" w:space="0" w:color="C0C0C0"/>
              <w:right w:val="nil"/>
            </w:tcBorders>
            <w:vAlign w:val="center"/>
          </w:tcPr>
          <w:p w14:paraId="3564CBFC" w14:textId="25DFFF2F" w:rsidR="00B8348C" w:rsidRPr="00F52884" w:rsidRDefault="00DA2ACC" w:rsidP="00DA2ACC">
            <w:pPr>
              <w:spacing w:before="60" w:after="60"/>
              <w:ind w:left="28" w:hanging="28"/>
              <w:rPr>
                <w:rFonts w:cstheme="minorHAnsi"/>
                <w:szCs w:val="23"/>
                <w:lang w:val="fr-CA"/>
              </w:rPr>
            </w:pPr>
            <w:r w:rsidRPr="00F52884">
              <w:rPr>
                <w:rFonts w:cstheme="minorHAnsi"/>
                <w:szCs w:val="23"/>
                <w:lang w:val="fr-CA"/>
              </w:rPr>
              <w:t>CPC 031, 31, 32, 8814</w:t>
            </w:r>
          </w:p>
        </w:tc>
      </w:tr>
      <w:tr w:rsidR="00DA2ACC" w:rsidRPr="0068240F" w14:paraId="24F5AEE1" w14:textId="77777777" w:rsidTr="00DA2ACC">
        <w:trPr>
          <w:trHeight w:val="42"/>
          <w:jc w:val="center"/>
        </w:trPr>
        <w:tc>
          <w:tcPr>
            <w:tcW w:w="2250" w:type="dxa"/>
            <w:tcBorders>
              <w:top w:val="single" w:sz="4" w:space="0" w:color="C0C0C0"/>
              <w:left w:val="nil"/>
              <w:bottom w:val="single" w:sz="4" w:space="0" w:color="C0C0C0"/>
            </w:tcBorders>
          </w:tcPr>
          <w:p w14:paraId="427EDDCB" w14:textId="77777777" w:rsidR="00DA2ACC" w:rsidRPr="00F52884" w:rsidRDefault="00DA2ACC" w:rsidP="00DA2AC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sz w:val="23"/>
                <w:szCs w:val="23"/>
                <w:lang w:val="fr-CA"/>
              </w:rPr>
              <w:t xml:space="preserve">Type d’exception : </w:t>
            </w:r>
          </w:p>
        </w:tc>
        <w:tc>
          <w:tcPr>
            <w:tcW w:w="8050" w:type="dxa"/>
            <w:gridSpan w:val="2"/>
            <w:tcBorders>
              <w:top w:val="single" w:sz="4" w:space="0" w:color="C0C0C0"/>
              <w:left w:val="nil"/>
              <w:bottom w:val="single" w:sz="4" w:space="0" w:color="C0C0C0"/>
            </w:tcBorders>
          </w:tcPr>
          <w:p w14:paraId="493F859D" w14:textId="3745E6D6" w:rsidR="00DA2ACC" w:rsidRPr="00F52884" w:rsidRDefault="00DA2ACC" w:rsidP="00DA2ACC">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 xml:space="preserve">Article 301 (Droit d’entrée et de sortie), article 307 (Accès au </w:t>
            </w:r>
            <w:proofErr w:type="gramStart"/>
            <w:r w:rsidRPr="00F52884">
              <w:rPr>
                <w:rFonts w:asciiTheme="minorHAnsi" w:hAnsiTheme="minorHAnsi" w:cstheme="minorHAnsi"/>
                <w:sz w:val="23"/>
                <w:szCs w:val="23"/>
                <w:lang w:val="fr-CA"/>
              </w:rPr>
              <w:t>marché  ̶</w:t>
            </w:r>
            <w:proofErr w:type="gramEnd"/>
            <w:r w:rsidRPr="00F52884">
              <w:rPr>
                <w:rFonts w:asciiTheme="minorHAnsi" w:hAnsiTheme="minorHAnsi" w:cstheme="minorHAnsi"/>
                <w:sz w:val="23"/>
                <w:szCs w:val="23"/>
                <w:lang w:val="fr-CA"/>
              </w:rPr>
              <w:t xml:space="preserve"> Services, article 312 (Accès au marché  </w:t>
            </w:r>
            <w:r w:rsidRPr="00F52884">
              <w:rPr>
                <w:rFonts w:ascii="Arial" w:hAnsi="Arial" w:cs="Arial"/>
                <w:sz w:val="23"/>
                <w:szCs w:val="23"/>
                <w:lang w:val="fr-CA"/>
              </w:rPr>
              <w:t>̶</w:t>
            </w:r>
            <w:r w:rsidRPr="00F52884">
              <w:rPr>
                <w:rFonts w:asciiTheme="minorHAnsi" w:hAnsiTheme="minorHAnsi" w:cstheme="minorHAnsi"/>
                <w:sz w:val="23"/>
                <w:szCs w:val="23"/>
                <w:lang w:val="fr-CA"/>
              </w:rPr>
              <w:t xml:space="preserve">  Investissement).</w:t>
            </w:r>
          </w:p>
        </w:tc>
      </w:tr>
      <w:tr w:rsidR="00B8348C" w:rsidRPr="00F52884" w14:paraId="1A2F0A20"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042B539" w14:textId="77777777" w:rsidR="00B8348C" w:rsidRPr="00F52884" w:rsidRDefault="00B8348C" w:rsidP="00DA2ACC">
            <w:pPr>
              <w:pStyle w:val="RequirementsList"/>
              <w:numPr>
                <w:ilvl w:val="0"/>
                <w:numId w:val="0"/>
              </w:numPr>
              <w:spacing w:before="60" w:after="60" w:line="240" w:lineRule="auto"/>
              <w:ind w:left="288" w:hanging="288"/>
              <w:rPr>
                <w:rFonts w:asciiTheme="minorHAnsi" w:hAnsiTheme="minorHAnsi" w:cstheme="minorHAnsi"/>
                <w:sz w:val="23"/>
                <w:szCs w:val="23"/>
                <w:lang w:val="fr-CA" w:eastAsia="fr-CA"/>
              </w:rPr>
            </w:pPr>
            <w:r w:rsidRPr="00F52884">
              <w:rPr>
                <w:rFonts w:asciiTheme="minorHAnsi" w:hAnsiTheme="minorHAnsi" w:cstheme="minorHAnsi"/>
                <w:b/>
                <w:sz w:val="23"/>
                <w:szCs w:val="23"/>
                <w:lang w:val="fr-CA"/>
              </w:rPr>
              <w:t xml:space="preserve">Description : </w:t>
            </w:r>
          </w:p>
        </w:tc>
      </w:tr>
      <w:tr w:rsidR="00B8348C" w:rsidRPr="0068240F" w14:paraId="7BDEDC52" w14:textId="77777777" w:rsidTr="00DA2ACC">
        <w:trPr>
          <w:trHeight w:val="120"/>
          <w:jc w:val="center"/>
        </w:trPr>
        <w:tc>
          <w:tcPr>
            <w:tcW w:w="10300" w:type="dxa"/>
            <w:gridSpan w:val="3"/>
            <w:tcBorders>
              <w:top w:val="single" w:sz="4" w:space="0" w:color="C0C0C0"/>
              <w:left w:val="single" w:sz="4" w:space="0" w:color="C0C0C0"/>
              <w:bottom w:val="single" w:sz="4" w:space="0" w:color="C0C0C0"/>
              <w:right w:val="single" w:sz="4" w:space="0" w:color="C0C0C0"/>
            </w:tcBorders>
          </w:tcPr>
          <w:p w14:paraId="19A42CDE" w14:textId="7777777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lastRenderedPageBreak/>
              <w:t xml:space="preserve">Le Québec se réserve le droit d’adopter ou de maintenir toute mesure relative à la foresterie. Ceci inclut: l’aménagement, l’accès, l’exploitation, la mise en marché ou la transformation des ressources forestières et des produits qui en découlent (incluant la biomasse et les matières non ligneuses), ainsi que le transport </w:t>
            </w:r>
            <w:proofErr w:type="gramStart"/>
            <w:r w:rsidRPr="00F52884">
              <w:rPr>
                <w:rFonts w:asciiTheme="minorHAnsi" w:hAnsiTheme="minorHAnsi" w:cstheme="minorHAnsi"/>
                <w:sz w:val="23"/>
                <w:szCs w:val="23"/>
                <w:lang w:val="fr-CA"/>
              </w:rPr>
              <w:t>et  l’approvisionnement</w:t>
            </w:r>
            <w:proofErr w:type="gramEnd"/>
            <w:r w:rsidRPr="00F52884">
              <w:rPr>
                <w:rFonts w:asciiTheme="minorHAnsi" w:hAnsiTheme="minorHAnsi" w:cstheme="minorHAnsi"/>
                <w:sz w:val="23"/>
                <w:szCs w:val="23"/>
                <w:lang w:val="fr-CA"/>
              </w:rPr>
              <w:t xml:space="preserve"> des usines de transformation du bois, etc. </w:t>
            </w:r>
          </w:p>
          <w:p w14:paraId="4A5A0E2E" w14:textId="0FB57DDB"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 xml:space="preserve">Ces mesures incluent également l’imposition d’examens d’intérêt public ou la prise en considération de facteurs socio-économiques. </w:t>
            </w:r>
          </w:p>
        </w:tc>
      </w:tr>
      <w:tr w:rsidR="00B8348C" w:rsidRPr="0068240F" w14:paraId="21F2AAC8"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FB7317F" w14:textId="40A9F36E" w:rsidR="00B8348C" w:rsidRPr="00F52884" w:rsidRDefault="00B8348C" w:rsidP="00DA2ACC">
            <w:pPr>
              <w:pStyle w:val="NoSpacing"/>
              <w:spacing w:before="60" w:after="60"/>
              <w:rPr>
                <w:rFonts w:cstheme="minorHAnsi"/>
                <w:caps/>
                <w:sz w:val="23"/>
                <w:szCs w:val="23"/>
                <w:lang w:val="fr-CA" w:eastAsia="fr-CA"/>
              </w:rPr>
            </w:pPr>
            <w:r w:rsidRPr="00F52884">
              <w:rPr>
                <w:rFonts w:cstheme="minorHAnsi"/>
                <w:b/>
                <w:sz w:val="23"/>
                <w:szCs w:val="23"/>
                <w:lang w:val="fr-CA" w:eastAsia="fr-CA"/>
              </w:rPr>
              <w:t>Mesures existantes :</w:t>
            </w:r>
            <w:r w:rsidRPr="00F52884">
              <w:rPr>
                <w:rFonts w:cstheme="minorHAnsi"/>
                <w:sz w:val="23"/>
                <w:szCs w:val="23"/>
                <w:lang w:val="fr-CA" w:eastAsia="fr-CA"/>
              </w:rPr>
              <w:t xml:space="preserve"> (Fourni à des fins illustratives)</w:t>
            </w:r>
          </w:p>
        </w:tc>
      </w:tr>
      <w:tr w:rsidR="00B8348C" w:rsidRPr="0068240F" w14:paraId="035E3174"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auto"/>
          </w:tcPr>
          <w:p w14:paraId="758E85BB" w14:textId="5981DF11"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bCs/>
                <w:i/>
                <w:iCs/>
                <w:sz w:val="23"/>
                <w:szCs w:val="23"/>
                <w:lang w:val="fr-CA"/>
              </w:rPr>
              <w:t>Loi sur l’aménagement durable du territoire forestier</w:t>
            </w:r>
            <w:r w:rsidRPr="00F52884">
              <w:rPr>
                <w:rFonts w:asciiTheme="minorHAnsi" w:hAnsiTheme="minorHAnsi" w:cstheme="minorHAnsi"/>
                <w:sz w:val="23"/>
                <w:szCs w:val="23"/>
                <w:lang w:val="fr-CA"/>
              </w:rPr>
              <w:t>, RLRQ c A-18.1</w:t>
            </w:r>
          </w:p>
          <w:p w14:paraId="77AD5748" w14:textId="44B1D59D"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bCs/>
                <w:i/>
                <w:iCs/>
                <w:sz w:val="23"/>
                <w:szCs w:val="23"/>
                <w:lang w:val="fr-CA"/>
              </w:rPr>
              <w:t>Loi sur le ministère des Ressources naturelles et de la Faune</w:t>
            </w:r>
            <w:r w:rsidRPr="00F52884">
              <w:rPr>
                <w:rFonts w:asciiTheme="minorHAnsi" w:hAnsiTheme="minorHAnsi" w:cstheme="minorHAnsi"/>
                <w:sz w:val="23"/>
                <w:szCs w:val="23"/>
                <w:lang w:val="fr-CA"/>
              </w:rPr>
              <w:t>, RLRQ c M-25.2</w:t>
            </w:r>
          </w:p>
          <w:p w14:paraId="4FFA6B34" w14:textId="0255A240"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i/>
                <w:sz w:val="23"/>
                <w:szCs w:val="23"/>
                <w:lang w:val="fr-CA"/>
              </w:rPr>
              <w:t>Loi sur la mise en marché des produits agricoles, alimentaires et de la pêche</w:t>
            </w:r>
            <w:r w:rsidRPr="00F52884">
              <w:rPr>
                <w:rFonts w:asciiTheme="minorHAnsi" w:hAnsiTheme="minorHAnsi" w:cstheme="minorHAnsi"/>
                <w:sz w:val="23"/>
                <w:szCs w:val="23"/>
                <w:lang w:val="fr-CA"/>
              </w:rPr>
              <w:t>, RLRQ c M-35.1</w:t>
            </w:r>
          </w:p>
          <w:p w14:paraId="54EF8215" w14:textId="2C05916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Fonts w:asciiTheme="minorHAnsi" w:hAnsiTheme="minorHAnsi" w:cstheme="minorHAnsi"/>
                <w:bCs/>
                <w:i/>
                <w:iCs/>
                <w:sz w:val="23"/>
                <w:szCs w:val="23"/>
                <w:lang w:val="fr-CA"/>
              </w:rPr>
              <w:t>Loi sur les transports,</w:t>
            </w:r>
            <w:r w:rsidRPr="00F52884">
              <w:rPr>
                <w:rFonts w:asciiTheme="minorHAnsi" w:hAnsiTheme="minorHAnsi" w:cstheme="minorHAnsi"/>
                <w:sz w:val="23"/>
                <w:szCs w:val="23"/>
                <w:lang w:val="fr-CA"/>
              </w:rPr>
              <w:t> RLRQ c T-12</w:t>
            </w:r>
          </w:p>
        </w:tc>
      </w:tr>
    </w:tbl>
    <w:p w14:paraId="4F9BF01A" w14:textId="77777777" w:rsidR="00B8348C" w:rsidRPr="00F52884" w:rsidRDefault="00B8348C" w:rsidP="00C17162">
      <w:pPr>
        <w:rPr>
          <w:rFonts w:cstheme="minorHAnsi"/>
          <w:b/>
          <w:szCs w:val="23"/>
          <w:lang w:val="fr-CA"/>
        </w:rPr>
      </w:pPr>
    </w:p>
    <w:p w14:paraId="2C5701CB" w14:textId="77777777" w:rsidR="00B8348C" w:rsidRPr="00F52884" w:rsidRDefault="00B8348C" w:rsidP="00C17162">
      <w:pPr>
        <w:rPr>
          <w:rFonts w:cstheme="minorHAnsi"/>
          <w:b/>
          <w:szCs w:val="23"/>
          <w:lang w:val="fr-CA"/>
        </w:rPr>
      </w:pPr>
    </w:p>
    <w:p w14:paraId="20EC9540" w14:textId="5321811F" w:rsidR="00B8348C" w:rsidRPr="00F52884" w:rsidRDefault="00DA2ACC" w:rsidP="00DA2ACC">
      <w:pPr>
        <w:pStyle w:val="ListParagraph"/>
        <w:spacing w:before="60" w:after="60"/>
        <w:ind w:left="-360"/>
        <w:rPr>
          <w:rFonts w:cstheme="minorHAnsi"/>
          <w:b/>
          <w:szCs w:val="23"/>
          <w:lang w:val="fr-CA"/>
        </w:rPr>
      </w:pPr>
      <w:r w:rsidRPr="00F52884">
        <w:rPr>
          <w:rFonts w:cstheme="minorHAnsi"/>
          <w:b/>
          <w:szCs w:val="23"/>
          <w:lang w:val="fr-CA"/>
        </w:rPr>
        <w:t xml:space="preserve">3.  </w:t>
      </w:r>
      <w:r w:rsidR="00B8348C" w:rsidRPr="00F52884">
        <w:rPr>
          <w:rFonts w:cstheme="minorHAnsi"/>
          <w:b/>
          <w:szCs w:val="23"/>
          <w:lang w:val="fr-CA"/>
        </w:rPr>
        <w:t>QUÉBEC</w:t>
      </w:r>
    </w:p>
    <w:tbl>
      <w:tblPr>
        <w:tblW w:w="10300" w:type="dxa"/>
        <w:jc w:val="center"/>
        <w:tblCellMar>
          <w:top w:w="14" w:type="dxa"/>
          <w:left w:w="86" w:type="dxa"/>
          <w:bottom w:w="14" w:type="dxa"/>
          <w:right w:w="86" w:type="dxa"/>
        </w:tblCellMar>
        <w:tblLook w:val="0000" w:firstRow="0" w:lastRow="0" w:firstColumn="0" w:lastColumn="0" w:noHBand="0" w:noVBand="0"/>
      </w:tblPr>
      <w:tblGrid>
        <w:gridCol w:w="2250"/>
        <w:gridCol w:w="7625"/>
        <w:gridCol w:w="425"/>
      </w:tblGrid>
      <w:tr w:rsidR="00B8348C" w:rsidRPr="00F52884" w14:paraId="1863D471"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F267D2F" w14:textId="7268E1B6" w:rsidR="00B8348C" w:rsidRPr="00F52884" w:rsidRDefault="00B8348C" w:rsidP="00DA2ACC">
            <w:pPr>
              <w:spacing w:before="60" w:after="60"/>
              <w:rPr>
                <w:rFonts w:cstheme="minorHAnsi"/>
                <w:b/>
                <w:szCs w:val="23"/>
                <w:lang w:val="fr-CA"/>
              </w:rPr>
            </w:pPr>
            <w:r w:rsidRPr="00F52884">
              <w:rPr>
                <w:rFonts w:cstheme="minorHAnsi"/>
                <w:b/>
                <w:szCs w:val="23"/>
                <w:lang w:val="fr-CA"/>
              </w:rPr>
              <w:t>Secteur :</w:t>
            </w:r>
            <w:r w:rsidRPr="00F52884">
              <w:rPr>
                <w:rFonts w:cstheme="minorHAnsi"/>
                <w:szCs w:val="23"/>
                <w:lang w:val="fr-CA"/>
              </w:rPr>
              <w:t xml:space="preserve"> </w:t>
            </w:r>
          </w:p>
        </w:tc>
        <w:tc>
          <w:tcPr>
            <w:tcW w:w="8050" w:type="dxa"/>
            <w:gridSpan w:val="2"/>
            <w:tcBorders>
              <w:top w:val="single" w:sz="4" w:space="0" w:color="C0C0C0"/>
              <w:left w:val="single" w:sz="4" w:space="0" w:color="FFFFFF"/>
              <w:bottom w:val="single" w:sz="4" w:space="0" w:color="C0C0C0"/>
              <w:right w:val="nil"/>
            </w:tcBorders>
            <w:vAlign w:val="center"/>
          </w:tcPr>
          <w:p w14:paraId="729D521B" w14:textId="7D0FB706" w:rsidR="00B8348C" w:rsidRPr="00F52884" w:rsidRDefault="00DA2ACC" w:rsidP="00DA2ACC">
            <w:pPr>
              <w:spacing w:before="60" w:after="60"/>
              <w:rPr>
                <w:rFonts w:cstheme="minorHAnsi"/>
                <w:szCs w:val="23"/>
                <w:lang w:val="fr-CA"/>
              </w:rPr>
            </w:pPr>
            <w:r w:rsidRPr="00F52884">
              <w:rPr>
                <w:rFonts w:cstheme="minorHAnsi"/>
                <w:szCs w:val="23"/>
                <w:lang w:val="fr-CA"/>
              </w:rPr>
              <w:t>Énergie</w:t>
            </w:r>
          </w:p>
        </w:tc>
      </w:tr>
      <w:tr w:rsidR="00B8348C" w:rsidRPr="0068240F" w14:paraId="6F16012E"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48D9A5A1" w14:textId="09B04496" w:rsidR="00B8348C" w:rsidRPr="00F52884" w:rsidRDefault="00B8348C" w:rsidP="00DA2ACC">
            <w:pPr>
              <w:spacing w:before="60" w:after="60"/>
              <w:rPr>
                <w:rFonts w:cstheme="minorHAnsi"/>
                <w:szCs w:val="23"/>
                <w:lang w:val="fr-CA"/>
              </w:rPr>
            </w:pPr>
            <w:r w:rsidRPr="00F52884">
              <w:rPr>
                <w:rFonts w:cstheme="minorHAnsi"/>
                <w:b/>
                <w:szCs w:val="23"/>
                <w:lang w:val="fr-CA"/>
              </w:rPr>
              <w:t xml:space="preserve">Sous-secteur : </w:t>
            </w:r>
          </w:p>
        </w:tc>
        <w:tc>
          <w:tcPr>
            <w:tcW w:w="8050" w:type="dxa"/>
            <w:gridSpan w:val="2"/>
            <w:tcBorders>
              <w:top w:val="single" w:sz="4" w:space="0" w:color="C0C0C0"/>
              <w:left w:val="single" w:sz="4" w:space="0" w:color="FFFFFF"/>
              <w:bottom w:val="single" w:sz="4" w:space="0" w:color="C0C0C0"/>
              <w:right w:val="nil"/>
            </w:tcBorders>
            <w:vAlign w:val="center"/>
          </w:tcPr>
          <w:p w14:paraId="60B3DC44" w14:textId="5FF1C37A" w:rsidR="00B8348C" w:rsidRPr="00F52884" w:rsidRDefault="00DA2ACC" w:rsidP="00DA2ACC">
            <w:pPr>
              <w:spacing w:before="60" w:after="60"/>
              <w:rPr>
                <w:rFonts w:cstheme="minorHAnsi"/>
                <w:szCs w:val="23"/>
                <w:lang w:val="fr-CA"/>
              </w:rPr>
            </w:pPr>
            <w:r w:rsidRPr="00F52884">
              <w:rPr>
                <w:rFonts w:cstheme="minorHAnsi"/>
                <w:szCs w:val="23"/>
                <w:lang w:val="fr-CA"/>
              </w:rPr>
              <w:t>Électricité et tous les services</w:t>
            </w:r>
          </w:p>
        </w:tc>
      </w:tr>
      <w:tr w:rsidR="00B8348C" w:rsidRPr="00F52884" w14:paraId="371D211C" w14:textId="77777777" w:rsidTr="00DA2ACC">
        <w:trPr>
          <w:gridAfter w:val="1"/>
          <w:wAfter w:w="425"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3A3831CE" w14:textId="0CC2A8A9" w:rsidR="00B8348C" w:rsidRPr="00F52884" w:rsidRDefault="00B8348C" w:rsidP="00DA2ACC">
            <w:pPr>
              <w:spacing w:before="60" w:after="60"/>
              <w:rPr>
                <w:rFonts w:cstheme="minorHAnsi"/>
                <w:b/>
                <w:szCs w:val="23"/>
                <w:lang w:val="fr-CA"/>
              </w:rPr>
            </w:pPr>
            <w:r w:rsidRPr="00F52884">
              <w:rPr>
                <w:rFonts w:cstheme="minorHAnsi"/>
                <w:b/>
                <w:szCs w:val="23"/>
                <w:lang w:val="fr-CA"/>
              </w:rPr>
              <w:t>Classification de l’industrie :</w:t>
            </w:r>
            <w:r w:rsidRPr="00F52884">
              <w:rPr>
                <w:rFonts w:cstheme="minorHAnsi"/>
                <w:szCs w:val="23"/>
                <w:lang w:val="fr-CA"/>
              </w:rPr>
              <w:t xml:space="preserve"> </w:t>
            </w:r>
          </w:p>
        </w:tc>
        <w:tc>
          <w:tcPr>
            <w:tcW w:w="7625" w:type="dxa"/>
            <w:tcBorders>
              <w:top w:val="single" w:sz="4" w:space="0" w:color="C0C0C0"/>
              <w:left w:val="single" w:sz="4" w:space="0" w:color="FFFFFF"/>
              <w:bottom w:val="single" w:sz="4" w:space="0" w:color="C0C0C0"/>
              <w:right w:val="nil"/>
            </w:tcBorders>
            <w:vAlign w:val="center"/>
          </w:tcPr>
          <w:p w14:paraId="18DB7B7D" w14:textId="64177F71" w:rsidR="00B8348C" w:rsidRPr="00F52884" w:rsidRDefault="00DA2ACC" w:rsidP="00DA2ACC">
            <w:pPr>
              <w:spacing w:before="60" w:after="60"/>
              <w:ind w:left="28" w:hanging="28"/>
              <w:rPr>
                <w:rFonts w:cstheme="minorHAnsi"/>
                <w:szCs w:val="23"/>
                <w:lang w:val="fr-CA"/>
              </w:rPr>
            </w:pPr>
            <w:r w:rsidRPr="00F52884">
              <w:rPr>
                <w:rFonts w:cstheme="minorHAnsi"/>
                <w:szCs w:val="23"/>
                <w:lang w:val="fr-CA"/>
              </w:rPr>
              <w:t>CPC 171, 887</w:t>
            </w:r>
          </w:p>
        </w:tc>
      </w:tr>
      <w:tr w:rsidR="00DA2ACC" w:rsidRPr="0068240F" w14:paraId="5BF26467" w14:textId="77777777" w:rsidTr="00DA2ACC">
        <w:trPr>
          <w:trHeight w:val="42"/>
          <w:jc w:val="center"/>
        </w:trPr>
        <w:tc>
          <w:tcPr>
            <w:tcW w:w="2250" w:type="dxa"/>
            <w:tcBorders>
              <w:top w:val="single" w:sz="4" w:space="0" w:color="C0C0C0"/>
              <w:left w:val="nil"/>
              <w:bottom w:val="single" w:sz="4" w:space="0" w:color="C0C0C0"/>
            </w:tcBorders>
          </w:tcPr>
          <w:p w14:paraId="035BEB87" w14:textId="77777777" w:rsidR="00DA2ACC" w:rsidRPr="00F52884" w:rsidRDefault="00DA2ACC" w:rsidP="00DA2AC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sz w:val="23"/>
                <w:szCs w:val="23"/>
                <w:lang w:val="fr-CA"/>
              </w:rPr>
              <w:t xml:space="preserve">Type d’exception : </w:t>
            </w:r>
          </w:p>
        </w:tc>
        <w:tc>
          <w:tcPr>
            <w:tcW w:w="8050" w:type="dxa"/>
            <w:gridSpan w:val="2"/>
            <w:tcBorders>
              <w:top w:val="single" w:sz="4" w:space="0" w:color="C0C0C0"/>
              <w:left w:val="nil"/>
              <w:bottom w:val="single" w:sz="4" w:space="0" w:color="C0C0C0"/>
            </w:tcBorders>
          </w:tcPr>
          <w:p w14:paraId="738BF993" w14:textId="7B090BFA" w:rsidR="00DA2ACC" w:rsidRPr="00B855D2" w:rsidRDefault="005A6B08" w:rsidP="00DA2ACC">
            <w:pPr>
              <w:pStyle w:val="Text"/>
              <w:spacing w:before="60" w:after="60" w:line="240" w:lineRule="auto"/>
              <w:rPr>
                <w:rFonts w:asciiTheme="minorHAnsi" w:hAnsiTheme="minorHAnsi" w:cstheme="minorHAnsi"/>
                <w:sz w:val="23"/>
                <w:szCs w:val="23"/>
                <w:lang w:val="fr-CA"/>
              </w:rPr>
            </w:pPr>
            <w:r w:rsidRPr="00B855D2">
              <w:rPr>
                <w:rFonts w:asciiTheme="minorHAnsi" w:hAnsiTheme="minorHAnsi" w:cstheme="minorHAnsi"/>
                <w:sz w:val="23"/>
                <w:szCs w:val="23"/>
                <w:lang w:val="fr-CA"/>
              </w:rPr>
              <w:t xml:space="preserve">Article 301 (Droit d’entrée et de sortie), article 307 (Accès aux marchés - Services), article 309 (Fournisseurs de services de transport d’électricité et commerce des services de transport d’électricité), incluant la section 2 de l’annexe 309 (Fourniture libre et non discriminatoire du service de transport d’électricité), article 312 (Accès aux </w:t>
            </w:r>
            <w:proofErr w:type="gramStart"/>
            <w:r w:rsidRPr="00B855D2">
              <w:rPr>
                <w:rFonts w:asciiTheme="minorHAnsi" w:hAnsiTheme="minorHAnsi" w:cstheme="minorHAnsi"/>
                <w:sz w:val="23"/>
                <w:szCs w:val="23"/>
                <w:lang w:val="fr-CA"/>
              </w:rPr>
              <w:t>marchés  ̶</w:t>
            </w:r>
            <w:proofErr w:type="gramEnd"/>
            <w:r w:rsidRPr="00B855D2">
              <w:rPr>
                <w:rFonts w:asciiTheme="minorHAnsi" w:hAnsiTheme="minorHAnsi" w:cstheme="minorHAnsi"/>
                <w:sz w:val="23"/>
                <w:szCs w:val="23"/>
                <w:lang w:val="fr-CA"/>
              </w:rPr>
              <w:t xml:space="preserve">  Investissement).</w:t>
            </w:r>
          </w:p>
        </w:tc>
      </w:tr>
      <w:tr w:rsidR="00B8348C" w:rsidRPr="00F52884" w14:paraId="690436E3"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D02A1C0" w14:textId="77777777" w:rsidR="00B8348C" w:rsidRPr="00F52884" w:rsidRDefault="00B8348C" w:rsidP="00DA2ACC">
            <w:pPr>
              <w:pStyle w:val="RequirementsList"/>
              <w:numPr>
                <w:ilvl w:val="0"/>
                <w:numId w:val="0"/>
              </w:numPr>
              <w:spacing w:before="60" w:after="60" w:line="240" w:lineRule="auto"/>
              <w:ind w:left="288" w:hanging="288"/>
              <w:rPr>
                <w:rFonts w:asciiTheme="minorHAnsi" w:hAnsiTheme="minorHAnsi" w:cstheme="minorHAnsi"/>
                <w:sz w:val="23"/>
                <w:szCs w:val="23"/>
                <w:lang w:val="fr-CA" w:eastAsia="fr-CA"/>
              </w:rPr>
            </w:pPr>
            <w:r w:rsidRPr="00F52884">
              <w:rPr>
                <w:rFonts w:asciiTheme="minorHAnsi" w:hAnsiTheme="minorHAnsi" w:cstheme="minorHAnsi"/>
                <w:b/>
                <w:sz w:val="23"/>
                <w:szCs w:val="23"/>
                <w:lang w:val="fr-CA"/>
              </w:rPr>
              <w:t xml:space="preserve">Description : </w:t>
            </w:r>
          </w:p>
        </w:tc>
      </w:tr>
      <w:tr w:rsidR="00B8348C" w:rsidRPr="0068240F" w14:paraId="3242BBB3" w14:textId="77777777" w:rsidTr="00DA2ACC">
        <w:trPr>
          <w:trHeight w:val="120"/>
          <w:jc w:val="center"/>
        </w:trPr>
        <w:tc>
          <w:tcPr>
            <w:tcW w:w="10300" w:type="dxa"/>
            <w:gridSpan w:val="3"/>
            <w:tcBorders>
              <w:top w:val="single" w:sz="4" w:space="0" w:color="C0C0C0"/>
              <w:left w:val="single" w:sz="4" w:space="0" w:color="C0C0C0"/>
              <w:bottom w:val="single" w:sz="4" w:space="0" w:color="C0C0C0"/>
              <w:right w:val="single" w:sz="4" w:space="0" w:color="C0C0C0"/>
            </w:tcBorders>
          </w:tcPr>
          <w:p w14:paraId="61BA9148" w14:textId="251D6B89"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shd w:val="clear" w:color="auto" w:fill="FFFFFF"/>
                <w:lang w:val="fr-CA"/>
              </w:rPr>
            </w:pPr>
            <w:r w:rsidRPr="00F52884">
              <w:rPr>
                <w:rFonts w:asciiTheme="minorHAnsi" w:hAnsiTheme="minorHAnsi" w:cstheme="minorHAnsi"/>
                <w:sz w:val="23"/>
                <w:szCs w:val="23"/>
                <w:shd w:val="clear" w:color="auto" w:fill="FFFFFF"/>
                <w:lang w:val="fr-CA"/>
              </w:rPr>
              <w:t xml:space="preserve">Le Québec se réserve le droit d’adopter ou de maintenir toute mesure relative à l’électricité. Ceci inclut: la production, la fixation et la modification des tarifs et des conditions, la transmission, l’achat, la fourniture, la distribution, l’approvisionnement, l’exportation, l’importation, la vente, l’investissement, le transport, l’efficacité énergétique et la maintenance des installations électriques, etc. </w:t>
            </w:r>
          </w:p>
          <w:p w14:paraId="4D6469CC" w14:textId="45E7EB8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shd w:val="clear" w:color="auto" w:fill="FFFFFF"/>
                <w:lang w:val="fr-CA"/>
              </w:rPr>
            </w:pPr>
            <w:r w:rsidRPr="00F52884">
              <w:rPr>
                <w:rFonts w:asciiTheme="minorHAnsi" w:hAnsiTheme="minorHAnsi" w:cstheme="minorHAnsi"/>
                <w:sz w:val="23"/>
                <w:szCs w:val="23"/>
                <w:shd w:val="clear" w:color="auto" w:fill="FFFFFF"/>
                <w:lang w:val="fr-CA"/>
              </w:rPr>
              <w:t>Le Québec se réserve le droit d’adopter ou de maintenir toute mesure relative au transfert et à l’octroi des terres du domaine de l’État, des biens meubles et des biens immeubles.</w:t>
            </w:r>
          </w:p>
          <w:p w14:paraId="203B8D81" w14:textId="7777777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shd w:val="clear" w:color="auto" w:fill="FFFFFF"/>
                <w:lang w:val="fr-CA"/>
              </w:rPr>
            </w:pPr>
            <w:r w:rsidRPr="00F52884">
              <w:rPr>
                <w:rFonts w:asciiTheme="minorHAnsi" w:hAnsiTheme="minorHAnsi" w:cstheme="minorHAnsi"/>
                <w:sz w:val="23"/>
                <w:szCs w:val="23"/>
                <w:shd w:val="clear" w:color="auto" w:fill="FFFFFF"/>
                <w:lang w:val="fr-CA"/>
              </w:rPr>
              <w:t xml:space="preserve">Le Québec se réserve le droit d’adopter et de maintenir toute mesure relative à toutes les formes de forces et de sources d’énergie à partir desquelles il est possible de produire de l’électricité. </w:t>
            </w:r>
          </w:p>
          <w:p w14:paraId="7EFA5BE1" w14:textId="77777777" w:rsidR="00B8348C" w:rsidRDefault="00B8348C" w:rsidP="00DA2ACC">
            <w:pPr>
              <w:pStyle w:val="RequirementsList"/>
              <w:numPr>
                <w:ilvl w:val="0"/>
                <w:numId w:val="0"/>
              </w:numPr>
              <w:spacing w:before="120" w:after="120" w:line="240" w:lineRule="auto"/>
              <w:rPr>
                <w:rFonts w:asciiTheme="minorHAnsi" w:hAnsiTheme="minorHAnsi" w:cstheme="minorHAnsi"/>
                <w:sz w:val="23"/>
                <w:szCs w:val="23"/>
                <w:shd w:val="clear" w:color="auto" w:fill="FFFFFF"/>
                <w:lang w:val="fr-CA"/>
              </w:rPr>
            </w:pPr>
            <w:r w:rsidRPr="00F52884">
              <w:rPr>
                <w:rFonts w:asciiTheme="minorHAnsi" w:hAnsiTheme="minorHAnsi" w:cstheme="minorHAnsi"/>
                <w:sz w:val="23"/>
                <w:szCs w:val="23"/>
                <w:shd w:val="clear" w:color="auto" w:fill="FFFFFF"/>
                <w:lang w:val="fr-CA"/>
              </w:rPr>
              <w:t>Ces mesures incluent également la prise en considération de facteurs économiques, sociaux ou environnementaux.</w:t>
            </w:r>
          </w:p>
          <w:p w14:paraId="27B051E6" w14:textId="5A91FF21" w:rsidR="005A6B08" w:rsidRPr="00F52884" w:rsidRDefault="005A6B08" w:rsidP="005A6B08">
            <w:pPr>
              <w:jc w:val="both"/>
              <w:rPr>
                <w:rFonts w:cstheme="minorHAnsi"/>
                <w:szCs w:val="23"/>
                <w:lang w:val="fr-CA"/>
              </w:rPr>
            </w:pPr>
            <w:r w:rsidRPr="005A6B08">
              <w:rPr>
                <w:rFonts w:cstheme="minorHAnsi"/>
                <w:lang w:val="fr-CA"/>
              </w:rPr>
              <w:t xml:space="preserve">Il est entendu qu’aucune obligation inscrite à la section 2 de l’annexe 309 (Fourniture libre et non discriminatoire du service de transport d’électricité) ne s’applique à l’égard du Québec ou de toute mesure du Québec relative à l’électricité. Il est également entendu, en ce qui concerne les services </w:t>
            </w:r>
            <w:r w:rsidRPr="005A6B08">
              <w:rPr>
                <w:rFonts w:cstheme="minorHAnsi"/>
                <w:lang w:val="fr-CA"/>
              </w:rPr>
              <w:lastRenderedPageBreak/>
              <w:t xml:space="preserve">de transport d’électricité ou le commerce des services de transport d’électricité, que l’article 316 (Traitement non discriminatoire) et l’article 317 (Considérations d’ordre commercial) de la Partie D (Monopoles et entreprises publiques) du présent Accord ne s’appliquent pas à une mesure adoptée ou maintenue par un monopole ou par une entreprise publique du Québec étant donné  la non-application de la section 2 de l’annexe 309 (Fourniture libre et non discriminatoire du service de transport d’électricité) à l’égard du Québec ou de toute mesure du Québec relative à l’électricité. </w:t>
            </w:r>
          </w:p>
        </w:tc>
      </w:tr>
      <w:tr w:rsidR="00B8348C" w:rsidRPr="0068240F" w14:paraId="1740B71D"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5277F05" w14:textId="77777777" w:rsidR="00B8348C" w:rsidRPr="00F52884" w:rsidRDefault="00B8348C" w:rsidP="00DA2ACC">
            <w:pPr>
              <w:pStyle w:val="NoSpacing"/>
              <w:spacing w:before="60" w:after="60"/>
              <w:rPr>
                <w:rFonts w:cstheme="minorHAnsi"/>
                <w:caps/>
                <w:sz w:val="23"/>
                <w:szCs w:val="23"/>
                <w:lang w:val="fr-CA" w:eastAsia="fr-CA"/>
              </w:rPr>
            </w:pPr>
            <w:r w:rsidRPr="00F52884">
              <w:rPr>
                <w:rFonts w:cstheme="minorHAnsi"/>
                <w:b/>
                <w:sz w:val="23"/>
                <w:szCs w:val="23"/>
                <w:lang w:val="fr-CA" w:eastAsia="fr-CA"/>
              </w:rPr>
              <w:lastRenderedPageBreak/>
              <w:t>Mesures existantes :</w:t>
            </w:r>
            <w:r w:rsidRPr="00F52884">
              <w:rPr>
                <w:rFonts w:cstheme="minorHAnsi"/>
                <w:caps/>
                <w:sz w:val="23"/>
                <w:szCs w:val="23"/>
                <w:lang w:val="fr-CA" w:eastAsia="fr-CA"/>
              </w:rPr>
              <w:t xml:space="preserve"> </w:t>
            </w:r>
            <w:r w:rsidRPr="00F52884">
              <w:rPr>
                <w:rFonts w:cstheme="minorHAnsi"/>
                <w:sz w:val="23"/>
                <w:szCs w:val="23"/>
                <w:lang w:val="fr-CA" w:eastAsia="fr-CA"/>
              </w:rPr>
              <w:t>(Fourni à des fins illustratives)</w:t>
            </w:r>
          </w:p>
        </w:tc>
      </w:tr>
      <w:tr w:rsidR="00B8348C" w:rsidRPr="0068240F" w14:paraId="62D00E27"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auto"/>
          </w:tcPr>
          <w:p w14:paraId="28BD9446" w14:textId="4F42FC7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Style w:val="Emphasis"/>
                <w:rFonts w:asciiTheme="minorHAnsi" w:hAnsiTheme="minorHAnsi" w:cstheme="minorHAnsi"/>
                <w:b w:val="0"/>
                <w:sz w:val="23"/>
                <w:szCs w:val="23"/>
                <w:lang w:val="fr-CA"/>
              </w:rPr>
              <w:t>Loi sur Hydro-Québec</w:t>
            </w:r>
            <w:r w:rsidRPr="00F52884">
              <w:rPr>
                <w:rFonts w:asciiTheme="minorHAnsi" w:hAnsiTheme="minorHAnsi" w:cstheme="minorHAnsi"/>
                <w:sz w:val="23"/>
                <w:szCs w:val="23"/>
                <w:lang w:val="fr-CA"/>
              </w:rPr>
              <w:t>, RLRQ c H-5</w:t>
            </w:r>
          </w:p>
          <w:p w14:paraId="0BEE18E0" w14:textId="353505D6"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l’exportation de l’électricité</w:t>
            </w:r>
            <w:r w:rsidRPr="00F52884">
              <w:rPr>
                <w:rFonts w:asciiTheme="minorHAnsi" w:hAnsiTheme="minorHAnsi" w:cstheme="minorHAnsi"/>
                <w:szCs w:val="23"/>
                <w:lang w:val="fr-CA"/>
              </w:rPr>
              <w:t>, RLRQ c E-23</w:t>
            </w:r>
          </w:p>
          <w:p w14:paraId="483CFBE0" w14:textId="488955C1"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la Régie de l’énergie</w:t>
            </w:r>
            <w:r w:rsidRPr="00F52884">
              <w:rPr>
                <w:rFonts w:asciiTheme="minorHAnsi" w:hAnsiTheme="minorHAnsi" w:cstheme="minorHAnsi"/>
                <w:szCs w:val="23"/>
                <w:lang w:val="fr-CA"/>
              </w:rPr>
              <w:t>, RLRQ c R-6.01</w:t>
            </w:r>
          </w:p>
          <w:p w14:paraId="6697AA8C" w14:textId="6E563A24"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les systèmes municipaux et les systèmes privés d’électricité</w:t>
            </w:r>
            <w:r w:rsidRPr="00F52884">
              <w:rPr>
                <w:rFonts w:asciiTheme="minorHAnsi" w:hAnsiTheme="minorHAnsi" w:cstheme="minorHAnsi"/>
                <w:szCs w:val="23"/>
                <w:lang w:val="fr-CA"/>
              </w:rPr>
              <w:t>, RLRQ c S-41</w:t>
            </w:r>
          </w:p>
          <w:p w14:paraId="6376A575" w14:textId="376A4F08"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 ministère des Ressources naturelles et de la Faune</w:t>
            </w:r>
            <w:r w:rsidRPr="00F52884">
              <w:rPr>
                <w:rFonts w:asciiTheme="minorHAnsi" w:hAnsiTheme="minorHAnsi" w:cstheme="minorHAnsi"/>
                <w:szCs w:val="23"/>
                <w:lang w:val="fr-CA"/>
              </w:rPr>
              <w:t>, RLRQ c M-25.2</w:t>
            </w:r>
          </w:p>
          <w:p w14:paraId="59B66939" w14:textId="73A621C4"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les espèces menacées ou vulnérables</w:t>
            </w:r>
            <w:r w:rsidRPr="00F52884">
              <w:rPr>
                <w:rFonts w:asciiTheme="minorHAnsi" w:hAnsiTheme="minorHAnsi" w:cstheme="minorHAnsi"/>
                <w:szCs w:val="23"/>
                <w:lang w:val="fr-CA"/>
              </w:rPr>
              <w:t>, RLRQ c E-12.01</w:t>
            </w:r>
          </w:p>
          <w:p w14:paraId="45EF82E1" w14:textId="2C0C72A3"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la Coopérative régionale d’électricité de Saint-Jean-Baptiste de Rouville et abrogeant la Loi pour favoriser l’électrification rurale par l’entremise de coopératives d’électricité</w:t>
            </w:r>
            <w:r w:rsidRPr="00F52884">
              <w:rPr>
                <w:rFonts w:asciiTheme="minorHAnsi" w:hAnsiTheme="minorHAnsi" w:cstheme="minorHAnsi"/>
                <w:szCs w:val="23"/>
                <w:lang w:val="fr-CA"/>
              </w:rPr>
              <w:t xml:space="preserve">, LQ 1986, c 21, modifiée par la </w:t>
            </w:r>
            <w:r w:rsidRPr="00F52884">
              <w:rPr>
                <w:rFonts w:asciiTheme="minorHAnsi" w:hAnsiTheme="minorHAnsi" w:cstheme="minorHAnsi"/>
                <w:i/>
                <w:szCs w:val="23"/>
                <w:lang w:val="fr-CA"/>
              </w:rPr>
              <w:t>Loi sur la Régie de l’énergie, 1996</w:t>
            </w:r>
            <w:r w:rsidRPr="00F52884">
              <w:rPr>
                <w:rFonts w:asciiTheme="minorHAnsi" w:hAnsiTheme="minorHAnsi" w:cstheme="minorHAnsi"/>
                <w:szCs w:val="23"/>
                <w:lang w:val="fr-CA"/>
              </w:rPr>
              <w:t>, c 61</w:t>
            </w:r>
          </w:p>
          <w:p w14:paraId="107CBD0B" w14:textId="542D1698"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Style w:val="Emphasis"/>
                <w:rFonts w:asciiTheme="minorHAnsi" w:hAnsiTheme="minorHAnsi" w:cstheme="minorHAnsi"/>
                <w:b w:val="0"/>
                <w:szCs w:val="23"/>
                <w:lang w:val="fr-CA"/>
              </w:rPr>
              <w:t>Loi sur le régime des eaux</w:t>
            </w:r>
            <w:r w:rsidRPr="00F52884">
              <w:rPr>
                <w:rFonts w:asciiTheme="minorHAnsi" w:hAnsiTheme="minorHAnsi" w:cstheme="minorHAnsi"/>
                <w:szCs w:val="23"/>
                <w:lang w:val="fr-CA"/>
              </w:rPr>
              <w:t>, RLRQ c R-13</w:t>
            </w:r>
          </w:p>
          <w:p w14:paraId="1C6D1787" w14:textId="0BAD5293"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lang w:val="fr-CA"/>
              </w:rPr>
            </w:pPr>
            <w:r w:rsidRPr="00F52884">
              <w:rPr>
                <w:rFonts w:asciiTheme="minorHAnsi" w:hAnsiTheme="minorHAnsi" w:cstheme="minorHAnsi"/>
                <w:i/>
                <w:szCs w:val="23"/>
                <w:lang w:val="fr-CA"/>
              </w:rPr>
              <w:t>Loi sur la qualité de l’environnement</w:t>
            </w:r>
            <w:r w:rsidRPr="00F52884">
              <w:rPr>
                <w:rFonts w:asciiTheme="minorHAnsi" w:hAnsiTheme="minorHAnsi" w:cstheme="minorHAnsi"/>
                <w:szCs w:val="23"/>
                <w:lang w:val="fr-CA"/>
              </w:rPr>
              <w:t>, RLRQ c Q-2</w:t>
            </w:r>
          </w:p>
          <w:p w14:paraId="202C694A" w14:textId="6B4CD153"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b/>
                <w:szCs w:val="23"/>
                <w:lang w:val="fr-CA"/>
              </w:rPr>
            </w:pPr>
            <w:r w:rsidRPr="00F52884">
              <w:rPr>
                <w:rFonts w:asciiTheme="minorHAnsi" w:hAnsiTheme="minorHAnsi" w:cstheme="minorHAnsi"/>
                <w:i/>
                <w:szCs w:val="23"/>
                <w:lang w:val="fr-CA"/>
              </w:rPr>
              <w:t xml:space="preserve">Loi sur l’efficacité et l’innovation énergétiques, </w:t>
            </w:r>
            <w:r w:rsidRPr="00F52884">
              <w:rPr>
                <w:rFonts w:asciiTheme="minorHAnsi" w:hAnsiTheme="minorHAnsi" w:cstheme="minorHAnsi"/>
                <w:szCs w:val="23"/>
                <w:lang w:val="fr-CA"/>
              </w:rPr>
              <w:t>RLRQ c E-1.3</w:t>
            </w:r>
          </w:p>
        </w:tc>
      </w:tr>
    </w:tbl>
    <w:p w14:paraId="62BBD8F0" w14:textId="77777777" w:rsidR="00B8348C" w:rsidRPr="00F52884" w:rsidRDefault="00B8348C" w:rsidP="00C17162">
      <w:pPr>
        <w:rPr>
          <w:rFonts w:cstheme="minorHAnsi"/>
          <w:b/>
          <w:szCs w:val="23"/>
          <w:lang w:val="fr-CA"/>
        </w:rPr>
      </w:pPr>
    </w:p>
    <w:p w14:paraId="5B7E692B" w14:textId="77777777" w:rsidR="00B8348C" w:rsidRPr="00F52884" w:rsidRDefault="00B8348C" w:rsidP="00C17162">
      <w:pPr>
        <w:rPr>
          <w:rFonts w:cstheme="minorHAnsi"/>
          <w:b/>
          <w:szCs w:val="23"/>
          <w:lang w:val="fr-CA"/>
        </w:rPr>
      </w:pPr>
    </w:p>
    <w:p w14:paraId="1B958BBD" w14:textId="713ED393" w:rsidR="00B8348C" w:rsidRPr="00F52884" w:rsidRDefault="00DA2ACC" w:rsidP="00DA2ACC">
      <w:pPr>
        <w:pStyle w:val="ListParagraph"/>
        <w:spacing w:before="60" w:after="60"/>
        <w:ind w:left="-360"/>
        <w:rPr>
          <w:rFonts w:cstheme="minorHAnsi"/>
          <w:b/>
          <w:szCs w:val="23"/>
          <w:lang w:val="fr-CA"/>
        </w:rPr>
      </w:pPr>
      <w:r w:rsidRPr="00F52884">
        <w:rPr>
          <w:rFonts w:cstheme="minorHAnsi"/>
          <w:b/>
          <w:szCs w:val="23"/>
          <w:lang w:val="fr-CA"/>
        </w:rPr>
        <w:t xml:space="preserve">4.  </w:t>
      </w:r>
      <w:r w:rsidR="00B8348C" w:rsidRPr="00F52884">
        <w:rPr>
          <w:rFonts w:cstheme="minorHAnsi"/>
          <w:b/>
          <w:szCs w:val="23"/>
          <w:lang w:val="fr-CA"/>
        </w:rPr>
        <w:t>QUÉBEC</w:t>
      </w:r>
    </w:p>
    <w:tbl>
      <w:tblPr>
        <w:tblW w:w="10300" w:type="dxa"/>
        <w:jc w:val="center"/>
        <w:tblCellMar>
          <w:top w:w="14" w:type="dxa"/>
          <w:left w:w="86" w:type="dxa"/>
          <w:bottom w:w="14" w:type="dxa"/>
          <w:right w:w="86" w:type="dxa"/>
        </w:tblCellMar>
        <w:tblLook w:val="0000" w:firstRow="0" w:lastRow="0" w:firstColumn="0" w:lastColumn="0" w:noHBand="0" w:noVBand="0"/>
      </w:tblPr>
      <w:tblGrid>
        <w:gridCol w:w="2250"/>
        <w:gridCol w:w="7625"/>
        <w:gridCol w:w="425"/>
      </w:tblGrid>
      <w:tr w:rsidR="00B8348C" w:rsidRPr="00F52884" w14:paraId="09B8A7B7"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531E8177" w14:textId="62932C94" w:rsidR="00B8348C" w:rsidRPr="00F52884" w:rsidRDefault="00B8348C" w:rsidP="00DA2ACC">
            <w:pPr>
              <w:spacing w:before="60" w:after="60"/>
              <w:rPr>
                <w:rFonts w:cstheme="minorHAnsi"/>
                <w:b/>
                <w:szCs w:val="23"/>
                <w:lang w:val="fr-CA"/>
              </w:rPr>
            </w:pPr>
            <w:r w:rsidRPr="00F52884">
              <w:rPr>
                <w:rFonts w:cstheme="minorHAnsi"/>
                <w:b/>
                <w:szCs w:val="23"/>
                <w:lang w:val="fr-CA"/>
              </w:rPr>
              <w:t>Secteur :</w:t>
            </w:r>
            <w:r w:rsidRPr="00F52884">
              <w:rPr>
                <w:rFonts w:cstheme="minorHAnsi"/>
                <w:szCs w:val="23"/>
                <w:lang w:val="fr-CA"/>
              </w:rPr>
              <w:t xml:space="preserve"> </w:t>
            </w:r>
          </w:p>
        </w:tc>
        <w:tc>
          <w:tcPr>
            <w:tcW w:w="8050" w:type="dxa"/>
            <w:gridSpan w:val="2"/>
            <w:tcBorders>
              <w:top w:val="single" w:sz="4" w:space="0" w:color="C0C0C0"/>
              <w:left w:val="single" w:sz="4" w:space="0" w:color="FFFFFF"/>
              <w:bottom w:val="single" w:sz="4" w:space="0" w:color="C0C0C0"/>
              <w:right w:val="nil"/>
            </w:tcBorders>
            <w:vAlign w:val="center"/>
          </w:tcPr>
          <w:p w14:paraId="545987B9" w14:textId="5A0F9956" w:rsidR="00B8348C" w:rsidRPr="00F52884" w:rsidRDefault="00DA2ACC" w:rsidP="00DA2ACC">
            <w:pPr>
              <w:spacing w:before="60" w:after="60"/>
              <w:rPr>
                <w:rFonts w:cstheme="minorHAnsi"/>
                <w:szCs w:val="23"/>
                <w:lang w:val="fr-CA"/>
              </w:rPr>
            </w:pPr>
            <w:r w:rsidRPr="00F52884">
              <w:rPr>
                <w:rFonts w:cstheme="minorHAnsi"/>
                <w:szCs w:val="23"/>
                <w:lang w:val="fr-CA"/>
              </w:rPr>
              <w:t>Énergie</w:t>
            </w:r>
          </w:p>
        </w:tc>
      </w:tr>
      <w:tr w:rsidR="00B8348C" w:rsidRPr="0068240F" w14:paraId="3F9A1BFE"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0C06D35A" w14:textId="23C5F7A0" w:rsidR="00B8348C" w:rsidRPr="00F52884" w:rsidRDefault="00B8348C" w:rsidP="00DA2ACC">
            <w:pPr>
              <w:spacing w:before="60" w:after="60"/>
              <w:rPr>
                <w:rFonts w:cstheme="minorHAnsi"/>
                <w:b/>
                <w:szCs w:val="23"/>
                <w:lang w:val="fr-CA"/>
              </w:rPr>
            </w:pPr>
            <w:r w:rsidRPr="00F52884">
              <w:rPr>
                <w:rFonts w:cstheme="minorHAnsi"/>
                <w:b/>
                <w:szCs w:val="23"/>
                <w:lang w:val="fr-CA"/>
              </w:rPr>
              <w:t xml:space="preserve">Sous-secteur : </w:t>
            </w:r>
          </w:p>
        </w:tc>
        <w:tc>
          <w:tcPr>
            <w:tcW w:w="8050" w:type="dxa"/>
            <w:gridSpan w:val="2"/>
            <w:tcBorders>
              <w:top w:val="single" w:sz="4" w:space="0" w:color="C0C0C0"/>
              <w:left w:val="single" w:sz="4" w:space="0" w:color="FFFFFF"/>
              <w:bottom w:val="single" w:sz="4" w:space="0" w:color="C0C0C0"/>
              <w:right w:val="nil"/>
            </w:tcBorders>
            <w:vAlign w:val="center"/>
          </w:tcPr>
          <w:p w14:paraId="7CE6DC30" w14:textId="1C11C236" w:rsidR="00B8348C" w:rsidRPr="00F52884" w:rsidRDefault="00DA2ACC" w:rsidP="00DA2ACC">
            <w:pPr>
              <w:spacing w:before="60" w:after="60"/>
              <w:rPr>
                <w:rFonts w:cstheme="minorHAnsi"/>
                <w:szCs w:val="23"/>
                <w:lang w:val="fr-CA"/>
              </w:rPr>
            </w:pPr>
            <w:r w:rsidRPr="00F52884">
              <w:rPr>
                <w:rFonts w:cstheme="minorHAnsi"/>
                <w:szCs w:val="23"/>
                <w:lang w:val="fr-CA"/>
              </w:rPr>
              <w:t>Pétrole brut, gaz naturel, services de transports par conduites, services annexes à la distribution d'énergie</w:t>
            </w:r>
          </w:p>
        </w:tc>
      </w:tr>
      <w:tr w:rsidR="00B8348C" w:rsidRPr="00F52884" w14:paraId="3F3B753C" w14:textId="77777777" w:rsidTr="00DA2ACC">
        <w:trPr>
          <w:gridAfter w:val="1"/>
          <w:wAfter w:w="425"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1630B12C" w14:textId="3A0AEAEF" w:rsidR="00B8348C" w:rsidRPr="00F52884" w:rsidRDefault="00B8348C" w:rsidP="00DA2ACC">
            <w:pPr>
              <w:spacing w:before="60" w:after="60"/>
              <w:rPr>
                <w:rFonts w:cstheme="minorHAnsi"/>
                <w:b/>
                <w:szCs w:val="23"/>
                <w:lang w:val="fr-CA"/>
              </w:rPr>
            </w:pPr>
            <w:r w:rsidRPr="00F52884">
              <w:rPr>
                <w:rFonts w:cstheme="minorHAnsi"/>
                <w:b/>
                <w:szCs w:val="23"/>
                <w:lang w:val="fr-CA"/>
              </w:rPr>
              <w:t>Classification de l’industrie :</w:t>
            </w:r>
            <w:r w:rsidRPr="00F52884">
              <w:rPr>
                <w:rFonts w:cstheme="minorHAnsi"/>
                <w:szCs w:val="23"/>
                <w:lang w:val="fr-CA"/>
              </w:rPr>
              <w:t xml:space="preserve"> </w:t>
            </w:r>
          </w:p>
        </w:tc>
        <w:tc>
          <w:tcPr>
            <w:tcW w:w="7625" w:type="dxa"/>
            <w:tcBorders>
              <w:top w:val="single" w:sz="4" w:space="0" w:color="C0C0C0"/>
              <w:left w:val="single" w:sz="4" w:space="0" w:color="FFFFFF"/>
              <w:bottom w:val="single" w:sz="4" w:space="0" w:color="C0C0C0"/>
              <w:right w:val="nil"/>
            </w:tcBorders>
            <w:vAlign w:val="center"/>
          </w:tcPr>
          <w:p w14:paraId="6509ACEA" w14:textId="2325CEEC" w:rsidR="00B8348C" w:rsidRPr="00F52884" w:rsidRDefault="00DA2ACC" w:rsidP="00DA2ACC">
            <w:pPr>
              <w:spacing w:before="60" w:after="60"/>
              <w:ind w:left="28" w:hanging="28"/>
              <w:rPr>
                <w:rFonts w:cstheme="minorHAnsi"/>
                <w:szCs w:val="23"/>
                <w:lang w:val="fr-CA"/>
              </w:rPr>
            </w:pPr>
            <w:r w:rsidRPr="00F52884">
              <w:rPr>
                <w:rFonts w:cstheme="minorHAnsi"/>
                <w:szCs w:val="23"/>
                <w:lang w:val="fr-CA"/>
              </w:rPr>
              <w:t>CPC 120, 713, 887</w:t>
            </w:r>
          </w:p>
        </w:tc>
      </w:tr>
      <w:tr w:rsidR="00DA2ACC" w:rsidRPr="0068240F" w14:paraId="041CED44" w14:textId="77777777" w:rsidTr="00DA2ACC">
        <w:trPr>
          <w:trHeight w:val="42"/>
          <w:jc w:val="center"/>
        </w:trPr>
        <w:tc>
          <w:tcPr>
            <w:tcW w:w="2250" w:type="dxa"/>
            <w:tcBorders>
              <w:top w:val="single" w:sz="4" w:space="0" w:color="C0C0C0"/>
              <w:left w:val="nil"/>
              <w:bottom w:val="single" w:sz="4" w:space="0" w:color="C0C0C0"/>
            </w:tcBorders>
          </w:tcPr>
          <w:p w14:paraId="70B4366B" w14:textId="77777777" w:rsidR="00DA2ACC" w:rsidRPr="00F52884" w:rsidRDefault="00DA2ACC" w:rsidP="00DA2AC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sz w:val="23"/>
                <w:szCs w:val="23"/>
                <w:lang w:val="fr-CA"/>
              </w:rPr>
              <w:t xml:space="preserve">Type d’exception : </w:t>
            </w:r>
          </w:p>
        </w:tc>
        <w:tc>
          <w:tcPr>
            <w:tcW w:w="8050" w:type="dxa"/>
            <w:gridSpan w:val="2"/>
            <w:tcBorders>
              <w:top w:val="single" w:sz="4" w:space="0" w:color="C0C0C0"/>
              <w:left w:val="nil"/>
              <w:bottom w:val="single" w:sz="4" w:space="0" w:color="C0C0C0"/>
            </w:tcBorders>
          </w:tcPr>
          <w:p w14:paraId="670D4BAC" w14:textId="15003F7A" w:rsidR="00DA2ACC" w:rsidRPr="00F52884" w:rsidRDefault="00DA2ACC" w:rsidP="00DA2ACC">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 xml:space="preserve">Article 301 (Droit d’entrée et de sortie), article 312 (Accès au </w:t>
            </w:r>
            <w:proofErr w:type="gramStart"/>
            <w:r w:rsidRPr="00F52884">
              <w:rPr>
                <w:rFonts w:asciiTheme="minorHAnsi" w:hAnsiTheme="minorHAnsi" w:cstheme="minorHAnsi"/>
                <w:sz w:val="23"/>
                <w:szCs w:val="23"/>
                <w:lang w:val="fr-CA"/>
              </w:rPr>
              <w:t>marché  ̶</w:t>
            </w:r>
            <w:proofErr w:type="gramEnd"/>
            <w:r w:rsidRPr="00F52884">
              <w:rPr>
                <w:rFonts w:asciiTheme="minorHAnsi" w:hAnsiTheme="minorHAnsi" w:cstheme="minorHAnsi"/>
                <w:sz w:val="23"/>
                <w:szCs w:val="23"/>
                <w:lang w:val="fr-CA"/>
              </w:rPr>
              <w:t xml:space="preserve">  Services), article 312 (Accès au marché  ̶ </w:t>
            </w:r>
            <w:r w:rsidR="001C0611" w:rsidRPr="00F52884">
              <w:rPr>
                <w:rFonts w:asciiTheme="minorHAnsi" w:hAnsiTheme="minorHAnsi" w:cstheme="minorHAnsi"/>
                <w:sz w:val="23"/>
                <w:szCs w:val="23"/>
                <w:lang w:val="fr-CA"/>
              </w:rPr>
              <w:t xml:space="preserve"> </w:t>
            </w:r>
            <w:r w:rsidRPr="00F52884">
              <w:rPr>
                <w:rFonts w:asciiTheme="minorHAnsi" w:hAnsiTheme="minorHAnsi" w:cstheme="minorHAnsi"/>
                <w:sz w:val="23"/>
                <w:szCs w:val="23"/>
                <w:lang w:val="fr-CA"/>
              </w:rPr>
              <w:t>Investissement).</w:t>
            </w:r>
          </w:p>
        </w:tc>
      </w:tr>
      <w:tr w:rsidR="00B8348C" w:rsidRPr="00F52884" w14:paraId="3E761BB5"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4C6ECC5" w14:textId="77777777" w:rsidR="00B8348C" w:rsidRPr="00F52884" w:rsidRDefault="00B8348C" w:rsidP="00DA2ACC">
            <w:pPr>
              <w:pStyle w:val="RequirementsList"/>
              <w:numPr>
                <w:ilvl w:val="0"/>
                <w:numId w:val="0"/>
              </w:numPr>
              <w:spacing w:before="60" w:after="60" w:line="240" w:lineRule="auto"/>
              <w:ind w:left="288" w:hanging="288"/>
              <w:rPr>
                <w:rFonts w:asciiTheme="minorHAnsi" w:hAnsiTheme="minorHAnsi" w:cstheme="minorHAnsi"/>
                <w:sz w:val="23"/>
                <w:szCs w:val="23"/>
                <w:lang w:val="fr-CA" w:eastAsia="fr-CA"/>
              </w:rPr>
            </w:pPr>
            <w:r w:rsidRPr="00F52884">
              <w:rPr>
                <w:rFonts w:asciiTheme="minorHAnsi" w:hAnsiTheme="minorHAnsi" w:cstheme="minorHAnsi"/>
                <w:b/>
                <w:sz w:val="23"/>
                <w:szCs w:val="23"/>
                <w:lang w:val="fr-CA"/>
              </w:rPr>
              <w:t xml:space="preserve">Description : </w:t>
            </w:r>
          </w:p>
        </w:tc>
      </w:tr>
      <w:tr w:rsidR="00B8348C" w:rsidRPr="0068240F" w14:paraId="57CE4571" w14:textId="77777777" w:rsidTr="00DA2ACC">
        <w:trPr>
          <w:trHeight w:val="120"/>
          <w:jc w:val="center"/>
        </w:trPr>
        <w:tc>
          <w:tcPr>
            <w:tcW w:w="10300" w:type="dxa"/>
            <w:gridSpan w:val="3"/>
            <w:tcBorders>
              <w:top w:val="single" w:sz="4" w:space="0" w:color="C0C0C0"/>
              <w:left w:val="single" w:sz="4" w:space="0" w:color="C0C0C0"/>
              <w:bottom w:val="single" w:sz="4" w:space="0" w:color="C0C0C0"/>
              <w:right w:val="single" w:sz="4" w:space="0" w:color="C0C0C0"/>
            </w:tcBorders>
          </w:tcPr>
          <w:p w14:paraId="5411B5EF" w14:textId="458FF4AD" w:rsidR="00B8348C" w:rsidRPr="00F52884" w:rsidRDefault="00B8348C" w:rsidP="00DA2ACC">
            <w:pPr>
              <w:pStyle w:val="RequirementsList"/>
              <w:numPr>
                <w:ilvl w:val="0"/>
                <w:numId w:val="0"/>
              </w:numPr>
              <w:spacing w:before="120" w:after="120" w:line="240" w:lineRule="auto"/>
              <w:rPr>
                <w:rStyle w:val="Emphasis"/>
                <w:rFonts w:asciiTheme="minorHAnsi" w:hAnsiTheme="minorHAnsi" w:cstheme="minorHAnsi"/>
                <w:b w:val="0"/>
                <w:i w:val="0"/>
                <w:sz w:val="23"/>
                <w:szCs w:val="23"/>
                <w:lang w:val="fr-CA"/>
              </w:rPr>
            </w:pPr>
            <w:r w:rsidRPr="00F52884">
              <w:rPr>
                <w:rStyle w:val="Emphasis"/>
                <w:rFonts w:asciiTheme="minorHAnsi" w:hAnsiTheme="minorHAnsi" w:cstheme="minorHAnsi"/>
                <w:b w:val="0"/>
                <w:bCs w:val="0"/>
                <w:i w:val="0"/>
                <w:sz w:val="23"/>
                <w:szCs w:val="23"/>
                <w:lang w:val="fr-CA"/>
              </w:rPr>
              <w:t>Le Québec se réserve le droit d’adopter ou de maintenir toute mesure relative à la distribution du pétrole et du gaz, au transport par conduites</w:t>
            </w:r>
            <w:r w:rsidRPr="00F52884">
              <w:rPr>
                <w:rStyle w:val="Emphasis"/>
                <w:rFonts w:asciiTheme="minorHAnsi" w:hAnsiTheme="minorHAnsi" w:cstheme="minorHAnsi"/>
                <w:b w:val="0"/>
                <w:i w:val="0"/>
                <w:sz w:val="23"/>
                <w:szCs w:val="23"/>
                <w:lang w:val="fr-CA"/>
              </w:rPr>
              <w:t xml:space="preserve"> et au développement des secteurs du pétrole et du gaz.</w:t>
            </w:r>
          </w:p>
          <w:p w14:paraId="467D8118" w14:textId="77777777" w:rsidR="00B8348C" w:rsidRPr="00F52884" w:rsidRDefault="00B8348C" w:rsidP="00DA2ACC">
            <w:pPr>
              <w:pStyle w:val="RequirementsList"/>
              <w:numPr>
                <w:ilvl w:val="0"/>
                <w:numId w:val="0"/>
              </w:numPr>
              <w:spacing w:before="120" w:after="120" w:line="240" w:lineRule="auto"/>
              <w:rPr>
                <w:rFonts w:asciiTheme="minorHAnsi" w:hAnsiTheme="minorHAnsi" w:cstheme="minorHAnsi"/>
                <w:sz w:val="23"/>
                <w:szCs w:val="23"/>
                <w:lang w:val="fr-CA"/>
              </w:rPr>
            </w:pPr>
            <w:r w:rsidRPr="00F52884">
              <w:rPr>
                <w:rStyle w:val="Emphasis"/>
                <w:rFonts w:asciiTheme="minorHAnsi" w:hAnsiTheme="minorHAnsi" w:cstheme="minorHAnsi"/>
                <w:b w:val="0"/>
                <w:bCs w:val="0"/>
                <w:i w:val="0"/>
                <w:sz w:val="23"/>
                <w:szCs w:val="23"/>
                <w:lang w:val="fr-CA"/>
              </w:rPr>
              <w:t>Ceci inclut l’élaboration et la mise en œuvre de plans de retombées économiques</w:t>
            </w:r>
            <w:r w:rsidRPr="00F52884">
              <w:rPr>
                <w:rStyle w:val="Emphasis"/>
                <w:rFonts w:asciiTheme="minorHAnsi" w:hAnsiTheme="minorHAnsi" w:cstheme="minorHAnsi"/>
                <w:b w:val="0"/>
                <w:i w:val="0"/>
                <w:sz w:val="23"/>
                <w:szCs w:val="23"/>
                <w:lang w:val="fr-CA"/>
              </w:rPr>
              <w:t>.</w:t>
            </w:r>
            <w:r w:rsidRPr="00F52884">
              <w:rPr>
                <w:rFonts w:asciiTheme="minorHAnsi" w:hAnsiTheme="minorHAnsi" w:cstheme="minorHAnsi"/>
                <w:sz w:val="23"/>
                <w:szCs w:val="23"/>
                <w:lang w:val="fr-CA"/>
              </w:rPr>
              <w:t xml:space="preserve"> </w:t>
            </w:r>
          </w:p>
        </w:tc>
      </w:tr>
      <w:tr w:rsidR="00B8348C" w:rsidRPr="0068240F" w14:paraId="171CBFEA"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1F4AE415" w14:textId="77777777" w:rsidR="00B8348C" w:rsidRPr="00F52884" w:rsidRDefault="00B8348C" w:rsidP="00DA2ACC">
            <w:pPr>
              <w:pStyle w:val="NoSpacing"/>
              <w:spacing w:before="60" w:after="60"/>
              <w:rPr>
                <w:rFonts w:cstheme="minorHAnsi"/>
                <w:caps/>
                <w:sz w:val="23"/>
                <w:szCs w:val="23"/>
                <w:lang w:val="fr-CA" w:eastAsia="fr-CA"/>
              </w:rPr>
            </w:pPr>
            <w:r w:rsidRPr="00F52884">
              <w:rPr>
                <w:rFonts w:cstheme="minorHAnsi"/>
                <w:b/>
                <w:sz w:val="23"/>
                <w:szCs w:val="23"/>
                <w:lang w:val="fr-CA" w:eastAsia="fr-CA"/>
              </w:rPr>
              <w:t>Mesures existantes :</w:t>
            </w:r>
            <w:r w:rsidRPr="00F52884">
              <w:rPr>
                <w:rFonts w:cstheme="minorHAnsi"/>
                <w:caps/>
                <w:sz w:val="23"/>
                <w:szCs w:val="23"/>
                <w:lang w:val="fr-CA" w:eastAsia="fr-CA"/>
              </w:rPr>
              <w:t xml:space="preserve"> </w:t>
            </w:r>
            <w:r w:rsidRPr="00F52884">
              <w:rPr>
                <w:rFonts w:cstheme="minorHAnsi"/>
                <w:sz w:val="23"/>
                <w:szCs w:val="23"/>
                <w:lang w:val="fr-CA" w:eastAsia="fr-CA"/>
              </w:rPr>
              <w:t>(Fourni à des fins illustratives)</w:t>
            </w:r>
          </w:p>
        </w:tc>
      </w:tr>
      <w:tr w:rsidR="00B8348C" w:rsidRPr="0068240F" w14:paraId="14E09186"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auto"/>
          </w:tcPr>
          <w:p w14:paraId="44FB3605" w14:textId="29CBDF1F" w:rsidR="00B8348C" w:rsidRPr="00F52884" w:rsidRDefault="00B8348C" w:rsidP="00DA2ACC">
            <w:pPr>
              <w:pStyle w:val="RequirementsList"/>
              <w:numPr>
                <w:ilvl w:val="0"/>
                <w:numId w:val="0"/>
              </w:numPr>
              <w:spacing w:before="120" w:after="120" w:line="240" w:lineRule="auto"/>
              <w:rPr>
                <w:rStyle w:val="Emphasis"/>
                <w:rFonts w:asciiTheme="minorHAnsi" w:hAnsiTheme="minorHAnsi" w:cstheme="minorHAnsi"/>
                <w:b w:val="0"/>
                <w:sz w:val="23"/>
                <w:szCs w:val="23"/>
                <w:lang w:val="fr-CA"/>
              </w:rPr>
            </w:pPr>
            <w:r w:rsidRPr="00F52884">
              <w:rPr>
                <w:rStyle w:val="Emphasis"/>
                <w:rFonts w:asciiTheme="minorHAnsi" w:hAnsiTheme="minorHAnsi" w:cstheme="minorHAnsi"/>
                <w:b w:val="0"/>
                <w:sz w:val="23"/>
                <w:szCs w:val="23"/>
                <w:lang w:val="fr-CA"/>
              </w:rPr>
              <w:t xml:space="preserve">Loi sur la Régie de l’énergie, </w:t>
            </w:r>
            <w:r w:rsidRPr="00F52884">
              <w:rPr>
                <w:rFonts w:asciiTheme="minorHAnsi" w:hAnsiTheme="minorHAnsi" w:cstheme="minorHAnsi"/>
                <w:sz w:val="23"/>
                <w:szCs w:val="23"/>
                <w:lang w:val="fr-CA"/>
              </w:rPr>
              <w:t>RLRQ</w:t>
            </w:r>
            <w:r w:rsidRPr="00F52884">
              <w:rPr>
                <w:rStyle w:val="Emphasis"/>
                <w:rFonts w:asciiTheme="minorHAnsi" w:hAnsiTheme="minorHAnsi" w:cstheme="minorHAnsi"/>
                <w:b w:val="0"/>
                <w:sz w:val="23"/>
                <w:szCs w:val="23"/>
                <w:lang w:val="fr-CA"/>
              </w:rPr>
              <w:t xml:space="preserve"> </w:t>
            </w:r>
            <w:r w:rsidRPr="00F52884">
              <w:rPr>
                <w:rStyle w:val="Emphasis"/>
                <w:rFonts w:asciiTheme="minorHAnsi" w:hAnsiTheme="minorHAnsi" w:cstheme="minorHAnsi"/>
                <w:b w:val="0"/>
                <w:i w:val="0"/>
                <w:sz w:val="23"/>
                <w:szCs w:val="23"/>
                <w:lang w:val="fr-CA"/>
              </w:rPr>
              <w:t>c R-6.01</w:t>
            </w:r>
          </w:p>
          <w:p w14:paraId="745438A0" w14:textId="3A77588C" w:rsidR="00B8348C" w:rsidRPr="00F52884" w:rsidRDefault="00B8348C" w:rsidP="00DA2ACC">
            <w:pPr>
              <w:pStyle w:val="RequirementsList"/>
              <w:numPr>
                <w:ilvl w:val="0"/>
                <w:numId w:val="0"/>
              </w:numPr>
              <w:spacing w:before="120" w:after="120" w:line="240" w:lineRule="auto"/>
              <w:rPr>
                <w:rStyle w:val="Emphasis"/>
                <w:rFonts w:asciiTheme="minorHAnsi" w:hAnsiTheme="minorHAnsi" w:cstheme="minorHAnsi"/>
                <w:b w:val="0"/>
                <w:sz w:val="23"/>
                <w:szCs w:val="23"/>
                <w:lang w:val="fr-CA"/>
              </w:rPr>
            </w:pPr>
            <w:r w:rsidRPr="00F52884">
              <w:rPr>
                <w:rStyle w:val="Emphasis"/>
                <w:rFonts w:asciiTheme="minorHAnsi" w:hAnsiTheme="minorHAnsi" w:cstheme="minorHAnsi"/>
                <w:b w:val="0"/>
                <w:sz w:val="23"/>
                <w:szCs w:val="23"/>
                <w:lang w:val="fr-CA"/>
              </w:rPr>
              <w:lastRenderedPageBreak/>
              <w:t>Loi sur les mines</w:t>
            </w:r>
            <w:r w:rsidRPr="00F52884">
              <w:rPr>
                <w:rStyle w:val="Emphasis"/>
                <w:rFonts w:asciiTheme="minorHAnsi" w:hAnsiTheme="minorHAnsi" w:cstheme="minorHAnsi"/>
                <w:b w:val="0"/>
                <w:i w:val="0"/>
                <w:sz w:val="23"/>
                <w:szCs w:val="23"/>
                <w:lang w:val="fr-CA"/>
              </w:rPr>
              <w:t xml:space="preserve">, </w:t>
            </w:r>
            <w:r w:rsidRPr="00F52884">
              <w:rPr>
                <w:rFonts w:asciiTheme="minorHAnsi" w:hAnsiTheme="minorHAnsi" w:cstheme="minorHAnsi"/>
                <w:sz w:val="23"/>
                <w:szCs w:val="23"/>
                <w:lang w:val="fr-CA"/>
              </w:rPr>
              <w:t>RLRQ</w:t>
            </w:r>
            <w:r w:rsidRPr="00F52884">
              <w:rPr>
                <w:rStyle w:val="Emphasis"/>
                <w:rFonts w:asciiTheme="minorHAnsi" w:hAnsiTheme="minorHAnsi" w:cstheme="minorHAnsi"/>
                <w:b w:val="0"/>
                <w:sz w:val="23"/>
                <w:szCs w:val="23"/>
                <w:lang w:val="fr-CA"/>
              </w:rPr>
              <w:t xml:space="preserve"> </w:t>
            </w:r>
            <w:r w:rsidRPr="00F52884">
              <w:rPr>
                <w:rStyle w:val="Emphasis"/>
                <w:rFonts w:asciiTheme="minorHAnsi" w:hAnsiTheme="minorHAnsi" w:cstheme="minorHAnsi"/>
                <w:b w:val="0"/>
                <w:i w:val="0"/>
                <w:sz w:val="23"/>
                <w:szCs w:val="23"/>
                <w:lang w:val="fr-CA"/>
              </w:rPr>
              <w:t>c M-13.1</w:t>
            </w:r>
          </w:p>
          <w:p w14:paraId="5E0D5805" w14:textId="0F8CB746" w:rsidR="00B8348C" w:rsidRPr="00F52884" w:rsidRDefault="00B8348C" w:rsidP="00DA2ACC">
            <w:pPr>
              <w:pStyle w:val="RequirementsList"/>
              <w:numPr>
                <w:ilvl w:val="0"/>
                <w:numId w:val="0"/>
              </w:numPr>
              <w:spacing w:before="120" w:after="120" w:line="240" w:lineRule="auto"/>
              <w:rPr>
                <w:rStyle w:val="Emphasis"/>
                <w:rFonts w:asciiTheme="minorHAnsi" w:hAnsiTheme="minorHAnsi" w:cstheme="minorHAnsi"/>
                <w:b w:val="0"/>
                <w:i w:val="0"/>
                <w:sz w:val="23"/>
                <w:szCs w:val="23"/>
                <w:lang w:val="fr-CA"/>
              </w:rPr>
            </w:pPr>
            <w:r w:rsidRPr="00F52884">
              <w:rPr>
                <w:rStyle w:val="Emphasis"/>
                <w:rFonts w:asciiTheme="minorHAnsi" w:hAnsiTheme="minorHAnsi" w:cstheme="minorHAnsi"/>
                <w:b w:val="0"/>
                <w:sz w:val="23"/>
                <w:szCs w:val="23"/>
                <w:lang w:val="fr-CA"/>
              </w:rPr>
              <w:t xml:space="preserve">Mesures de mise en œuvre de l’Accord entre le gouvernement du Canada et le gouvernement du Québec sur la gestion conjointe des hydrocarbures dans le golfe du Saint Laurent </w:t>
            </w:r>
          </w:p>
          <w:p w14:paraId="40F6A86F" w14:textId="1020791C" w:rsidR="00B8348C" w:rsidRPr="00F52884" w:rsidRDefault="00B8348C" w:rsidP="00DA2ACC">
            <w:pPr>
              <w:pStyle w:val="RequirementsList"/>
              <w:numPr>
                <w:ilvl w:val="0"/>
                <w:numId w:val="0"/>
              </w:numPr>
              <w:spacing w:before="120" w:after="120" w:line="240" w:lineRule="auto"/>
              <w:rPr>
                <w:rStyle w:val="Emphasis"/>
                <w:rFonts w:asciiTheme="minorHAnsi" w:hAnsiTheme="minorHAnsi" w:cstheme="minorHAnsi"/>
                <w:b w:val="0"/>
                <w:sz w:val="23"/>
                <w:szCs w:val="23"/>
                <w:lang w:val="fr-CA"/>
              </w:rPr>
            </w:pPr>
            <w:r w:rsidRPr="00F52884">
              <w:rPr>
                <w:rStyle w:val="Emphasis"/>
                <w:rFonts w:asciiTheme="minorHAnsi" w:hAnsiTheme="minorHAnsi" w:cstheme="minorHAnsi"/>
                <w:b w:val="0"/>
                <w:sz w:val="23"/>
                <w:szCs w:val="23"/>
                <w:lang w:val="fr-CA"/>
              </w:rPr>
              <w:t xml:space="preserve">Loi sur les produits pétroliers, </w:t>
            </w:r>
            <w:r w:rsidRPr="00F52884">
              <w:rPr>
                <w:rFonts w:asciiTheme="minorHAnsi" w:hAnsiTheme="minorHAnsi" w:cstheme="minorHAnsi"/>
                <w:sz w:val="23"/>
                <w:szCs w:val="23"/>
                <w:lang w:val="fr-CA"/>
              </w:rPr>
              <w:t>RLRQ</w:t>
            </w:r>
            <w:r w:rsidRPr="00F52884">
              <w:rPr>
                <w:rStyle w:val="Emphasis"/>
                <w:rFonts w:asciiTheme="minorHAnsi" w:hAnsiTheme="minorHAnsi" w:cstheme="minorHAnsi"/>
                <w:b w:val="0"/>
                <w:i w:val="0"/>
                <w:sz w:val="23"/>
                <w:szCs w:val="23"/>
                <w:lang w:val="fr-CA"/>
              </w:rPr>
              <w:t xml:space="preserve"> c P-30.01</w:t>
            </w:r>
          </w:p>
          <w:p w14:paraId="51A88463" w14:textId="5B742B7A" w:rsidR="00B8348C" w:rsidRPr="00F52884" w:rsidRDefault="00B8348C" w:rsidP="00DA2ACC">
            <w:pPr>
              <w:pStyle w:val="RequirementsList"/>
              <w:numPr>
                <w:ilvl w:val="0"/>
                <w:numId w:val="0"/>
              </w:numPr>
              <w:spacing w:before="120" w:after="120" w:line="240" w:lineRule="auto"/>
              <w:rPr>
                <w:rStyle w:val="Emphasis"/>
                <w:rFonts w:asciiTheme="minorHAnsi" w:hAnsiTheme="minorHAnsi" w:cstheme="minorHAnsi"/>
                <w:b w:val="0"/>
                <w:sz w:val="23"/>
                <w:szCs w:val="23"/>
                <w:lang w:val="fr-CA"/>
              </w:rPr>
            </w:pPr>
            <w:r w:rsidRPr="00F52884">
              <w:rPr>
                <w:rStyle w:val="Emphasis"/>
                <w:rFonts w:asciiTheme="minorHAnsi" w:hAnsiTheme="minorHAnsi" w:cstheme="minorHAnsi"/>
                <w:b w:val="0"/>
                <w:sz w:val="23"/>
                <w:szCs w:val="23"/>
                <w:lang w:val="fr-CA"/>
              </w:rPr>
              <w:t>Loi sur l’efficacité et l’innovation énergétiques</w:t>
            </w:r>
            <w:r w:rsidRPr="00F52884">
              <w:rPr>
                <w:rStyle w:val="Emphasis"/>
                <w:rFonts w:asciiTheme="minorHAnsi" w:hAnsiTheme="minorHAnsi" w:cstheme="minorHAnsi"/>
                <w:b w:val="0"/>
                <w:i w:val="0"/>
                <w:sz w:val="23"/>
                <w:szCs w:val="23"/>
                <w:lang w:val="fr-CA"/>
              </w:rPr>
              <w:t xml:space="preserve">, </w:t>
            </w:r>
            <w:r w:rsidRPr="00F52884">
              <w:rPr>
                <w:rFonts w:asciiTheme="minorHAnsi" w:hAnsiTheme="minorHAnsi" w:cstheme="minorHAnsi"/>
                <w:sz w:val="23"/>
                <w:szCs w:val="23"/>
                <w:lang w:val="fr-CA"/>
              </w:rPr>
              <w:t>RLRQ</w:t>
            </w:r>
            <w:r w:rsidRPr="00F52884">
              <w:rPr>
                <w:rStyle w:val="Emphasis"/>
                <w:rFonts w:asciiTheme="minorHAnsi" w:hAnsiTheme="minorHAnsi" w:cstheme="minorHAnsi"/>
                <w:b w:val="0"/>
                <w:sz w:val="23"/>
                <w:szCs w:val="23"/>
                <w:lang w:val="fr-CA"/>
              </w:rPr>
              <w:t xml:space="preserve"> </w:t>
            </w:r>
            <w:r w:rsidRPr="00F52884">
              <w:rPr>
                <w:rStyle w:val="Emphasis"/>
                <w:rFonts w:asciiTheme="minorHAnsi" w:hAnsiTheme="minorHAnsi" w:cstheme="minorHAnsi"/>
                <w:b w:val="0"/>
                <w:i w:val="0"/>
                <w:sz w:val="23"/>
                <w:szCs w:val="23"/>
                <w:lang w:val="fr-CA"/>
              </w:rPr>
              <w:t>c E-1.3</w:t>
            </w:r>
          </w:p>
          <w:p w14:paraId="48EBB08B" w14:textId="7CCB201B" w:rsidR="00B8348C" w:rsidRPr="00F52884" w:rsidRDefault="00B8348C" w:rsidP="00DA2ACC">
            <w:pPr>
              <w:pStyle w:val="RequirementsList"/>
              <w:numPr>
                <w:ilvl w:val="0"/>
                <w:numId w:val="0"/>
              </w:numPr>
              <w:spacing w:before="120" w:after="120" w:line="240" w:lineRule="auto"/>
              <w:rPr>
                <w:rFonts w:asciiTheme="minorHAnsi" w:hAnsiTheme="minorHAnsi" w:cstheme="minorHAnsi"/>
                <w:b/>
                <w:sz w:val="23"/>
                <w:szCs w:val="23"/>
                <w:lang w:val="fr-CA" w:eastAsia="fr-CA"/>
              </w:rPr>
            </w:pPr>
            <w:r w:rsidRPr="00F52884">
              <w:rPr>
                <w:rStyle w:val="Emphasis"/>
                <w:rFonts w:asciiTheme="minorHAnsi" w:hAnsiTheme="minorHAnsi" w:cstheme="minorHAnsi"/>
                <w:b w:val="0"/>
                <w:sz w:val="23"/>
                <w:szCs w:val="23"/>
                <w:lang w:val="fr-CA"/>
              </w:rPr>
              <w:t xml:space="preserve">Loi sur les opérations pétrolières au Canada, </w:t>
            </w:r>
            <w:r w:rsidRPr="00F52884">
              <w:rPr>
                <w:rStyle w:val="Emphasis"/>
                <w:rFonts w:asciiTheme="minorHAnsi" w:hAnsiTheme="minorHAnsi" w:cstheme="minorHAnsi"/>
                <w:b w:val="0"/>
                <w:i w:val="0"/>
                <w:sz w:val="23"/>
                <w:szCs w:val="23"/>
                <w:lang w:val="fr-CA"/>
              </w:rPr>
              <w:t>LRC 1985, c O-7</w:t>
            </w:r>
          </w:p>
        </w:tc>
      </w:tr>
    </w:tbl>
    <w:p w14:paraId="063B9108" w14:textId="77777777" w:rsidR="00B8348C" w:rsidRPr="00F52884" w:rsidRDefault="00B8348C" w:rsidP="00C17162">
      <w:pPr>
        <w:rPr>
          <w:rFonts w:cstheme="minorHAnsi"/>
          <w:b/>
          <w:szCs w:val="23"/>
          <w:lang w:val="fr-CA"/>
        </w:rPr>
      </w:pPr>
    </w:p>
    <w:p w14:paraId="3637A118" w14:textId="77777777" w:rsidR="00B8348C" w:rsidRPr="00F52884" w:rsidRDefault="00B8348C" w:rsidP="00C17162">
      <w:pPr>
        <w:rPr>
          <w:rFonts w:cstheme="minorHAnsi"/>
          <w:b/>
          <w:szCs w:val="23"/>
          <w:lang w:val="fr-CA"/>
        </w:rPr>
      </w:pPr>
    </w:p>
    <w:p w14:paraId="0F2BF09C" w14:textId="4116FC24" w:rsidR="00B8348C" w:rsidRPr="00F52884" w:rsidRDefault="00DA2ACC" w:rsidP="00DA2ACC">
      <w:pPr>
        <w:pStyle w:val="ListParagraph"/>
        <w:spacing w:before="60" w:after="60"/>
        <w:ind w:left="-360"/>
        <w:rPr>
          <w:rFonts w:cstheme="minorHAnsi"/>
          <w:b/>
          <w:szCs w:val="23"/>
          <w:lang w:val="fr-CA"/>
        </w:rPr>
      </w:pPr>
      <w:r w:rsidRPr="00F52884">
        <w:rPr>
          <w:rFonts w:cstheme="minorHAnsi"/>
          <w:b/>
          <w:szCs w:val="23"/>
          <w:lang w:val="fr-CA"/>
        </w:rPr>
        <w:t xml:space="preserve">5.  </w:t>
      </w:r>
      <w:r w:rsidR="00B8348C" w:rsidRPr="00F52884">
        <w:rPr>
          <w:rFonts w:cstheme="minorHAnsi"/>
          <w:b/>
          <w:szCs w:val="23"/>
          <w:lang w:val="fr-CA"/>
        </w:rPr>
        <w:t>QUÉBEC</w:t>
      </w:r>
    </w:p>
    <w:tbl>
      <w:tblPr>
        <w:tblW w:w="10300" w:type="dxa"/>
        <w:jc w:val="center"/>
        <w:tblCellMar>
          <w:top w:w="14" w:type="dxa"/>
          <w:left w:w="86" w:type="dxa"/>
          <w:bottom w:w="14" w:type="dxa"/>
          <w:right w:w="86" w:type="dxa"/>
        </w:tblCellMar>
        <w:tblLook w:val="0000" w:firstRow="0" w:lastRow="0" w:firstColumn="0" w:lastColumn="0" w:noHBand="0" w:noVBand="0"/>
      </w:tblPr>
      <w:tblGrid>
        <w:gridCol w:w="2250"/>
        <w:gridCol w:w="7625"/>
        <w:gridCol w:w="425"/>
      </w:tblGrid>
      <w:tr w:rsidR="00B8348C" w:rsidRPr="00F52884" w14:paraId="4A3A043B"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3BA50D0" w14:textId="6926F35D" w:rsidR="00B8348C" w:rsidRPr="00F52884" w:rsidRDefault="00B8348C" w:rsidP="00DA2ACC">
            <w:pPr>
              <w:spacing w:before="60" w:after="60"/>
              <w:rPr>
                <w:rFonts w:cstheme="minorHAnsi"/>
                <w:b/>
                <w:szCs w:val="23"/>
                <w:lang w:val="fr-CA"/>
              </w:rPr>
            </w:pPr>
            <w:r w:rsidRPr="00F52884">
              <w:rPr>
                <w:rFonts w:cstheme="minorHAnsi"/>
                <w:b/>
                <w:szCs w:val="23"/>
                <w:lang w:val="fr-CA"/>
              </w:rPr>
              <w:t>Secteur :</w:t>
            </w:r>
            <w:r w:rsidRPr="00F52884">
              <w:rPr>
                <w:rFonts w:cstheme="minorHAnsi"/>
                <w:szCs w:val="23"/>
                <w:lang w:val="fr-CA"/>
              </w:rPr>
              <w:t xml:space="preserve"> </w:t>
            </w:r>
          </w:p>
        </w:tc>
        <w:tc>
          <w:tcPr>
            <w:tcW w:w="8050" w:type="dxa"/>
            <w:gridSpan w:val="2"/>
            <w:tcBorders>
              <w:top w:val="single" w:sz="4" w:space="0" w:color="C0C0C0"/>
              <w:left w:val="single" w:sz="4" w:space="0" w:color="FFFFFF"/>
              <w:bottom w:val="single" w:sz="4" w:space="0" w:color="C0C0C0"/>
              <w:right w:val="nil"/>
            </w:tcBorders>
            <w:vAlign w:val="center"/>
          </w:tcPr>
          <w:p w14:paraId="3DBB019F" w14:textId="5EC16F9F" w:rsidR="00B8348C" w:rsidRPr="00F52884" w:rsidRDefault="00DA2ACC" w:rsidP="00DA2ACC">
            <w:pPr>
              <w:spacing w:before="60" w:after="60"/>
              <w:rPr>
                <w:rFonts w:cstheme="minorHAnsi"/>
                <w:szCs w:val="23"/>
                <w:lang w:val="fr-CA"/>
              </w:rPr>
            </w:pPr>
            <w:r w:rsidRPr="00F52884">
              <w:rPr>
                <w:rFonts w:cstheme="minorHAnsi"/>
                <w:szCs w:val="23"/>
                <w:lang w:val="fr-CA"/>
              </w:rPr>
              <w:t>Pêche</w:t>
            </w:r>
          </w:p>
        </w:tc>
      </w:tr>
      <w:tr w:rsidR="00B8348C" w:rsidRPr="0068240F" w14:paraId="7E2F1F5F"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EC1329C" w14:textId="20B8929C" w:rsidR="00B8348C" w:rsidRPr="00F52884" w:rsidRDefault="00B8348C" w:rsidP="00DA2ACC">
            <w:pPr>
              <w:spacing w:before="60" w:after="60"/>
              <w:rPr>
                <w:rFonts w:cstheme="minorHAnsi"/>
                <w:b/>
                <w:szCs w:val="23"/>
                <w:lang w:val="fr-CA"/>
              </w:rPr>
            </w:pPr>
            <w:r w:rsidRPr="00F52884">
              <w:rPr>
                <w:rFonts w:cstheme="minorHAnsi"/>
                <w:b/>
                <w:szCs w:val="23"/>
                <w:lang w:val="fr-CA"/>
              </w:rPr>
              <w:t xml:space="preserve">Sous-secteur : </w:t>
            </w:r>
          </w:p>
        </w:tc>
        <w:tc>
          <w:tcPr>
            <w:tcW w:w="8050" w:type="dxa"/>
            <w:gridSpan w:val="2"/>
            <w:tcBorders>
              <w:top w:val="single" w:sz="4" w:space="0" w:color="C0C0C0"/>
              <w:left w:val="single" w:sz="4" w:space="0" w:color="FFFFFF"/>
              <w:bottom w:val="single" w:sz="4" w:space="0" w:color="C0C0C0"/>
              <w:right w:val="nil"/>
            </w:tcBorders>
            <w:vAlign w:val="center"/>
          </w:tcPr>
          <w:p w14:paraId="44BF6915" w14:textId="1B327C41" w:rsidR="00B8348C" w:rsidRPr="00F52884" w:rsidRDefault="00DA2ACC" w:rsidP="00DA2ACC">
            <w:pPr>
              <w:spacing w:before="60" w:after="60"/>
              <w:rPr>
                <w:rFonts w:cstheme="minorHAnsi"/>
                <w:szCs w:val="23"/>
                <w:lang w:val="fr-CA"/>
              </w:rPr>
            </w:pPr>
            <w:r w:rsidRPr="00F52884">
              <w:rPr>
                <w:rFonts w:cstheme="minorHAnsi"/>
                <w:szCs w:val="23"/>
                <w:lang w:val="fr-CA"/>
              </w:rPr>
              <w:t>Pêche et services annexes à la pêche</w:t>
            </w:r>
          </w:p>
        </w:tc>
      </w:tr>
      <w:tr w:rsidR="00B8348C" w:rsidRPr="00F52884" w14:paraId="703F23F8" w14:textId="77777777" w:rsidTr="00DA2ACC">
        <w:trPr>
          <w:gridAfter w:val="1"/>
          <w:wAfter w:w="425"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70D36A0F" w14:textId="53876863" w:rsidR="00B8348C" w:rsidRPr="00F52884" w:rsidRDefault="00B8348C" w:rsidP="00DA2ACC">
            <w:pPr>
              <w:spacing w:before="60" w:after="60"/>
              <w:rPr>
                <w:rFonts w:cstheme="minorHAnsi"/>
                <w:b/>
                <w:szCs w:val="23"/>
                <w:lang w:val="fr-CA"/>
              </w:rPr>
            </w:pPr>
            <w:r w:rsidRPr="00F52884">
              <w:rPr>
                <w:rFonts w:cstheme="minorHAnsi"/>
                <w:b/>
                <w:szCs w:val="23"/>
                <w:lang w:val="fr-CA"/>
              </w:rPr>
              <w:t>Classification de l’industrie :</w:t>
            </w:r>
            <w:r w:rsidRPr="00F52884">
              <w:rPr>
                <w:rFonts w:cstheme="minorHAnsi"/>
                <w:szCs w:val="23"/>
                <w:lang w:val="fr-CA"/>
              </w:rPr>
              <w:t xml:space="preserve"> </w:t>
            </w:r>
          </w:p>
        </w:tc>
        <w:tc>
          <w:tcPr>
            <w:tcW w:w="7625" w:type="dxa"/>
            <w:tcBorders>
              <w:top w:val="single" w:sz="4" w:space="0" w:color="C0C0C0"/>
              <w:left w:val="single" w:sz="4" w:space="0" w:color="FFFFFF"/>
              <w:bottom w:val="single" w:sz="4" w:space="0" w:color="C0C0C0"/>
              <w:right w:val="nil"/>
            </w:tcBorders>
            <w:vAlign w:val="center"/>
          </w:tcPr>
          <w:p w14:paraId="7998A6AD" w14:textId="34FB1015" w:rsidR="00B8348C" w:rsidRPr="00F52884" w:rsidRDefault="00DA2ACC" w:rsidP="00DA2ACC">
            <w:pPr>
              <w:spacing w:before="60" w:after="60"/>
              <w:ind w:left="28" w:hanging="28"/>
              <w:rPr>
                <w:rFonts w:cstheme="minorHAnsi"/>
                <w:szCs w:val="23"/>
                <w:lang w:val="fr-CA"/>
              </w:rPr>
            </w:pPr>
            <w:r w:rsidRPr="00F52884">
              <w:rPr>
                <w:rFonts w:cstheme="minorHAnsi"/>
                <w:szCs w:val="23"/>
              </w:rPr>
              <w:t>CPC 04, 882</w:t>
            </w:r>
          </w:p>
        </w:tc>
      </w:tr>
      <w:tr w:rsidR="00DA2ACC" w:rsidRPr="0068240F" w14:paraId="4910FCB4" w14:textId="77777777" w:rsidTr="00DA2ACC">
        <w:trPr>
          <w:trHeight w:val="42"/>
          <w:jc w:val="center"/>
        </w:trPr>
        <w:tc>
          <w:tcPr>
            <w:tcW w:w="2250" w:type="dxa"/>
            <w:tcBorders>
              <w:top w:val="single" w:sz="4" w:space="0" w:color="C0C0C0"/>
              <w:left w:val="nil"/>
              <w:bottom w:val="single" w:sz="4" w:space="0" w:color="C0C0C0"/>
            </w:tcBorders>
          </w:tcPr>
          <w:p w14:paraId="06F95C99" w14:textId="77777777" w:rsidR="00DA2ACC" w:rsidRPr="00F52884" w:rsidRDefault="00DA2ACC" w:rsidP="00DA2AC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sz w:val="23"/>
                <w:szCs w:val="23"/>
                <w:lang w:val="fr-CA"/>
              </w:rPr>
              <w:t xml:space="preserve">Type d’exception : </w:t>
            </w:r>
          </w:p>
        </w:tc>
        <w:tc>
          <w:tcPr>
            <w:tcW w:w="8050" w:type="dxa"/>
            <w:gridSpan w:val="2"/>
            <w:tcBorders>
              <w:top w:val="single" w:sz="4" w:space="0" w:color="C0C0C0"/>
              <w:left w:val="nil"/>
              <w:bottom w:val="single" w:sz="4" w:space="0" w:color="C0C0C0"/>
            </w:tcBorders>
          </w:tcPr>
          <w:p w14:paraId="4153DB4D" w14:textId="0A55A353" w:rsidR="00DA2ACC" w:rsidRPr="00F52884" w:rsidRDefault="00DA2ACC" w:rsidP="00DA2ACC">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 xml:space="preserve">Article 201 (Traitement non discriminatoire), article 307 (Accès au </w:t>
            </w:r>
            <w:proofErr w:type="gramStart"/>
            <w:r w:rsidRPr="00F52884">
              <w:rPr>
                <w:rFonts w:asciiTheme="minorHAnsi" w:hAnsiTheme="minorHAnsi" w:cstheme="minorHAnsi"/>
                <w:sz w:val="23"/>
                <w:szCs w:val="23"/>
                <w:lang w:val="fr-CA"/>
              </w:rPr>
              <w:t>marché  ̶</w:t>
            </w:r>
            <w:proofErr w:type="gramEnd"/>
            <w:r w:rsidRPr="00F52884">
              <w:rPr>
                <w:rFonts w:asciiTheme="minorHAnsi" w:hAnsiTheme="minorHAnsi" w:cstheme="minorHAnsi"/>
                <w:sz w:val="23"/>
                <w:szCs w:val="23"/>
                <w:lang w:val="fr-CA"/>
              </w:rPr>
              <w:t xml:space="preserve">  Services), article 312 (Accès au marché  ̶  Investissement).</w:t>
            </w:r>
          </w:p>
        </w:tc>
      </w:tr>
      <w:tr w:rsidR="00B8348C" w:rsidRPr="00F52884" w14:paraId="4CE55BC1"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BBB562A" w14:textId="77777777" w:rsidR="00B8348C" w:rsidRPr="00F52884" w:rsidRDefault="00B8348C" w:rsidP="00DA2ACC">
            <w:pPr>
              <w:pStyle w:val="RequirementsList"/>
              <w:numPr>
                <w:ilvl w:val="0"/>
                <w:numId w:val="0"/>
              </w:numPr>
              <w:spacing w:before="60" w:after="60" w:line="240" w:lineRule="auto"/>
              <w:ind w:left="288" w:hanging="288"/>
              <w:rPr>
                <w:rFonts w:asciiTheme="minorHAnsi" w:hAnsiTheme="minorHAnsi" w:cstheme="minorHAnsi"/>
                <w:sz w:val="23"/>
                <w:szCs w:val="23"/>
                <w:lang w:val="fr-CA" w:eastAsia="fr-CA"/>
              </w:rPr>
            </w:pPr>
            <w:r w:rsidRPr="00F52884">
              <w:rPr>
                <w:rFonts w:asciiTheme="minorHAnsi" w:hAnsiTheme="minorHAnsi" w:cstheme="minorHAnsi"/>
                <w:b/>
                <w:sz w:val="23"/>
                <w:szCs w:val="23"/>
                <w:lang w:val="fr-CA"/>
              </w:rPr>
              <w:t xml:space="preserve">Description : </w:t>
            </w:r>
          </w:p>
        </w:tc>
      </w:tr>
      <w:tr w:rsidR="00B8348C" w:rsidRPr="0068240F" w14:paraId="45CB4738" w14:textId="77777777" w:rsidTr="00DA2ACC">
        <w:trPr>
          <w:trHeight w:val="120"/>
          <w:jc w:val="center"/>
        </w:trPr>
        <w:tc>
          <w:tcPr>
            <w:tcW w:w="10300" w:type="dxa"/>
            <w:gridSpan w:val="3"/>
            <w:tcBorders>
              <w:top w:val="single" w:sz="4" w:space="0" w:color="C0C0C0"/>
              <w:left w:val="single" w:sz="4" w:space="0" w:color="C0C0C0"/>
              <w:bottom w:val="single" w:sz="4" w:space="0" w:color="C0C0C0"/>
              <w:right w:val="single" w:sz="4" w:space="0" w:color="C0C0C0"/>
            </w:tcBorders>
          </w:tcPr>
          <w:p w14:paraId="15FDD46E" w14:textId="24C724BC" w:rsidR="00B8348C" w:rsidRPr="00F52884" w:rsidRDefault="00B8348C" w:rsidP="00DA2ACC">
            <w:pPr>
              <w:spacing w:before="60" w:after="60"/>
              <w:rPr>
                <w:rFonts w:cstheme="minorHAnsi"/>
                <w:szCs w:val="23"/>
                <w:lang w:val="fr-CA"/>
              </w:rPr>
            </w:pPr>
            <w:r w:rsidRPr="00F52884">
              <w:rPr>
                <w:rFonts w:cstheme="minorHAnsi"/>
                <w:szCs w:val="23"/>
                <w:lang w:val="fr-CA"/>
              </w:rPr>
              <w:t>Le Québec se réserve le droit d’exercer les pouvoirs que lui délègue la législation du Canada sur les pêches et les règlements qui en découlent.</w:t>
            </w:r>
          </w:p>
        </w:tc>
      </w:tr>
      <w:tr w:rsidR="00B8348C" w:rsidRPr="0068240F" w14:paraId="7086D2F2"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277FF38" w14:textId="77777777" w:rsidR="00B8348C" w:rsidRPr="00F52884" w:rsidRDefault="00B8348C" w:rsidP="00DA2ACC">
            <w:pPr>
              <w:pStyle w:val="NoSpacing"/>
              <w:spacing w:before="60" w:after="60"/>
              <w:rPr>
                <w:rFonts w:cstheme="minorHAnsi"/>
                <w:caps/>
                <w:sz w:val="23"/>
                <w:szCs w:val="23"/>
                <w:lang w:val="fr-CA" w:eastAsia="fr-CA"/>
              </w:rPr>
            </w:pPr>
            <w:r w:rsidRPr="00F52884">
              <w:rPr>
                <w:rFonts w:cstheme="minorHAnsi"/>
                <w:b/>
                <w:sz w:val="23"/>
                <w:szCs w:val="23"/>
                <w:lang w:val="fr-CA" w:eastAsia="fr-CA"/>
              </w:rPr>
              <w:t>Mesures existantes :</w:t>
            </w:r>
            <w:r w:rsidRPr="00F52884">
              <w:rPr>
                <w:rFonts w:cstheme="minorHAnsi"/>
                <w:caps/>
                <w:sz w:val="23"/>
                <w:szCs w:val="23"/>
                <w:lang w:val="fr-CA" w:eastAsia="fr-CA"/>
              </w:rPr>
              <w:t xml:space="preserve"> </w:t>
            </w:r>
            <w:r w:rsidRPr="00F52884">
              <w:rPr>
                <w:rFonts w:cstheme="minorHAnsi"/>
                <w:sz w:val="23"/>
                <w:szCs w:val="23"/>
                <w:lang w:val="fr-CA" w:eastAsia="fr-CA"/>
              </w:rPr>
              <w:t>(Fourni à des fins illustratives)</w:t>
            </w:r>
          </w:p>
        </w:tc>
      </w:tr>
      <w:tr w:rsidR="00B8348C" w:rsidRPr="0068240F" w14:paraId="43D5D311"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auto"/>
          </w:tcPr>
          <w:p w14:paraId="7F577250" w14:textId="437881CE"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szCs w:val="23"/>
                <w:shd w:val="clear" w:color="auto" w:fill="FFFFFF"/>
                <w:lang w:val="fr-CA"/>
              </w:rPr>
            </w:pPr>
            <w:r w:rsidRPr="00F52884">
              <w:rPr>
                <w:rFonts w:asciiTheme="minorHAnsi" w:hAnsiTheme="minorHAnsi" w:cstheme="minorHAnsi"/>
                <w:i/>
                <w:szCs w:val="23"/>
                <w:shd w:val="clear" w:color="auto" w:fill="FFFFFF"/>
                <w:lang w:val="fr-CA"/>
              </w:rPr>
              <w:t>Loi sur les pêches</w:t>
            </w:r>
            <w:r w:rsidRPr="00F52884">
              <w:rPr>
                <w:rFonts w:asciiTheme="minorHAnsi" w:hAnsiTheme="minorHAnsi" w:cstheme="minorHAnsi"/>
                <w:szCs w:val="23"/>
                <w:shd w:val="clear" w:color="auto" w:fill="FFFFFF"/>
                <w:lang w:val="fr-CA"/>
              </w:rPr>
              <w:t>, LRC 1985, c F-14</w:t>
            </w:r>
          </w:p>
          <w:p w14:paraId="58C9768D" w14:textId="27E51781" w:rsidR="00B8348C" w:rsidRPr="00F52884" w:rsidRDefault="00B8348C" w:rsidP="00DA2ACC">
            <w:pPr>
              <w:pStyle w:val="NormalWeb"/>
              <w:shd w:val="clear" w:color="auto" w:fill="FFFFFF"/>
              <w:spacing w:before="120" w:beforeAutospacing="0" w:after="120" w:afterAutospacing="0"/>
              <w:rPr>
                <w:rFonts w:asciiTheme="minorHAnsi" w:hAnsiTheme="minorHAnsi" w:cstheme="minorHAnsi"/>
                <w:b/>
                <w:szCs w:val="23"/>
                <w:lang w:val="fr-CA"/>
              </w:rPr>
            </w:pPr>
            <w:r w:rsidRPr="00F52884">
              <w:rPr>
                <w:rFonts w:asciiTheme="minorHAnsi" w:hAnsiTheme="minorHAnsi" w:cstheme="minorHAnsi"/>
                <w:bCs/>
                <w:i/>
                <w:szCs w:val="23"/>
                <w:lang w:val="fr-CA"/>
              </w:rPr>
              <w:t>Règlement de pêche du Québec, 1990,</w:t>
            </w:r>
            <w:r w:rsidRPr="00F52884">
              <w:rPr>
                <w:rFonts w:asciiTheme="minorHAnsi" w:hAnsiTheme="minorHAnsi" w:cstheme="minorHAnsi"/>
                <w:bCs/>
                <w:szCs w:val="23"/>
                <w:lang w:val="fr-CA"/>
              </w:rPr>
              <w:t xml:space="preserve"> DORS/90-214</w:t>
            </w:r>
          </w:p>
        </w:tc>
      </w:tr>
    </w:tbl>
    <w:p w14:paraId="7D0F16D4" w14:textId="77777777" w:rsidR="00B8348C" w:rsidRPr="00F52884" w:rsidRDefault="00B8348C" w:rsidP="00C17162">
      <w:pPr>
        <w:rPr>
          <w:rFonts w:cstheme="minorHAnsi"/>
          <w:b/>
          <w:szCs w:val="23"/>
          <w:lang w:val="fr-CA"/>
        </w:rPr>
      </w:pPr>
    </w:p>
    <w:p w14:paraId="46EBB32F" w14:textId="77777777" w:rsidR="00B8348C" w:rsidRPr="00F52884" w:rsidRDefault="00B8348C" w:rsidP="00C17162">
      <w:pPr>
        <w:rPr>
          <w:rFonts w:cstheme="minorHAnsi"/>
          <w:b/>
          <w:szCs w:val="23"/>
          <w:lang w:val="fr-CA"/>
        </w:rPr>
      </w:pPr>
    </w:p>
    <w:p w14:paraId="5B45E8C4" w14:textId="1B03E9E8" w:rsidR="00B8348C" w:rsidRPr="00F52884" w:rsidRDefault="00DA2ACC" w:rsidP="00DA2ACC">
      <w:pPr>
        <w:pStyle w:val="ListParagraph"/>
        <w:spacing w:before="60" w:after="60"/>
        <w:ind w:left="-360"/>
        <w:rPr>
          <w:rFonts w:cstheme="minorHAnsi"/>
          <w:b/>
          <w:szCs w:val="23"/>
          <w:lang w:val="fr-CA"/>
        </w:rPr>
      </w:pPr>
      <w:r w:rsidRPr="00F52884">
        <w:rPr>
          <w:rFonts w:cstheme="minorHAnsi"/>
          <w:b/>
          <w:szCs w:val="23"/>
          <w:lang w:val="fr-CA"/>
        </w:rPr>
        <w:t xml:space="preserve">6.  </w:t>
      </w:r>
      <w:r w:rsidR="00B8348C" w:rsidRPr="00F52884">
        <w:rPr>
          <w:rFonts w:cstheme="minorHAnsi"/>
          <w:b/>
          <w:szCs w:val="23"/>
          <w:lang w:val="fr-CA"/>
        </w:rPr>
        <w:t>QUÉBEC</w:t>
      </w:r>
    </w:p>
    <w:tbl>
      <w:tblPr>
        <w:tblW w:w="10300" w:type="dxa"/>
        <w:jc w:val="center"/>
        <w:tblCellMar>
          <w:top w:w="14" w:type="dxa"/>
          <w:left w:w="86" w:type="dxa"/>
          <w:bottom w:w="14" w:type="dxa"/>
          <w:right w:w="86" w:type="dxa"/>
        </w:tblCellMar>
        <w:tblLook w:val="0000" w:firstRow="0" w:lastRow="0" w:firstColumn="0" w:lastColumn="0" w:noHBand="0" w:noVBand="0"/>
      </w:tblPr>
      <w:tblGrid>
        <w:gridCol w:w="2250"/>
        <w:gridCol w:w="7625"/>
        <w:gridCol w:w="425"/>
      </w:tblGrid>
      <w:tr w:rsidR="00B8348C" w:rsidRPr="00F52884" w14:paraId="1E327EA8"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23FF871D" w14:textId="452B5F7D" w:rsidR="00B8348C" w:rsidRPr="00F52884" w:rsidRDefault="00B8348C" w:rsidP="00DA2ACC">
            <w:pPr>
              <w:spacing w:before="60" w:after="60"/>
              <w:rPr>
                <w:rFonts w:cstheme="minorHAnsi"/>
                <w:b/>
                <w:szCs w:val="23"/>
                <w:lang w:val="fr-CA"/>
              </w:rPr>
            </w:pPr>
            <w:r w:rsidRPr="00F52884">
              <w:rPr>
                <w:rFonts w:cstheme="minorHAnsi"/>
                <w:b/>
                <w:szCs w:val="23"/>
                <w:lang w:val="fr-CA"/>
              </w:rPr>
              <w:t>Secteur :</w:t>
            </w:r>
            <w:r w:rsidRPr="00F52884">
              <w:rPr>
                <w:rFonts w:cstheme="minorHAnsi"/>
                <w:szCs w:val="23"/>
                <w:lang w:val="fr-CA"/>
              </w:rPr>
              <w:t xml:space="preserve"> </w:t>
            </w:r>
          </w:p>
        </w:tc>
        <w:tc>
          <w:tcPr>
            <w:tcW w:w="8050" w:type="dxa"/>
            <w:gridSpan w:val="2"/>
            <w:tcBorders>
              <w:top w:val="single" w:sz="4" w:space="0" w:color="C0C0C0"/>
              <w:left w:val="single" w:sz="4" w:space="0" w:color="FFFFFF"/>
              <w:bottom w:val="single" w:sz="4" w:space="0" w:color="C0C0C0"/>
              <w:right w:val="nil"/>
            </w:tcBorders>
            <w:vAlign w:val="center"/>
          </w:tcPr>
          <w:p w14:paraId="1CEF2A32" w14:textId="69149C6D" w:rsidR="00B8348C" w:rsidRPr="00F52884" w:rsidRDefault="00DA2ACC" w:rsidP="00DA2ACC">
            <w:pPr>
              <w:spacing w:before="60" w:after="60"/>
              <w:rPr>
                <w:rFonts w:cstheme="minorHAnsi"/>
                <w:szCs w:val="23"/>
                <w:lang w:val="fr-CA"/>
              </w:rPr>
            </w:pPr>
            <w:r w:rsidRPr="00F52884">
              <w:rPr>
                <w:rFonts w:cstheme="minorHAnsi"/>
                <w:szCs w:val="23"/>
                <w:lang w:val="fr-CA"/>
              </w:rPr>
              <w:t>Services sociaux</w:t>
            </w:r>
          </w:p>
        </w:tc>
      </w:tr>
      <w:tr w:rsidR="00B8348C" w:rsidRPr="00F52884" w14:paraId="3C7FAB9C" w14:textId="77777777" w:rsidTr="00DA2ACC">
        <w:trPr>
          <w:trHeight w:val="42"/>
          <w:jc w:val="center"/>
        </w:trPr>
        <w:tc>
          <w:tcPr>
            <w:tcW w:w="2250" w:type="dxa"/>
            <w:tcBorders>
              <w:top w:val="single" w:sz="4" w:space="0" w:color="C0C0C0"/>
              <w:left w:val="nil"/>
              <w:bottom w:val="single" w:sz="4" w:space="0" w:color="C0C0C0"/>
              <w:right w:val="single" w:sz="4" w:space="0" w:color="FFFFFF"/>
            </w:tcBorders>
            <w:vAlign w:val="center"/>
          </w:tcPr>
          <w:p w14:paraId="1231B93E" w14:textId="77777777" w:rsidR="00B8348C" w:rsidRPr="00F52884" w:rsidRDefault="00B8348C" w:rsidP="00DA2ACC">
            <w:pPr>
              <w:spacing w:before="60" w:after="60"/>
              <w:rPr>
                <w:rFonts w:cstheme="minorHAnsi"/>
                <w:b/>
                <w:szCs w:val="23"/>
                <w:lang w:val="fr-CA"/>
              </w:rPr>
            </w:pPr>
            <w:r w:rsidRPr="00F52884">
              <w:rPr>
                <w:rFonts w:cstheme="minorHAnsi"/>
                <w:b/>
                <w:szCs w:val="23"/>
                <w:lang w:val="fr-CA"/>
              </w:rPr>
              <w:t xml:space="preserve">Sous-secteur : </w:t>
            </w:r>
          </w:p>
        </w:tc>
        <w:tc>
          <w:tcPr>
            <w:tcW w:w="8050" w:type="dxa"/>
            <w:gridSpan w:val="2"/>
            <w:tcBorders>
              <w:top w:val="single" w:sz="4" w:space="0" w:color="C0C0C0"/>
              <w:left w:val="single" w:sz="4" w:space="0" w:color="FFFFFF"/>
              <w:bottom w:val="single" w:sz="4" w:space="0" w:color="C0C0C0"/>
              <w:right w:val="nil"/>
            </w:tcBorders>
            <w:vAlign w:val="center"/>
          </w:tcPr>
          <w:p w14:paraId="189C3A92" w14:textId="77777777" w:rsidR="00B8348C" w:rsidRPr="00F52884" w:rsidRDefault="00B8348C" w:rsidP="00DA2ACC">
            <w:pPr>
              <w:spacing w:before="60" w:after="60"/>
              <w:rPr>
                <w:rFonts w:cstheme="minorHAnsi"/>
                <w:szCs w:val="23"/>
                <w:lang w:val="fr-CA"/>
              </w:rPr>
            </w:pPr>
          </w:p>
        </w:tc>
      </w:tr>
      <w:tr w:rsidR="00B8348C" w:rsidRPr="00F52884" w14:paraId="0DD3E9F8" w14:textId="77777777" w:rsidTr="00DA2ACC">
        <w:trPr>
          <w:gridAfter w:val="1"/>
          <w:wAfter w:w="425" w:type="dxa"/>
          <w:trHeight w:val="42"/>
          <w:jc w:val="center"/>
        </w:trPr>
        <w:tc>
          <w:tcPr>
            <w:tcW w:w="2250" w:type="dxa"/>
            <w:tcBorders>
              <w:top w:val="single" w:sz="4" w:space="0" w:color="C0C0C0"/>
              <w:left w:val="nil"/>
              <w:bottom w:val="single" w:sz="4" w:space="0" w:color="C0C0C0"/>
              <w:right w:val="single" w:sz="4" w:space="0" w:color="FFFFFF"/>
            </w:tcBorders>
            <w:vAlign w:val="center"/>
          </w:tcPr>
          <w:p w14:paraId="08E75ED6" w14:textId="77777777" w:rsidR="00B8348C" w:rsidRPr="00F52884" w:rsidRDefault="00B8348C" w:rsidP="00DA2ACC">
            <w:pPr>
              <w:spacing w:before="60" w:after="60"/>
              <w:rPr>
                <w:rFonts w:cstheme="minorHAnsi"/>
                <w:b/>
                <w:szCs w:val="23"/>
                <w:lang w:val="fr-CA"/>
              </w:rPr>
            </w:pPr>
            <w:r w:rsidRPr="00F52884">
              <w:rPr>
                <w:rFonts w:cstheme="minorHAnsi"/>
                <w:b/>
                <w:szCs w:val="23"/>
                <w:lang w:val="fr-CA"/>
              </w:rPr>
              <w:t>Classification de l’industrie :</w:t>
            </w:r>
            <w:r w:rsidRPr="00F52884">
              <w:rPr>
                <w:rFonts w:cstheme="minorHAnsi"/>
                <w:szCs w:val="23"/>
                <w:lang w:val="fr-CA"/>
              </w:rPr>
              <w:t xml:space="preserve"> </w:t>
            </w:r>
          </w:p>
        </w:tc>
        <w:tc>
          <w:tcPr>
            <w:tcW w:w="7625" w:type="dxa"/>
            <w:tcBorders>
              <w:top w:val="single" w:sz="4" w:space="0" w:color="C0C0C0"/>
              <w:left w:val="single" w:sz="4" w:space="0" w:color="FFFFFF"/>
              <w:bottom w:val="single" w:sz="4" w:space="0" w:color="C0C0C0"/>
              <w:right w:val="nil"/>
            </w:tcBorders>
            <w:vAlign w:val="center"/>
          </w:tcPr>
          <w:p w14:paraId="2F2DDF15" w14:textId="77777777" w:rsidR="00B8348C" w:rsidRPr="00F52884" w:rsidRDefault="00B8348C" w:rsidP="00DA2ACC">
            <w:pPr>
              <w:spacing w:before="60" w:after="60"/>
              <w:ind w:left="28" w:hanging="28"/>
              <w:rPr>
                <w:rFonts w:cstheme="minorHAnsi"/>
                <w:szCs w:val="23"/>
                <w:lang w:val="fr-CA"/>
              </w:rPr>
            </w:pPr>
          </w:p>
        </w:tc>
      </w:tr>
      <w:tr w:rsidR="00DA2ACC" w:rsidRPr="0068240F" w14:paraId="0AB3D2D9" w14:textId="77777777" w:rsidTr="00DA2ACC">
        <w:trPr>
          <w:trHeight w:val="42"/>
          <w:jc w:val="center"/>
        </w:trPr>
        <w:tc>
          <w:tcPr>
            <w:tcW w:w="2250" w:type="dxa"/>
            <w:tcBorders>
              <w:top w:val="single" w:sz="4" w:space="0" w:color="C0C0C0"/>
              <w:left w:val="nil"/>
              <w:bottom w:val="single" w:sz="4" w:space="0" w:color="C0C0C0"/>
            </w:tcBorders>
          </w:tcPr>
          <w:p w14:paraId="48408915" w14:textId="77777777" w:rsidR="00DA2ACC" w:rsidRPr="00F52884" w:rsidRDefault="00DA2ACC" w:rsidP="00DA2AC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sz w:val="23"/>
                <w:szCs w:val="23"/>
                <w:lang w:val="fr-CA"/>
              </w:rPr>
              <w:t xml:space="preserve">Type d’exception : </w:t>
            </w:r>
          </w:p>
        </w:tc>
        <w:tc>
          <w:tcPr>
            <w:tcW w:w="8050" w:type="dxa"/>
            <w:gridSpan w:val="2"/>
            <w:tcBorders>
              <w:top w:val="single" w:sz="4" w:space="0" w:color="C0C0C0"/>
              <w:left w:val="nil"/>
              <w:bottom w:val="single" w:sz="4" w:space="0" w:color="C0C0C0"/>
            </w:tcBorders>
          </w:tcPr>
          <w:p w14:paraId="15C3918F" w14:textId="4A6C80F6" w:rsidR="00DA2ACC" w:rsidRPr="00F52884" w:rsidRDefault="00DA2ACC" w:rsidP="00DA2ACC">
            <w:pPr>
              <w:pStyle w:val="Text"/>
              <w:spacing w:before="60" w:after="60" w:line="240" w:lineRule="auto"/>
              <w:rPr>
                <w:rFonts w:asciiTheme="minorHAnsi" w:hAnsiTheme="minorHAnsi" w:cstheme="minorHAnsi"/>
                <w:sz w:val="23"/>
                <w:szCs w:val="23"/>
                <w:lang w:val="fr-CA"/>
              </w:rPr>
            </w:pPr>
            <w:r w:rsidRPr="00F52884">
              <w:rPr>
                <w:rFonts w:asciiTheme="minorHAnsi" w:hAnsiTheme="minorHAnsi" w:cstheme="minorHAnsi"/>
                <w:sz w:val="23"/>
                <w:szCs w:val="23"/>
                <w:lang w:val="fr-CA"/>
              </w:rPr>
              <w:t xml:space="preserve">Article 301 (Droit d’entrée et de sortie), article 307 (Accès au </w:t>
            </w:r>
            <w:proofErr w:type="gramStart"/>
            <w:r w:rsidRPr="00F52884">
              <w:rPr>
                <w:rFonts w:asciiTheme="minorHAnsi" w:hAnsiTheme="minorHAnsi" w:cstheme="minorHAnsi"/>
                <w:sz w:val="23"/>
                <w:szCs w:val="23"/>
                <w:lang w:val="fr-CA"/>
              </w:rPr>
              <w:t>marché  ̶</w:t>
            </w:r>
            <w:proofErr w:type="gramEnd"/>
            <w:r w:rsidRPr="00F52884">
              <w:rPr>
                <w:rFonts w:asciiTheme="minorHAnsi" w:hAnsiTheme="minorHAnsi" w:cstheme="minorHAnsi"/>
                <w:sz w:val="23"/>
                <w:szCs w:val="23"/>
                <w:lang w:val="fr-CA"/>
              </w:rPr>
              <w:t xml:space="preserve">  Services); article 312 (Accès au marché  ̶  Investissement).</w:t>
            </w:r>
          </w:p>
        </w:tc>
      </w:tr>
      <w:tr w:rsidR="00B8348C" w:rsidRPr="00F52884" w14:paraId="0AF58102"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FAC95A4" w14:textId="77777777" w:rsidR="00B8348C" w:rsidRPr="00F52884" w:rsidRDefault="00B8348C" w:rsidP="00DA2ACC">
            <w:pPr>
              <w:pStyle w:val="RequirementsList"/>
              <w:numPr>
                <w:ilvl w:val="0"/>
                <w:numId w:val="0"/>
              </w:numPr>
              <w:spacing w:before="60" w:after="60" w:line="240" w:lineRule="auto"/>
              <w:ind w:left="288" w:hanging="288"/>
              <w:rPr>
                <w:rFonts w:asciiTheme="minorHAnsi" w:hAnsiTheme="minorHAnsi" w:cstheme="minorHAnsi"/>
                <w:sz w:val="23"/>
                <w:szCs w:val="23"/>
                <w:lang w:val="fr-CA" w:eastAsia="fr-CA"/>
              </w:rPr>
            </w:pPr>
            <w:r w:rsidRPr="00F52884">
              <w:rPr>
                <w:rFonts w:asciiTheme="minorHAnsi" w:hAnsiTheme="minorHAnsi" w:cstheme="minorHAnsi"/>
                <w:b/>
                <w:sz w:val="23"/>
                <w:szCs w:val="23"/>
                <w:lang w:val="fr-CA"/>
              </w:rPr>
              <w:t xml:space="preserve">Description : </w:t>
            </w:r>
          </w:p>
        </w:tc>
      </w:tr>
      <w:tr w:rsidR="00B8348C" w:rsidRPr="0068240F" w14:paraId="785F5374" w14:textId="77777777" w:rsidTr="00DA2ACC">
        <w:trPr>
          <w:trHeight w:val="120"/>
          <w:jc w:val="center"/>
        </w:trPr>
        <w:tc>
          <w:tcPr>
            <w:tcW w:w="10300" w:type="dxa"/>
            <w:gridSpan w:val="3"/>
            <w:tcBorders>
              <w:top w:val="single" w:sz="4" w:space="0" w:color="C0C0C0"/>
              <w:left w:val="single" w:sz="4" w:space="0" w:color="C0C0C0"/>
              <w:bottom w:val="single" w:sz="4" w:space="0" w:color="C0C0C0"/>
              <w:right w:val="single" w:sz="4" w:space="0" w:color="C0C0C0"/>
            </w:tcBorders>
          </w:tcPr>
          <w:p w14:paraId="0762E7B2" w14:textId="77777777" w:rsidR="00B8348C" w:rsidRPr="00F52884" w:rsidRDefault="00B8348C" w:rsidP="00DA2ACC">
            <w:pPr>
              <w:spacing w:before="60" w:after="60"/>
              <w:rPr>
                <w:rFonts w:cstheme="minorHAnsi"/>
                <w:szCs w:val="23"/>
                <w:lang w:val="fr-CA"/>
              </w:rPr>
            </w:pPr>
            <w:r w:rsidRPr="00F52884">
              <w:rPr>
                <w:rFonts w:cstheme="minorHAnsi"/>
                <w:szCs w:val="23"/>
                <w:lang w:val="fr-CA"/>
              </w:rPr>
              <w:t>Le Québec se réserve le droit d’adopter ou de maintenir toute mesure se rapportant à la prestation de services sociaux non autrement visés par l’article 805 (Services sociaux).</w:t>
            </w:r>
          </w:p>
        </w:tc>
      </w:tr>
      <w:tr w:rsidR="00B8348C" w:rsidRPr="00F52884" w14:paraId="47840A14"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C118764" w14:textId="77777777" w:rsidR="00B8348C" w:rsidRPr="00F52884" w:rsidRDefault="00B8348C" w:rsidP="00DA2ACC">
            <w:pPr>
              <w:pStyle w:val="NoSpacing"/>
              <w:spacing w:before="60" w:after="60"/>
              <w:rPr>
                <w:rFonts w:cstheme="minorHAnsi"/>
                <w:caps/>
                <w:sz w:val="23"/>
                <w:szCs w:val="23"/>
                <w:lang w:val="fr-CA" w:eastAsia="fr-CA"/>
              </w:rPr>
            </w:pPr>
            <w:r w:rsidRPr="00F52884">
              <w:rPr>
                <w:rFonts w:cstheme="minorHAnsi"/>
                <w:b/>
                <w:sz w:val="23"/>
                <w:szCs w:val="23"/>
                <w:lang w:val="fr-CA" w:eastAsia="fr-CA"/>
              </w:rPr>
              <w:t>Mesures existantes :</w:t>
            </w:r>
            <w:r w:rsidRPr="00F52884">
              <w:rPr>
                <w:rFonts w:cstheme="minorHAnsi"/>
                <w:caps/>
                <w:sz w:val="23"/>
                <w:szCs w:val="23"/>
                <w:lang w:val="fr-CA" w:eastAsia="fr-CA"/>
              </w:rPr>
              <w:t xml:space="preserve"> </w:t>
            </w:r>
          </w:p>
        </w:tc>
      </w:tr>
      <w:tr w:rsidR="00B8348C" w:rsidRPr="00F52884" w14:paraId="61E2CECE" w14:textId="77777777" w:rsidTr="00DA2ACC">
        <w:trPr>
          <w:trHeight w:val="42"/>
          <w:jc w:val="center"/>
        </w:trPr>
        <w:tc>
          <w:tcPr>
            <w:tcW w:w="10300" w:type="dxa"/>
            <w:gridSpan w:val="3"/>
            <w:tcBorders>
              <w:top w:val="single" w:sz="4" w:space="0" w:color="C0C0C0"/>
              <w:left w:val="single" w:sz="4" w:space="0" w:color="C0C0C0"/>
              <w:bottom w:val="single" w:sz="4" w:space="0" w:color="C0C0C0"/>
              <w:right w:val="single" w:sz="4" w:space="0" w:color="C0C0C0"/>
            </w:tcBorders>
            <w:shd w:val="clear" w:color="auto" w:fill="auto"/>
          </w:tcPr>
          <w:p w14:paraId="2F8379C2" w14:textId="77777777" w:rsidR="00B8348C" w:rsidRPr="00F52884" w:rsidRDefault="00B8348C" w:rsidP="00DA2ACC">
            <w:pPr>
              <w:pStyle w:val="NormalWeb"/>
              <w:shd w:val="clear" w:color="auto" w:fill="FFFFFF"/>
              <w:spacing w:before="60" w:beforeAutospacing="0" w:after="60" w:afterAutospacing="0"/>
              <w:rPr>
                <w:rFonts w:asciiTheme="minorHAnsi" w:hAnsiTheme="minorHAnsi" w:cstheme="minorHAnsi"/>
                <w:b/>
                <w:szCs w:val="23"/>
              </w:rPr>
            </w:pPr>
          </w:p>
        </w:tc>
      </w:tr>
    </w:tbl>
    <w:p w14:paraId="5524B20A" w14:textId="77777777" w:rsidR="00B8348C" w:rsidRPr="00F52884" w:rsidRDefault="00B8348C">
      <w:pPr>
        <w:rPr>
          <w:rFonts w:cstheme="minorHAnsi"/>
          <w:szCs w:val="23"/>
        </w:rPr>
      </w:pPr>
      <w:bookmarkStart w:id="307" w:name="_Toc476566352"/>
    </w:p>
    <w:bookmarkEnd w:id="307"/>
    <w:p w14:paraId="39CEF804" w14:textId="77777777" w:rsidR="00EA3915" w:rsidRDefault="00EA3915">
      <w:pPr>
        <w:rPr>
          <w:rFonts w:cstheme="minorHAnsi"/>
          <w:szCs w:val="23"/>
        </w:rPr>
      </w:pPr>
    </w:p>
    <w:p w14:paraId="6E396B1F"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7. </w:t>
      </w:r>
      <w:r w:rsidRPr="00EA3915">
        <w:rPr>
          <w:rFonts w:ascii="Arial" w:eastAsia="Times New Roman" w:hAnsi="Arial" w:cs="Arial"/>
          <w:b/>
          <w:bCs/>
          <w:szCs w:val="23"/>
          <w:lang w:val="fr-CA"/>
        </w:rPr>
        <w:t>QUÉBEC</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51D199D3"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2BCF6F09"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4FE37FF7"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65B0FC72"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68240F" w14:paraId="7BC23EA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71070984"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3605134D"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Cannabis; Services auxiliaires à la production de plantes de cannabis; Fabrication du cannabis; Services de commerce de gros, y compris à forfait ou sous contrat; Services de commerce de détail, y compris à forfait ou sous contrat; Tous les autres services relatifs au cannabis qui ne sont pas visés par B, C, D et E; Accessoires de cannabis </w:t>
            </w:r>
          </w:p>
        </w:tc>
      </w:tr>
      <w:tr w:rsidR="00EA3915" w:rsidRPr="00EA3915" w14:paraId="6644C8BB"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5EB342F"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0B3DD7E7"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B, C, D, E, F, G</w:t>
            </w:r>
          </w:p>
        </w:tc>
        <w:tc>
          <w:tcPr>
            <w:tcW w:w="390" w:type="dxa"/>
            <w:tcBorders>
              <w:top w:val="nil"/>
              <w:left w:val="nil"/>
              <w:bottom w:val="single" w:sz="8" w:space="0" w:color="C0C0C0"/>
              <w:right w:val="nil"/>
            </w:tcBorders>
            <w:vAlign w:val="center"/>
            <w:hideMark/>
          </w:tcPr>
          <w:p w14:paraId="5E9070D0"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68240F" w14:paraId="79E4C5DB"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77D5A0B8"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5983BD89"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2E0B1300"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201 (Traitement non discriminatoire) (</w:t>
            </w:r>
            <w:r w:rsidRPr="00EA3915">
              <w:rPr>
                <w:rFonts w:ascii="Arial" w:eastAsia="Calibri" w:hAnsi="Arial" w:cs="Arial"/>
                <w:bCs/>
                <w:i/>
                <w:iCs/>
                <w:szCs w:val="24"/>
                <w:lang w:val="fr-CA" w:eastAsia="en-CA" w:bidi="en-US"/>
              </w:rPr>
              <w:t>limité conformément à ce qui est indiqué dans la description</w:t>
            </w:r>
            <w:r w:rsidRPr="00EA3915">
              <w:rPr>
                <w:rFonts w:ascii="Arial" w:eastAsia="Calibri" w:hAnsi="Arial" w:cs="Arial"/>
                <w:bCs/>
                <w:szCs w:val="24"/>
                <w:lang w:val="fr-CA" w:eastAsia="en-CA" w:bidi="en-US"/>
              </w:rPr>
              <w:t>), article 301 (Droit d’entrée et de sortie), article 302 (Obstacles techniques au commerce), article 303 (Mesures sanitaires et phytosanitaires), article 307 (Accès aux marchés – Services), article 312 (Accès aux marchés – Investissement)</w:t>
            </w:r>
          </w:p>
        </w:tc>
      </w:tr>
      <w:tr w:rsidR="00EA3915" w:rsidRPr="00EA3915" w14:paraId="5CA5676E"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5887611C"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r w:rsidRPr="00EA3915">
              <w:rPr>
                <w:rFonts w:ascii="Arial" w:eastAsia="Calibri" w:hAnsi="Arial" w:cs="Arial"/>
                <w:b/>
                <w:szCs w:val="24"/>
                <w:lang w:eastAsia="en-CA" w:bidi="en-US"/>
              </w:rPr>
              <w:t xml:space="preserve"> </w:t>
            </w:r>
          </w:p>
        </w:tc>
      </w:tr>
      <w:tr w:rsidR="00EA3915" w:rsidRPr="0068240F" w14:paraId="7D240C3B"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507DD541"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Le Québec se réserve le droit d’adopter ou de maintenir toute mesure relative au cannabis et aux accessoires de cannabis, y compris l’importation, la production, l’approvisionnement, la distribution, le transport, l’entreposage, la commercialisation (dont la vente, l’emballage, l’étiquetage, la publicité et la promotion) de cannabis, les services associés à l’achat de cannabis, la possession ou la consommation de cannabis ou d’accessoires de cannabis.</w:t>
            </w:r>
          </w:p>
          <w:p w14:paraId="066B06D8"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Le Québec applique ces mesures et exerce ces activités, notamment par l’intermédiaire de son monopole provincial, la Société québécoise du cannabis.</w:t>
            </w:r>
          </w:p>
          <w:p w14:paraId="52F232FB"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 xml:space="preserve">En ce qui concerne l’application de l’article 201 (Traitement non discriminatoire), si une autre partie : </w:t>
            </w:r>
          </w:p>
          <w:p w14:paraId="309AAEF6" w14:textId="77777777" w:rsidR="00EA3915" w:rsidRPr="00EA3915" w:rsidRDefault="00EA3915" w:rsidP="00EA3915">
            <w:pPr>
              <w:widowControl w:val="0"/>
              <w:numPr>
                <w:ilvl w:val="0"/>
                <w:numId w:val="440"/>
              </w:numPr>
              <w:tabs>
                <w:tab w:val="left" w:pos="720"/>
                <w:tab w:val="left" w:pos="1440"/>
                <w:tab w:val="left" w:pos="2160"/>
                <w:tab w:val="left" w:pos="2880"/>
              </w:tabs>
              <w:autoSpaceDE w:val="0"/>
              <w:autoSpaceDN w:val="0"/>
              <w:adjustRightInd w:val="0"/>
              <w:spacing w:before="60" w:after="60"/>
              <w:ind w:left="626"/>
              <w:contextualSpacing/>
              <w:rPr>
                <w:rFonts w:ascii="Arial" w:eastAsia="Calibri" w:hAnsi="Arial" w:cs="Arial"/>
                <w:bCs/>
                <w:szCs w:val="24"/>
                <w:lang w:val="fr-CA" w:eastAsia="en-CA" w:bidi="en-US"/>
              </w:rPr>
            </w:pPr>
            <w:proofErr w:type="gramStart"/>
            <w:r w:rsidRPr="00EA3915">
              <w:rPr>
                <w:rFonts w:ascii="Arial" w:eastAsia="Calibri" w:hAnsi="Arial" w:cs="Arial"/>
                <w:bCs/>
                <w:szCs w:val="24"/>
                <w:lang w:val="fr-CA" w:eastAsia="en-CA" w:bidi="en-US"/>
              </w:rPr>
              <w:t>a</w:t>
            </w:r>
            <w:proofErr w:type="gramEnd"/>
            <w:r w:rsidRPr="00EA3915">
              <w:rPr>
                <w:rFonts w:ascii="Arial" w:eastAsia="Calibri" w:hAnsi="Arial" w:cs="Arial"/>
                <w:bCs/>
                <w:szCs w:val="24"/>
                <w:lang w:val="fr-CA" w:eastAsia="en-CA" w:bidi="en-US"/>
              </w:rPr>
              <w:t xml:space="preserve"> réservé le droit de déroger à l’obligation énoncée à l’article 201 (Traitement non discriminatoire); et</w:t>
            </w:r>
          </w:p>
          <w:p w14:paraId="3936DCCC" w14:textId="77777777" w:rsidR="00EA3915" w:rsidRPr="00EA3915" w:rsidRDefault="00EA3915" w:rsidP="00EA3915">
            <w:pPr>
              <w:widowControl w:val="0"/>
              <w:numPr>
                <w:ilvl w:val="0"/>
                <w:numId w:val="440"/>
              </w:numPr>
              <w:tabs>
                <w:tab w:val="left" w:pos="720"/>
                <w:tab w:val="left" w:pos="1440"/>
                <w:tab w:val="left" w:pos="2160"/>
                <w:tab w:val="left" w:pos="2880"/>
              </w:tabs>
              <w:autoSpaceDE w:val="0"/>
              <w:autoSpaceDN w:val="0"/>
              <w:adjustRightInd w:val="0"/>
              <w:spacing w:before="60" w:after="60"/>
              <w:ind w:left="626"/>
              <w:contextualSpacing/>
              <w:rPr>
                <w:rFonts w:ascii="Arial" w:eastAsia="Calibri" w:hAnsi="Arial" w:cs="Arial"/>
                <w:bCs/>
                <w:szCs w:val="24"/>
                <w:lang w:val="fr-CA" w:eastAsia="en-CA" w:bidi="en-US"/>
              </w:rPr>
            </w:pPr>
            <w:proofErr w:type="gramStart"/>
            <w:r w:rsidRPr="00EA3915">
              <w:rPr>
                <w:rFonts w:ascii="Arial" w:eastAsia="Calibri" w:hAnsi="Arial" w:cs="Arial"/>
                <w:bCs/>
                <w:szCs w:val="24"/>
                <w:lang w:val="fr-CA" w:eastAsia="en-CA" w:bidi="en-US"/>
              </w:rPr>
              <w:t>a</w:t>
            </w:r>
            <w:proofErr w:type="gramEnd"/>
            <w:r w:rsidRPr="00EA3915">
              <w:rPr>
                <w:rFonts w:ascii="Arial" w:eastAsia="Calibri" w:hAnsi="Arial" w:cs="Arial"/>
                <w:bCs/>
                <w:szCs w:val="24"/>
                <w:lang w:val="fr-CA" w:eastAsia="en-CA" w:bidi="en-US"/>
              </w:rPr>
              <w:t xml:space="preserve"> exercé son droit de discrimination à l’égard et au détriment des produits, des accessoires, des services ou des investissements liés au cannabis produit au Québec; </w:t>
            </w:r>
          </w:p>
          <w:p w14:paraId="08C15840" w14:textId="77777777" w:rsidR="00EA3915" w:rsidRPr="00EA3915" w:rsidRDefault="00EA3915" w:rsidP="00EA3915">
            <w:pPr>
              <w:spacing w:before="60" w:after="60"/>
              <w:rPr>
                <w:rFonts w:ascii="Arial" w:eastAsia="Calibri" w:hAnsi="Arial" w:cs="Arial"/>
                <w:bCs/>
                <w:szCs w:val="24"/>
                <w:lang w:val="fr-CA" w:eastAsia="en-CA" w:bidi="en-US"/>
              </w:rPr>
            </w:pPr>
            <w:proofErr w:type="gramStart"/>
            <w:r w:rsidRPr="00EA3915">
              <w:rPr>
                <w:rFonts w:ascii="Arial" w:eastAsia="Calibri" w:hAnsi="Arial" w:cs="Arial"/>
                <w:bCs/>
                <w:szCs w:val="24"/>
                <w:lang w:val="fr-CA" w:eastAsia="en-CA" w:bidi="en-US"/>
              </w:rPr>
              <w:t>et</w:t>
            </w:r>
            <w:proofErr w:type="gramEnd"/>
            <w:r w:rsidRPr="00EA3915">
              <w:rPr>
                <w:rFonts w:ascii="Arial" w:eastAsia="Calibri" w:hAnsi="Arial" w:cs="Arial"/>
                <w:bCs/>
                <w:szCs w:val="24"/>
                <w:lang w:val="fr-CA" w:eastAsia="en-CA" w:bidi="en-US"/>
              </w:rPr>
              <w:t xml:space="preserve"> que les consultations avec cette partie n’ont pas permis de régler la question, le Québec se réserve le droit d’accorder aux produits, aux accessoires, aux services ou aux investissements liés au cannabis de cette partie un traitement non moins favorable que celui accordé par cette autre partie aux produits, aux accessoires, aux services ou aux investissements du Québec jusqu’à ce qu’une solution mutuellement satisfaisante soit trouvée. </w:t>
            </w:r>
          </w:p>
          <w:p w14:paraId="7C63566E"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Cette exception s’applique également à la protection de la capacité du Québec à se réserver, dans les accords commerciaux internationaux, le droit d’offrir un meilleur traitement aux produits, aux accessoires, aux services ou aux investissements liés au cannabis produit au Canada.</w:t>
            </w:r>
          </w:p>
          <w:p w14:paraId="09F7A93C"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Sans restreindre la portée générale de ce qui précède, il est entendu que l’exception à l’article 301 (Droit d’entrée et de sortie) ne s’applique pas au transport de cannabis effectué par un producteur de cannabis lui-même, y compris le transport de cannabis en transit au Québec ou pour livraison entre entreprises, dans le respect des normes et conditions applicables.</w:t>
            </w:r>
          </w:p>
        </w:tc>
      </w:tr>
      <w:tr w:rsidR="00EA3915" w:rsidRPr="0068240F" w14:paraId="7EFA4A7B"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6AF61E6E"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
                <w:szCs w:val="24"/>
                <w:lang w:val="fr-CA" w:eastAsia="en-CA" w:bidi="en-US"/>
              </w:rPr>
              <w:lastRenderedPageBreak/>
              <w:t>Toute mesure existante :</w:t>
            </w:r>
            <w:r w:rsidRPr="00EA3915">
              <w:rPr>
                <w:rFonts w:ascii="Arial" w:eastAsia="Calibri" w:hAnsi="Arial" w:cs="Arial"/>
                <w:bCs/>
                <w:szCs w:val="24"/>
                <w:lang w:val="fr-CA" w:eastAsia="en-CA" w:bidi="en-US"/>
              </w:rPr>
              <w:t xml:space="preserve"> (À titre d’exemple seulement)</w:t>
            </w:r>
          </w:p>
        </w:tc>
      </w:tr>
      <w:tr w:rsidR="00EA3915" w:rsidRPr="00EA3915" w14:paraId="15863A7B"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63085FDF"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i/>
                <w:iCs/>
                <w:szCs w:val="24"/>
                <w:lang w:val="fr-CA" w:eastAsia="en-CA" w:bidi="en-US"/>
              </w:rPr>
              <w:t>Loi encadrant le cannabis</w:t>
            </w:r>
            <w:r w:rsidRPr="00EA3915">
              <w:rPr>
                <w:rFonts w:ascii="Arial" w:eastAsia="Calibri" w:hAnsi="Arial" w:cs="Arial"/>
                <w:bCs/>
                <w:szCs w:val="24"/>
                <w:lang w:val="fr-CA" w:eastAsia="en-CA" w:bidi="en-US"/>
              </w:rPr>
              <w:t xml:space="preserve">, RLRQ ch. C-5.3 </w:t>
            </w:r>
          </w:p>
          <w:p w14:paraId="5352CC58"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i/>
                <w:iCs/>
                <w:szCs w:val="24"/>
                <w:lang w:val="fr-CA" w:eastAsia="en-CA" w:bidi="en-US"/>
              </w:rPr>
              <w:t>Loi sur la Société des alcools du Québec</w:t>
            </w:r>
            <w:r w:rsidRPr="00EA3915">
              <w:rPr>
                <w:rFonts w:ascii="Arial" w:eastAsia="Calibri" w:hAnsi="Arial" w:cs="Arial"/>
                <w:bCs/>
                <w:szCs w:val="24"/>
                <w:lang w:val="fr-CA" w:eastAsia="en-CA" w:bidi="en-US"/>
              </w:rPr>
              <w:t xml:space="preserve">, RLRQ ch. S-13 </w:t>
            </w:r>
          </w:p>
          <w:p w14:paraId="2A76401C" w14:textId="77777777" w:rsidR="00EA3915" w:rsidRPr="00EA3915" w:rsidRDefault="00EA3915" w:rsidP="00EA3915">
            <w:pPr>
              <w:spacing w:before="60" w:after="60"/>
              <w:rPr>
                <w:rFonts w:ascii="Arial" w:eastAsia="Calibri" w:hAnsi="Arial" w:cs="Arial"/>
                <w:bCs/>
                <w:szCs w:val="24"/>
                <w:lang w:eastAsia="en-CA" w:bidi="en-US"/>
              </w:rPr>
            </w:pPr>
            <w:r w:rsidRPr="00EA3915">
              <w:rPr>
                <w:rFonts w:ascii="Arial" w:eastAsia="Calibri" w:hAnsi="Arial" w:cs="Arial"/>
                <w:bCs/>
                <w:i/>
                <w:iCs/>
                <w:szCs w:val="24"/>
                <w:lang w:val="fr-CA" w:eastAsia="en-CA" w:bidi="en-US"/>
              </w:rPr>
              <w:t>Loi concernant la lutte contre le tabagisme</w:t>
            </w:r>
            <w:r w:rsidRPr="00EA3915">
              <w:rPr>
                <w:rFonts w:ascii="Arial" w:eastAsia="Calibri" w:hAnsi="Arial" w:cs="Arial"/>
                <w:bCs/>
                <w:szCs w:val="24"/>
                <w:lang w:val="fr-CA" w:eastAsia="en-CA" w:bidi="en-US"/>
              </w:rPr>
              <w:t>, RLRQ ch. </w:t>
            </w:r>
            <w:r w:rsidRPr="00EA3915">
              <w:rPr>
                <w:rFonts w:ascii="Arial" w:eastAsia="Calibri" w:hAnsi="Arial" w:cs="Arial"/>
                <w:bCs/>
                <w:szCs w:val="24"/>
                <w:lang w:eastAsia="en-CA" w:bidi="en-US"/>
              </w:rPr>
              <w:t>L-6.2</w:t>
            </w:r>
          </w:p>
        </w:tc>
      </w:tr>
    </w:tbl>
    <w:p w14:paraId="7BCF1779" w14:textId="034644ED" w:rsidR="00B8348C" w:rsidRPr="00F52884" w:rsidRDefault="00B8348C">
      <w:pPr>
        <w:rPr>
          <w:rFonts w:eastAsiaTheme="majorEastAsia" w:cstheme="minorHAnsi"/>
          <w:b/>
          <w:bCs/>
          <w:szCs w:val="23"/>
        </w:rPr>
      </w:pPr>
      <w:r w:rsidRPr="00F52884">
        <w:rPr>
          <w:rFonts w:cstheme="minorHAnsi"/>
          <w:szCs w:val="23"/>
        </w:rPr>
        <w:br w:type="page"/>
      </w:r>
    </w:p>
    <w:p w14:paraId="52C48819" w14:textId="77777777" w:rsidR="00B8348C" w:rsidRPr="00B305A0" w:rsidRDefault="00B8348C" w:rsidP="00F52884">
      <w:pPr>
        <w:pStyle w:val="Heading3"/>
        <w:jc w:val="center"/>
        <w:rPr>
          <w:rFonts w:asciiTheme="minorHAnsi" w:hAnsiTheme="minorHAnsi" w:cstheme="minorHAnsi"/>
          <w:sz w:val="24"/>
          <w:szCs w:val="24"/>
          <w:lang w:val="fr-FR"/>
        </w:rPr>
      </w:pPr>
      <w:bookmarkStart w:id="308" w:name="_Toc156311805"/>
      <w:r w:rsidRPr="00B305A0">
        <w:rPr>
          <w:rFonts w:asciiTheme="minorHAnsi" w:hAnsiTheme="minorHAnsi" w:cstheme="minorHAnsi"/>
          <w:sz w:val="24"/>
          <w:szCs w:val="24"/>
          <w:lang w:val="fr-FR"/>
        </w:rPr>
        <w:lastRenderedPageBreak/>
        <w:t>Liste de la Nouvelle-Écosse</w:t>
      </w:r>
      <w:bookmarkEnd w:id="308"/>
    </w:p>
    <w:p w14:paraId="58A60CC2" w14:textId="77777777" w:rsidR="00B8348C" w:rsidRPr="005F269F" w:rsidRDefault="00B8348C" w:rsidP="000C25A3">
      <w:pPr>
        <w:contextualSpacing/>
        <w:jc w:val="center"/>
        <w:outlineLvl w:val="2"/>
        <w:rPr>
          <w:rFonts w:eastAsia="Times New Roman" w:cstheme="minorHAnsi"/>
          <w:b/>
          <w:sz w:val="24"/>
          <w:szCs w:val="24"/>
          <w:lang w:val="fr-FR"/>
        </w:rPr>
      </w:pPr>
    </w:p>
    <w:p w14:paraId="75445AF8" w14:textId="77777777" w:rsidR="00B8348C" w:rsidRPr="005F269F" w:rsidRDefault="00B8348C" w:rsidP="000C25A3">
      <w:pPr>
        <w:jc w:val="center"/>
        <w:rPr>
          <w:rFonts w:cstheme="minorHAnsi"/>
          <w:b/>
          <w:sz w:val="24"/>
          <w:szCs w:val="24"/>
          <w:lang w:val="fr-FR"/>
        </w:rPr>
      </w:pPr>
      <w:r w:rsidRPr="005F269F">
        <w:rPr>
          <w:rFonts w:cstheme="minorHAnsi"/>
          <w:b/>
          <w:bCs/>
          <w:sz w:val="24"/>
          <w:szCs w:val="24"/>
          <w:lang w:val="fr-FR"/>
        </w:rPr>
        <w:t>Annexe II</w:t>
      </w:r>
    </w:p>
    <w:p w14:paraId="5A62DCE5" w14:textId="77777777" w:rsidR="00B8348C" w:rsidRPr="005F269F" w:rsidRDefault="00B8348C" w:rsidP="000C25A3">
      <w:pPr>
        <w:jc w:val="center"/>
        <w:rPr>
          <w:rFonts w:cstheme="minorHAnsi"/>
          <w:b/>
          <w:szCs w:val="23"/>
          <w:lang w:val="fr-FR"/>
        </w:rPr>
      </w:pPr>
    </w:p>
    <w:p w14:paraId="1DC12053" w14:textId="57896767" w:rsidR="00B8348C" w:rsidRPr="00F52884" w:rsidRDefault="00B8348C" w:rsidP="007824FC">
      <w:pPr>
        <w:spacing w:before="60" w:after="60"/>
        <w:ind w:left="-360"/>
        <w:rPr>
          <w:rFonts w:cstheme="minorHAnsi"/>
          <w:b/>
          <w:szCs w:val="23"/>
          <w:lang w:val="fr-CA"/>
        </w:rPr>
      </w:pPr>
      <w:r w:rsidRPr="00F52884">
        <w:rPr>
          <w:rFonts w:cstheme="minorHAnsi"/>
          <w:b/>
          <w:bCs/>
          <w:szCs w:val="23"/>
          <w:lang w:val="fr-CA"/>
        </w:rPr>
        <w:t xml:space="preserve">1. </w:t>
      </w:r>
      <w:r w:rsidR="007824FC" w:rsidRPr="00F52884">
        <w:rPr>
          <w:rFonts w:cstheme="minorHAnsi"/>
          <w:b/>
          <w:bCs/>
          <w:szCs w:val="23"/>
          <w:lang w:val="fr-CA"/>
        </w:rPr>
        <w:t xml:space="preserve"> </w:t>
      </w:r>
      <w:r w:rsidRPr="00F52884">
        <w:rPr>
          <w:rFonts w:cstheme="minorHAnsi"/>
          <w:b/>
          <w:bCs/>
          <w:szCs w:val="23"/>
          <w:lang w:val="fr-CA"/>
        </w:rPr>
        <w:t>NOUVELLE-ÉCOSSE</w:t>
      </w:r>
    </w:p>
    <w:tbl>
      <w:tblPr>
        <w:tblW w:w="10212" w:type="dxa"/>
        <w:jc w:val="center"/>
        <w:tblCellMar>
          <w:top w:w="14" w:type="dxa"/>
          <w:left w:w="86" w:type="dxa"/>
          <w:bottom w:w="14" w:type="dxa"/>
          <w:right w:w="86" w:type="dxa"/>
        </w:tblCellMar>
        <w:tblLook w:val="0000" w:firstRow="0" w:lastRow="0" w:firstColumn="0" w:lastColumn="0" w:noHBand="0" w:noVBand="0"/>
      </w:tblPr>
      <w:tblGrid>
        <w:gridCol w:w="2340"/>
        <w:gridCol w:w="7447"/>
        <w:gridCol w:w="425"/>
      </w:tblGrid>
      <w:tr w:rsidR="00B8348C" w:rsidRPr="00F52884" w14:paraId="397FC7E6"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501CF8B" w14:textId="1613C282" w:rsidR="00B8348C" w:rsidRPr="00F52884" w:rsidRDefault="00B8348C" w:rsidP="007824FC">
            <w:pPr>
              <w:pStyle w:val="NoSpacing"/>
              <w:spacing w:before="60" w:after="60"/>
              <w:rPr>
                <w:rFonts w:cstheme="minorHAnsi"/>
                <w:b/>
                <w:sz w:val="23"/>
                <w:szCs w:val="23"/>
              </w:rPr>
            </w:pPr>
            <w:r w:rsidRPr="00F52884">
              <w:rPr>
                <w:rFonts w:eastAsia="Times New Roman" w:cstheme="minorHAnsi"/>
                <w:b/>
                <w:bCs/>
                <w:sz w:val="23"/>
                <w:szCs w:val="23"/>
                <w:lang w:val="fr-CA"/>
              </w:rPr>
              <w:t>Secteur :</w:t>
            </w:r>
            <w:r w:rsidRPr="00F52884">
              <w:rPr>
                <w:rFonts w:eastAsia="Times New Roman" w:cstheme="minorHAnsi"/>
                <w:sz w:val="23"/>
                <w:szCs w:val="23"/>
                <w:lang w:val="fr-CA"/>
              </w:rPr>
              <w:t xml:space="preserve"> </w:t>
            </w:r>
          </w:p>
        </w:tc>
        <w:tc>
          <w:tcPr>
            <w:tcW w:w="7872" w:type="dxa"/>
            <w:gridSpan w:val="2"/>
            <w:tcBorders>
              <w:top w:val="single" w:sz="4" w:space="0" w:color="C0C0C0"/>
              <w:left w:val="single" w:sz="4" w:space="0" w:color="FFFFFF"/>
              <w:bottom w:val="single" w:sz="4" w:space="0" w:color="C0C0C0"/>
              <w:right w:val="nil"/>
            </w:tcBorders>
            <w:vAlign w:val="center"/>
          </w:tcPr>
          <w:p w14:paraId="0183D49A" w14:textId="684EB895" w:rsidR="00B8348C" w:rsidRPr="00F52884" w:rsidRDefault="007824FC" w:rsidP="007824FC">
            <w:pPr>
              <w:pStyle w:val="NoSpacing"/>
              <w:spacing w:before="60" w:after="60"/>
              <w:rPr>
                <w:rFonts w:cstheme="minorHAnsi"/>
                <w:sz w:val="23"/>
                <w:szCs w:val="23"/>
              </w:rPr>
            </w:pPr>
            <w:r w:rsidRPr="00F52884">
              <w:rPr>
                <w:rFonts w:eastAsia="Times New Roman" w:cstheme="minorHAnsi"/>
                <w:sz w:val="23"/>
                <w:szCs w:val="23"/>
                <w:lang w:val="fr-CA"/>
              </w:rPr>
              <w:t>Sylviculture</w:t>
            </w:r>
          </w:p>
        </w:tc>
      </w:tr>
      <w:tr w:rsidR="007824FC" w:rsidRPr="0068240F" w14:paraId="77009B45"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2CAD46D" w14:textId="7777777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b/>
                <w:bCs/>
                <w:sz w:val="23"/>
                <w:szCs w:val="23"/>
                <w:lang w:val="fr-CA"/>
              </w:rPr>
              <w:t xml:space="preserve">Sous-secteur : </w:t>
            </w:r>
          </w:p>
        </w:tc>
        <w:tc>
          <w:tcPr>
            <w:tcW w:w="7872" w:type="dxa"/>
            <w:gridSpan w:val="2"/>
            <w:tcBorders>
              <w:top w:val="single" w:sz="4" w:space="0" w:color="C0C0C0"/>
              <w:left w:val="nil"/>
              <w:bottom w:val="single" w:sz="4" w:space="0" w:color="C0C0C0"/>
              <w:right w:val="single" w:sz="4" w:space="0" w:color="FFFFFF"/>
            </w:tcBorders>
            <w:vAlign w:val="center"/>
          </w:tcPr>
          <w:p w14:paraId="7624A5FC" w14:textId="140FA533"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sz w:val="23"/>
                <w:szCs w:val="23"/>
                <w:lang w:val="fr-CA"/>
              </w:rPr>
              <w:t>Sylviculture et produits de l’exploitation forestière; transformation des ressources forestières; services annexes à l’agriculture, à la chasse et à la sylviculture; fabrication de papier et de produits de papier, à forfait ou sous contrat</w:t>
            </w:r>
          </w:p>
        </w:tc>
      </w:tr>
      <w:tr w:rsidR="007824FC" w:rsidRPr="0068240F" w14:paraId="709274BE" w14:textId="77777777" w:rsidTr="007824FC">
        <w:trPr>
          <w:gridAfter w:val="1"/>
          <w:wAfter w:w="425"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00CDF272" w14:textId="7777777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b/>
                <w:bCs/>
                <w:sz w:val="23"/>
                <w:szCs w:val="23"/>
                <w:lang w:val="fr-CA"/>
              </w:rPr>
              <w:t xml:space="preserve">Classification de l’industrie : </w:t>
            </w:r>
          </w:p>
        </w:tc>
        <w:tc>
          <w:tcPr>
            <w:tcW w:w="7447" w:type="dxa"/>
            <w:tcBorders>
              <w:top w:val="single" w:sz="4" w:space="0" w:color="C0C0C0"/>
              <w:left w:val="nil"/>
              <w:bottom w:val="single" w:sz="4" w:space="0" w:color="C0C0C0"/>
              <w:right w:val="single" w:sz="4" w:space="0" w:color="FFFFFF"/>
            </w:tcBorders>
            <w:vAlign w:val="center"/>
          </w:tcPr>
          <w:p w14:paraId="6D51A777" w14:textId="374141F6"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sz w:val="23"/>
                <w:szCs w:val="23"/>
                <w:lang w:val="fr-CA"/>
              </w:rPr>
              <w:t>CPC 031, 321, 881 (sauf la location d’équipement agricole, avec opérateur et 8814)</w:t>
            </w:r>
            <w:r w:rsidR="00EA2971" w:rsidRPr="00F52884">
              <w:rPr>
                <w:rFonts w:eastAsia="Times New Roman" w:cstheme="minorHAnsi"/>
                <w:sz w:val="23"/>
                <w:szCs w:val="23"/>
                <w:lang w:val="fr-CA"/>
              </w:rPr>
              <w:t xml:space="preserve"> 88430, 88441</w:t>
            </w:r>
          </w:p>
        </w:tc>
      </w:tr>
      <w:tr w:rsidR="007824FC" w:rsidRPr="0068240F" w14:paraId="2C98B008" w14:textId="77777777" w:rsidTr="007824FC">
        <w:trPr>
          <w:trHeight w:val="42"/>
          <w:jc w:val="center"/>
        </w:trPr>
        <w:tc>
          <w:tcPr>
            <w:tcW w:w="2340" w:type="dxa"/>
            <w:tcBorders>
              <w:top w:val="single" w:sz="4" w:space="0" w:color="C0C0C0"/>
              <w:left w:val="nil"/>
              <w:bottom w:val="single" w:sz="4" w:space="0" w:color="C0C0C0"/>
            </w:tcBorders>
          </w:tcPr>
          <w:p w14:paraId="7147FEA7" w14:textId="77777777" w:rsidR="007824FC" w:rsidRPr="00F52884" w:rsidRDefault="007824FC" w:rsidP="007824FC">
            <w:pPr>
              <w:pStyle w:val="NoSpacing"/>
              <w:spacing w:before="60" w:after="60"/>
              <w:rPr>
                <w:rFonts w:cstheme="minorHAnsi"/>
                <w:sz w:val="23"/>
                <w:szCs w:val="23"/>
                <w:lang w:val="fr-CA"/>
              </w:rPr>
            </w:pPr>
            <w:r w:rsidRPr="00F52884">
              <w:rPr>
                <w:rFonts w:cstheme="minorHAnsi"/>
                <w:b/>
                <w:bCs/>
                <w:sz w:val="23"/>
                <w:szCs w:val="23"/>
                <w:lang w:val="fr-CA"/>
              </w:rPr>
              <w:t>Types d’exception :</w:t>
            </w:r>
            <w:r w:rsidRPr="00F52884">
              <w:rPr>
                <w:rFonts w:cstheme="minorHAnsi"/>
                <w:sz w:val="23"/>
                <w:szCs w:val="23"/>
                <w:lang w:val="fr-CA"/>
              </w:rPr>
              <w:t xml:space="preserve"> </w:t>
            </w:r>
          </w:p>
        </w:tc>
        <w:tc>
          <w:tcPr>
            <w:tcW w:w="7872" w:type="dxa"/>
            <w:gridSpan w:val="2"/>
            <w:tcBorders>
              <w:top w:val="single" w:sz="4" w:space="0" w:color="C0C0C0"/>
              <w:left w:val="nil"/>
              <w:bottom w:val="single" w:sz="4" w:space="0" w:color="C0C0C0"/>
            </w:tcBorders>
          </w:tcPr>
          <w:p w14:paraId="3D95883F" w14:textId="408AB5CD" w:rsidR="007824FC" w:rsidRPr="00F52884" w:rsidRDefault="007824FC" w:rsidP="007824FC">
            <w:pPr>
              <w:pStyle w:val="NoSpacing"/>
              <w:spacing w:before="60" w:after="60"/>
              <w:rPr>
                <w:rFonts w:cstheme="minorHAnsi"/>
                <w:sz w:val="23"/>
                <w:szCs w:val="23"/>
                <w:lang w:val="fr-CA"/>
              </w:rPr>
            </w:pPr>
            <w:r w:rsidRPr="00F52884">
              <w:rPr>
                <w:rFonts w:cstheme="minorHAnsi"/>
                <w:sz w:val="23"/>
                <w:szCs w:val="23"/>
                <w:lang w:val="fr-CA"/>
              </w:rPr>
              <w:t>Article 307 (</w:t>
            </w:r>
            <w:r w:rsidRPr="00F52884">
              <w:rPr>
                <w:rFonts w:eastAsia="Times New Roman" w:cstheme="minorHAnsi"/>
                <w:sz w:val="23"/>
                <w:szCs w:val="23"/>
                <w:lang w:val="fr-CA" w:bidi="en-US"/>
              </w:rPr>
              <w:t>Accès aux</w:t>
            </w:r>
            <w:r w:rsidRPr="00F52884">
              <w:rPr>
                <w:rFonts w:cstheme="minorHAnsi"/>
                <w:sz w:val="23"/>
                <w:szCs w:val="23"/>
                <w:lang w:val="fr-CA"/>
              </w:rPr>
              <w:t xml:space="preserve"> </w:t>
            </w:r>
            <w:proofErr w:type="gramStart"/>
            <w:r w:rsidRPr="00F52884">
              <w:rPr>
                <w:rFonts w:cstheme="minorHAnsi"/>
                <w:sz w:val="23"/>
                <w:szCs w:val="23"/>
                <w:lang w:val="fr-CA"/>
              </w:rPr>
              <w:t xml:space="preserve">marchés </w:t>
            </w:r>
            <w:r w:rsidRPr="00F52884">
              <w:rPr>
                <w:rFonts w:eastAsia="Times New Roman" w:cstheme="minorHAnsi"/>
                <w:sz w:val="23"/>
                <w:szCs w:val="23"/>
                <w:lang w:val="fr-CA" w:bidi="en-US"/>
              </w:rPr>
              <w:t xml:space="preserve"> ̶</w:t>
            </w:r>
            <w:proofErr w:type="gramEnd"/>
            <w:r w:rsidRPr="00F52884">
              <w:rPr>
                <w:rFonts w:eastAsia="Times New Roman" w:cstheme="minorHAnsi"/>
                <w:sz w:val="23"/>
                <w:szCs w:val="23"/>
                <w:lang w:val="fr-CA" w:bidi="en-US"/>
              </w:rPr>
              <w:t xml:space="preserve">  Services</w:t>
            </w:r>
            <w:r w:rsidRPr="00F52884">
              <w:rPr>
                <w:rFonts w:cstheme="minorHAnsi"/>
                <w:sz w:val="23"/>
                <w:szCs w:val="23"/>
                <w:lang w:val="fr-CA"/>
              </w:rPr>
              <w:t xml:space="preserve">), article 312 (Accès aux marchés </w:t>
            </w:r>
            <w:r w:rsidRPr="00F52884">
              <w:rPr>
                <w:rFonts w:eastAsia="Times New Roman" w:cstheme="minorHAnsi"/>
                <w:sz w:val="23"/>
                <w:szCs w:val="23"/>
                <w:lang w:val="fr-CA" w:bidi="en-US"/>
              </w:rPr>
              <w:t xml:space="preserve"> ̶  Investissement</w:t>
            </w:r>
            <w:r w:rsidRPr="00F52884">
              <w:rPr>
                <w:rFonts w:cstheme="minorHAnsi"/>
                <w:sz w:val="23"/>
                <w:szCs w:val="23"/>
                <w:lang w:val="fr-CA"/>
              </w:rPr>
              <w:t>)</w:t>
            </w:r>
          </w:p>
        </w:tc>
      </w:tr>
      <w:tr w:rsidR="00B8348C" w:rsidRPr="00F52884" w14:paraId="0E8B4EDA"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8A5DFE5" w14:textId="77777777" w:rsidR="00B8348C" w:rsidRPr="00F52884" w:rsidRDefault="00B8348C" w:rsidP="007824FC">
            <w:pPr>
              <w:pStyle w:val="NoSpacing"/>
              <w:spacing w:before="60" w:after="60"/>
              <w:rPr>
                <w:rFonts w:cstheme="minorHAnsi"/>
                <w:sz w:val="23"/>
                <w:szCs w:val="23"/>
                <w:lang w:eastAsia="fr-CA"/>
              </w:rPr>
            </w:pPr>
            <w:r w:rsidRPr="00F52884">
              <w:rPr>
                <w:rFonts w:cstheme="minorHAnsi"/>
                <w:b/>
                <w:bCs/>
                <w:sz w:val="23"/>
                <w:szCs w:val="23"/>
                <w:lang w:val="fr-CA" w:eastAsia="fr-CA"/>
              </w:rPr>
              <w:t xml:space="preserve">Description : </w:t>
            </w:r>
          </w:p>
        </w:tc>
      </w:tr>
      <w:tr w:rsidR="00B8348C" w:rsidRPr="0068240F" w14:paraId="2E8BA523" w14:textId="77777777" w:rsidTr="007824FC">
        <w:trPr>
          <w:trHeight w:val="120"/>
          <w:jc w:val="center"/>
        </w:trPr>
        <w:tc>
          <w:tcPr>
            <w:tcW w:w="10212" w:type="dxa"/>
            <w:gridSpan w:val="3"/>
            <w:tcBorders>
              <w:top w:val="single" w:sz="4" w:space="0" w:color="C0C0C0"/>
              <w:left w:val="single" w:sz="4" w:space="0" w:color="C0C0C0"/>
              <w:bottom w:val="single" w:sz="4" w:space="0" w:color="C0C0C0"/>
              <w:right w:val="single" w:sz="4" w:space="0" w:color="C0C0C0"/>
            </w:tcBorders>
          </w:tcPr>
          <w:p w14:paraId="115CC203" w14:textId="77777777" w:rsidR="00B8348C" w:rsidRPr="00F52884" w:rsidRDefault="00B8348C" w:rsidP="007824FC">
            <w:pPr>
              <w:pStyle w:val="NoSpacing"/>
              <w:spacing w:before="60" w:after="60"/>
              <w:rPr>
                <w:rFonts w:eastAsia="Times New Roman" w:cstheme="minorHAnsi"/>
                <w:bCs/>
                <w:sz w:val="23"/>
                <w:szCs w:val="23"/>
                <w:lang w:val="fr-CA" w:eastAsia="en-CA" w:bidi="en-US"/>
              </w:rPr>
            </w:pPr>
            <w:r w:rsidRPr="00F52884">
              <w:rPr>
                <w:rFonts w:eastAsia="Times New Roman" w:cstheme="minorHAnsi"/>
                <w:bCs/>
                <w:sz w:val="23"/>
                <w:szCs w:val="23"/>
                <w:lang w:val="fr-CA" w:eastAsia="en-CA" w:bidi="en-US"/>
              </w:rPr>
              <w:t>Le gouvernement de la Nouvelle-Écosse se réserve le droit d’adopter ou de maintenir des mesures limitant l’accès aux marchés dans les sous-secteurs susmentionnés.</w:t>
            </w:r>
          </w:p>
        </w:tc>
      </w:tr>
      <w:tr w:rsidR="00B8348C" w:rsidRPr="00F52884" w14:paraId="5EF6E70D"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E4B0476" w14:textId="246D4AB2" w:rsidR="00B8348C" w:rsidRPr="00F52884" w:rsidRDefault="00B8348C" w:rsidP="007824FC">
            <w:pPr>
              <w:pStyle w:val="NoSpacing"/>
              <w:spacing w:before="60" w:after="60"/>
              <w:rPr>
                <w:rFonts w:cstheme="minorHAnsi"/>
                <w:caps/>
                <w:sz w:val="23"/>
                <w:szCs w:val="23"/>
                <w:lang w:val="fr-CA" w:eastAsia="fr-CA"/>
              </w:rPr>
            </w:pPr>
            <w:r w:rsidRPr="00F52884">
              <w:rPr>
                <w:rFonts w:cstheme="minorHAnsi"/>
                <w:b/>
                <w:bCs/>
                <w:sz w:val="23"/>
                <w:szCs w:val="23"/>
                <w:lang w:val="fr-CA" w:eastAsia="fr-CA"/>
              </w:rPr>
              <w:t>Mesures existantes :</w:t>
            </w:r>
            <w:r w:rsidRPr="00F52884">
              <w:rPr>
                <w:rFonts w:cstheme="minorHAnsi"/>
                <w:caps/>
                <w:sz w:val="23"/>
                <w:szCs w:val="23"/>
                <w:lang w:val="fr-CA" w:eastAsia="fr-CA"/>
              </w:rPr>
              <w:t xml:space="preserve"> </w:t>
            </w:r>
          </w:p>
        </w:tc>
      </w:tr>
      <w:tr w:rsidR="00B8348C" w:rsidRPr="00F52884" w14:paraId="54E00D96"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auto"/>
          </w:tcPr>
          <w:p w14:paraId="410AC2CD" w14:textId="77777777" w:rsidR="00B8348C" w:rsidRPr="00F52884" w:rsidRDefault="00B8348C" w:rsidP="007824FC">
            <w:pPr>
              <w:pStyle w:val="NoSpacing"/>
              <w:spacing w:before="60" w:after="60"/>
              <w:rPr>
                <w:rFonts w:cstheme="minorHAnsi"/>
                <w:b/>
                <w:sz w:val="23"/>
                <w:szCs w:val="23"/>
                <w:lang w:val="fr-CA" w:eastAsia="fr-CA"/>
              </w:rPr>
            </w:pPr>
          </w:p>
        </w:tc>
      </w:tr>
    </w:tbl>
    <w:p w14:paraId="32760889" w14:textId="77777777" w:rsidR="00B8348C" w:rsidRPr="00F52884" w:rsidRDefault="00B8348C" w:rsidP="00C17162">
      <w:pPr>
        <w:rPr>
          <w:rFonts w:eastAsia="Times New Roman" w:cstheme="minorHAnsi"/>
          <w:b/>
          <w:bCs/>
          <w:szCs w:val="23"/>
          <w:lang w:val="fr-CA" w:eastAsia="en-CA"/>
        </w:rPr>
      </w:pPr>
    </w:p>
    <w:p w14:paraId="75324FD3" w14:textId="77777777" w:rsidR="00B8348C" w:rsidRPr="00F52884" w:rsidRDefault="00B8348C" w:rsidP="00C17162">
      <w:pPr>
        <w:rPr>
          <w:rFonts w:eastAsia="Times New Roman" w:cstheme="minorHAnsi"/>
          <w:b/>
          <w:bCs/>
          <w:szCs w:val="23"/>
          <w:lang w:val="fr-CA" w:eastAsia="en-CA"/>
        </w:rPr>
      </w:pPr>
    </w:p>
    <w:p w14:paraId="262D4C9D" w14:textId="4633A11F" w:rsidR="00B8348C" w:rsidRPr="00F52884" w:rsidRDefault="00B8348C" w:rsidP="007824FC">
      <w:pPr>
        <w:spacing w:before="60" w:after="60"/>
        <w:ind w:left="-360"/>
        <w:rPr>
          <w:rFonts w:eastAsia="Times New Roman" w:cstheme="minorHAnsi"/>
          <w:b/>
          <w:bCs/>
          <w:szCs w:val="23"/>
          <w:lang w:eastAsia="en-CA"/>
        </w:rPr>
      </w:pPr>
      <w:r w:rsidRPr="00F52884">
        <w:rPr>
          <w:rFonts w:eastAsia="Times New Roman" w:cstheme="minorHAnsi"/>
          <w:b/>
          <w:bCs/>
          <w:szCs w:val="23"/>
          <w:lang w:val="fr-CA" w:eastAsia="en-CA"/>
        </w:rPr>
        <w:t>2.</w:t>
      </w:r>
      <w:r w:rsidRPr="00F52884">
        <w:rPr>
          <w:rFonts w:cstheme="minorHAnsi"/>
          <w:b/>
          <w:bCs/>
          <w:szCs w:val="23"/>
          <w:lang w:val="fr-CA"/>
        </w:rPr>
        <w:t xml:space="preserve"> </w:t>
      </w:r>
      <w:r w:rsidR="007824FC" w:rsidRPr="00F52884">
        <w:rPr>
          <w:rFonts w:cstheme="minorHAnsi"/>
          <w:b/>
          <w:bCs/>
          <w:szCs w:val="23"/>
          <w:lang w:val="fr-CA"/>
        </w:rPr>
        <w:t xml:space="preserve"> </w:t>
      </w:r>
      <w:r w:rsidRPr="00F52884">
        <w:rPr>
          <w:rFonts w:cstheme="minorHAnsi"/>
          <w:b/>
          <w:bCs/>
          <w:szCs w:val="23"/>
          <w:lang w:val="fr-CA"/>
        </w:rPr>
        <w:t>NOUVELLE-ÉCOSSE</w:t>
      </w:r>
    </w:p>
    <w:tbl>
      <w:tblPr>
        <w:tblW w:w="10287" w:type="dxa"/>
        <w:jc w:val="center"/>
        <w:tblCellMar>
          <w:top w:w="14" w:type="dxa"/>
          <w:left w:w="86" w:type="dxa"/>
          <w:bottom w:w="14" w:type="dxa"/>
          <w:right w:w="86" w:type="dxa"/>
        </w:tblCellMar>
        <w:tblLook w:val="0000" w:firstRow="0" w:lastRow="0" w:firstColumn="0" w:lastColumn="0" w:noHBand="0" w:noVBand="0"/>
      </w:tblPr>
      <w:tblGrid>
        <w:gridCol w:w="2340"/>
        <w:gridCol w:w="7497"/>
        <w:gridCol w:w="450"/>
      </w:tblGrid>
      <w:tr w:rsidR="007824FC" w:rsidRPr="00F52884" w14:paraId="76FF6C58"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0BA10266" w14:textId="77777777" w:rsidR="007824FC" w:rsidRPr="00F52884" w:rsidRDefault="007824FC" w:rsidP="007824FC">
            <w:pPr>
              <w:spacing w:before="60" w:after="60"/>
              <w:rPr>
                <w:rFonts w:eastAsia="Times New Roman" w:cstheme="minorHAnsi"/>
                <w:szCs w:val="23"/>
              </w:rPr>
            </w:pPr>
            <w:r w:rsidRPr="00F52884">
              <w:rPr>
                <w:rFonts w:eastAsia="Times New Roman" w:cstheme="minorHAnsi"/>
                <w:b/>
                <w:bCs/>
                <w:szCs w:val="23"/>
                <w:lang w:val="fr-CA"/>
              </w:rPr>
              <w:t>Secteur :</w:t>
            </w:r>
            <w:r w:rsidRPr="00F52884">
              <w:rPr>
                <w:rFonts w:eastAsia="Times New Roman" w:cstheme="minorHAnsi"/>
                <w:szCs w:val="23"/>
                <w:lang w:val="fr-CA"/>
              </w:rPr>
              <w:t xml:space="preserve"> </w:t>
            </w:r>
          </w:p>
        </w:tc>
        <w:tc>
          <w:tcPr>
            <w:tcW w:w="7947" w:type="dxa"/>
            <w:gridSpan w:val="2"/>
            <w:tcBorders>
              <w:top w:val="single" w:sz="4" w:space="0" w:color="C0C0C0"/>
              <w:left w:val="nil"/>
              <w:bottom w:val="single" w:sz="4" w:space="0" w:color="C0C0C0"/>
              <w:right w:val="single" w:sz="4" w:space="0" w:color="FFFFFF"/>
            </w:tcBorders>
            <w:vAlign w:val="center"/>
          </w:tcPr>
          <w:p w14:paraId="32E0D95C" w14:textId="6F8AD9AA" w:rsidR="007824FC" w:rsidRPr="00F52884" w:rsidRDefault="007824FC" w:rsidP="007824FC">
            <w:pPr>
              <w:spacing w:before="60" w:after="60"/>
              <w:rPr>
                <w:rFonts w:eastAsia="Times New Roman" w:cstheme="minorHAnsi"/>
                <w:szCs w:val="23"/>
              </w:rPr>
            </w:pPr>
            <w:r w:rsidRPr="00F52884">
              <w:rPr>
                <w:rFonts w:eastAsia="Times New Roman" w:cstheme="minorHAnsi"/>
                <w:szCs w:val="23"/>
                <w:lang w:val="fr-CA"/>
              </w:rPr>
              <w:t>Pêches et chasse</w:t>
            </w:r>
          </w:p>
        </w:tc>
      </w:tr>
      <w:tr w:rsidR="00B8348C" w:rsidRPr="0068240F" w14:paraId="75F4FC89"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3FEC6893" w14:textId="77777777" w:rsidR="00B8348C" w:rsidRPr="00F52884" w:rsidRDefault="00B8348C" w:rsidP="007824FC">
            <w:pPr>
              <w:spacing w:before="60" w:after="60"/>
              <w:rPr>
                <w:rFonts w:cstheme="minorHAnsi"/>
                <w:b/>
                <w:szCs w:val="23"/>
              </w:rPr>
            </w:pPr>
            <w:r w:rsidRPr="00F52884">
              <w:rPr>
                <w:rFonts w:cstheme="minorHAnsi"/>
                <w:b/>
                <w:bCs/>
                <w:szCs w:val="23"/>
                <w:lang w:val="fr-CA"/>
              </w:rPr>
              <w:t>Sous-secteur :</w:t>
            </w:r>
          </w:p>
        </w:tc>
        <w:tc>
          <w:tcPr>
            <w:tcW w:w="7947" w:type="dxa"/>
            <w:gridSpan w:val="2"/>
            <w:tcBorders>
              <w:top w:val="single" w:sz="4" w:space="0" w:color="C0C0C0"/>
              <w:left w:val="single" w:sz="4" w:space="0" w:color="FFFFFF"/>
              <w:bottom w:val="single" w:sz="4" w:space="0" w:color="C0C0C0"/>
              <w:right w:val="nil"/>
            </w:tcBorders>
            <w:vAlign w:val="center"/>
          </w:tcPr>
          <w:p w14:paraId="6B74ABF0" w14:textId="1E347982" w:rsidR="00B8348C" w:rsidRPr="00F52884" w:rsidRDefault="00B8348C" w:rsidP="007824FC">
            <w:pPr>
              <w:pStyle w:val="NoSpacing"/>
              <w:spacing w:before="60" w:after="60"/>
              <w:rPr>
                <w:rFonts w:eastAsia="Times New Roman" w:cstheme="minorHAnsi"/>
                <w:sz w:val="23"/>
                <w:szCs w:val="23"/>
                <w:lang w:val="fr-CA"/>
              </w:rPr>
            </w:pPr>
            <w:r w:rsidRPr="00F52884">
              <w:rPr>
                <w:rFonts w:eastAsia="Times New Roman" w:cstheme="minorHAnsi"/>
                <w:sz w:val="23"/>
                <w:szCs w:val="23"/>
                <w:lang w:val="fr-CA"/>
              </w:rPr>
              <w:t xml:space="preserve">Produits comestibles d'origine animale </w:t>
            </w:r>
            <w:proofErr w:type="spellStart"/>
            <w:r w:rsidRPr="00F52884">
              <w:rPr>
                <w:rFonts w:eastAsia="Times New Roman" w:cstheme="minorHAnsi"/>
                <w:sz w:val="23"/>
                <w:szCs w:val="23"/>
                <w:lang w:val="fr-CA"/>
              </w:rPr>
              <w:t>n.c.a</w:t>
            </w:r>
            <w:proofErr w:type="spellEnd"/>
            <w:r w:rsidRPr="00F52884">
              <w:rPr>
                <w:rFonts w:eastAsia="Times New Roman" w:cstheme="minorHAnsi"/>
                <w:sz w:val="23"/>
                <w:szCs w:val="23"/>
                <w:lang w:val="fr-CA"/>
              </w:rPr>
              <w:t xml:space="preserve">.; peaux brutes d'autres animaux </w:t>
            </w:r>
            <w:proofErr w:type="spellStart"/>
            <w:r w:rsidRPr="00F52884">
              <w:rPr>
                <w:rFonts w:eastAsia="Times New Roman" w:cstheme="minorHAnsi"/>
                <w:sz w:val="23"/>
                <w:szCs w:val="23"/>
                <w:lang w:val="fr-CA"/>
              </w:rPr>
              <w:t>n.c.a</w:t>
            </w:r>
            <w:proofErr w:type="spellEnd"/>
            <w:r w:rsidRPr="00F52884">
              <w:rPr>
                <w:rFonts w:eastAsia="Times New Roman" w:cstheme="minorHAnsi"/>
                <w:sz w:val="23"/>
                <w:szCs w:val="23"/>
                <w:lang w:val="fr-CA"/>
              </w:rPr>
              <w:t>. (fraîches ou conservées, mais non autrement préparées); poissons et autres produits de la pêche; autres viandes et abats comestibles (y compris de lapins), frais, réfrigérés ou congelés, à l'exclusion des cuisses de grenouilles; huiles et graisses animales, brutes et raffinées; pelleteries tannées ou apprêtées; préparations et conserves de poissons; ventes à forfait ou sous contrat de produits alimentaires, boissons et tabacs; services de commerce de gros de produits de la pêche</w:t>
            </w:r>
            <w:r w:rsidR="00AD1872" w:rsidRPr="00F52884">
              <w:rPr>
                <w:rFonts w:eastAsia="Times New Roman" w:cstheme="minorHAnsi"/>
                <w:sz w:val="23"/>
                <w:szCs w:val="23"/>
                <w:lang w:val="fr-CA"/>
              </w:rPr>
              <w:t>; transports de marchandises congelées ou ré</w:t>
            </w:r>
            <w:r w:rsidR="00EA2971" w:rsidRPr="00F52884">
              <w:rPr>
                <w:rFonts w:eastAsia="Times New Roman" w:cstheme="minorHAnsi"/>
                <w:sz w:val="23"/>
                <w:szCs w:val="23"/>
                <w:lang w:val="fr-CA"/>
              </w:rPr>
              <w:t>f</w:t>
            </w:r>
            <w:r w:rsidR="00AD1872" w:rsidRPr="00F52884">
              <w:rPr>
                <w:rFonts w:eastAsia="Times New Roman" w:cstheme="minorHAnsi"/>
                <w:sz w:val="23"/>
                <w:szCs w:val="23"/>
                <w:lang w:val="fr-CA"/>
              </w:rPr>
              <w:t>rigérées</w:t>
            </w:r>
          </w:p>
        </w:tc>
      </w:tr>
      <w:tr w:rsidR="007824FC" w:rsidRPr="00F52884" w14:paraId="708800ED" w14:textId="77777777" w:rsidTr="007824FC">
        <w:trPr>
          <w:gridAfter w:val="1"/>
          <w:wAfter w:w="450"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201A7396" w14:textId="77777777" w:rsidR="007824FC" w:rsidRPr="00F52884" w:rsidRDefault="007824FC" w:rsidP="007824FC">
            <w:pPr>
              <w:spacing w:before="60" w:after="60"/>
              <w:rPr>
                <w:rFonts w:cstheme="minorHAnsi"/>
                <w:szCs w:val="23"/>
                <w:lang w:val="fr-CA"/>
              </w:rPr>
            </w:pPr>
            <w:r w:rsidRPr="00F52884">
              <w:rPr>
                <w:rFonts w:eastAsia="Times New Roman" w:cstheme="minorHAnsi"/>
                <w:b/>
                <w:bCs/>
                <w:szCs w:val="23"/>
                <w:lang w:val="fr-CA"/>
              </w:rPr>
              <w:t xml:space="preserve">Classification de l’industrie : </w:t>
            </w:r>
          </w:p>
        </w:tc>
        <w:tc>
          <w:tcPr>
            <w:tcW w:w="7497" w:type="dxa"/>
            <w:tcBorders>
              <w:top w:val="single" w:sz="4" w:space="0" w:color="C0C0C0"/>
              <w:left w:val="nil"/>
              <w:bottom w:val="single" w:sz="4" w:space="0" w:color="C0C0C0"/>
              <w:right w:val="single" w:sz="4" w:space="0" w:color="FFFFFF"/>
            </w:tcBorders>
            <w:vAlign w:val="center"/>
          </w:tcPr>
          <w:p w14:paraId="528918C4" w14:textId="2941B53A" w:rsidR="007824FC" w:rsidRPr="00F52884" w:rsidRDefault="007824FC" w:rsidP="007824FC">
            <w:pPr>
              <w:spacing w:before="60" w:after="60"/>
              <w:rPr>
                <w:rFonts w:cstheme="minorHAnsi"/>
                <w:szCs w:val="23"/>
                <w:lang w:val="fr-CA"/>
              </w:rPr>
            </w:pPr>
            <w:r w:rsidRPr="00F52884">
              <w:rPr>
                <w:rFonts w:eastAsia="Times New Roman" w:cstheme="minorHAnsi"/>
                <w:szCs w:val="23"/>
                <w:lang w:val="fr-CA"/>
              </w:rPr>
              <w:t>CPC 0295, 02974, 04, 21129, 212, 2162, 2831, 62112, 62224, partie de 71231, 8813, 882</w:t>
            </w:r>
          </w:p>
        </w:tc>
      </w:tr>
      <w:tr w:rsidR="007824FC" w:rsidRPr="0068240F" w14:paraId="6E0A9E7A" w14:textId="77777777" w:rsidTr="007824FC">
        <w:trPr>
          <w:trHeight w:val="42"/>
          <w:jc w:val="center"/>
        </w:trPr>
        <w:tc>
          <w:tcPr>
            <w:tcW w:w="2340" w:type="dxa"/>
            <w:tcBorders>
              <w:top w:val="single" w:sz="4" w:space="0" w:color="C0C0C0"/>
              <w:left w:val="nil"/>
              <w:bottom w:val="single" w:sz="4" w:space="0" w:color="C0C0C0"/>
            </w:tcBorders>
          </w:tcPr>
          <w:p w14:paraId="6737CB2B" w14:textId="77777777" w:rsidR="007824FC" w:rsidRPr="00F52884" w:rsidRDefault="007824FC" w:rsidP="007824FC">
            <w:pPr>
              <w:pStyle w:val="Text"/>
              <w:spacing w:before="60" w:after="60" w:line="240" w:lineRule="auto"/>
              <w:ind w:left="432" w:hanging="432"/>
              <w:rPr>
                <w:rFonts w:asciiTheme="minorHAnsi" w:hAnsiTheme="minorHAnsi" w:cstheme="minorHAnsi"/>
                <w:sz w:val="23"/>
                <w:szCs w:val="23"/>
                <w:lang w:val="fr-CA"/>
              </w:rPr>
            </w:pPr>
            <w:r w:rsidRPr="00F52884">
              <w:rPr>
                <w:rFonts w:asciiTheme="minorHAnsi" w:hAnsiTheme="minorHAnsi" w:cstheme="minorHAnsi"/>
                <w:b/>
                <w:bCs/>
                <w:sz w:val="23"/>
                <w:szCs w:val="23"/>
                <w:lang w:val="fr-CA"/>
              </w:rPr>
              <w:t>Types d’exception :</w:t>
            </w:r>
            <w:r w:rsidRPr="00F52884">
              <w:rPr>
                <w:rFonts w:asciiTheme="minorHAnsi" w:hAnsiTheme="minorHAnsi" w:cstheme="minorHAnsi"/>
                <w:sz w:val="23"/>
                <w:szCs w:val="23"/>
                <w:lang w:val="fr-CA"/>
              </w:rPr>
              <w:t xml:space="preserve"> </w:t>
            </w:r>
          </w:p>
        </w:tc>
        <w:tc>
          <w:tcPr>
            <w:tcW w:w="7947" w:type="dxa"/>
            <w:gridSpan w:val="2"/>
            <w:tcBorders>
              <w:top w:val="single" w:sz="4" w:space="0" w:color="C0C0C0"/>
              <w:left w:val="nil"/>
              <w:bottom w:val="single" w:sz="4" w:space="0" w:color="C0C0C0"/>
            </w:tcBorders>
          </w:tcPr>
          <w:p w14:paraId="2C986941" w14:textId="553B7542" w:rsidR="007824FC" w:rsidRPr="00F52884" w:rsidRDefault="007824FC" w:rsidP="007824FC">
            <w:pPr>
              <w:pStyle w:val="Text"/>
              <w:spacing w:before="60" w:after="60" w:line="240" w:lineRule="auto"/>
              <w:ind w:left="6"/>
              <w:rPr>
                <w:rFonts w:asciiTheme="minorHAnsi" w:hAnsiTheme="minorHAnsi" w:cstheme="minorHAnsi"/>
                <w:sz w:val="23"/>
                <w:szCs w:val="23"/>
                <w:lang w:val="fr-CA"/>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39EAB3D6" w14:textId="77777777" w:rsidTr="007824FC">
        <w:trPr>
          <w:trHeight w:val="42"/>
          <w:jc w:val="center"/>
        </w:trPr>
        <w:tc>
          <w:tcPr>
            <w:tcW w:w="1028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86EB38B" w14:textId="77777777" w:rsidR="00B8348C" w:rsidRPr="00F52884" w:rsidRDefault="00B8348C" w:rsidP="007824FC">
            <w:pPr>
              <w:pStyle w:val="RequirementsList"/>
              <w:numPr>
                <w:ilvl w:val="0"/>
                <w:numId w:val="0"/>
              </w:numPr>
              <w:spacing w:before="60" w:after="60" w:line="240" w:lineRule="auto"/>
              <w:ind w:left="288" w:hanging="288"/>
              <w:rPr>
                <w:rFonts w:asciiTheme="minorHAnsi" w:hAnsiTheme="minorHAnsi" w:cstheme="minorHAnsi"/>
                <w:sz w:val="23"/>
                <w:szCs w:val="23"/>
                <w:lang w:val="en-CA" w:eastAsia="fr-CA"/>
              </w:rPr>
            </w:pPr>
            <w:r w:rsidRPr="00F52884">
              <w:rPr>
                <w:rFonts w:asciiTheme="minorHAnsi" w:hAnsiTheme="minorHAnsi" w:cstheme="minorHAnsi"/>
                <w:b/>
                <w:bCs/>
                <w:sz w:val="23"/>
                <w:szCs w:val="23"/>
                <w:lang w:val="fr-CA" w:eastAsia="fr-CA"/>
              </w:rPr>
              <w:t xml:space="preserve">Description : </w:t>
            </w:r>
          </w:p>
        </w:tc>
      </w:tr>
      <w:tr w:rsidR="00B8348C" w:rsidRPr="0068240F" w14:paraId="72A72595" w14:textId="77777777" w:rsidTr="007824FC">
        <w:trPr>
          <w:trHeight w:val="120"/>
          <w:jc w:val="center"/>
        </w:trPr>
        <w:tc>
          <w:tcPr>
            <w:tcW w:w="10287" w:type="dxa"/>
            <w:gridSpan w:val="3"/>
            <w:tcBorders>
              <w:top w:val="single" w:sz="4" w:space="0" w:color="C0C0C0"/>
              <w:left w:val="single" w:sz="4" w:space="0" w:color="C0C0C0"/>
              <w:bottom w:val="single" w:sz="4" w:space="0" w:color="C0C0C0"/>
              <w:right w:val="single" w:sz="4" w:space="0" w:color="C0C0C0"/>
            </w:tcBorders>
          </w:tcPr>
          <w:p w14:paraId="7C01F87F" w14:textId="77777777" w:rsidR="00B8348C" w:rsidRPr="00F52884" w:rsidRDefault="00B8348C" w:rsidP="007824FC">
            <w:pPr>
              <w:spacing w:before="60" w:after="60"/>
              <w:ind w:left="4"/>
              <w:rPr>
                <w:rFonts w:eastAsia="Times New Roman" w:cstheme="minorHAnsi"/>
                <w:bCs/>
                <w:szCs w:val="23"/>
                <w:lang w:val="fr-CA" w:eastAsia="en-CA" w:bidi="en-US"/>
              </w:rPr>
            </w:pPr>
            <w:r w:rsidRPr="00F52884">
              <w:rPr>
                <w:rFonts w:eastAsia="Times New Roman" w:cstheme="minorHAnsi"/>
                <w:bCs/>
                <w:szCs w:val="23"/>
                <w:lang w:val="fr-CA" w:eastAsia="en-CA" w:bidi="en-US"/>
              </w:rPr>
              <w:t>Le gouvernement de la Nouvelle-Écosse se réserve le droit d’adopter ou de maintenir des mesures limitant l’accès aux marchés dans les sous-secteurs susmentionnés.</w:t>
            </w:r>
          </w:p>
        </w:tc>
      </w:tr>
      <w:tr w:rsidR="00B8348C" w:rsidRPr="00F52884" w14:paraId="391A007A" w14:textId="77777777" w:rsidTr="007824FC">
        <w:trPr>
          <w:trHeight w:val="42"/>
          <w:jc w:val="center"/>
        </w:trPr>
        <w:tc>
          <w:tcPr>
            <w:tcW w:w="1028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1159B24D" w14:textId="650E54D8" w:rsidR="00B8348C" w:rsidRPr="00F52884" w:rsidRDefault="00B8348C" w:rsidP="007824FC">
            <w:pPr>
              <w:pStyle w:val="NoSpacing"/>
              <w:spacing w:before="60" w:after="60"/>
              <w:rPr>
                <w:rFonts w:cstheme="minorHAnsi"/>
                <w:caps/>
                <w:sz w:val="23"/>
                <w:szCs w:val="23"/>
                <w:lang w:val="fr-CA" w:eastAsia="fr-CA"/>
              </w:rPr>
            </w:pPr>
            <w:r w:rsidRPr="00F52884">
              <w:rPr>
                <w:rFonts w:cstheme="minorHAnsi"/>
                <w:b/>
                <w:bCs/>
                <w:sz w:val="23"/>
                <w:szCs w:val="23"/>
                <w:lang w:val="fr-CA" w:eastAsia="fr-CA"/>
              </w:rPr>
              <w:lastRenderedPageBreak/>
              <w:t>Mesures existantes :</w:t>
            </w:r>
            <w:r w:rsidRPr="00F52884">
              <w:rPr>
                <w:rFonts w:cstheme="minorHAnsi"/>
                <w:caps/>
                <w:sz w:val="23"/>
                <w:szCs w:val="23"/>
                <w:lang w:val="fr-CA" w:eastAsia="fr-CA"/>
              </w:rPr>
              <w:t xml:space="preserve"> </w:t>
            </w:r>
          </w:p>
        </w:tc>
      </w:tr>
      <w:tr w:rsidR="00B8348C" w:rsidRPr="00F52884" w14:paraId="18B654A7" w14:textId="77777777" w:rsidTr="007824FC">
        <w:trPr>
          <w:trHeight w:val="42"/>
          <w:jc w:val="center"/>
        </w:trPr>
        <w:tc>
          <w:tcPr>
            <w:tcW w:w="10287" w:type="dxa"/>
            <w:gridSpan w:val="3"/>
            <w:tcBorders>
              <w:top w:val="single" w:sz="4" w:space="0" w:color="C0C0C0"/>
              <w:left w:val="single" w:sz="4" w:space="0" w:color="C0C0C0"/>
              <w:bottom w:val="single" w:sz="4" w:space="0" w:color="C0C0C0"/>
              <w:right w:val="single" w:sz="4" w:space="0" w:color="C0C0C0"/>
            </w:tcBorders>
            <w:shd w:val="clear" w:color="auto" w:fill="auto"/>
          </w:tcPr>
          <w:p w14:paraId="35910D41" w14:textId="77777777" w:rsidR="00B8348C" w:rsidRPr="00F52884" w:rsidRDefault="00B8348C" w:rsidP="007824FC">
            <w:pPr>
              <w:pStyle w:val="NoSpacing"/>
              <w:spacing w:before="60" w:after="60"/>
              <w:rPr>
                <w:rFonts w:cstheme="minorHAnsi"/>
                <w:b/>
                <w:sz w:val="23"/>
                <w:szCs w:val="23"/>
                <w:lang w:val="fr-CA" w:eastAsia="fr-CA"/>
              </w:rPr>
            </w:pPr>
          </w:p>
        </w:tc>
      </w:tr>
    </w:tbl>
    <w:p w14:paraId="25DA3C92" w14:textId="77777777" w:rsidR="00B8348C" w:rsidRPr="00F52884" w:rsidRDefault="00B8348C" w:rsidP="00C17162">
      <w:pPr>
        <w:rPr>
          <w:rFonts w:eastAsia="Times New Roman" w:cstheme="minorHAnsi"/>
          <w:b/>
          <w:bCs/>
          <w:szCs w:val="23"/>
          <w:lang w:val="fr-CA" w:eastAsia="en-CA"/>
        </w:rPr>
      </w:pPr>
    </w:p>
    <w:p w14:paraId="405285D4" w14:textId="77777777" w:rsidR="00B8348C" w:rsidRPr="00F52884" w:rsidRDefault="00B8348C" w:rsidP="00C17162">
      <w:pPr>
        <w:rPr>
          <w:rFonts w:eastAsia="Times New Roman" w:cstheme="minorHAnsi"/>
          <w:b/>
          <w:bCs/>
          <w:szCs w:val="23"/>
          <w:lang w:val="fr-CA" w:eastAsia="en-CA"/>
        </w:rPr>
      </w:pPr>
    </w:p>
    <w:p w14:paraId="38E4F939" w14:textId="0022D8EF" w:rsidR="00B8348C" w:rsidRPr="00F52884" w:rsidRDefault="00B8348C" w:rsidP="007824FC">
      <w:pPr>
        <w:spacing w:before="60" w:after="60"/>
        <w:ind w:left="-360"/>
        <w:rPr>
          <w:rFonts w:eastAsia="Times New Roman" w:cstheme="minorHAnsi"/>
          <w:b/>
          <w:bCs/>
          <w:szCs w:val="23"/>
          <w:lang w:eastAsia="en-CA"/>
        </w:rPr>
      </w:pPr>
      <w:r w:rsidRPr="00F52884">
        <w:rPr>
          <w:rFonts w:eastAsia="Times New Roman" w:cstheme="minorHAnsi"/>
          <w:b/>
          <w:bCs/>
          <w:szCs w:val="23"/>
          <w:lang w:val="fr-CA" w:eastAsia="en-CA"/>
        </w:rPr>
        <w:t>3.</w:t>
      </w:r>
      <w:r w:rsidRPr="00F52884">
        <w:rPr>
          <w:rFonts w:cstheme="minorHAnsi"/>
          <w:b/>
          <w:bCs/>
          <w:szCs w:val="23"/>
          <w:lang w:val="fr-CA"/>
        </w:rPr>
        <w:t xml:space="preserve"> </w:t>
      </w:r>
      <w:r w:rsidR="007824FC" w:rsidRPr="00F52884">
        <w:rPr>
          <w:rFonts w:cstheme="minorHAnsi"/>
          <w:b/>
          <w:bCs/>
          <w:szCs w:val="23"/>
          <w:lang w:val="fr-CA"/>
        </w:rPr>
        <w:t xml:space="preserve"> </w:t>
      </w:r>
      <w:r w:rsidRPr="00F52884">
        <w:rPr>
          <w:rFonts w:cstheme="minorHAnsi"/>
          <w:b/>
          <w:bCs/>
          <w:szCs w:val="23"/>
          <w:lang w:val="fr-CA"/>
        </w:rPr>
        <w:t>NOUVELLE-ÉCOSSE</w:t>
      </w:r>
    </w:p>
    <w:tbl>
      <w:tblPr>
        <w:tblW w:w="10287" w:type="dxa"/>
        <w:jc w:val="center"/>
        <w:tblCellMar>
          <w:top w:w="14" w:type="dxa"/>
          <w:left w:w="86" w:type="dxa"/>
          <w:bottom w:w="14" w:type="dxa"/>
          <w:right w:w="86" w:type="dxa"/>
        </w:tblCellMar>
        <w:tblLook w:val="0000" w:firstRow="0" w:lastRow="0" w:firstColumn="0" w:lastColumn="0" w:noHBand="0" w:noVBand="0"/>
      </w:tblPr>
      <w:tblGrid>
        <w:gridCol w:w="2340"/>
        <w:gridCol w:w="7447"/>
        <w:gridCol w:w="500"/>
      </w:tblGrid>
      <w:tr w:rsidR="00B8348C" w:rsidRPr="00F52884" w14:paraId="5FCD2C39"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4339C611" w14:textId="37E1F33D" w:rsidR="00B8348C" w:rsidRPr="00F52884" w:rsidRDefault="00B8348C" w:rsidP="007824FC">
            <w:pPr>
              <w:pStyle w:val="NoSpacing"/>
              <w:spacing w:before="60" w:after="60"/>
              <w:rPr>
                <w:rFonts w:cstheme="minorHAnsi"/>
                <w:sz w:val="23"/>
                <w:szCs w:val="23"/>
              </w:rPr>
            </w:pPr>
            <w:r w:rsidRPr="00F52884">
              <w:rPr>
                <w:rFonts w:eastAsia="Times New Roman" w:cstheme="minorHAnsi"/>
                <w:b/>
                <w:bCs/>
                <w:sz w:val="23"/>
                <w:szCs w:val="23"/>
                <w:lang w:val="fr-CA"/>
              </w:rPr>
              <w:t>Secteur </w:t>
            </w:r>
            <w:r w:rsidRPr="00F52884">
              <w:rPr>
                <w:rFonts w:eastAsia="Times New Roman" w:cstheme="minorHAnsi"/>
                <w:sz w:val="23"/>
                <w:szCs w:val="23"/>
                <w:lang w:val="fr-CA"/>
              </w:rPr>
              <w:t xml:space="preserve">: </w:t>
            </w:r>
          </w:p>
        </w:tc>
        <w:tc>
          <w:tcPr>
            <w:tcW w:w="7947" w:type="dxa"/>
            <w:gridSpan w:val="2"/>
            <w:tcBorders>
              <w:top w:val="single" w:sz="4" w:space="0" w:color="C0C0C0"/>
              <w:left w:val="single" w:sz="4" w:space="0" w:color="FFFFFF"/>
              <w:bottom w:val="single" w:sz="4" w:space="0" w:color="C0C0C0"/>
              <w:right w:val="nil"/>
            </w:tcBorders>
            <w:vAlign w:val="center"/>
          </w:tcPr>
          <w:p w14:paraId="1A704329" w14:textId="73E245D3" w:rsidR="00B8348C" w:rsidRPr="00F52884" w:rsidRDefault="007824FC" w:rsidP="007824FC">
            <w:pPr>
              <w:pStyle w:val="NoSpacing"/>
              <w:spacing w:before="60" w:after="60"/>
              <w:rPr>
                <w:rFonts w:cstheme="minorHAnsi"/>
                <w:sz w:val="23"/>
                <w:szCs w:val="23"/>
              </w:rPr>
            </w:pPr>
            <w:r w:rsidRPr="00F52884">
              <w:rPr>
                <w:rFonts w:eastAsia="Times New Roman" w:cstheme="minorHAnsi"/>
                <w:sz w:val="23"/>
                <w:szCs w:val="23"/>
                <w:lang w:val="fr-CA"/>
              </w:rPr>
              <w:t>Énergie</w:t>
            </w:r>
          </w:p>
        </w:tc>
      </w:tr>
      <w:tr w:rsidR="007824FC" w:rsidRPr="0068240F" w14:paraId="253B820F"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5EEBDB23" w14:textId="7777777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b/>
                <w:bCs/>
                <w:sz w:val="23"/>
                <w:szCs w:val="23"/>
                <w:lang w:val="fr-CA"/>
              </w:rPr>
              <w:t xml:space="preserve">Sous-secteur : </w:t>
            </w:r>
          </w:p>
        </w:tc>
        <w:tc>
          <w:tcPr>
            <w:tcW w:w="7947" w:type="dxa"/>
            <w:gridSpan w:val="2"/>
            <w:tcBorders>
              <w:top w:val="single" w:sz="4" w:space="0" w:color="C0C0C0"/>
              <w:left w:val="nil"/>
              <w:bottom w:val="single" w:sz="4" w:space="0" w:color="C0C0C0"/>
              <w:right w:val="single" w:sz="4" w:space="0" w:color="FFFFFF"/>
            </w:tcBorders>
            <w:vAlign w:val="center"/>
          </w:tcPr>
          <w:p w14:paraId="5D26669D" w14:textId="33A783E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bCs/>
                <w:sz w:val="23"/>
                <w:szCs w:val="23"/>
                <w:lang w:val="fr-CA"/>
              </w:rPr>
              <w:t xml:space="preserve">Énergie électrique; </w:t>
            </w:r>
            <w:r w:rsidRPr="00F52884">
              <w:rPr>
                <w:rFonts w:eastAsia="Times New Roman" w:cstheme="minorHAnsi"/>
                <w:sz w:val="23"/>
                <w:szCs w:val="23"/>
                <w:lang w:val="fr-CA"/>
              </w:rPr>
              <w:t>services annexes à la distribution d’énergie</w:t>
            </w:r>
          </w:p>
        </w:tc>
      </w:tr>
      <w:tr w:rsidR="007824FC" w:rsidRPr="00F52884" w14:paraId="51E3DEC2" w14:textId="77777777" w:rsidTr="007824FC">
        <w:trPr>
          <w:gridAfter w:val="1"/>
          <w:wAfter w:w="500"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0649E70B" w14:textId="77777777" w:rsidR="007824FC" w:rsidRPr="00F52884" w:rsidRDefault="007824FC" w:rsidP="007824FC">
            <w:pPr>
              <w:pStyle w:val="NoSpacing"/>
              <w:spacing w:before="60" w:after="60"/>
              <w:rPr>
                <w:rFonts w:cstheme="minorHAnsi"/>
                <w:sz w:val="23"/>
                <w:szCs w:val="23"/>
              </w:rPr>
            </w:pPr>
            <w:r w:rsidRPr="00F52884">
              <w:rPr>
                <w:rFonts w:eastAsia="Times New Roman" w:cstheme="minorHAnsi"/>
                <w:b/>
                <w:bCs/>
                <w:sz w:val="23"/>
                <w:szCs w:val="23"/>
                <w:lang w:val="fr-CA"/>
              </w:rPr>
              <w:t xml:space="preserve">Classification de l’industrie : </w:t>
            </w:r>
          </w:p>
        </w:tc>
        <w:tc>
          <w:tcPr>
            <w:tcW w:w="7447" w:type="dxa"/>
            <w:tcBorders>
              <w:top w:val="single" w:sz="4" w:space="0" w:color="C0C0C0"/>
              <w:left w:val="nil"/>
              <w:bottom w:val="single" w:sz="4" w:space="0" w:color="C0C0C0"/>
              <w:right w:val="single" w:sz="4" w:space="0" w:color="FFFFFF"/>
            </w:tcBorders>
            <w:vAlign w:val="center"/>
          </w:tcPr>
          <w:p w14:paraId="76F937F0" w14:textId="1116E377" w:rsidR="007824FC" w:rsidRPr="00F52884" w:rsidRDefault="007824FC" w:rsidP="007824FC">
            <w:pPr>
              <w:pStyle w:val="NoSpacing"/>
              <w:spacing w:before="60" w:after="60"/>
              <w:rPr>
                <w:rFonts w:cstheme="minorHAnsi"/>
                <w:sz w:val="23"/>
                <w:szCs w:val="23"/>
              </w:rPr>
            </w:pPr>
            <w:r w:rsidRPr="00F52884">
              <w:rPr>
                <w:rFonts w:eastAsia="Times New Roman" w:cstheme="minorHAnsi"/>
                <w:sz w:val="23"/>
                <w:szCs w:val="23"/>
                <w:lang w:val="fr-CA"/>
              </w:rPr>
              <w:t>CPC 17, 887</w:t>
            </w:r>
          </w:p>
        </w:tc>
      </w:tr>
      <w:tr w:rsidR="007824FC" w:rsidRPr="0068240F" w14:paraId="5C5031E8" w14:textId="77777777" w:rsidTr="007824FC">
        <w:trPr>
          <w:trHeight w:val="42"/>
          <w:jc w:val="center"/>
        </w:trPr>
        <w:tc>
          <w:tcPr>
            <w:tcW w:w="2340" w:type="dxa"/>
            <w:tcBorders>
              <w:top w:val="single" w:sz="4" w:space="0" w:color="C0C0C0"/>
              <w:left w:val="nil"/>
              <w:bottom w:val="single" w:sz="4" w:space="0" w:color="C0C0C0"/>
            </w:tcBorders>
          </w:tcPr>
          <w:p w14:paraId="26A51A29" w14:textId="77777777" w:rsidR="007824FC" w:rsidRPr="00F52884" w:rsidRDefault="007824FC" w:rsidP="007824FC">
            <w:pPr>
              <w:pStyle w:val="NoSpacing"/>
              <w:spacing w:before="60" w:after="60"/>
              <w:rPr>
                <w:rFonts w:cstheme="minorHAnsi"/>
                <w:sz w:val="23"/>
                <w:szCs w:val="23"/>
                <w:lang w:val="fr-CA"/>
              </w:rPr>
            </w:pPr>
            <w:r w:rsidRPr="00F52884">
              <w:rPr>
                <w:rFonts w:cstheme="minorHAnsi"/>
                <w:b/>
                <w:bCs/>
                <w:sz w:val="23"/>
                <w:szCs w:val="23"/>
                <w:lang w:val="fr-CA"/>
              </w:rPr>
              <w:t>Types d’exception :</w:t>
            </w:r>
            <w:r w:rsidRPr="00F52884">
              <w:rPr>
                <w:rFonts w:cstheme="minorHAnsi"/>
                <w:sz w:val="23"/>
                <w:szCs w:val="23"/>
                <w:lang w:val="fr-CA"/>
              </w:rPr>
              <w:t xml:space="preserve"> </w:t>
            </w:r>
          </w:p>
        </w:tc>
        <w:tc>
          <w:tcPr>
            <w:tcW w:w="7947" w:type="dxa"/>
            <w:gridSpan w:val="2"/>
            <w:tcBorders>
              <w:top w:val="single" w:sz="4" w:space="0" w:color="C0C0C0"/>
              <w:left w:val="nil"/>
              <w:bottom w:val="single" w:sz="4" w:space="0" w:color="C0C0C0"/>
            </w:tcBorders>
          </w:tcPr>
          <w:p w14:paraId="2DE599F6" w14:textId="5395E4AE" w:rsidR="007824FC" w:rsidRPr="00F52884" w:rsidRDefault="007824FC" w:rsidP="007824FC">
            <w:pPr>
              <w:pStyle w:val="NoSpacing"/>
              <w:spacing w:before="60" w:after="60"/>
              <w:rPr>
                <w:rFonts w:cstheme="minorHAnsi"/>
                <w:sz w:val="23"/>
                <w:szCs w:val="23"/>
                <w:lang w:val="fr-CA"/>
              </w:rPr>
            </w:pPr>
            <w:r w:rsidRPr="00F52884">
              <w:rPr>
                <w:rFonts w:cstheme="minorHAnsi"/>
                <w:sz w:val="23"/>
                <w:szCs w:val="23"/>
                <w:lang w:val="fr-CA"/>
              </w:rPr>
              <w:t>Article 307 (</w:t>
            </w:r>
            <w:r w:rsidRPr="00F52884">
              <w:rPr>
                <w:rFonts w:eastAsia="Times New Roman" w:cstheme="minorHAnsi"/>
                <w:sz w:val="23"/>
                <w:szCs w:val="23"/>
                <w:lang w:val="fr-CA" w:bidi="en-US"/>
              </w:rPr>
              <w:t>Accès aux marchés – Services</w:t>
            </w:r>
            <w:r w:rsidRPr="00F52884">
              <w:rPr>
                <w:rFonts w:cstheme="minorHAnsi"/>
                <w:sz w:val="23"/>
                <w:szCs w:val="23"/>
                <w:lang w:val="fr-CA"/>
              </w:rPr>
              <w:t>), article 312 (</w:t>
            </w:r>
            <w:r w:rsidRPr="00F52884">
              <w:rPr>
                <w:rFonts w:eastAsia="Times New Roman" w:cstheme="minorHAnsi"/>
                <w:sz w:val="23"/>
                <w:szCs w:val="23"/>
                <w:lang w:val="fr-CA" w:bidi="en-US"/>
              </w:rPr>
              <w:t>Accès aux marchés – Investissement</w:t>
            </w:r>
            <w:r w:rsidRPr="00F52884">
              <w:rPr>
                <w:rFonts w:cstheme="minorHAnsi"/>
                <w:sz w:val="23"/>
                <w:szCs w:val="23"/>
                <w:lang w:val="fr-CA"/>
              </w:rPr>
              <w:t>)</w:t>
            </w:r>
          </w:p>
        </w:tc>
      </w:tr>
      <w:tr w:rsidR="00B8348C" w:rsidRPr="00F52884" w14:paraId="4B2353DD" w14:textId="77777777" w:rsidTr="007824FC">
        <w:trPr>
          <w:trHeight w:val="42"/>
          <w:jc w:val="center"/>
        </w:trPr>
        <w:tc>
          <w:tcPr>
            <w:tcW w:w="1028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B976C53" w14:textId="77777777" w:rsidR="00B8348C" w:rsidRPr="00F52884" w:rsidRDefault="00B8348C" w:rsidP="007824FC">
            <w:pPr>
              <w:pStyle w:val="NoSpacing"/>
              <w:spacing w:before="60" w:after="60"/>
              <w:rPr>
                <w:rFonts w:cstheme="minorHAnsi"/>
                <w:b/>
                <w:sz w:val="23"/>
                <w:szCs w:val="23"/>
                <w:lang w:eastAsia="fr-CA"/>
              </w:rPr>
            </w:pPr>
            <w:r w:rsidRPr="00F52884">
              <w:rPr>
                <w:rFonts w:cstheme="minorHAnsi"/>
                <w:b/>
                <w:bCs/>
                <w:sz w:val="23"/>
                <w:szCs w:val="23"/>
                <w:lang w:val="fr-CA"/>
              </w:rPr>
              <w:t xml:space="preserve">Description : </w:t>
            </w:r>
          </w:p>
        </w:tc>
      </w:tr>
      <w:tr w:rsidR="00B8348C" w:rsidRPr="0068240F" w14:paraId="4F248E73" w14:textId="77777777" w:rsidTr="007824FC">
        <w:trPr>
          <w:trHeight w:val="120"/>
          <w:jc w:val="center"/>
        </w:trPr>
        <w:tc>
          <w:tcPr>
            <w:tcW w:w="10287" w:type="dxa"/>
            <w:gridSpan w:val="3"/>
            <w:tcBorders>
              <w:top w:val="single" w:sz="4" w:space="0" w:color="C0C0C0"/>
              <w:left w:val="single" w:sz="4" w:space="0" w:color="C0C0C0"/>
              <w:bottom w:val="single" w:sz="4" w:space="0" w:color="C0C0C0"/>
              <w:right w:val="single" w:sz="4" w:space="0" w:color="C0C0C0"/>
            </w:tcBorders>
          </w:tcPr>
          <w:p w14:paraId="25552977" w14:textId="77777777" w:rsidR="00B8348C" w:rsidRPr="00F52884" w:rsidRDefault="00B8348C" w:rsidP="007824FC">
            <w:pPr>
              <w:pStyle w:val="NoSpacing"/>
              <w:spacing w:before="60" w:after="60"/>
              <w:rPr>
                <w:rFonts w:eastAsia="Times New Roman" w:cstheme="minorHAnsi"/>
                <w:bCs/>
                <w:sz w:val="23"/>
                <w:szCs w:val="23"/>
                <w:lang w:val="fr-CA" w:eastAsia="en-CA" w:bidi="en-US"/>
              </w:rPr>
            </w:pPr>
            <w:r w:rsidRPr="00F52884">
              <w:rPr>
                <w:rFonts w:eastAsia="Times New Roman" w:cstheme="minorHAnsi"/>
                <w:bCs/>
                <w:sz w:val="23"/>
                <w:szCs w:val="23"/>
                <w:lang w:val="fr-CA" w:eastAsia="en-CA" w:bidi="en-US"/>
              </w:rPr>
              <w:t>Le gouvernement de la Nouvelle-Écosse se réserve le droit d’adopter ou de maintenir des mesures limitant l’accès aux marchés dans les sous-secteurs susmentionnés.</w:t>
            </w:r>
          </w:p>
        </w:tc>
      </w:tr>
      <w:tr w:rsidR="00B8348C" w:rsidRPr="00F52884" w14:paraId="7FAB1334" w14:textId="77777777" w:rsidTr="007824FC">
        <w:trPr>
          <w:trHeight w:val="42"/>
          <w:jc w:val="center"/>
        </w:trPr>
        <w:tc>
          <w:tcPr>
            <w:tcW w:w="10287"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879B1E9" w14:textId="3872D8E1" w:rsidR="00B8348C" w:rsidRPr="00F52884" w:rsidRDefault="00B8348C" w:rsidP="007824FC">
            <w:pPr>
              <w:pStyle w:val="NoSpacing"/>
              <w:spacing w:before="60" w:after="60"/>
              <w:rPr>
                <w:rFonts w:cstheme="minorHAnsi"/>
                <w:b/>
                <w:caps/>
                <w:sz w:val="23"/>
                <w:szCs w:val="23"/>
                <w:lang w:val="fr-CA" w:eastAsia="fr-CA"/>
              </w:rPr>
            </w:pPr>
            <w:r w:rsidRPr="00F52884">
              <w:rPr>
                <w:rFonts w:cstheme="minorHAnsi"/>
                <w:b/>
                <w:bCs/>
                <w:sz w:val="23"/>
                <w:szCs w:val="23"/>
                <w:lang w:val="fr-CA" w:eastAsia="fr-CA"/>
              </w:rPr>
              <w:t>Mesures existantes :</w:t>
            </w:r>
            <w:r w:rsidRPr="00F52884">
              <w:rPr>
                <w:rFonts w:cstheme="minorHAnsi"/>
                <w:b/>
                <w:bCs/>
                <w:caps/>
                <w:sz w:val="23"/>
                <w:szCs w:val="23"/>
                <w:lang w:val="fr-CA" w:eastAsia="fr-CA"/>
              </w:rPr>
              <w:t xml:space="preserve"> </w:t>
            </w:r>
          </w:p>
        </w:tc>
      </w:tr>
      <w:tr w:rsidR="00B8348C" w:rsidRPr="00F52884" w14:paraId="3EE556CB" w14:textId="77777777" w:rsidTr="007824FC">
        <w:trPr>
          <w:trHeight w:val="42"/>
          <w:jc w:val="center"/>
        </w:trPr>
        <w:tc>
          <w:tcPr>
            <w:tcW w:w="10287" w:type="dxa"/>
            <w:gridSpan w:val="3"/>
            <w:tcBorders>
              <w:top w:val="single" w:sz="4" w:space="0" w:color="C0C0C0"/>
              <w:left w:val="single" w:sz="4" w:space="0" w:color="C0C0C0"/>
              <w:bottom w:val="single" w:sz="4" w:space="0" w:color="C0C0C0"/>
              <w:right w:val="single" w:sz="4" w:space="0" w:color="C0C0C0"/>
            </w:tcBorders>
            <w:shd w:val="clear" w:color="auto" w:fill="auto"/>
          </w:tcPr>
          <w:p w14:paraId="610CB0BE" w14:textId="77777777" w:rsidR="00B8348C" w:rsidRPr="00F52884" w:rsidRDefault="00B8348C" w:rsidP="007824FC">
            <w:pPr>
              <w:pStyle w:val="NoSpacing"/>
              <w:spacing w:before="60" w:after="60"/>
              <w:rPr>
                <w:rFonts w:cstheme="minorHAnsi"/>
                <w:b/>
                <w:sz w:val="23"/>
                <w:szCs w:val="23"/>
                <w:lang w:val="fr-CA" w:eastAsia="fr-CA"/>
              </w:rPr>
            </w:pPr>
          </w:p>
        </w:tc>
      </w:tr>
    </w:tbl>
    <w:p w14:paraId="7F3F878E" w14:textId="77777777" w:rsidR="00B8348C" w:rsidRPr="00F52884" w:rsidRDefault="00B8348C" w:rsidP="00C17162">
      <w:pPr>
        <w:rPr>
          <w:rFonts w:eastAsia="Times New Roman" w:cstheme="minorHAnsi"/>
          <w:b/>
          <w:bCs/>
          <w:szCs w:val="23"/>
          <w:lang w:val="fr-CA" w:eastAsia="en-CA"/>
        </w:rPr>
      </w:pPr>
    </w:p>
    <w:p w14:paraId="43403C4F" w14:textId="77777777" w:rsidR="00B8348C" w:rsidRPr="00F52884" w:rsidRDefault="00B8348C" w:rsidP="00C17162">
      <w:pPr>
        <w:rPr>
          <w:rFonts w:eastAsia="Times New Roman" w:cstheme="minorHAnsi"/>
          <w:b/>
          <w:bCs/>
          <w:szCs w:val="23"/>
          <w:lang w:val="fr-CA" w:eastAsia="en-CA"/>
        </w:rPr>
      </w:pPr>
    </w:p>
    <w:p w14:paraId="125687EE" w14:textId="7D4B9D1C" w:rsidR="00B8348C" w:rsidRPr="00F52884" w:rsidRDefault="00B8348C" w:rsidP="007824FC">
      <w:pPr>
        <w:spacing w:before="60" w:after="60"/>
        <w:ind w:left="-360"/>
        <w:rPr>
          <w:rFonts w:eastAsia="Times New Roman" w:cstheme="minorHAnsi"/>
          <w:b/>
          <w:szCs w:val="23"/>
          <w:lang w:eastAsia="en-CA"/>
        </w:rPr>
      </w:pPr>
      <w:r w:rsidRPr="00F52884">
        <w:rPr>
          <w:rFonts w:eastAsia="Times New Roman" w:cstheme="minorHAnsi"/>
          <w:b/>
          <w:bCs/>
          <w:szCs w:val="23"/>
          <w:lang w:val="fr-CA" w:eastAsia="en-CA"/>
        </w:rPr>
        <w:t>4.</w:t>
      </w:r>
      <w:r w:rsidRPr="00F52884">
        <w:rPr>
          <w:rFonts w:cstheme="minorHAnsi"/>
          <w:b/>
          <w:bCs/>
          <w:szCs w:val="23"/>
          <w:lang w:val="fr-CA"/>
        </w:rPr>
        <w:t xml:space="preserve"> </w:t>
      </w:r>
      <w:r w:rsidR="007824FC" w:rsidRPr="00F52884">
        <w:rPr>
          <w:rFonts w:cstheme="minorHAnsi"/>
          <w:b/>
          <w:bCs/>
          <w:szCs w:val="23"/>
          <w:lang w:val="fr-CA"/>
        </w:rPr>
        <w:t xml:space="preserve"> </w:t>
      </w:r>
      <w:r w:rsidRPr="00F52884">
        <w:rPr>
          <w:rFonts w:cstheme="minorHAnsi"/>
          <w:b/>
          <w:bCs/>
          <w:szCs w:val="23"/>
          <w:lang w:val="fr-CA"/>
        </w:rPr>
        <w:t>NOUVELLE-ÉCOSSE</w:t>
      </w:r>
    </w:p>
    <w:tbl>
      <w:tblPr>
        <w:tblW w:w="10212" w:type="dxa"/>
        <w:jc w:val="center"/>
        <w:tblCellMar>
          <w:top w:w="14" w:type="dxa"/>
          <w:left w:w="86" w:type="dxa"/>
          <w:bottom w:w="14" w:type="dxa"/>
          <w:right w:w="86" w:type="dxa"/>
        </w:tblCellMar>
        <w:tblLook w:val="0000" w:firstRow="0" w:lastRow="0" w:firstColumn="0" w:lastColumn="0" w:noHBand="0" w:noVBand="0"/>
      </w:tblPr>
      <w:tblGrid>
        <w:gridCol w:w="2340"/>
        <w:gridCol w:w="7447"/>
        <w:gridCol w:w="425"/>
      </w:tblGrid>
      <w:tr w:rsidR="00B8348C" w:rsidRPr="00F52884" w14:paraId="5637191D"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1CA97826" w14:textId="66C932EF" w:rsidR="00B8348C" w:rsidRPr="00F52884" w:rsidRDefault="00B8348C" w:rsidP="007824FC">
            <w:pPr>
              <w:pStyle w:val="NoSpacing"/>
              <w:spacing w:before="60" w:after="60"/>
              <w:rPr>
                <w:rFonts w:cstheme="minorHAnsi"/>
                <w:sz w:val="23"/>
                <w:szCs w:val="23"/>
              </w:rPr>
            </w:pPr>
            <w:r w:rsidRPr="00F52884">
              <w:rPr>
                <w:rFonts w:eastAsia="Times New Roman" w:cstheme="minorHAnsi"/>
                <w:b/>
                <w:bCs/>
                <w:sz w:val="23"/>
                <w:szCs w:val="23"/>
                <w:lang w:val="fr-CA"/>
              </w:rPr>
              <w:t>Secteur :</w:t>
            </w:r>
            <w:r w:rsidRPr="00F52884">
              <w:rPr>
                <w:rFonts w:eastAsia="Times New Roman" w:cstheme="minorHAnsi"/>
                <w:sz w:val="23"/>
                <w:szCs w:val="23"/>
                <w:lang w:val="fr-CA"/>
              </w:rPr>
              <w:t xml:space="preserve"> </w:t>
            </w:r>
          </w:p>
        </w:tc>
        <w:tc>
          <w:tcPr>
            <w:tcW w:w="7872" w:type="dxa"/>
            <w:gridSpan w:val="2"/>
            <w:tcBorders>
              <w:top w:val="single" w:sz="4" w:space="0" w:color="C0C0C0"/>
              <w:left w:val="single" w:sz="4" w:space="0" w:color="FFFFFF"/>
              <w:bottom w:val="single" w:sz="4" w:space="0" w:color="C0C0C0"/>
              <w:right w:val="nil"/>
            </w:tcBorders>
            <w:vAlign w:val="center"/>
          </w:tcPr>
          <w:p w14:paraId="2C73169C" w14:textId="5B179BC7" w:rsidR="00B8348C" w:rsidRPr="00F52884" w:rsidRDefault="007824FC" w:rsidP="007824FC">
            <w:pPr>
              <w:pStyle w:val="NoSpacing"/>
              <w:spacing w:before="60" w:after="60"/>
              <w:rPr>
                <w:rFonts w:cstheme="minorHAnsi"/>
                <w:sz w:val="23"/>
                <w:szCs w:val="23"/>
              </w:rPr>
            </w:pPr>
            <w:r w:rsidRPr="00F52884">
              <w:rPr>
                <w:rFonts w:eastAsia="Times New Roman" w:cstheme="minorHAnsi"/>
                <w:sz w:val="23"/>
                <w:szCs w:val="23"/>
                <w:lang w:val="fr-CA"/>
              </w:rPr>
              <w:t>Énergie</w:t>
            </w:r>
          </w:p>
        </w:tc>
      </w:tr>
      <w:tr w:rsidR="007824FC" w:rsidRPr="0068240F" w14:paraId="0766528C"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6FE81EAD" w14:textId="7777777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b/>
                <w:bCs/>
                <w:sz w:val="23"/>
                <w:szCs w:val="23"/>
                <w:lang w:val="fr-CA"/>
              </w:rPr>
              <w:t xml:space="preserve">Sous-secteur : </w:t>
            </w:r>
          </w:p>
        </w:tc>
        <w:tc>
          <w:tcPr>
            <w:tcW w:w="7872" w:type="dxa"/>
            <w:gridSpan w:val="2"/>
            <w:tcBorders>
              <w:top w:val="single" w:sz="4" w:space="0" w:color="C0C0C0"/>
              <w:left w:val="nil"/>
              <w:bottom w:val="single" w:sz="4" w:space="0" w:color="C0C0C0"/>
              <w:right w:val="single" w:sz="4" w:space="0" w:color="FFFFFF"/>
            </w:tcBorders>
            <w:vAlign w:val="center"/>
          </w:tcPr>
          <w:p w14:paraId="1ACB6174" w14:textId="61450E01"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sz w:val="23"/>
                <w:szCs w:val="23"/>
                <w:lang w:val="fr-CA"/>
              </w:rPr>
              <w:t>Pétrole brut et gaz naturel; services annexes à la distribution d’énergie</w:t>
            </w:r>
          </w:p>
        </w:tc>
      </w:tr>
      <w:tr w:rsidR="007824FC" w:rsidRPr="00F52884" w14:paraId="7BC5A709" w14:textId="77777777" w:rsidTr="007824FC">
        <w:trPr>
          <w:gridAfter w:val="1"/>
          <w:wAfter w:w="425" w:type="dxa"/>
          <w:trHeight w:val="318"/>
          <w:jc w:val="center"/>
        </w:trPr>
        <w:tc>
          <w:tcPr>
            <w:tcW w:w="2340" w:type="dxa"/>
            <w:tcBorders>
              <w:top w:val="single" w:sz="4" w:space="0" w:color="C0C0C0"/>
              <w:left w:val="nil"/>
              <w:bottom w:val="single" w:sz="4" w:space="0" w:color="C0C0C0"/>
              <w:right w:val="single" w:sz="4" w:space="0" w:color="FFFFFF"/>
            </w:tcBorders>
            <w:vAlign w:val="center"/>
          </w:tcPr>
          <w:p w14:paraId="640B4A44" w14:textId="77777777" w:rsidR="007824FC" w:rsidRPr="00F52884" w:rsidRDefault="007824FC" w:rsidP="007824FC">
            <w:pPr>
              <w:pStyle w:val="NoSpacing"/>
              <w:spacing w:before="60" w:after="60"/>
              <w:rPr>
                <w:rFonts w:eastAsia="Times New Roman" w:cstheme="minorHAnsi"/>
                <w:sz w:val="23"/>
                <w:szCs w:val="23"/>
              </w:rPr>
            </w:pPr>
            <w:r w:rsidRPr="00F52884">
              <w:rPr>
                <w:rFonts w:eastAsia="Times New Roman" w:cstheme="minorHAnsi"/>
                <w:b/>
                <w:bCs/>
                <w:sz w:val="23"/>
                <w:szCs w:val="23"/>
                <w:lang w:val="fr-CA"/>
              </w:rPr>
              <w:t xml:space="preserve">Classification de l’industrie : </w:t>
            </w:r>
          </w:p>
        </w:tc>
        <w:tc>
          <w:tcPr>
            <w:tcW w:w="7447" w:type="dxa"/>
            <w:tcBorders>
              <w:top w:val="single" w:sz="4" w:space="0" w:color="C0C0C0"/>
              <w:left w:val="nil"/>
              <w:bottom w:val="single" w:sz="4" w:space="0" w:color="C0C0C0"/>
              <w:right w:val="single" w:sz="4" w:space="0" w:color="FFFFFF"/>
            </w:tcBorders>
            <w:vAlign w:val="center"/>
          </w:tcPr>
          <w:p w14:paraId="7B796932" w14:textId="4BF81A07" w:rsidR="007824FC" w:rsidRPr="00F52884" w:rsidRDefault="007824FC" w:rsidP="007824FC">
            <w:pPr>
              <w:pStyle w:val="NoSpacing"/>
              <w:spacing w:before="60" w:after="60"/>
              <w:rPr>
                <w:rFonts w:eastAsia="Times New Roman" w:cstheme="minorHAnsi"/>
                <w:sz w:val="23"/>
                <w:szCs w:val="23"/>
              </w:rPr>
            </w:pPr>
            <w:r w:rsidRPr="00F52884">
              <w:rPr>
                <w:rFonts w:eastAsia="Times New Roman" w:cstheme="minorHAnsi"/>
                <w:sz w:val="23"/>
                <w:szCs w:val="23"/>
                <w:lang w:val="fr-CA"/>
              </w:rPr>
              <w:t>CPC 120, 887</w:t>
            </w:r>
          </w:p>
        </w:tc>
      </w:tr>
      <w:tr w:rsidR="007824FC" w:rsidRPr="0068240F" w14:paraId="423A7C65" w14:textId="77777777" w:rsidTr="007824FC">
        <w:trPr>
          <w:trHeight w:val="42"/>
          <w:jc w:val="center"/>
        </w:trPr>
        <w:tc>
          <w:tcPr>
            <w:tcW w:w="2340" w:type="dxa"/>
            <w:tcBorders>
              <w:top w:val="single" w:sz="4" w:space="0" w:color="C0C0C0"/>
              <w:left w:val="nil"/>
              <w:bottom w:val="single" w:sz="4" w:space="0" w:color="C0C0C0"/>
            </w:tcBorders>
          </w:tcPr>
          <w:p w14:paraId="4E5309DD" w14:textId="77777777" w:rsidR="007824FC" w:rsidRPr="00F52884" w:rsidRDefault="007824FC" w:rsidP="007824FC">
            <w:pPr>
              <w:pStyle w:val="NoSpacing"/>
              <w:spacing w:before="60" w:after="60"/>
              <w:rPr>
                <w:rFonts w:cstheme="minorHAnsi"/>
                <w:sz w:val="23"/>
                <w:szCs w:val="23"/>
                <w:lang w:val="fr-CA"/>
              </w:rPr>
            </w:pPr>
            <w:r w:rsidRPr="00F52884">
              <w:rPr>
                <w:rFonts w:cstheme="minorHAnsi"/>
                <w:b/>
                <w:bCs/>
                <w:sz w:val="23"/>
                <w:szCs w:val="23"/>
                <w:lang w:val="fr-CA"/>
              </w:rPr>
              <w:t>Types d’exception :</w:t>
            </w:r>
            <w:r w:rsidRPr="00F52884">
              <w:rPr>
                <w:rFonts w:cstheme="minorHAnsi"/>
                <w:sz w:val="23"/>
                <w:szCs w:val="23"/>
                <w:lang w:val="fr-CA"/>
              </w:rPr>
              <w:t xml:space="preserve"> </w:t>
            </w:r>
          </w:p>
        </w:tc>
        <w:tc>
          <w:tcPr>
            <w:tcW w:w="7872" w:type="dxa"/>
            <w:gridSpan w:val="2"/>
            <w:tcBorders>
              <w:top w:val="single" w:sz="4" w:space="0" w:color="C0C0C0"/>
              <w:left w:val="nil"/>
              <w:bottom w:val="single" w:sz="4" w:space="0" w:color="C0C0C0"/>
            </w:tcBorders>
          </w:tcPr>
          <w:p w14:paraId="68A5F87B" w14:textId="7D9BACA6" w:rsidR="007824FC" w:rsidRPr="00F52884" w:rsidRDefault="007824FC" w:rsidP="007824FC">
            <w:pPr>
              <w:pStyle w:val="NoSpacing"/>
              <w:spacing w:before="60" w:after="60"/>
              <w:rPr>
                <w:rFonts w:cstheme="minorHAnsi"/>
                <w:sz w:val="23"/>
                <w:szCs w:val="23"/>
                <w:lang w:val="fr-CA"/>
              </w:rPr>
            </w:pPr>
            <w:r w:rsidRPr="00F52884">
              <w:rPr>
                <w:rFonts w:cstheme="minorHAnsi"/>
                <w:sz w:val="23"/>
                <w:szCs w:val="23"/>
                <w:lang w:val="fr-CA"/>
              </w:rPr>
              <w:t>Article 307 (</w:t>
            </w:r>
            <w:r w:rsidRPr="00F52884">
              <w:rPr>
                <w:rFonts w:eastAsia="Times New Roman" w:cstheme="minorHAnsi"/>
                <w:sz w:val="23"/>
                <w:szCs w:val="23"/>
                <w:lang w:val="fr-CA" w:bidi="en-US"/>
              </w:rPr>
              <w:t>Accès aux marchés – Services</w:t>
            </w:r>
            <w:r w:rsidRPr="00F52884">
              <w:rPr>
                <w:rFonts w:cstheme="minorHAnsi"/>
                <w:sz w:val="23"/>
                <w:szCs w:val="23"/>
                <w:lang w:val="fr-CA"/>
              </w:rPr>
              <w:t>), article 312 (</w:t>
            </w:r>
            <w:r w:rsidRPr="00F52884">
              <w:rPr>
                <w:rFonts w:eastAsia="Times New Roman" w:cstheme="minorHAnsi"/>
                <w:sz w:val="23"/>
                <w:szCs w:val="23"/>
                <w:lang w:val="fr-CA" w:bidi="en-US"/>
              </w:rPr>
              <w:t>Accès aux marchés – Investissement</w:t>
            </w:r>
            <w:r w:rsidRPr="00F52884">
              <w:rPr>
                <w:rFonts w:cstheme="minorHAnsi"/>
                <w:sz w:val="23"/>
                <w:szCs w:val="23"/>
                <w:lang w:val="fr-CA"/>
              </w:rPr>
              <w:t>)</w:t>
            </w:r>
          </w:p>
        </w:tc>
      </w:tr>
      <w:tr w:rsidR="00B8348C" w:rsidRPr="00F52884" w14:paraId="4F392369"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8C3163E" w14:textId="77777777" w:rsidR="00B8348C" w:rsidRPr="00F52884" w:rsidRDefault="00B8348C" w:rsidP="007824FC">
            <w:pPr>
              <w:pStyle w:val="NoSpacing"/>
              <w:spacing w:before="60" w:after="60"/>
              <w:rPr>
                <w:rFonts w:cstheme="minorHAnsi"/>
                <w:b/>
                <w:sz w:val="23"/>
                <w:szCs w:val="23"/>
                <w:lang w:eastAsia="fr-CA"/>
              </w:rPr>
            </w:pPr>
            <w:r w:rsidRPr="00F52884">
              <w:rPr>
                <w:rFonts w:cstheme="minorHAnsi"/>
                <w:b/>
                <w:bCs/>
                <w:sz w:val="23"/>
                <w:szCs w:val="23"/>
                <w:lang w:val="fr-CA"/>
              </w:rPr>
              <w:t xml:space="preserve">Description : </w:t>
            </w:r>
          </w:p>
        </w:tc>
      </w:tr>
      <w:tr w:rsidR="00B8348C" w:rsidRPr="0068240F" w14:paraId="344BFB5D" w14:textId="77777777" w:rsidTr="007824FC">
        <w:trPr>
          <w:trHeight w:val="120"/>
          <w:jc w:val="center"/>
        </w:trPr>
        <w:tc>
          <w:tcPr>
            <w:tcW w:w="10212" w:type="dxa"/>
            <w:gridSpan w:val="3"/>
            <w:tcBorders>
              <w:top w:val="single" w:sz="4" w:space="0" w:color="C0C0C0"/>
              <w:left w:val="single" w:sz="4" w:space="0" w:color="C0C0C0"/>
              <w:bottom w:val="single" w:sz="4" w:space="0" w:color="C0C0C0"/>
              <w:right w:val="single" w:sz="4" w:space="0" w:color="C0C0C0"/>
            </w:tcBorders>
          </w:tcPr>
          <w:p w14:paraId="5E1059A5" w14:textId="77777777" w:rsidR="00B8348C" w:rsidRPr="00F52884" w:rsidRDefault="00B8348C" w:rsidP="007824FC">
            <w:pPr>
              <w:pStyle w:val="NoSpacing"/>
              <w:spacing w:before="60" w:after="60"/>
              <w:rPr>
                <w:rFonts w:eastAsia="Times New Roman" w:cstheme="minorHAnsi"/>
                <w:bCs/>
                <w:sz w:val="23"/>
                <w:szCs w:val="23"/>
                <w:lang w:val="fr-CA" w:eastAsia="en-CA" w:bidi="en-US"/>
              </w:rPr>
            </w:pPr>
            <w:r w:rsidRPr="00F52884">
              <w:rPr>
                <w:rFonts w:eastAsia="Times New Roman" w:cstheme="minorHAnsi"/>
                <w:bCs/>
                <w:sz w:val="23"/>
                <w:szCs w:val="23"/>
                <w:lang w:val="fr-CA" w:eastAsia="en-CA" w:bidi="en-US"/>
              </w:rPr>
              <w:t>Le gouvernement de la Nouvelle-Écosse se réserve le droit d’adopter ou de maintenir des mesures limitant l’accès aux marchés dans les sous-secteurs susmentionnés.</w:t>
            </w:r>
          </w:p>
        </w:tc>
      </w:tr>
      <w:tr w:rsidR="00B8348C" w:rsidRPr="00F52884" w14:paraId="59B88ECA"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1F6F241" w14:textId="583B5649" w:rsidR="00B8348C" w:rsidRPr="00F52884" w:rsidRDefault="00B8348C" w:rsidP="007824FC">
            <w:pPr>
              <w:pStyle w:val="NoSpacing"/>
              <w:spacing w:before="60" w:after="60"/>
              <w:rPr>
                <w:rFonts w:cstheme="minorHAnsi"/>
                <w:b/>
                <w:caps/>
                <w:sz w:val="23"/>
                <w:szCs w:val="23"/>
                <w:lang w:val="fr-CA" w:eastAsia="fr-CA"/>
              </w:rPr>
            </w:pPr>
            <w:r w:rsidRPr="00F52884">
              <w:rPr>
                <w:rFonts w:cstheme="minorHAnsi"/>
                <w:b/>
                <w:sz w:val="23"/>
                <w:szCs w:val="23"/>
                <w:lang w:val="fr-CA" w:eastAsia="fr-CA"/>
              </w:rPr>
              <w:t>Mesures existantes :</w:t>
            </w:r>
            <w:r w:rsidRPr="00F52884">
              <w:rPr>
                <w:rFonts w:cstheme="minorHAnsi"/>
                <w:b/>
                <w:caps/>
                <w:sz w:val="23"/>
                <w:szCs w:val="23"/>
                <w:lang w:val="fr-CA" w:eastAsia="fr-CA"/>
              </w:rPr>
              <w:t xml:space="preserve"> </w:t>
            </w:r>
          </w:p>
        </w:tc>
      </w:tr>
      <w:tr w:rsidR="00B8348C" w:rsidRPr="00F52884" w14:paraId="05C6757E"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auto"/>
          </w:tcPr>
          <w:p w14:paraId="184AB9CC" w14:textId="77777777" w:rsidR="00B8348C" w:rsidRPr="00F52884" w:rsidRDefault="00B8348C" w:rsidP="007824FC">
            <w:pPr>
              <w:pStyle w:val="NoSpacing"/>
              <w:spacing w:before="60" w:after="60"/>
              <w:rPr>
                <w:rFonts w:cstheme="minorHAnsi"/>
                <w:sz w:val="23"/>
                <w:szCs w:val="23"/>
                <w:lang w:val="fr-CA" w:eastAsia="fr-CA"/>
              </w:rPr>
            </w:pPr>
          </w:p>
        </w:tc>
      </w:tr>
    </w:tbl>
    <w:p w14:paraId="299626F6" w14:textId="53287E79" w:rsidR="00B8348C" w:rsidRPr="00F52884" w:rsidRDefault="00B8348C" w:rsidP="00C17162">
      <w:pPr>
        <w:rPr>
          <w:rFonts w:eastAsia="Times New Roman" w:cstheme="minorHAnsi"/>
          <w:b/>
          <w:bCs/>
          <w:szCs w:val="23"/>
          <w:lang w:val="fr-CA" w:eastAsia="en-CA"/>
        </w:rPr>
      </w:pPr>
    </w:p>
    <w:p w14:paraId="5388C05F" w14:textId="77777777" w:rsidR="007824FC" w:rsidRPr="00F52884" w:rsidRDefault="007824FC" w:rsidP="00C17162">
      <w:pPr>
        <w:rPr>
          <w:rFonts w:eastAsia="Times New Roman" w:cstheme="minorHAnsi"/>
          <w:b/>
          <w:bCs/>
          <w:szCs w:val="23"/>
          <w:lang w:val="fr-CA" w:eastAsia="en-CA"/>
        </w:rPr>
      </w:pPr>
    </w:p>
    <w:p w14:paraId="00616A16" w14:textId="048CD321" w:rsidR="00B8348C" w:rsidRPr="00F52884" w:rsidRDefault="00B8348C" w:rsidP="007824FC">
      <w:pPr>
        <w:spacing w:before="60" w:after="60"/>
        <w:ind w:left="-360"/>
        <w:rPr>
          <w:rFonts w:eastAsia="Times New Roman" w:cstheme="minorHAnsi"/>
          <w:b/>
          <w:bCs/>
          <w:szCs w:val="23"/>
          <w:lang w:eastAsia="en-CA"/>
        </w:rPr>
      </w:pPr>
      <w:r w:rsidRPr="00F52884">
        <w:rPr>
          <w:rFonts w:eastAsia="Times New Roman" w:cstheme="minorHAnsi"/>
          <w:b/>
          <w:bCs/>
          <w:szCs w:val="23"/>
          <w:lang w:val="fr-CA" w:eastAsia="en-CA"/>
        </w:rPr>
        <w:t>5.</w:t>
      </w:r>
      <w:r w:rsidRPr="00F52884">
        <w:rPr>
          <w:rFonts w:cstheme="minorHAnsi"/>
          <w:b/>
          <w:bCs/>
          <w:szCs w:val="23"/>
          <w:lang w:val="fr-CA"/>
        </w:rPr>
        <w:t xml:space="preserve"> </w:t>
      </w:r>
      <w:r w:rsidR="007824FC" w:rsidRPr="00F52884">
        <w:rPr>
          <w:rFonts w:cstheme="minorHAnsi"/>
          <w:b/>
          <w:bCs/>
          <w:szCs w:val="23"/>
          <w:lang w:val="fr-CA"/>
        </w:rPr>
        <w:t xml:space="preserve"> </w:t>
      </w:r>
      <w:r w:rsidRPr="00F52884">
        <w:rPr>
          <w:rFonts w:cstheme="minorHAnsi"/>
          <w:b/>
          <w:bCs/>
          <w:szCs w:val="23"/>
          <w:lang w:val="fr-CA"/>
        </w:rPr>
        <w:t>NOUVELLE-ÉCOSSE</w:t>
      </w:r>
    </w:p>
    <w:tbl>
      <w:tblPr>
        <w:tblW w:w="10212" w:type="dxa"/>
        <w:jc w:val="center"/>
        <w:tblCellMar>
          <w:top w:w="14" w:type="dxa"/>
          <w:left w:w="86" w:type="dxa"/>
          <w:bottom w:w="14" w:type="dxa"/>
          <w:right w:w="86" w:type="dxa"/>
        </w:tblCellMar>
        <w:tblLook w:val="0000" w:firstRow="0" w:lastRow="0" w:firstColumn="0" w:lastColumn="0" w:noHBand="0" w:noVBand="0"/>
      </w:tblPr>
      <w:tblGrid>
        <w:gridCol w:w="2340"/>
        <w:gridCol w:w="7447"/>
        <w:gridCol w:w="425"/>
      </w:tblGrid>
      <w:tr w:rsidR="007824FC" w:rsidRPr="00F52884" w14:paraId="1DB78812"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07061BF3" w14:textId="77777777" w:rsidR="007824FC" w:rsidRPr="00F52884" w:rsidRDefault="007824FC" w:rsidP="007824FC">
            <w:pPr>
              <w:pStyle w:val="NoSpacing"/>
              <w:spacing w:before="60" w:after="60"/>
              <w:rPr>
                <w:rFonts w:cstheme="minorHAnsi"/>
                <w:sz w:val="23"/>
                <w:szCs w:val="23"/>
              </w:rPr>
            </w:pPr>
            <w:r w:rsidRPr="00F52884">
              <w:rPr>
                <w:rFonts w:eastAsia="Times New Roman" w:cstheme="minorHAnsi"/>
                <w:b/>
                <w:bCs/>
                <w:sz w:val="23"/>
                <w:szCs w:val="23"/>
                <w:lang w:val="fr-CA"/>
              </w:rPr>
              <w:t>Secteur :</w:t>
            </w:r>
            <w:r w:rsidRPr="00F52884">
              <w:rPr>
                <w:rFonts w:eastAsia="Times New Roman" w:cstheme="minorHAnsi"/>
                <w:sz w:val="23"/>
                <w:szCs w:val="23"/>
                <w:lang w:val="fr-CA"/>
              </w:rPr>
              <w:t xml:space="preserve"> </w:t>
            </w:r>
          </w:p>
        </w:tc>
        <w:tc>
          <w:tcPr>
            <w:tcW w:w="7872" w:type="dxa"/>
            <w:gridSpan w:val="2"/>
            <w:tcBorders>
              <w:top w:val="single" w:sz="4" w:space="0" w:color="C0C0C0"/>
              <w:left w:val="nil"/>
              <w:bottom w:val="single" w:sz="4" w:space="0" w:color="C0C0C0"/>
              <w:right w:val="single" w:sz="4" w:space="0" w:color="FFFFFF"/>
            </w:tcBorders>
            <w:vAlign w:val="center"/>
          </w:tcPr>
          <w:p w14:paraId="342F82BE" w14:textId="2EE5D5DA" w:rsidR="007824FC" w:rsidRPr="00F52884" w:rsidRDefault="007824FC" w:rsidP="007824FC">
            <w:pPr>
              <w:pStyle w:val="NoSpacing"/>
              <w:spacing w:before="60" w:after="60"/>
              <w:rPr>
                <w:rFonts w:cstheme="minorHAnsi"/>
                <w:sz w:val="23"/>
                <w:szCs w:val="23"/>
              </w:rPr>
            </w:pPr>
            <w:r w:rsidRPr="00F52884">
              <w:rPr>
                <w:rFonts w:eastAsia="Times New Roman" w:cstheme="minorHAnsi"/>
                <w:sz w:val="23"/>
                <w:szCs w:val="23"/>
                <w:lang w:val="fr-CA"/>
              </w:rPr>
              <w:t>Boissons alcoolisées</w:t>
            </w:r>
          </w:p>
        </w:tc>
      </w:tr>
      <w:tr w:rsidR="007824FC" w:rsidRPr="0068240F" w14:paraId="0861BD90" w14:textId="77777777" w:rsidTr="007824FC">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2B43ED24" w14:textId="7777777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b/>
                <w:bCs/>
                <w:sz w:val="23"/>
                <w:szCs w:val="23"/>
                <w:lang w:val="fr-CA"/>
              </w:rPr>
              <w:lastRenderedPageBreak/>
              <w:t xml:space="preserve">Sous-secteur : </w:t>
            </w:r>
          </w:p>
        </w:tc>
        <w:tc>
          <w:tcPr>
            <w:tcW w:w="7872" w:type="dxa"/>
            <w:gridSpan w:val="2"/>
            <w:tcBorders>
              <w:top w:val="single" w:sz="4" w:space="0" w:color="C0C0C0"/>
              <w:left w:val="nil"/>
              <w:bottom w:val="single" w:sz="4" w:space="0" w:color="C0C0C0"/>
              <w:right w:val="single" w:sz="4" w:space="0" w:color="FFFFFF"/>
            </w:tcBorders>
            <w:vAlign w:val="center"/>
          </w:tcPr>
          <w:p w14:paraId="24EBE29F" w14:textId="51814417" w:rsidR="007824FC" w:rsidRPr="00F52884" w:rsidRDefault="007824FC" w:rsidP="007824FC">
            <w:pPr>
              <w:pStyle w:val="NoSpacing"/>
              <w:spacing w:before="60" w:after="60"/>
              <w:rPr>
                <w:rFonts w:cstheme="minorHAnsi"/>
                <w:sz w:val="23"/>
                <w:szCs w:val="23"/>
                <w:lang w:val="fr-CA"/>
              </w:rPr>
            </w:pPr>
            <w:r w:rsidRPr="00F52884">
              <w:rPr>
                <w:rFonts w:eastAsia="Times New Roman" w:cstheme="minorHAnsi"/>
                <w:sz w:val="23"/>
                <w:szCs w:val="23"/>
                <w:lang w:val="fr-CA"/>
              </w:rPr>
              <w:t>Services de courtage; services de commerce de gros; services de commerce de détail (liqueur, spiritueux, vin, bière et autres boissons alcoolisées, magasins de spiritueux, de vin, de bière et d’autres boissons alcoolisées); fabrication, production; traitement de boissons alcoolisées</w:t>
            </w:r>
          </w:p>
        </w:tc>
      </w:tr>
      <w:tr w:rsidR="007824FC" w:rsidRPr="00F52884" w14:paraId="50018970" w14:textId="77777777" w:rsidTr="007824FC">
        <w:trPr>
          <w:gridAfter w:val="1"/>
          <w:wAfter w:w="425"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292D6DC3" w14:textId="77777777" w:rsidR="007824FC" w:rsidRPr="00F52884" w:rsidRDefault="007824FC" w:rsidP="007824FC">
            <w:pPr>
              <w:pStyle w:val="NoSpacing"/>
              <w:spacing w:before="60" w:after="60"/>
              <w:rPr>
                <w:rFonts w:cstheme="minorHAnsi"/>
                <w:sz w:val="23"/>
                <w:szCs w:val="23"/>
              </w:rPr>
            </w:pPr>
            <w:r w:rsidRPr="00F52884">
              <w:rPr>
                <w:rFonts w:cstheme="minorHAnsi"/>
                <w:b/>
                <w:bCs/>
                <w:sz w:val="23"/>
                <w:szCs w:val="23"/>
                <w:lang w:val="fr-CA"/>
              </w:rPr>
              <w:t xml:space="preserve">Classification de l’industrie : </w:t>
            </w:r>
          </w:p>
        </w:tc>
        <w:tc>
          <w:tcPr>
            <w:tcW w:w="7447" w:type="dxa"/>
            <w:tcBorders>
              <w:top w:val="single" w:sz="4" w:space="0" w:color="C0C0C0"/>
              <w:left w:val="nil"/>
              <w:bottom w:val="single" w:sz="4" w:space="0" w:color="C0C0C0"/>
              <w:right w:val="single" w:sz="4" w:space="0" w:color="FFFFFF"/>
            </w:tcBorders>
            <w:vAlign w:val="center"/>
          </w:tcPr>
          <w:p w14:paraId="28B201F3" w14:textId="776A23A1" w:rsidR="007824FC" w:rsidRPr="00F52884" w:rsidRDefault="007824FC" w:rsidP="007824FC">
            <w:pPr>
              <w:pStyle w:val="NoSpacing"/>
              <w:spacing w:before="60" w:after="60"/>
              <w:rPr>
                <w:rFonts w:cstheme="minorHAnsi"/>
                <w:sz w:val="23"/>
                <w:szCs w:val="23"/>
              </w:rPr>
            </w:pPr>
            <w:r w:rsidRPr="00F52884">
              <w:rPr>
                <w:rFonts w:cstheme="minorHAnsi"/>
                <w:sz w:val="23"/>
                <w:szCs w:val="23"/>
                <w:lang w:val="fr-CA"/>
              </w:rPr>
              <w:t xml:space="preserve">CPC 24, </w:t>
            </w:r>
            <w:r w:rsidR="008E37AE" w:rsidRPr="00F52884">
              <w:rPr>
                <w:rFonts w:cstheme="minorHAnsi"/>
                <w:sz w:val="23"/>
                <w:szCs w:val="23"/>
                <w:lang w:val="fr-CA"/>
              </w:rPr>
              <w:t>62112</w:t>
            </w:r>
            <w:r w:rsidR="00CC6E82" w:rsidRPr="00F52884">
              <w:rPr>
                <w:rFonts w:cstheme="minorHAnsi"/>
                <w:sz w:val="23"/>
                <w:szCs w:val="23"/>
                <w:lang w:val="fr-CA"/>
              </w:rPr>
              <w:t>, 62226, 63107</w:t>
            </w:r>
          </w:p>
        </w:tc>
      </w:tr>
      <w:tr w:rsidR="007824FC" w:rsidRPr="0068240F" w14:paraId="07867DFC" w14:textId="77777777" w:rsidTr="007824FC">
        <w:trPr>
          <w:trHeight w:val="42"/>
          <w:jc w:val="center"/>
        </w:trPr>
        <w:tc>
          <w:tcPr>
            <w:tcW w:w="2340" w:type="dxa"/>
            <w:tcBorders>
              <w:top w:val="single" w:sz="4" w:space="0" w:color="C0C0C0"/>
              <w:left w:val="nil"/>
              <w:bottom w:val="single" w:sz="4" w:space="0" w:color="C0C0C0"/>
            </w:tcBorders>
          </w:tcPr>
          <w:p w14:paraId="70FFB550" w14:textId="77777777" w:rsidR="007824FC" w:rsidRPr="00F52884" w:rsidRDefault="007824FC" w:rsidP="007824FC">
            <w:pPr>
              <w:pStyle w:val="NoSpacing"/>
              <w:spacing w:before="60" w:after="60"/>
              <w:rPr>
                <w:rFonts w:cstheme="minorHAnsi"/>
                <w:sz w:val="23"/>
                <w:szCs w:val="23"/>
                <w:lang w:val="fr-CA"/>
              </w:rPr>
            </w:pPr>
            <w:r w:rsidRPr="00F52884">
              <w:rPr>
                <w:rFonts w:cstheme="minorHAnsi"/>
                <w:b/>
                <w:bCs/>
                <w:sz w:val="23"/>
                <w:szCs w:val="23"/>
                <w:lang w:val="fr-CA"/>
              </w:rPr>
              <w:t>Types d’exception :</w:t>
            </w:r>
            <w:r w:rsidRPr="00F52884">
              <w:rPr>
                <w:rFonts w:cstheme="minorHAnsi"/>
                <w:sz w:val="23"/>
                <w:szCs w:val="23"/>
                <w:lang w:val="fr-CA"/>
              </w:rPr>
              <w:t xml:space="preserve"> </w:t>
            </w:r>
          </w:p>
        </w:tc>
        <w:tc>
          <w:tcPr>
            <w:tcW w:w="7872" w:type="dxa"/>
            <w:gridSpan w:val="2"/>
            <w:tcBorders>
              <w:top w:val="single" w:sz="4" w:space="0" w:color="C0C0C0"/>
              <w:left w:val="nil"/>
              <w:bottom w:val="single" w:sz="4" w:space="0" w:color="C0C0C0"/>
            </w:tcBorders>
          </w:tcPr>
          <w:p w14:paraId="6602766F" w14:textId="32878031" w:rsidR="007824FC" w:rsidRPr="00F52884" w:rsidRDefault="007824FC" w:rsidP="007824FC">
            <w:pPr>
              <w:pStyle w:val="NoSpacing"/>
              <w:spacing w:before="60" w:after="60"/>
              <w:rPr>
                <w:rFonts w:cstheme="minorHAnsi"/>
                <w:sz w:val="23"/>
                <w:szCs w:val="23"/>
                <w:lang w:val="fr-CA"/>
              </w:rPr>
            </w:pPr>
            <w:r w:rsidRPr="00F52884">
              <w:rPr>
                <w:rFonts w:cstheme="minorHAnsi"/>
                <w:sz w:val="23"/>
                <w:szCs w:val="23"/>
                <w:lang w:val="fr-CA"/>
              </w:rPr>
              <w:t>Article 307 (</w:t>
            </w:r>
            <w:r w:rsidRPr="00F52884">
              <w:rPr>
                <w:rFonts w:eastAsia="Times New Roman" w:cstheme="minorHAnsi"/>
                <w:sz w:val="23"/>
                <w:szCs w:val="23"/>
                <w:lang w:val="fr-CA" w:bidi="en-US"/>
              </w:rPr>
              <w:t>Accès aux marchés – Services</w:t>
            </w:r>
            <w:r w:rsidRPr="00F52884">
              <w:rPr>
                <w:rFonts w:cstheme="minorHAnsi"/>
                <w:sz w:val="23"/>
                <w:szCs w:val="23"/>
                <w:lang w:val="fr-CA"/>
              </w:rPr>
              <w:t>), article 312 (</w:t>
            </w:r>
            <w:r w:rsidRPr="00F52884">
              <w:rPr>
                <w:rFonts w:eastAsia="Times New Roman" w:cstheme="minorHAnsi"/>
                <w:sz w:val="23"/>
                <w:szCs w:val="23"/>
                <w:lang w:val="fr-CA" w:bidi="en-US"/>
              </w:rPr>
              <w:t>Accès aux marchés – Investissement</w:t>
            </w:r>
            <w:r w:rsidRPr="00F52884">
              <w:rPr>
                <w:rFonts w:cstheme="minorHAnsi"/>
                <w:sz w:val="23"/>
                <w:szCs w:val="23"/>
                <w:lang w:val="fr-CA"/>
              </w:rPr>
              <w:t>)</w:t>
            </w:r>
          </w:p>
        </w:tc>
      </w:tr>
      <w:tr w:rsidR="00B8348C" w:rsidRPr="00F52884" w14:paraId="6DB21196"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D9BD11D" w14:textId="77777777" w:rsidR="00B8348C" w:rsidRPr="00F52884" w:rsidRDefault="00B8348C" w:rsidP="007824FC">
            <w:pPr>
              <w:pStyle w:val="NoSpacing"/>
              <w:spacing w:before="60" w:after="60"/>
              <w:rPr>
                <w:rFonts w:cstheme="minorHAnsi"/>
                <w:b/>
                <w:sz w:val="23"/>
                <w:szCs w:val="23"/>
                <w:lang w:eastAsia="fr-CA"/>
              </w:rPr>
            </w:pPr>
            <w:r w:rsidRPr="00F52884">
              <w:rPr>
                <w:rFonts w:cstheme="minorHAnsi"/>
                <w:b/>
                <w:bCs/>
                <w:sz w:val="23"/>
                <w:szCs w:val="23"/>
                <w:lang w:val="fr-CA"/>
              </w:rPr>
              <w:t xml:space="preserve">Description : </w:t>
            </w:r>
          </w:p>
        </w:tc>
      </w:tr>
      <w:tr w:rsidR="00B8348C" w:rsidRPr="0068240F" w14:paraId="7DDCF383" w14:textId="77777777" w:rsidTr="007824FC">
        <w:trPr>
          <w:trHeight w:val="120"/>
          <w:jc w:val="center"/>
        </w:trPr>
        <w:tc>
          <w:tcPr>
            <w:tcW w:w="10212" w:type="dxa"/>
            <w:gridSpan w:val="3"/>
            <w:tcBorders>
              <w:top w:val="single" w:sz="4" w:space="0" w:color="C0C0C0"/>
              <w:left w:val="single" w:sz="4" w:space="0" w:color="C0C0C0"/>
              <w:bottom w:val="single" w:sz="4" w:space="0" w:color="C0C0C0"/>
              <w:right w:val="single" w:sz="4" w:space="0" w:color="C0C0C0"/>
            </w:tcBorders>
          </w:tcPr>
          <w:p w14:paraId="63598F57" w14:textId="77777777" w:rsidR="00B8348C" w:rsidRPr="00F52884" w:rsidRDefault="00B8348C" w:rsidP="007824FC">
            <w:pPr>
              <w:pStyle w:val="NoSpacing"/>
              <w:spacing w:before="60" w:after="60"/>
              <w:rPr>
                <w:rFonts w:eastAsia="Times New Roman" w:cstheme="minorHAnsi"/>
                <w:bCs/>
                <w:sz w:val="23"/>
                <w:szCs w:val="23"/>
                <w:lang w:val="fr-CA" w:eastAsia="en-CA" w:bidi="en-US"/>
              </w:rPr>
            </w:pPr>
            <w:r w:rsidRPr="00F52884">
              <w:rPr>
                <w:rFonts w:eastAsia="Times New Roman" w:cstheme="minorHAnsi"/>
                <w:bCs/>
                <w:sz w:val="23"/>
                <w:szCs w:val="23"/>
                <w:lang w:val="fr-CA" w:eastAsia="en-CA" w:bidi="en-US"/>
              </w:rPr>
              <w:t>Le gouvernement de la Nouvelle-Écosse se réserve le droit d’adopter ou de maintenir des mesures limitant l’accès aux marchés dans les sous-secteurs susmentionnés.</w:t>
            </w:r>
          </w:p>
        </w:tc>
      </w:tr>
      <w:tr w:rsidR="00B8348C" w:rsidRPr="00F52884" w14:paraId="0E51941D" w14:textId="77777777" w:rsidTr="007824FC">
        <w:trPr>
          <w:trHeight w:val="42"/>
          <w:jc w:val="center"/>
        </w:trPr>
        <w:tc>
          <w:tcPr>
            <w:tcW w:w="10212"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076F2E9" w14:textId="134DA6C7" w:rsidR="00B8348C" w:rsidRPr="00F52884" w:rsidRDefault="00B8348C" w:rsidP="007824FC">
            <w:pPr>
              <w:pStyle w:val="NoSpacing"/>
              <w:spacing w:before="60" w:after="60"/>
              <w:rPr>
                <w:rFonts w:cstheme="minorHAnsi"/>
                <w:b/>
                <w:caps/>
                <w:sz w:val="23"/>
                <w:szCs w:val="23"/>
                <w:lang w:val="fr-CA" w:eastAsia="fr-CA"/>
              </w:rPr>
            </w:pPr>
            <w:r w:rsidRPr="00F52884">
              <w:rPr>
                <w:rFonts w:cstheme="minorHAnsi"/>
                <w:b/>
                <w:bCs/>
                <w:sz w:val="23"/>
                <w:szCs w:val="23"/>
                <w:lang w:val="fr-CA" w:eastAsia="fr-CA"/>
              </w:rPr>
              <w:t>Mesures existantes :</w:t>
            </w:r>
            <w:r w:rsidRPr="00F52884">
              <w:rPr>
                <w:rFonts w:cstheme="minorHAnsi"/>
                <w:b/>
                <w:bCs/>
                <w:caps/>
                <w:sz w:val="23"/>
                <w:szCs w:val="23"/>
                <w:lang w:val="fr-CA" w:eastAsia="fr-CA"/>
              </w:rPr>
              <w:t xml:space="preserve"> </w:t>
            </w:r>
          </w:p>
        </w:tc>
      </w:tr>
    </w:tbl>
    <w:p w14:paraId="6AABCA3D" w14:textId="77777777" w:rsidR="00B8348C" w:rsidRDefault="00B8348C">
      <w:pPr>
        <w:rPr>
          <w:rFonts w:eastAsia="Times New Roman" w:cstheme="minorHAnsi"/>
          <w:b/>
          <w:szCs w:val="23"/>
          <w:lang w:val="fr-CA"/>
        </w:rPr>
      </w:pPr>
    </w:p>
    <w:p w14:paraId="2DE249D6" w14:textId="77777777" w:rsidR="00EA3915" w:rsidRDefault="00EA3915">
      <w:pPr>
        <w:rPr>
          <w:rFonts w:eastAsia="Times New Roman" w:cstheme="minorHAnsi"/>
          <w:b/>
          <w:szCs w:val="23"/>
          <w:lang w:val="fr-CA"/>
        </w:rPr>
      </w:pPr>
    </w:p>
    <w:p w14:paraId="08524895" w14:textId="77777777" w:rsidR="00EA3915" w:rsidRPr="00EA3915" w:rsidRDefault="00EA3915" w:rsidP="00EA391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EA3915">
        <w:rPr>
          <w:rFonts w:ascii="Arial" w:eastAsia="Times New Roman" w:hAnsi="Arial" w:cs="Arial"/>
          <w:b/>
          <w:bCs/>
          <w:caps/>
          <w:szCs w:val="23"/>
          <w:lang w:val="fr-CA"/>
        </w:rPr>
        <w:t xml:space="preserve">6. </w:t>
      </w:r>
      <w:r w:rsidRPr="00EA3915">
        <w:rPr>
          <w:rFonts w:ascii="Arial" w:eastAsia="Times New Roman" w:hAnsi="Arial" w:cs="Arial"/>
          <w:b/>
          <w:bCs/>
          <w:szCs w:val="23"/>
          <w:lang w:val="fr-CA"/>
        </w:rPr>
        <w:t>NOUVELLE-ÉCOSSE</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EA3915" w:rsidRPr="00EA3915" w14:paraId="328C51DA"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57B73599" w14:textId="77777777" w:rsidR="00EA3915" w:rsidRPr="00EA3915" w:rsidRDefault="00EA3915" w:rsidP="00EA3915">
            <w:pPr>
              <w:spacing w:before="60" w:after="60"/>
              <w:rPr>
                <w:rFonts w:ascii="Arial" w:eastAsia="Calibri" w:hAnsi="Arial" w:cs="Arial"/>
                <w:b/>
                <w:szCs w:val="24"/>
                <w:lang w:eastAsia="en-CA" w:bidi="en-US"/>
              </w:rPr>
            </w:pP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r w:rsidRPr="00EA3915">
              <w:rPr>
                <w:rFonts w:ascii="Arial" w:eastAsia="Calibri" w:hAnsi="Arial" w:cs="Arial"/>
                <w:b/>
                <w:szCs w:val="24"/>
                <w:lang w:eastAsia="en-CA" w:bidi="en-US"/>
              </w:rPr>
              <w:t xml:space="preserve"> </w:t>
            </w:r>
          </w:p>
          <w:p w14:paraId="2A9014A3" w14:textId="77777777" w:rsidR="00EA3915" w:rsidRPr="00EA3915" w:rsidRDefault="00EA3915" w:rsidP="00EA391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747473D3" w14:textId="77777777" w:rsidR="00EA3915" w:rsidRPr="00EA3915" w:rsidRDefault="00EA3915" w:rsidP="00EA3915">
            <w:pPr>
              <w:spacing w:before="60" w:after="60" w:line="42" w:lineRule="atLeast"/>
              <w:rPr>
                <w:rFonts w:ascii="Arial" w:eastAsia="Calibri" w:hAnsi="Arial" w:cs="Arial"/>
                <w:bCs/>
                <w:szCs w:val="24"/>
                <w:lang w:eastAsia="en-CA" w:bidi="en-US"/>
              </w:rPr>
            </w:pPr>
            <w:r w:rsidRPr="00EA3915">
              <w:rPr>
                <w:rFonts w:ascii="Arial" w:eastAsia="Calibri" w:hAnsi="Arial" w:cs="Arial"/>
                <w:bCs/>
                <w:szCs w:val="24"/>
                <w:lang w:eastAsia="en-CA" w:bidi="en-US"/>
              </w:rPr>
              <w:t>Cannabis</w:t>
            </w:r>
          </w:p>
        </w:tc>
      </w:tr>
      <w:tr w:rsidR="00EA3915" w:rsidRPr="0068240F" w14:paraId="290DF40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4C2CD6C3"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Sous-</w:t>
            </w:r>
            <w:proofErr w:type="spellStart"/>
            <w:proofErr w:type="gramStart"/>
            <w:r w:rsidRPr="00EA3915">
              <w:rPr>
                <w:rFonts w:ascii="Arial" w:eastAsia="Calibri" w:hAnsi="Arial" w:cs="Arial"/>
                <w:b/>
                <w:szCs w:val="24"/>
                <w:lang w:eastAsia="en-CA" w:bidi="en-US"/>
              </w:rPr>
              <w:t>secteur</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6F37C403"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Cannabis; Services auxiliaires à la production de plants de cannabis; Services de commerce de gros, y compris à forfait ou sous contrat;</w:t>
            </w:r>
          </w:p>
          <w:p w14:paraId="4967AABD" w14:textId="77777777" w:rsidR="00EA3915" w:rsidRPr="00EA3915" w:rsidRDefault="00EA3915" w:rsidP="00EA3915">
            <w:pPr>
              <w:rPr>
                <w:rFonts w:ascii="Arial" w:eastAsia="Calibri" w:hAnsi="Arial" w:cs="Arial"/>
                <w:bCs/>
                <w:szCs w:val="24"/>
                <w:lang w:val="fr-CA" w:eastAsia="en-CA" w:bidi="en-US"/>
              </w:rPr>
            </w:pPr>
            <w:r w:rsidRPr="00EA3915">
              <w:rPr>
                <w:rFonts w:ascii="Arial" w:eastAsia="Calibri" w:hAnsi="Arial" w:cs="Arial"/>
                <w:bCs/>
                <w:szCs w:val="24"/>
                <w:lang w:val="fr-CA" w:eastAsia="en-CA" w:bidi="en-US"/>
              </w:rPr>
              <w:t>Services de commerce de détail, y compris à forfait ou sous contrat; Tous les autres services relatifs au cannabis qui ne sont pas visés par B, C, D et E; Accessoires de cannabis</w:t>
            </w:r>
          </w:p>
        </w:tc>
      </w:tr>
      <w:tr w:rsidR="00EA3915" w:rsidRPr="00EA3915" w14:paraId="3A27C681"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17582C9B" w14:textId="77777777" w:rsidR="00EA3915" w:rsidRPr="00EA3915" w:rsidRDefault="00EA3915" w:rsidP="00EA3915">
            <w:pPr>
              <w:spacing w:before="60" w:after="60"/>
              <w:rPr>
                <w:rFonts w:ascii="Arial" w:eastAsia="Calibri" w:hAnsi="Arial" w:cs="Arial"/>
                <w:b/>
                <w:szCs w:val="24"/>
                <w:lang w:eastAsia="en-CA" w:bidi="en-US"/>
              </w:rPr>
            </w:pPr>
            <w:r w:rsidRPr="00EA3915">
              <w:rPr>
                <w:rFonts w:ascii="Arial" w:eastAsia="Calibri" w:hAnsi="Arial" w:cs="Arial"/>
                <w:b/>
                <w:szCs w:val="24"/>
                <w:lang w:eastAsia="en-CA" w:bidi="en-US"/>
              </w:rPr>
              <w:t xml:space="preserve">Classification de </w:t>
            </w:r>
            <w:proofErr w:type="spellStart"/>
            <w:proofErr w:type="gramStart"/>
            <w:r w:rsidRPr="00EA3915">
              <w:rPr>
                <w:rFonts w:ascii="Arial" w:eastAsia="Calibri" w:hAnsi="Arial" w:cs="Arial"/>
                <w:b/>
                <w:szCs w:val="24"/>
                <w:lang w:eastAsia="en-CA" w:bidi="en-US"/>
              </w:rPr>
              <w:t>l’industrie</w:t>
            </w:r>
            <w:proofErr w:type="spellEnd"/>
            <w:r w:rsidRPr="00EA391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2CB3EB49"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A, B, D, E, F, G</w:t>
            </w:r>
          </w:p>
        </w:tc>
        <w:tc>
          <w:tcPr>
            <w:tcW w:w="390" w:type="dxa"/>
            <w:tcBorders>
              <w:top w:val="nil"/>
              <w:left w:val="nil"/>
              <w:bottom w:val="single" w:sz="8" w:space="0" w:color="C0C0C0"/>
              <w:right w:val="nil"/>
            </w:tcBorders>
            <w:vAlign w:val="center"/>
            <w:hideMark/>
          </w:tcPr>
          <w:p w14:paraId="0D56131C" w14:textId="77777777" w:rsidR="00EA3915" w:rsidRPr="00EA3915" w:rsidRDefault="00EA3915" w:rsidP="00EA3915">
            <w:pPr>
              <w:rPr>
                <w:rFonts w:ascii="Arial" w:eastAsia="Calibri" w:hAnsi="Arial" w:cs="Arial"/>
                <w:bCs/>
                <w:szCs w:val="24"/>
                <w:lang w:eastAsia="en-CA" w:bidi="en-US"/>
              </w:rPr>
            </w:pPr>
            <w:r w:rsidRPr="00EA3915">
              <w:rPr>
                <w:rFonts w:ascii="Arial" w:eastAsia="Calibri" w:hAnsi="Arial" w:cs="Arial"/>
                <w:bCs/>
                <w:szCs w:val="24"/>
                <w:lang w:eastAsia="en-CA" w:bidi="en-US"/>
              </w:rPr>
              <w:t> </w:t>
            </w:r>
          </w:p>
        </w:tc>
      </w:tr>
      <w:tr w:rsidR="00EA3915" w:rsidRPr="0068240F" w14:paraId="7664301C"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22F71895" w14:textId="77777777" w:rsidR="00EA3915" w:rsidRPr="00EA3915" w:rsidRDefault="00EA3915" w:rsidP="00EA3915">
            <w:pPr>
              <w:spacing w:before="60" w:after="60"/>
              <w:rPr>
                <w:rFonts w:ascii="Arial" w:eastAsia="Calibri" w:hAnsi="Arial" w:cs="Arial"/>
                <w:b/>
                <w:szCs w:val="24"/>
                <w:lang w:eastAsia="en-CA"/>
              </w:rPr>
            </w:pPr>
            <w:r w:rsidRPr="00EA3915">
              <w:rPr>
                <w:rFonts w:ascii="Arial" w:eastAsia="Calibri" w:hAnsi="Arial" w:cs="Arial"/>
                <w:b/>
                <w:szCs w:val="24"/>
                <w:lang w:eastAsia="en-CA" w:bidi="en-US"/>
              </w:rPr>
              <w:t>Type</w:t>
            </w:r>
          </w:p>
          <w:p w14:paraId="7C76DE2C" w14:textId="77777777" w:rsidR="00EA3915" w:rsidRPr="00EA3915" w:rsidRDefault="00EA3915" w:rsidP="00EA3915">
            <w:pPr>
              <w:spacing w:before="60" w:after="60"/>
              <w:rPr>
                <w:rFonts w:ascii="Arial" w:eastAsia="Calibri" w:hAnsi="Arial" w:cs="Arial"/>
                <w:b/>
                <w:szCs w:val="24"/>
                <w:lang w:eastAsia="en-CA"/>
              </w:rPr>
            </w:pPr>
            <w:proofErr w:type="spellStart"/>
            <w:proofErr w:type="gramStart"/>
            <w:r w:rsidRPr="00EA3915">
              <w:rPr>
                <w:rFonts w:ascii="Arial" w:eastAsia="Calibri" w:hAnsi="Arial" w:cs="Arial"/>
                <w:b/>
                <w:szCs w:val="24"/>
                <w:lang w:eastAsia="en-CA" w:bidi="en-US"/>
              </w:rPr>
              <w:t>d’exception</w:t>
            </w:r>
            <w:proofErr w:type="spellEnd"/>
            <w:r w:rsidRPr="00EA391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77363A36"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Article 301 (Droit d’entrée et de sortie), article 302 (Obstacles techniques au commerce), article 307 (Accès aux marchés – Services), article 312 (Accès aux marchés – Investissements)</w:t>
            </w:r>
          </w:p>
        </w:tc>
      </w:tr>
      <w:tr w:rsidR="00EA3915" w:rsidRPr="00EA3915" w14:paraId="3A250B85"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7C96A42B" w14:textId="77777777" w:rsidR="00EA3915" w:rsidRPr="00EA3915" w:rsidRDefault="00EA3915" w:rsidP="00EA3915">
            <w:pPr>
              <w:spacing w:before="60" w:after="60"/>
              <w:rPr>
                <w:rFonts w:ascii="Arial" w:eastAsia="Calibri" w:hAnsi="Arial" w:cs="Arial"/>
                <w:b/>
                <w:szCs w:val="24"/>
                <w:lang w:eastAsia="en-CA" w:bidi="en-US"/>
              </w:rPr>
            </w:pPr>
            <w:proofErr w:type="gramStart"/>
            <w:r w:rsidRPr="00EA3915">
              <w:rPr>
                <w:rFonts w:ascii="Arial" w:eastAsia="Calibri" w:hAnsi="Arial" w:cs="Arial"/>
                <w:b/>
                <w:szCs w:val="24"/>
                <w:lang w:eastAsia="en-CA" w:bidi="en-US"/>
              </w:rPr>
              <w:t>Description :</w:t>
            </w:r>
            <w:proofErr w:type="gramEnd"/>
            <w:r w:rsidRPr="00EA3915">
              <w:rPr>
                <w:rFonts w:ascii="Arial" w:eastAsia="Calibri" w:hAnsi="Arial" w:cs="Arial"/>
                <w:b/>
                <w:szCs w:val="24"/>
                <w:lang w:eastAsia="en-CA" w:bidi="en-US"/>
              </w:rPr>
              <w:t xml:space="preserve"> </w:t>
            </w:r>
          </w:p>
        </w:tc>
      </w:tr>
      <w:tr w:rsidR="00EA3915" w:rsidRPr="0068240F" w14:paraId="7F4A6A05"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3A37B792"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Le gouvernement de la Nouvelle-Écosse se réserve le droit d’adopter ou de maintenir des mesures limitant l’accès aux marchés, des restrictions sur le droit d’entrée et de sortie des services, des investissements et des biens, ainsi que des mesures liées aux obstacles techniques au commerce concernant la circulation, l’achat, l’importation, la possession, la livraison, le transport et la vente de cannabis ou d’accessoires de cannabis, dans les sous-secteurs susmentionnés.</w:t>
            </w:r>
          </w:p>
          <w:p w14:paraId="068A361B"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Cs/>
                <w:szCs w:val="24"/>
                <w:lang w:val="fr-CA" w:eastAsia="en-CA" w:bidi="en-US"/>
              </w:rPr>
              <w:t>Le gouvernement de la Nouvelle-Écosse se réserve le droit d’adopter ou de maintenir toute mesure, à la condition que ces mesures ne soient pas appliquées de façon à constituer un moyen de discrimination arbitraire ou injustifiable.</w:t>
            </w:r>
          </w:p>
        </w:tc>
      </w:tr>
      <w:tr w:rsidR="00EA3915" w:rsidRPr="0068240F" w14:paraId="6F50019A"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64D23534" w14:textId="77777777" w:rsidR="00EA3915" w:rsidRPr="00EA3915" w:rsidRDefault="00EA3915" w:rsidP="00EA3915">
            <w:pPr>
              <w:spacing w:before="60" w:after="60"/>
              <w:rPr>
                <w:rFonts w:ascii="Arial" w:eastAsia="Calibri" w:hAnsi="Arial" w:cs="Arial"/>
                <w:bCs/>
                <w:szCs w:val="24"/>
                <w:lang w:val="fr-CA" w:eastAsia="en-CA" w:bidi="en-US"/>
              </w:rPr>
            </w:pPr>
            <w:r w:rsidRPr="00EA3915">
              <w:rPr>
                <w:rFonts w:ascii="Arial" w:eastAsia="Calibri" w:hAnsi="Arial" w:cs="Arial"/>
                <w:b/>
                <w:szCs w:val="24"/>
                <w:lang w:val="fr-CA" w:eastAsia="en-CA" w:bidi="en-US"/>
              </w:rPr>
              <w:t>Toute mesure existante :</w:t>
            </w:r>
            <w:r w:rsidRPr="00EA3915">
              <w:rPr>
                <w:rFonts w:ascii="Arial" w:eastAsia="Calibri" w:hAnsi="Arial" w:cs="Arial"/>
                <w:bCs/>
                <w:szCs w:val="24"/>
                <w:lang w:val="fr-CA" w:eastAsia="en-CA" w:bidi="en-US"/>
              </w:rPr>
              <w:t xml:space="preserve"> (À titre d’exemple seulement)</w:t>
            </w:r>
          </w:p>
        </w:tc>
      </w:tr>
      <w:tr w:rsidR="00EA3915" w:rsidRPr="0068240F" w14:paraId="0401DB2E"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6B5A587E" w14:textId="77777777" w:rsidR="00EA3915" w:rsidRPr="00EA3915" w:rsidRDefault="00EA3915" w:rsidP="00EA3915">
            <w:pPr>
              <w:spacing w:before="60" w:after="60"/>
              <w:rPr>
                <w:rFonts w:ascii="Arial" w:eastAsia="Calibri" w:hAnsi="Arial" w:cs="Arial"/>
                <w:bCs/>
                <w:szCs w:val="24"/>
                <w:lang w:val="fr-CA" w:eastAsia="en-CA" w:bidi="en-US"/>
              </w:rPr>
            </w:pPr>
          </w:p>
        </w:tc>
      </w:tr>
    </w:tbl>
    <w:p w14:paraId="1EA40543" w14:textId="77777777" w:rsidR="00EA3915" w:rsidRPr="00F52884" w:rsidRDefault="00EA3915">
      <w:pPr>
        <w:rPr>
          <w:rFonts w:eastAsia="Times New Roman" w:cstheme="minorHAnsi"/>
          <w:b/>
          <w:szCs w:val="23"/>
          <w:lang w:val="fr-CA"/>
        </w:rPr>
      </w:pPr>
    </w:p>
    <w:p w14:paraId="5B7A7EB8" w14:textId="77777777" w:rsidR="00B8348C" w:rsidRPr="00F52884" w:rsidRDefault="00B8348C">
      <w:pPr>
        <w:rPr>
          <w:rFonts w:eastAsia="Times New Roman" w:cstheme="minorHAnsi"/>
          <w:b/>
          <w:szCs w:val="23"/>
          <w:lang w:val="fr-CA"/>
        </w:rPr>
      </w:pPr>
      <w:r w:rsidRPr="00F52884">
        <w:rPr>
          <w:rFonts w:eastAsia="Times New Roman" w:cstheme="minorHAnsi"/>
          <w:b/>
          <w:bCs/>
          <w:szCs w:val="23"/>
          <w:lang w:val="fr-CA"/>
        </w:rPr>
        <w:br w:type="page"/>
      </w:r>
    </w:p>
    <w:p w14:paraId="055C3CA7" w14:textId="77777777" w:rsidR="00B8348C" w:rsidRPr="00F52884" w:rsidRDefault="00B8348C" w:rsidP="00F52884">
      <w:pPr>
        <w:pStyle w:val="Heading3"/>
        <w:jc w:val="center"/>
        <w:rPr>
          <w:rFonts w:asciiTheme="minorHAnsi" w:hAnsiTheme="minorHAnsi" w:cstheme="minorHAnsi"/>
          <w:sz w:val="23"/>
          <w:szCs w:val="23"/>
          <w:lang w:val="fr-CA"/>
        </w:rPr>
      </w:pPr>
      <w:bookmarkStart w:id="309" w:name="_Toc476566353"/>
      <w:bookmarkStart w:id="310" w:name="_Toc156311806"/>
      <w:r w:rsidRPr="00F52884">
        <w:rPr>
          <w:rFonts w:asciiTheme="minorHAnsi" w:hAnsiTheme="minorHAnsi" w:cstheme="minorHAnsi"/>
          <w:sz w:val="23"/>
          <w:szCs w:val="23"/>
          <w:lang w:val="fr-CA"/>
        </w:rPr>
        <w:lastRenderedPageBreak/>
        <w:t>Liste du Nouveau-Brunswick</w:t>
      </w:r>
      <w:bookmarkEnd w:id="309"/>
      <w:bookmarkEnd w:id="310"/>
    </w:p>
    <w:p w14:paraId="3E8F840C" w14:textId="77777777" w:rsidR="00B8348C" w:rsidRPr="00F52884" w:rsidRDefault="00B8348C" w:rsidP="000C25A3">
      <w:pPr>
        <w:rPr>
          <w:rFonts w:cstheme="minorHAnsi"/>
          <w:b/>
          <w:szCs w:val="23"/>
          <w:lang w:val="fr-CA"/>
        </w:rPr>
      </w:pPr>
    </w:p>
    <w:p w14:paraId="22C98EBD" w14:textId="77777777" w:rsidR="00B8348C" w:rsidRPr="00F52884" w:rsidRDefault="00B8348C" w:rsidP="000C25A3">
      <w:pPr>
        <w:jc w:val="center"/>
        <w:rPr>
          <w:rFonts w:cstheme="minorHAnsi"/>
          <w:b/>
          <w:szCs w:val="23"/>
          <w:lang w:val="fr-CA"/>
        </w:rPr>
      </w:pPr>
      <w:r w:rsidRPr="00F52884">
        <w:rPr>
          <w:rFonts w:cstheme="minorHAnsi"/>
          <w:b/>
          <w:bCs/>
          <w:szCs w:val="23"/>
          <w:lang w:val="fr-CA"/>
        </w:rPr>
        <w:t>Annexe II</w:t>
      </w:r>
    </w:p>
    <w:p w14:paraId="29759BFD" w14:textId="77777777" w:rsidR="00B8348C" w:rsidRPr="00F52884" w:rsidRDefault="00B8348C" w:rsidP="000C25A3">
      <w:pPr>
        <w:rPr>
          <w:rFonts w:cstheme="minorHAnsi"/>
          <w:b/>
          <w:szCs w:val="23"/>
          <w:lang w:val="fr-CA"/>
        </w:rPr>
      </w:pPr>
    </w:p>
    <w:p w14:paraId="1FEDFCA6" w14:textId="0CA23A90" w:rsidR="00B8348C" w:rsidRPr="00F52884" w:rsidRDefault="00B8348C" w:rsidP="000C25A3">
      <w:pPr>
        <w:spacing w:before="60" w:after="60"/>
        <w:ind w:left="-270"/>
        <w:rPr>
          <w:rFonts w:cstheme="minorHAnsi"/>
          <w:b/>
          <w:caps/>
          <w:szCs w:val="23"/>
        </w:rPr>
      </w:pPr>
      <w:r w:rsidRPr="00F52884">
        <w:rPr>
          <w:rFonts w:cstheme="minorHAnsi"/>
          <w:b/>
          <w:bCs/>
          <w:caps/>
          <w:szCs w:val="23"/>
          <w:lang w:val="fr-CA"/>
        </w:rPr>
        <w:t xml:space="preserve">1. </w:t>
      </w:r>
      <w:r w:rsidR="007824FC" w:rsidRPr="00F52884">
        <w:rPr>
          <w:rFonts w:cstheme="minorHAnsi"/>
          <w:b/>
          <w:bCs/>
          <w:caps/>
          <w:szCs w:val="23"/>
          <w:lang w:val="fr-CA"/>
        </w:rPr>
        <w:t xml:space="preserve"> </w:t>
      </w:r>
      <w:r w:rsidRPr="00F52884">
        <w:rPr>
          <w:rFonts w:cstheme="minorHAnsi"/>
          <w:b/>
          <w:bCs/>
          <w:caps/>
          <w:szCs w:val="23"/>
          <w:lang w:val="fr-CA"/>
        </w:rPr>
        <w:t>Nouveau-Brunswick</w:t>
      </w:r>
    </w:p>
    <w:tbl>
      <w:tblPr>
        <w:tblW w:w="10026" w:type="dxa"/>
        <w:jc w:val="center"/>
        <w:tblCellMar>
          <w:top w:w="14" w:type="dxa"/>
          <w:left w:w="86" w:type="dxa"/>
          <w:bottom w:w="14" w:type="dxa"/>
          <w:right w:w="86" w:type="dxa"/>
        </w:tblCellMar>
        <w:tblLook w:val="0000" w:firstRow="0" w:lastRow="0" w:firstColumn="0" w:lastColumn="0" w:noHBand="0" w:noVBand="0"/>
      </w:tblPr>
      <w:tblGrid>
        <w:gridCol w:w="2340"/>
        <w:gridCol w:w="7261"/>
        <w:gridCol w:w="425"/>
      </w:tblGrid>
      <w:tr w:rsidR="00B8348C" w:rsidRPr="00F52884" w14:paraId="1BC92D89"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08022794"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r w:rsidRPr="00F52884">
              <w:rPr>
                <w:rFonts w:cstheme="minorHAnsi"/>
                <w:szCs w:val="23"/>
                <w:lang w:val="fr-CA"/>
              </w:rPr>
              <w:t xml:space="preserve"> </w:t>
            </w:r>
          </w:p>
        </w:tc>
        <w:tc>
          <w:tcPr>
            <w:tcW w:w="7686" w:type="dxa"/>
            <w:gridSpan w:val="2"/>
            <w:tcBorders>
              <w:top w:val="single" w:sz="4" w:space="0" w:color="C0C0C0"/>
              <w:left w:val="single" w:sz="4" w:space="0" w:color="FFFFFF"/>
              <w:bottom w:val="single" w:sz="4" w:space="0" w:color="C0C0C0"/>
              <w:right w:val="nil"/>
            </w:tcBorders>
            <w:vAlign w:val="center"/>
          </w:tcPr>
          <w:p w14:paraId="55B4FFE1" w14:textId="77777777" w:rsidR="00B8348C" w:rsidRPr="00F52884" w:rsidRDefault="00B8348C" w:rsidP="000C25A3">
            <w:pPr>
              <w:spacing w:before="60" w:after="60"/>
              <w:rPr>
                <w:rFonts w:cstheme="minorHAnsi"/>
                <w:szCs w:val="23"/>
              </w:rPr>
            </w:pPr>
            <w:r w:rsidRPr="00F52884">
              <w:rPr>
                <w:rFonts w:cstheme="minorHAnsi"/>
                <w:szCs w:val="23"/>
                <w:lang w:val="fr-CA"/>
              </w:rPr>
              <w:t>Pêches, aquaculture</w:t>
            </w:r>
          </w:p>
        </w:tc>
      </w:tr>
      <w:tr w:rsidR="00B8348C" w:rsidRPr="0068240F" w14:paraId="22256F6F"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0FE4AF99"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686" w:type="dxa"/>
            <w:gridSpan w:val="2"/>
            <w:tcBorders>
              <w:top w:val="single" w:sz="4" w:space="0" w:color="C0C0C0"/>
              <w:left w:val="single" w:sz="4" w:space="0" w:color="FFFFFF"/>
              <w:bottom w:val="single" w:sz="4" w:space="0" w:color="C0C0C0"/>
              <w:right w:val="nil"/>
            </w:tcBorders>
            <w:vAlign w:val="center"/>
          </w:tcPr>
          <w:p w14:paraId="5331375B" w14:textId="77777777" w:rsidR="00B8348C" w:rsidRPr="00F52884" w:rsidRDefault="00B8348C" w:rsidP="000C25A3">
            <w:pPr>
              <w:spacing w:before="60" w:after="60"/>
              <w:rPr>
                <w:rFonts w:cstheme="minorHAnsi"/>
                <w:szCs w:val="23"/>
                <w:lang w:val="fr-FR"/>
              </w:rPr>
            </w:pPr>
            <w:r w:rsidRPr="00F52884">
              <w:rPr>
                <w:rFonts w:cstheme="minorHAnsi"/>
                <w:szCs w:val="23"/>
                <w:lang w:val="fr-CA"/>
              </w:rPr>
              <w:t>Poissons et autres produits de la pêche, services de commerce de gros de produits de la pêche, services annexes à la pêche</w:t>
            </w:r>
          </w:p>
        </w:tc>
      </w:tr>
      <w:tr w:rsidR="00B8348C" w:rsidRPr="00F52884" w14:paraId="6C76DC2D" w14:textId="77777777" w:rsidTr="000C25A3">
        <w:trPr>
          <w:gridAfter w:val="1"/>
          <w:wAfter w:w="425"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1130B2D8"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261" w:type="dxa"/>
            <w:tcBorders>
              <w:top w:val="single" w:sz="4" w:space="0" w:color="C0C0C0"/>
              <w:left w:val="single" w:sz="4" w:space="0" w:color="FFFFFF"/>
              <w:bottom w:val="single" w:sz="4" w:space="0" w:color="C0C0C0"/>
              <w:right w:val="nil"/>
            </w:tcBorders>
            <w:vAlign w:val="center"/>
          </w:tcPr>
          <w:p w14:paraId="1449C0D1" w14:textId="77777777" w:rsidR="00B8348C" w:rsidRPr="00F52884" w:rsidRDefault="00B8348C" w:rsidP="000C25A3">
            <w:pPr>
              <w:spacing w:before="60" w:after="60"/>
              <w:rPr>
                <w:rFonts w:cstheme="minorHAnsi"/>
                <w:szCs w:val="23"/>
              </w:rPr>
            </w:pPr>
            <w:r w:rsidRPr="00F52884">
              <w:rPr>
                <w:rFonts w:cstheme="minorHAnsi"/>
                <w:szCs w:val="23"/>
                <w:lang w:val="fr-CA"/>
              </w:rPr>
              <w:t>CPC 04, 882</w:t>
            </w:r>
          </w:p>
        </w:tc>
      </w:tr>
      <w:tr w:rsidR="00B8348C" w:rsidRPr="0068240F" w14:paraId="31418BFF" w14:textId="77777777" w:rsidTr="000C25A3">
        <w:trPr>
          <w:trHeight w:val="42"/>
          <w:jc w:val="center"/>
        </w:trPr>
        <w:tc>
          <w:tcPr>
            <w:tcW w:w="2340" w:type="dxa"/>
            <w:tcBorders>
              <w:top w:val="single" w:sz="4" w:space="0" w:color="C0C0C0"/>
              <w:left w:val="nil"/>
              <w:bottom w:val="single" w:sz="4" w:space="0" w:color="C0C0C0"/>
            </w:tcBorders>
          </w:tcPr>
          <w:p w14:paraId="26E9AAC7" w14:textId="2503E501"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686" w:type="dxa"/>
            <w:gridSpan w:val="2"/>
            <w:tcBorders>
              <w:top w:val="single" w:sz="4" w:space="0" w:color="C0C0C0"/>
              <w:left w:val="nil"/>
              <w:bottom w:val="single" w:sz="4" w:space="0" w:color="C0C0C0"/>
            </w:tcBorders>
          </w:tcPr>
          <w:p w14:paraId="6D4954A7" w14:textId="256C6667" w:rsidR="00B8348C" w:rsidRPr="00F52884" w:rsidRDefault="00B8348C" w:rsidP="00B8348C">
            <w:pPr>
              <w:spacing w:before="60" w:after="60"/>
              <w:rPr>
                <w:rFonts w:cstheme="minorHAnsi"/>
                <w:szCs w:val="23"/>
                <w:lang w:val="fr-FR"/>
              </w:rPr>
            </w:pPr>
            <w:r w:rsidRPr="00F52884">
              <w:rPr>
                <w:rFonts w:cstheme="minorHAnsi"/>
                <w:szCs w:val="23"/>
                <w:lang w:val="fr-CA"/>
              </w:rPr>
              <w:t>Article 201 (Traitement non discriminatoire), article 301 (Droit d’entrée et de sortie), article 307 (Accès aux marchés – Services), article 312 (Accès aux marchés – Investissement)</w:t>
            </w:r>
          </w:p>
        </w:tc>
      </w:tr>
      <w:tr w:rsidR="00B8348C" w:rsidRPr="00F52884" w14:paraId="53582D10" w14:textId="77777777" w:rsidTr="000C25A3">
        <w:trPr>
          <w:trHeight w:val="42"/>
          <w:jc w:val="center"/>
        </w:trPr>
        <w:tc>
          <w:tcPr>
            <w:tcW w:w="1002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AA47CE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531BA6B2" w14:textId="77777777" w:rsidTr="000C25A3">
        <w:trPr>
          <w:trHeight w:val="120"/>
          <w:jc w:val="center"/>
        </w:trPr>
        <w:tc>
          <w:tcPr>
            <w:tcW w:w="10026" w:type="dxa"/>
            <w:gridSpan w:val="3"/>
            <w:tcBorders>
              <w:top w:val="single" w:sz="4" w:space="0" w:color="C0C0C0"/>
              <w:left w:val="single" w:sz="4" w:space="0" w:color="C0C0C0"/>
              <w:bottom w:val="single" w:sz="4" w:space="0" w:color="C0C0C0"/>
              <w:right w:val="single" w:sz="4" w:space="0" w:color="C0C0C0"/>
            </w:tcBorders>
          </w:tcPr>
          <w:p w14:paraId="78C5B0C6" w14:textId="7231CADD" w:rsidR="00B8348C" w:rsidRPr="00F52884" w:rsidRDefault="00B8348C" w:rsidP="00B8348C">
            <w:pPr>
              <w:spacing w:before="60" w:after="60"/>
              <w:rPr>
                <w:rFonts w:eastAsia="Arial" w:cstheme="minorHAnsi"/>
                <w:szCs w:val="23"/>
                <w:lang w:val="fr-FR"/>
              </w:rPr>
            </w:pPr>
            <w:r w:rsidRPr="00F52884">
              <w:rPr>
                <w:rFonts w:cstheme="minorHAnsi"/>
                <w:szCs w:val="23"/>
                <w:lang w:val="fr-CA"/>
              </w:rPr>
              <w:t>Le Nouveau-Brunswick se réserve le droit d’adopter ou de maintenir une mesure relative à la mise en marché collective et aux accords commerciaux pour les poissons, l’aquaculture et les fruits de mer et à la délivrance de permis ou de licences pour les activités de pêche ou connexes à la pêche.</w:t>
            </w:r>
          </w:p>
        </w:tc>
      </w:tr>
      <w:tr w:rsidR="00B8348C" w:rsidRPr="0068240F" w14:paraId="5CED9027" w14:textId="77777777" w:rsidTr="000C25A3">
        <w:trPr>
          <w:trHeight w:val="42"/>
          <w:jc w:val="center"/>
        </w:trPr>
        <w:tc>
          <w:tcPr>
            <w:tcW w:w="1002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6D6E3C9" w14:textId="712FB3F4" w:rsidR="00B8348C" w:rsidRPr="00F52884" w:rsidRDefault="00B8348C" w:rsidP="00B8348C">
            <w:pPr>
              <w:spacing w:before="60" w:after="60"/>
              <w:rPr>
                <w:rFonts w:eastAsia="Arial" w:cstheme="minorHAnsi"/>
                <w:caps/>
                <w:szCs w:val="23"/>
                <w:lang w:val="fr-FR"/>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roofErr w:type="gramStart"/>
            <w:r w:rsidRPr="00F52884">
              <w:rPr>
                <w:rFonts w:eastAsia="Arial" w:cstheme="minorHAnsi"/>
                <w:caps/>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p>
        </w:tc>
      </w:tr>
      <w:tr w:rsidR="00B8348C" w:rsidRPr="0068240F" w14:paraId="0B04C3D2" w14:textId="77777777" w:rsidTr="000C25A3">
        <w:trPr>
          <w:trHeight w:val="42"/>
          <w:jc w:val="center"/>
        </w:trPr>
        <w:tc>
          <w:tcPr>
            <w:tcW w:w="10026" w:type="dxa"/>
            <w:gridSpan w:val="3"/>
            <w:tcBorders>
              <w:top w:val="single" w:sz="4" w:space="0" w:color="C0C0C0"/>
              <w:left w:val="single" w:sz="4" w:space="0" w:color="C0C0C0"/>
              <w:bottom w:val="single" w:sz="4" w:space="0" w:color="C0C0C0"/>
              <w:right w:val="single" w:sz="4" w:space="0" w:color="C0C0C0"/>
            </w:tcBorders>
            <w:shd w:val="clear" w:color="auto" w:fill="auto"/>
          </w:tcPr>
          <w:p w14:paraId="20C004DB" w14:textId="08C1DE69" w:rsidR="00B8348C" w:rsidRPr="00F52884" w:rsidRDefault="00B8348C" w:rsidP="000C25A3">
            <w:pPr>
              <w:spacing w:before="60" w:after="60"/>
              <w:rPr>
                <w:rFonts w:cstheme="minorHAnsi"/>
                <w:bCs/>
                <w:i/>
                <w:szCs w:val="23"/>
                <w:lang w:val="fr-FR"/>
              </w:rPr>
            </w:pPr>
            <w:r w:rsidRPr="00F52884">
              <w:rPr>
                <w:rFonts w:cstheme="minorHAnsi"/>
                <w:i/>
                <w:iCs/>
                <w:szCs w:val="23"/>
                <w:lang w:val="fr-CA"/>
              </w:rPr>
              <w:t xml:space="preserve">Loi sur le traitement des poissons et fruits de mer, </w:t>
            </w:r>
            <w:r w:rsidRPr="00F52884">
              <w:rPr>
                <w:rFonts w:cstheme="minorHAnsi"/>
                <w:szCs w:val="23"/>
                <w:lang w:val="fr-CA"/>
              </w:rPr>
              <w:t>LN-B 2006, c S-5.3</w:t>
            </w:r>
          </w:p>
          <w:p w14:paraId="0187137D" w14:textId="712F3C45" w:rsidR="00B8348C" w:rsidRPr="00F52884" w:rsidRDefault="00B8348C" w:rsidP="000C25A3">
            <w:pPr>
              <w:spacing w:before="60" w:after="60"/>
              <w:rPr>
                <w:rFonts w:cstheme="minorHAnsi"/>
                <w:bCs/>
                <w:i/>
                <w:szCs w:val="23"/>
                <w:lang w:val="fr-FR"/>
              </w:rPr>
            </w:pPr>
            <w:r w:rsidRPr="00F52884">
              <w:rPr>
                <w:rFonts w:cstheme="minorHAnsi"/>
                <w:i/>
                <w:iCs/>
                <w:szCs w:val="23"/>
                <w:lang w:val="fr-CA"/>
              </w:rPr>
              <w:t>Loi sur l’aquaculture</w:t>
            </w:r>
            <w:r w:rsidRPr="00F52884">
              <w:rPr>
                <w:rFonts w:cstheme="minorHAnsi"/>
                <w:szCs w:val="23"/>
                <w:lang w:val="fr-CA"/>
              </w:rPr>
              <w:t>, LRN-B 2011, c 112</w:t>
            </w:r>
          </w:p>
          <w:p w14:paraId="3603524A" w14:textId="7F064C66" w:rsidR="00B8348C" w:rsidRPr="00F52884" w:rsidRDefault="00B8348C" w:rsidP="000C25A3">
            <w:pPr>
              <w:spacing w:before="60" w:after="60"/>
              <w:rPr>
                <w:rFonts w:cstheme="minorHAnsi"/>
                <w:bCs/>
                <w:szCs w:val="23"/>
                <w:lang w:val="fr-FR"/>
              </w:rPr>
            </w:pPr>
            <w:r w:rsidRPr="00F52884">
              <w:rPr>
                <w:rFonts w:cstheme="minorHAnsi"/>
                <w:i/>
                <w:iCs/>
                <w:szCs w:val="23"/>
                <w:lang w:val="fr-CA"/>
              </w:rPr>
              <w:t>Loi sur le Fonds de mise en valeur de l’industrie des produits de la mer</w:t>
            </w:r>
            <w:r w:rsidRPr="00F52884">
              <w:rPr>
                <w:rFonts w:cstheme="minorHAnsi"/>
                <w:szCs w:val="23"/>
                <w:lang w:val="fr-CA"/>
              </w:rPr>
              <w:t>, LN-B 2016, c 15</w:t>
            </w:r>
          </w:p>
          <w:p w14:paraId="3878BD59" w14:textId="7BFAD99D" w:rsidR="00B8348C" w:rsidRPr="00B04E29" w:rsidRDefault="00B8348C" w:rsidP="000C25A3">
            <w:pPr>
              <w:spacing w:before="60" w:after="60"/>
              <w:rPr>
                <w:rFonts w:cstheme="minorHAnsi"/>
                <w:szCs w:val="23"/>
                <w:lang w:val="fr-CA"/>
              </w:rPr>
            </w:pPr>
            <w:r w:rsidRPr="00F52884">
              <w:rPr>
                <w:rFonts w:cstheme="minorHAnsi"/>
                <w:i/>
                <w:iCs/>
                <w:szCs w:val="23"/>
                <w:lang w:val="fr-CA"/>
              </w:rPr>
              <w:t>Loi sur l’assainissement de l’eau</w:t>
            </w:r>
            <w:r w:rsidRPr="00F52884">
              <w:rPr>
                <w:rFonts w:cstheme="minorHAnsi"/>
                <w:szCs w:val="23"/>
                <w:lang w:val="fr-CA"/>
              </w:rPr>
              <w:t>, LN-B 1989, c C-6.1</w:t>
            </w:r>
          </w:p>
        </w:tc>
      </w:tr>
      <w:tr w:rsidR="00B8348C" w:rsidRPr="0068240F" w14:paraId="3068A995" w14:textId="77777777" w:rsidTr="000C25A3">
        <w:trPr>
          <w:trHeight w:val="42"/>
          <w:jc w:val="center"/>
        </w:trPr>
        <w:tc>
          <w:tcPr>
            <w:tcW w:w="10026" w:type="dxa"/>
            <w:gridSpan w:val="3"/>
            <w:tcBorders>
              <w:top w:val="single" w:sz="4" w:space="0" w:color="C0C0C0"/>
              <w:left w:val="single" w:sz="4" w:space="0" w:color="FFFFFF"/>
              <w:bottom w:val="single" w:sz="4" w:space="0" w:color="FFFFFF"/>
              <w:right w:val="single" w:sz="4" w:space="0" w:color="FFFFFF"/>
            </w:tcBorders>
          </w:tcPr>
          <w:p w14:paraId="50D90383" w14:textId="77777777" w:rsidR="00B8348C" w:rsidRPr="00B04E29" w:rsidRDefault="00B8348C" w:rsidP="000C25A3">
            <w:pPr>
              <w:ind w:left="432" w:hanging="432"/>
              <w:rPr>
                <w:rFonts w:eastAsia="Times New Roman" w:cstheme="minorHAnsi"/>
                <w:szCs w:val="23"/>
                <w:lang w:val="fr-CA"/>
              </w:rPr>
            </w:pPr>
          </w:p>
        </w:tc>
      </w:tr>
    </w:tbl>
    <w:p w14:paraId="3A3E8FAC" w14:textId="77777777" w:rsidR="00B8348C" w:rsidRPr="00B04E29" w:rsidRDefault="00B8348C" w:rsidP="000C25A3">
      <w:pPr>
        <w:rPr>
          <w:rFonts w:cstheme="minorHAnsi"/>
          <w:b/>
          <w:bCs/>
          <w:szCs w:val="23"/>
          <w:lang w:val="fr-CA"/>
        </w:rPr>
      </w:pPr>
    </w:p>
    <w:tbl>
      <w:tblPr>
        <w:tblW w:w="10288" w:type="dxa"/>
        <w:jc w:val="center"/>
        <w:tblCellMar>
          <w:top w:w="14" w:type="dxa"/>
          <w:left w:w="86" w:type="dxa"/>
          <w:bottom w:w="14" w:type="dxa"/>
          <w:right w:w="86" w:type="dxa"/>
        </w:tblCellMar>
        <w:tblLook w:val="0000" w:firstRow="0" w:lastRow="0" w:firstColumn="0" w:lastColumn="0" w:noHBand="0" w:noVBand="0"/>
      </w:tblPr>
      <w:tblGrid>
        <w:gridCol w:w="10288"/>
      </w:tblGrid>
      <w:tr w:rsidR="00B8348C" w:rsidRPr="0068240F" w14:paraId="03EF8504" w14:textId="77777777" w:rsidTr="000C25A3">
        <w:trPr>
          <w:trHeight w:val="403"/>
          <w:jc w:val="center"/>
        </w:trPr>
        <w:tc>
          <w:tcPr>
            <w:tcW w:w="10288" w:type="dxa"/>
            <w:tcBorders>
              <w:top w:val="single" w:sz="4" w:space="0" w:color="FFFFFF"/>
              <w:left w:val="single" w:sz="4" w:space="0" w:color="FFFFFF"/>
              <w:bottom w:val="single" w:sz="4" w:space="0" w:color="FFFFFF"/>
              <w:right w:val="single" w:sz="4" w:space="0" w:color="FFFFFF"/>
            </w:tcBorders>
            <w:vAlign w:val="center"/>
          </w:tcPr>
          <w:p w14:paraId="0D1A8B76" w14:textId="4B61BD5E" w:rsidR="00B8348C" w:rsidRPr="00F52884" w:rsidRDefault="00B8348C" w:rsidP="007824FC">
            <w:pPr>
              <w:spacing w:before="60" w:after="60"/>
              <w:ind w:left="84"/>
              <w:rPr>
                <w:rFonts w:cstheme="minorHAnsi"/>
                <w:b/>
                <w:caps/>
                <w:szCs w:val="23"/>
                <w:lang w:val="fr-FR"/>
              </w:rPr>
            </w:pPr>
            <w:r w:rsidRPr="00F52884">
              <w:rPr>
                <w:rFonts w:cstheme="minorHAnsi"/>
                <w:b/>
                <w:bCs/>
                <w:caps/>
                <w:szCs w:val="23"/>
                <w:lang w:val="fr-CA"/>
              </w:rPr>
              <w:t>2.</w:t>
            </w:r>
            <w:r w:rsidR="007824FC" w:rsidRPr="00F52884">
              <w:rPr>
                <w:rFonts w:cstheme="minorHAnsi"/>
                <w:b/>
                <w:bCs/>
                <w:caps/>
                <w:szCs w:val="23"/>
                <w:lang w:val="fr-CA"/>
              </w:rPr>
              <w:t xml:space="preserve"> </w:t>
            </w:r>
            <w:r w:rsidRPr="00F52884">
              <w:rPr>
                <w:rFonts w:cstheme="minorHAnsi"/>
                <w:b/>
                <w:bCs/>
                <w:caps/>
                <w:szCs w:val="23"/>
                <w:lang w:val="fr-CA"/>
              </w:rPr>
              <w:t xml:space="preserve"> Nouveau-Brunswick</w:t>
            </w:r>
          </w:p>
          <w:tbl>
            <w:tblPr>
              <w:tblW w:w="10116" w:type="dxa"/>
              <w:jc w:val="center"/>
              <w:tblCellMar>
                <w:top w:w="14" w:type="dxa"/>
                <w:left w:w="86" w:type="dxa"/>
                <w:bottom w:w="14" w:type="dxa"/>
                <w:right w:w="86" w:type="dxa"/>
              </w:tblCellMar>
              <w:tblLook w:val="0000" w:firstRow="0" w:lastRow="0" w:firstColumn="0" w:lastColumn="0" w:noHBand="0" w:noVBand="0"/>
            </w:tblPr>
            <w:tblGrid>
              <w:gridCol w:w="2256"/>
              <w:gridCol w:w="7435"/>
              <w:gridCol w:w="425"/>
            </w:tblGrid>
            <w:tr w:rsidR="00B8348C" w:rsidRPr="00F52884" w14:paraId="51E70EEE" w14:textId="77777777" w:rsidTr="000C25A3">
              <w:trPr>
                <w:trHeight w:val="42"/>
                <w:jc w:val="center"/>
              </w:trPr>
              <w:tc>
                <w:tcPr>
                  <w:tcW w:w="2256" w:type="dxa"/>
                  <w:tcBorders>
                    <w:top w:val="single" w:sz="4" w:space="0" w:color="C0C0C0"/>
                    <w:left w:val="nil"/>
                    <w:bottom w:val="single" w:sz="4" w:space="0" w:color="C0C0C0"/>
                    <w:right w:val="single" w:sz="4" w:space="0" w:color="FFFFFF"/>
                  </w:tcBorders>
                  <w:vAlign w:val="center"/>
                </w:tcPr>
                <w:p w14:paraId="4E64D667" w14:textId="77777777" w:rsidR="00B8348C" w:rsidRPr="00F52884" w:rsidRDefault="00B8348C" w:rsidP="000C25A3">
                  <w:pPr>
                    <w:spacing w:before="60" w:after="60"/>
                    <w:rPr>
                      <w:rFonts w:cstheme="minorHAnsi"/>
                      <w:b/>
                      <w:szCs w:val="23"/>
                      <w:lang w:val="fr-FR"/>
                    </w:rPr>
                  </w:pPr>
                  <w:r w:rsidRPr="00F52884">
                    <w:rPr>
                      <w:rFonts w:cstheme="minorHAnsi"/>
                      <w:b/>
                      <w:bCs/>
                      <w:szCs w:val="23"/>
                      <w:lang w:val="fr-CA"/>
                    </w:rPr>
                    <w:t>Secteur :</w:t>
                  </w:r>
                  <w:r w:rsidRPr="00F52884">
                    <w:rPr>
                      <w:rFonts w:cstheme="minorHAnsi"/>
                      <w:szCs w:val="23"/>
                      <w:lang w:val="fr-CA"/>
                    </w:rPr>
                    <w:t xml:space="preserve"> </w:t>
                  </w:r>
                </w:p>
              </w:tc>
              <w:tc>
                <w:tcPr>
                  <w:tcW w:w="7860" w:type="dxa"/>
                  <w:gridSpan w:val="2"/>
                  <w:tcBorders>
                    <w:top w:val="single" w:sz="4" w:space="0" w:color="C0C0C0"/>
                    <w:left w:val="single" w:sz="4" w:space="0" w:color="FFFFFF"/>
                    <w:bottom w:val="single" w:sz="4" w:space="0" w:color="C0C0C0"/>
                    <w:right w:val="nil"/>
                  </w:tcBorders>
                  <w:vAlign w:val="center"/>
                </w:tcPr>
                <w:p w14:paraId="0D821187" w14:textId="77777777" w:rsidR="00B8348C" w:rsidRPr="00F52884" w:rsidRDefault="00B8348C" w:rsidP="000C25A3">
                  <w:pPr>
                    <w:spacing w:before="60" w:after="60"/>
                    <w:rPr>
                      <w:rFonts w:cstheme="minorHAnsi"/>
                      <w:szCs w:val="23"/>
                      <w:lang w:val="fr-FR"/>
                    </w:rPr>
                  </w:pPr>
                  <w:r w:rsidRPr="00F52884">
                    <w:rPr>
                      <w:rFonts w:cstheme="minorHAnsi"/>
                      <w:szCs w:val="23"/>
                      <w:shd w:val="clear" w:color="auto" w:fill="FFFFFF"/>
                      <w:lang w:val="fr-CA"/>
                    </w:rPr>
                    <w:t>Boissons alcoolisées</w:t>
                  </w:r>
                </w:p>
              </w:tc>
            </w:tr>
            <w:tr w:rsidR="00B8348C" w:rsidRPr="0068240F" w14:paraId="3DBB0B22" w14:textId="77777777" w:rsidTr="000C25A3">
              <w:trPr>
                <w:trHeight w:val="42"/>
                <w:jc w:val="center"/>
              </w:trPr>
              <w:tc>
                <w:tcPr>
                  <w:tcW w:w="2256" w:type="dxa"/>
                  <w:tcBorders>
                    <w:top w:val="single" w:sz="4" w:space="0" w:color="C0C0C0"/>
                    <w:left w:val="nil"/>
                    <w:bottom w:val="single" w:sz="4" w:space="0" w:color="C0C0C0"/>
                    <w:right w:val="single" w:sz="4" w:space="0" w:color="FFFFFF"/>
                  </w:tcBorders>
                  <w:vAlign w:val="center"/>
                </w:tcPr>
                <w:p w14:paraId="2834A4B7" w14:textId="77777777" w:rsidR="00B8348C" w:rsidRPr="00F52884" w:rsidRDefault="00B8348C" w:rsidP="000C25A3">
                  <w:pPr>
                    <w:spacing w:before="60" w:after="60"/>
                    <w:rPr>
                      <w:rFonts w:cstheme="minorHAnsi"/>
                      <w:b/>
                      <w:szCs w:val="23"/>
                      <w:lang w:val="fr-FR"/>
                    </w:rPr>
                  </w:pPr>
                  <w:r w:rsidRPr="00F52884">
                    <w:rPr>
                      <w:rFonts w:cstheme="minorHAnsi"/>
                      <w:b/>
                      <w:bCs/>
                      <w:szCs w:val="23"/>
                      <w:lang w:val="fr-CA"/>
                    </w:rPr>
                    <w:t>Sous-secteur :</w:t>
                  </w:r>
                </w:p>
              </w:tc>
              <w:tc>
                <w:tcPr>
                  <w:tcW w:w="7860" w:type="dxa"/>
                  <w:gridSpan w:val="2"/>
                  <w:tcBorders>
                    <w:top w:val="single" w:sz="4" w:space="0" w:color="C0C0C0"/>
                    <w:left w:val="single" w:sz="4" w:space="0" w:color="FFFFFF"/>
                    <w:bottom w:val="single" w:sz="4" w:space="0" w:color="C0C0C0"/>
                    <w:right w:val="nil"/>
                  </w:tcBorders>
                  <w:vAlign w:val="center"/>
                </w:tcPr>
                <w:p w14:paraId="069FDBAC" w14:textId="77777777" w:rsidR="00B8348C" w:rsidRPr="00F52884" w:rsidRDefault="00B8348C" w:rsidP="000C25A3">
                  <w:pPr>
                    <w:spacing w:before="60" w:after="60"/>
                    <w:rPr>
                      <w:rFonts w:cstheme="minorHAnsi"/>
                      <w:szCs w:val="23"/>
                      <w:lang w:val="fr-FR"/>
                    </w:rPr>
                  </w:pPr>
                  <w:r w:rsidRPr="00F52884">
                    <w:rPr>
                      <w:rFonts w:cstheme="minorHAnsi"/>
                      <w:szCs w:val="23"/>
                      <w:shd w:val="clear" w:color="auto" w:fill="FFFFFF"/>
                      <w:lang w:val="fr-CA"/>
                    </w:rPr>
                    <w:t>Services de courtage, services de commerce de gros, services de commerce de détail (spiritueux, vin et bière; magasins de bière, de vin et de spiritueux), boissons alcoolisées</w:t>
                  </w:r>
                </w:p>
              </w:tc>
            </w:tr>
            <w:tr w:rsidR="00B8348C" w:rsidRPr="00F52884" w14:paraId="743BAE48" w14:textId="77777777" w:rsidTr="000C25A3">
              <w:trPr>
                <w:gridAfter w:val="1"/>
                <w:wAfter w:w="425" w:type="dxa"/>
                <w:trHeight w:val="42"/>
                <w:jc w:val="center"/>
              </w:trPr>
              <w:tc>
                <w:tcPr>
                  <w:tcW w:w="2256" w:type="dxa"/>
                  <w:tcBorders>
                    <w:top w:val="single" w:sz="4" w:space="0" w:color="C0C0C0"/>
                    <w:left w:val="nil"/>
                    <w:bottom w:val="single" w:sz="4" w:space="0" w:color="C0C0C0"/>
                    <w:right w:val="single" w:sz="4" w:space="0" w:color="FFFFFF"/>
                  </w:tcBorders>
                  <w:vAlign w:val="center"/>
                </w:tcPr>
                <w:p w14:paraId="4BA6F34A"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435" w:type="dxa"/>
                  <w:tcBorders>
                    <w:top w:val="single" w:sz="4" w:space="0" w:color="C0C0C0"/>
                    <w:left w:val="single" w:sz="4" w:space="0" w:color="FFFFFF"/>
                    <w:bottom w:val="single" w:sz="4" w:space="0" w:color="C0C0C0"/>
                    <w:right w:val="nil"/>
                  </w:tcBorders>
                  <w:vAlign w:val="center"/>
                </w:tcPr>
                <w:p w14:paraId="5ED032DA" w14:textId="77777777" w:rsidR="00B8348C" w:rsidRPr="00F52884" w:rsidRDefault="00B8348C" w:rsidP="000C25A3">
                  <w:pPr>
                    <w:spacing w:before="60" w:after="60"/>
                    <w:rPr>
                      <w:rFonts w:cstheme="minorHAnsi"/>
                      <w:szCs w:val="23"/>
                    </w:rPr>
                  </w:pPr>
                  <w:r w:rsidRPr="00F52884">
                    <w:rPr>
                      <w:rFonts w:cstheme="minorHAnsi"/>
                      <w:szCs w:val="23"/>
                      <w:shd w:val="clear" w:color="auto" w:fill="FFFFFF"/>
                      <w:lang w:val="fr-CA"/>
                    </w:rPr>
                    <w:t>CPC 241, 242, 243, 62112, 62226, 63107</w:t>
                  </w:r>
                </w:p>
              </w:tc>
            </w:tr>
            <w:tr w:rsidR="00B8348C" w:rsidRPr="0068240F" w14:paraId="4B868CBF" w14:textId="77777777" w:rsidTr="000C25A3">
              <w:trPr>
                <w:trHeight w:val="42"/>
                <w:jc w:val="center"/>
              </w:trPr>
              <w:tc>
                <w:tcPr>
                  <w:tcW w:w="2256" w:type="dxa"/>
                  <w:tcBorders>
                    <w:top w:val="single" w:sz="4" w:space="0" w:color="C0C0C0"/>
                    <w:left w:val="nil"/>
                    <w:bottom w:val="single" w:sz="4" w:space="0" w:color="C0C0C0"/>
                  </w:tcBorders>
                </w:tcPr>
                <w:p w14:paraId="3099FF3C" w14:textId="617B4588"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860" w:type="dxa"/>
                  <w:gridSpan w:val="2"/>
                  <w:tcBorders>
                    <w:top w:val="single" w:sz="4" w:space="0" w:color="C0C0C0"/>
                    <w:left w:val="nil"/>
                    <w:bottom w:val="single" w:sz="4" w:space="0" w:color="C0C0C0"/>
                  </w:tcBorders>
                </w:tcPr>
                <w:p w14:paraId="1EE17D09"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3A46FF46"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3D26A5C"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60C3771B" w14:textId="77777777" w:rsidTr="000C25A3">
              <w:trPr>
                <w:trHeight w:val="120"/>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50BBEE94" w14:textId="77777777" w:rsidR="00B8348C" w:rsidRPr="00F52884" w:rsidRDefault="00B8348C" w:rsidP="000C25A3">
                  <w:pPr>
                    <w:spacing w:before="60" w:after="60"/>
                    <w:rPr>
                      <w:rFonts w:cstheme="minorHAnsi"/>
                      <w:szCs w:val="23"/>
                      <w:lang w:val="fr-FR"/>
                    </w:rPr>
                  </w:pPr>
                  <w:r w:rsidRPr="00F52884">
                    <w:rPr>
                      <w:rFonts w:cstheme="minorHAnsi"/>
                      <w:szCs w:val="23"/>
                      <w:lang w:val="fr-CA"/>
                    </w:rPr>
                    <w:t xml:space="preserve">La Société des alcools du Nouveau-Brunswick est une société d’État du gouvernement du Nouveau-Brunswick qui est la seule à pouvoir effectuer l’importation, le commerce de gros, la vente au détail et la distribution de boissons alcoolisées dans le Nouveau-Brunswick. Les </w:t>
                  </w:r>
                  <w:r w:rsidRPr="00F52884">
                    <w:rPr>
                      <w:rFonts w:cstheme="minorHAnsi"/>
                      <w:szCs w:val="23"/>
                      <w:lang w:val="fr-CA"/>
                    </w:rPr>
                    <w:lastRenderedPageBreak/>
                    <w:t>mesures susmentionnées permettent au Nouveau-Brunswick de réglementer et d’autoriser l’importation, l’achat, la production, la distribution, la fourniture, la commercialisation et la vente de boissons alcoolisées au Nouveau-Brunswick. Le Nouveau-Brunswick se réserve le droit d’adopter ou de maintenir une mesure limitant l’accès aux marchés dans les sous-secteurs susmentionnés, à l’exception des mesures imposant des limitations concernant la participation de capital étranger, exprimées sous la forme d’une limite maximale en pourcentage de la détention d’actions par des étrangers, ou concernant la valeur totale d’investissements étrangers particuliers ou des investissements étrangers globaux.</w:t>
                  </w:r>
                </w:p>
                <w:p w14:paraId="54BC8EEA" w14:textId="77777777" w:rsidR="00B8348C" w:rsidRPr="00F52884" w:rsidRDefault="00B8348C" w:rsidP="000C25A3">
                  <w:pPr>
                    <w:spacing w:before="60" w:after="60"/>
                    <w:rPr>
                      <w:rFonts w:eastAsia="Arial" w:cstheme="minorHAnsi"/>
                      <w:szCs w:val="23"/>
                      <w:lang w:val="fr-FR"/>
                    </w:rPr>
                  </w:pPr>
                  <w:r w:rsidRPr="00F52884">
                    <w:rPr>
                      <w:rFonts w:cstheme="minorHAnsi"/>
                      <w:szCs w:val="23"/>
                      <w:lang w:val="fr-CA"/>
                    </w:rPr>
                    <w:t>Le Nouveau-Brunswick se réserve le droit d’appliquer des frais de service, droits ou autres frais différents à l’égard de la bière et des produits de la bière d’une autre Partie lorsqu’il peut être démontré que des frais de services, droits ou autres frais plus élevés ou des conditions de manutention plus rigoureuses sont appliqués à la bière et aux produits de la bière provenant du Nouveau-Brunswick que ceux qui sont appliqués à la bière et aux produits de la bière de cette Partie.</w:t>
                  </w:r>
                </w:p>
              </w:tc>
            </w:tr>
            <w:tr w:rsidR="00B8348C" w:rsidRPr="0068240F" w14:paraId="049A2678"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5BD2751" w14:textId="51276904" w:rsidR="00B8348C" w:rsidRPr="00F52884" w:rsidRDefault="00B8348C" w:rsidP="00B8348C">
                  <w:pPr>
                    <w:spacing w:before="60" w:after="60"/>
                    <w:rPr>
                      <w:rFonts w:eastAsia="Arial" w:cstheme="minorHAnsi"/>
                      <w:caps/>
                      <w:szCs w:val="23"/>
                      <w:lang w:val="fr-CA"/>
                    </w:rPr>
                  </w:pPr>
                  <w:r w:rsidRPr="00F52884">
                    <w:rPr>
                      <w:rFonts w:eastAsia="Arial" w:cstheme="minorHAnsi"/>
                      <w:b/>
                      <w:bCs/>
                      <w:szCs w:val="23"/>
                      <w:lang w:val="fr-CA"/>
                    </w:rPr>
                    <w:lastRenderedPageBreak/>
                    <w:t>Toute mesure existante :</w:t>
                  </w:r>
                  <w:r w:rsidRPr="00F52884">
                    <w:rPr>
                      <w:rFonts w:eastAsia="Arial" w:cstheme="minorHAnsi"/>
                      <w:caps/>
                      <w:szCs w:val="23"/>
                      <w:lang w:val="fr-CA"/>
                    </w:rPr>
                    <w:t xml:space="preserve"> </w:t>
                  </w:r>
                  <w:proofErr w:type="gramStart"/>
                  <w:r w:rsidRPr="00F52884">
                    <w:rPr>
                      <w:rFonts w:eastAsia="Arial" w:cstheme="minorHAnsi"/>
                      <w:caps/>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 </w:t>
                  </w:r>
                </w:p>
              </w:tc>
            </w:tr>
            <w:tr w:rsidR="00B8348C" w:rsidRPr="0068240F" w14:paraId="4ABA70E3"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28C28D7B" w14:textId="5DE83EC4" w:rsidR="00B8348C" w:rsidRPr="00B04E29" w:rsidRDefault="00B8348C" w:rsidP="000C25A3">
                  <w:pPr>
                    <w:spacing w:before="60" w:after="60"/>
                    <w:rPr>
                      <w:rFonts w:eastAsia="Arial" w:cstheme="minorHAnsi"/>
                      <w:b/>
                      <w:szCs w:val="23"/>
                      <w:lang w:val="fr-CA"/>
                    </w:rPr>
                  </w:pPr>
                  <w:r w:rsidRPr="00F52884">
                    <w:rPr>
                      <w:rStyle w:val="Emphasis"/>
                      <w:rFonts w:cstheme="minorHAnsi"/>
                      <w:b w:val="0"/>
                      <w:bCs w:val="0"/>
                      <w:szCs w:val="23"/>
                      <w:shd w:val="clear" w:color="auto" w:fill="FFFFFF"/>
                      <w:lang w:val="fr-CA"/>
                    </w:rPr>
                    <w:t>Loi sur la société des alcools du Nouveau-Brunswick</w:t>
                  </w:r>
                  <w:r w:rsidRPr="00F52884">
                    <w:rPr>
                      <w:rStyle w:val="Emphasis"/>
                      <w:rFonts w:cstheme="minorHAnsi"/>
                      <w:b w:val="0"/>
                      <w:bCs w:val="0"/>
                      <w:i w:val="0"/>
                      <w:iCs w:val="0"/>
                      <w:szCs w:val="23"/>
                      <w:shd w:val="clear" w:color="auto" w:fill="FFFFFF"/>
                      <w:lang w:val="fr-CA"/>
                    </w:rPr>
                    <w:t>, LN-B 1974, c N-61</w:t>
                  </w:r>
                </w:p>
              </w:tc>
            </w:tr>
          </w:tbl>
          <w:p w14:paraId="6D89A00F" w14:textId="77777777" w:rsidR="00B8348C" w:rsidRPr="00B04E29" w:rsidRDefault="00B8348C" w:rsidP="000C25A3">
            <w:pPr>
              <w:spacing w:after="60"/>
              <w:rPr>
                <w:rFonts w:cstheme="minorHAnsi"/>
                <w:b/>
                <w:szCs w:val="23"/>
                <w:lang w:val="fr-CA"/>
              </w:rPr>
            </w:pPr>
          </w:p>
          <w:p w14:paraId="53CE595B" w14:textId="77777777" w:rsidR="00B8348C" w:rsidRPr="00B04E29" w:rsidRDefault="00B8348C" w:rsidP="000C25A3">
            <w:pPr>
              <w:spacing w:after="60"/>
              <w:rPr>
                <w:rFonts w:cstheme="minorHAnsi"/>
                <w:b/>
                <w:szCs w:val="23"/>
                <w:lang w:val="fr-CA"/>
              </w:rPr>
            </w:pPr>
          </w:p>
          <w:p w14:paraId="2E46E648" w14:textId="4C6DE361" w:rsidR="00B8348C" w:rsidRPr="00F52884" w:rsidRDefault="00B8348C" w:rsidP="000C25A3">
            <w:pPr>
              <w:spacing w:before="60" w:after="60"/>
              <w:ind w:left="96"/>
              <w:rPr>
                <w:rFonts w:cstheme="minorHAnsi"/>
                <w:b/>
                <w:caps/>
                <w:szCs w:val="23"/>
              </w:rPr>
            </w:pPr>
            <w:r w:rsidRPr="00F52884">
              <w:rPr>
                <w:rFonts w:cstheme="minorHAnsi"/>
                <w:b/>
                <w:bCs/>
                <w:caps/>
                <w:szCs w:val="23"/>
                <w:lang w:val="fr-CA"/>
              </w:rPr>
              <w:t xml:space="preserve">3. </w:t>
            </w:r>
            <w:r w:rsidR="007824FC" w:rsidRPr="00F52884">
              <w:rPr>
                <w:rFonts w:cstheme="minorHAnsi"/>
                <w:b/>
                <w:bCs/>
                <w:caps/>
                <w:szCs w:val="23"/>
                <w:lang w:val="fr-CA"/>
              </w:rPr>
              <w:t xml:space="preserve"> </w:t>
            </w:r>
            <w:r w:rsidRPr="00F52884">
              <w:rPr>
                <w:rFonts w:cstheme="minorHAnsi"/>
                <w:b/>
                <w:bCs/>
                <w:caps/>
                <w:szCs w:val="23"/>
                <w:lang w:val="fr-CA"/>
              </w:rPr>
              <w:t>Nouveau-Brunswick</w:t>
            </w:r>
          </w:p>
          <w:tbl>
            <w:tblPr>
              <w:tblW w:w="10116" w:type="dxa"/>
              <w:jc w:val="center"/>
              <w:tblCellMar>
                <w:top w:w="14" w:type="dxa"/>
                <w:left w:w="86" w:type="dxa"/>
                <w:bottom w:w="14" w:type="dxa"/>
                <w:right w:w="86" w:type="dxa"/>
              </w:tblCellMar>
              <w:tblLook w:val="0000" w:firstRow="0" w:lastRow="0" w:firstColumn="0" w:lastColumn="0" w:noHBand="0" w:noVBand="0"/>
            </w:tblPr>
            <w:tblGrid>
              <w:gridCol w:w="2256"/>
              <w:gridCol w:w="7435"/>
              <w:gridCol w:w="425"/>
            </w:tblGrid>
            <w:tr w:rsidR="00B8348C" w:rsidRPr="00F52884" w14:paraId="5B323C52" w14:textId="77777777" w:rsidTr="000C25A3">
              <w:trPr>
                <w:trHeight w:val="42"/>
                <w:jc w:val="center"/>
              </w:trPr>
              <w:tc>
                <w:tcPr>
                  <w:tcW w:w="2256" w:type="dxa"/>
                  <w:tcBorders>
                    <w:top w:val="single" w:sz="4" w:space="0" w:color="C0C0C0"/>
                    <w:left w:val="nil"/>
                    <w:bottom w:val="single" w:sz="4" w:space="0" w:color="C0C0C0"/>
                    <w:right w:val="single" w:sz="4" w:space="0" w:color="FFFFFF"/>
                  </w:tcBorders>
                  <w:vAlign w:val="center"/>
                </w:tcPr>
                <w:p w14:paraId="70FD130C"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r w:rsidRPr="00F52884">
                    <w:rPr>
                      <w:rFonts w:cstheme="minorHAnsi"/>
                      <w:szCs w:val="23"/>
                      <w:lang w:val="fr-CA"/>
                    </w:rPr>
                    <w:t xml:space="preserve"> </w:t>
                  </w:r>
                </w:p>
              </w:tc>
              <w:tc>
                <w:tcPr>
                  <w:tcW w:w="7860" w:type="dxa"/>
                  <w:gridSpan w:val="2"/>
                  <w:tcBorders>
                    <w:top w:val="single" w:sz="4" w:space="0" w:color="C0C0C0"/>
                    <w:left w:val="single" w:sz="4" w:space="0" w:color="FFFFFF"/>
                    <w:bottom w:val="single" w:sz="4" w:space="0" w:color="C0C0C0"/>
                    <w:right w:val="nil"/>
                  </w:tcBorders>
                  <w:vAlign w:val="center"/>
                </w:tcPr>
                <w:p w14:paraId="37D0AAB9"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10CDF1BB" w14:textId="77777777" w:rsidTr="000C25A3">
              <w:trPr>
                <w:trHeight w:val="42"/>
                <w:jc w:val="center"/>
              </w:trPr>
              <w:tc>
                <w:tcPr>
                  <w:tcW w:w="2256" w:type="dxa"/>
                  <w:tcBorders>
                    <w:top w:val="single" w:sz="4" w:space="0" w:color="C0C0C0"/>
                    <w:left w:val="nil"/>
                    <w:bottom w:val="single" w:sz="4" w:space="0" w:color="C0C0C0"/>
                    <w:right w:val="single" w:sz="4" w:space="0" w:color="FFFFFF"/>
                  </w:tcBorders>
                  <w:vAlign w:val="center"/>
                </w:tcPr>
                <w:p w14:paraId="3140E9B6"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60" w:type="dxa"/>
                  <w:gridSpan w:val="2"/>
                  <w:tcBorders>
                    <w:top w:val="single" w:sz="4" w:space="0" w:color="C0C0C0"/>
                    <w:left w:val="single" w:sz="4" w:space="0" w:color="FFFFFF"/>
                    <w:bottom w:val="single" w:sz="4" w:space="0" w:color="C0C0C0"/>
                    <w:right w:val="nil"/>
                  </w:tcBorders>
                  <w:vAlign w:val="center"/>
                </w:tcPr>
                <w:p w14:paraId="2252AF61" w14:textId="77777777" w:rsidR="00B8348C" w:rsidRPr="00F52884" w:rsidRDefault="00B8348C" w:rsidP="000C25A3">
                  <w:pPr>
                    <w:spacing w:before="60" w:after="60"/>
                    <w:rPr>
                      <w:rFonts w:cstheme="minorHAnsi"/>
                      <w:szCs w:val="23"/>
                      <w:lang w:val="fr-FR"/>
                    </w:rPr>
                  </w:pPr>
                  <w:r w:rsidRPr="00F52884">
                    <w:rPr>
                      <w:rFonts w:cstheme="minorHAnsi"/>
                      <w:szCs w:val="23"/>
                      <w:lang w:val="fr-CA"/>
                    </w:rPr>
                    <w:t>Énergie électrique, services annexes à la distribution d’énergie</w:t>
                  </w:r>
                </w:p>
                <w:p w14:paraId="591EE1EC" w14:textId="77777777" w:rsidR="00B8348C" w:rsidRPr="00F52884" w:rsidRDefault="00B8348C" w:rsidP="000C25A3">
                  <w:pPr>
                    <w:spacing w:before="60" w:after="60"/>
                    <w:rPr>
                      <w:rFonts w:cstheme="minorHAnsi"/>
                      <w:szCs w:val="23"/>
                      <w:lang w:val="fr-FR"/>
                    </w:rPr>
                  </w:pPr>
                </w:p>
              </w:tc>
            </w:tr>
            <w:tr w:rsidR="00B8348C" w:rsidRPr="00F52884" w14:paraId="0D1AF2C5" w14:textId="77777777" w:rsidTr="000C25A3">
              <w:trPr>
                <w:gridAfter w:val="1"/>
                <w:wAfter w:w="425" w:type="dxa"/>
                <w:trHeight w:val="42"/>
                <w:jc w:val="center"/>
              </w:trPr>
              <w:tc>
                <w:tcPr>
                  <w:tcW w:w="2256" w:type="dxa"/>
                  <w:tcBorders>
                    <w:top w:val="single" w:sz="4" w:space="0" w:color="C0C0C0"/>
                    <w:left w:val="nil"/>
                    <w:bottom w:val="single" w:sz="4" w:space="0" w:color="C0C0C0"/>
                    <w:right w:val="single" w:sz="4" w:space="0" w:color="FFFFFF"/>
                  </w:tcBorders>
                  <w:vAlign w:val="center"/>
                </w:tcPr>
                <w:p w14:paraId="47BF41FD"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435" w:type="dxa"/>
                  <w:tcBorders>
                    <w:top w:val="single" w:sz="4" w:space="0" w:color="C0C0C0"/>
                    <w:left w:val="single" w:sz="4" w:space="0" w:color="FFFFFF"/>
                    <w:bottom w:val="single" w:sz="4" w:space="0" w:color="C0C0C0"/>
                    <w:right w:val="nil"/>
                  </w:tcBorders>
                  <w:vAlign w:val="center"/>
                </w:tcPr>
                <w:p w14:paraId="0F536373" w14:textId="77777777" w:rsidR="00B8348C" w:rsidRPr="00F52884" w:rsidRDefault="00B8348C" w:rsidP="000C25A3">
                  <w:pPr>
                    <w:spacing w:before="60" w:after="60"/>
                    <w:rPr>
                      <w:rFonts w:cstheme="minorHAnsi"/>
                      <w:b/>
                      <w:szCs w:val="23"/>
                    </w:rPr>
                  </w:pPr>
                  <w:r w:rsidRPr="00F52884">
                    <w:rPr>
                      <w:rFonts w:cstheme="minorHAnsi"/>
                      <w:szCs w:val="23"/>
                      <w:shd w:val="clear" w:color="auto" w:fill="FFFFFF"/>
                      <w:lang w:val="fr-CA"/>
                    </w:rPr>
                    <w:t>CPC 17, 887</w:t>
                  </w:r>
                </w:p>
              </w:tc>
            </w:tr>
            <w:tr w:rsidR="00B8348C" w:rsidRPr="0068240F" w14:paraId="15F1D4BC" w14:textId="77777777" w:rsidTr="000C25A3">
              <w:trPr>
                <w:trHeight w:val="42"/>
                <w:jc w:val="center"/>
              </w:trPr>
              <w:tc>
                <w:tcPr>
                  <w:tcW w:w="2256" w:type="dxa"/>
                  <w:tcBorders>
                    <w:top w:val="single" w:sz="4" w:space="0" w:color="C0C0C0"/>
                    <w:left w:val="nil"/>
                    <w:bottom w:val="single" w:sz="4" w:space="0" w:color="C0C0C0"/>
                  </w:tcBorders>
                </w:tcPr>
                <w:p w14:paraId="5DE027B0" w14:textId="31BCD4B3"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860" w:type="dxa"/>
                  <w:gridSpan w:val="2"/>
                  <w:tcBorders>
                    <w:top w:val="single" w:sz="4" w:space="0" w:color="C0C0C0"/>
                    <w:left w:val="nil"/>
                    <w:bottom w:val="single" w:sz="4" w:space="0" w:color="C0C0C0"/>
                  </w:tcBorders>
                </w:tcPr>
                <w:p w14:paraId="7B5F66A5"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307 (Accès aux marchés – Services), article 312 (Accès aux marchés – Investissement)</w:t>
                  </w:r>
                </w:p>
              </w:tc>
            </w:tr>
            <w:tr w:rsidR="00B8348C" w:rsidRPr="00F52884" w14:paraId="7C41606C"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97AEF7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3E3EFDEA" w14:textId="77777777" w:rsidTr="000C25A3">
              <w:trPr>
                <w:trHeight w:val="120"/>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731D186D" w14:textId="79C435E9" w:rsidR="00B8348C" w:rsidRPr="00F52884" w:rsidRDefault="00B8348C" w:rsidP="00B8348C">
                  <w:pPr>
                    <w:spacing w:before="60" w:after="60"/>
                    <w:rPr>
                      <w:rFonts w:eastAsia="Arial" w:cstheme="minorHAnsi"/>
                      <w:szCs w:val="23"/>
                      <w:lang w:val="fr-FR"/>
                    </w:rPr>
                  </w:pPr>
                  <w:r w:rsidRPr="00F52884">
                    <w:rPr>
                      <w:rFonts w:cstheme="minorHAnsi"/>
                      <w:szCs w:val="23"/>
                      <w:lang w:val="fr-CA"/>
                    </w:rPr>
                    <w:t>Le Nouveau-Brunswick se réserve le droit d’adopter ou de maintenir une mesure limitant l’accès aux marchés du transfert de force hydraulique du ressort de la province, de la production, du transport, de la distribution et de l’exportation d’électricité et de l’entretien des installations électriques, à l’exception des mesures imposant des limitations concernant la participation de capital étranger, exprimées sous la forme d’une limite maximale en pourcentage de la détention d’actions par des étrangers, ou concernant la valeur totale d’investissements étrangers particuliers ou des investissements étrangers globaux. Il est entendu que la présente exception est sans préjudice du droit du Nouveau-Brunswick d’imposer des limitations à la participation de capital qui ne provient pas du Nouveau-Brunswick au moment de la vente ou de la cession de son capital-actions dans une entreprise publique existante ou une entité publique existante, ou des actifs d’une telle entreprise ou entité.</w:t>
                  </w:r>
                </w:p>
              </w:tc>
            </w:tr>
            <w:tr w:rsidR="00B8348C" w:rsidRPr="00F52884" w14:paraId="3D2CEAE2"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119FDEA4" w14:textId="16BCD565" w:rsidR="00B8348C" w:rsidRPr="00F52884" w:rsidRDefault="00B8348C" w:rsidP="00B8348C">
                  <w:pPr>
                    <w:spacing w:before="60" w:after="60"/>
                    <w:rPr>
                      <w:rFonts w:eastAsia="Arial" w:cstheme="minorHAnsi"/>
                      <w:caps/>
                      <w:szCs w:val="23"/>
                      <w:lang w:val="fr-FR"/>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2E96040A"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BA781" w14:textId="77777777" w:rsidR="00B8348C" w:rsidRPr="00F52884" w:rsidRDefault="00B8348C" w:rsidP="000C25A3">
                  <w:pPr>
                    <w:spacing w:before="60" w:after="60"/>
                    <w:rPr>
                      <w:rFonts w:eastAsia="Arial" w:cstheme="minorHAnsi"/>
                      <w:b/>
                      <w:szCs w:val="23"/>
                      <w:lang w:val="fr-FR"/>
                    </w:rPr>
                  </w:pPr>
                </w:p>
              </w:tc>
            </w:tr>
          </w:tbl>
          <w:p w14:paraId="4C25B6FE" w14:textId="77777777" w:rsidR="00B8348C" w:rsidRPr="00F52884" w:rsidRDefault="00B8348C" w:rsidP="000C25A3">
            <w:pPr>
              <w:spacing w:after="60"/>
              <w:rPr>
                <w:rFonts w:cstheme="minorHAnsi"/>
                <w:b/>
                <w:szCs w:val="23"/>
                <w:lang w:val="fr-FR"/>
              </w:rPr>
            </w:pPr>
          </w:p>
          <w:p w14:paraId="5DEA136D" w14:textId="77777777" w:rsidR="00B8348C" w:rsidRPr="00F52884" w:rsidRDefault="00B8348C" w:rsidP="000C25A3">
            <w:pPr>
              <w:spacing w:after="60"/>
              <w:rPr>
                <w:rFonts w:cstheme="minorHAnsi"/>
                <w:b/>
                <w:szCs w:val="23"/>
                <w:lang w:val="fr-FR"/>
              </w:rPr>
            </w:pPr>
          </w:p>
          <w:p w14:paraId="77F81EAD" w14:textId="311714AC" w:rsidR="00B8348C" w:rsidRPr="00F52884" w:rsidRDefault="00B8348C" w:rsidP="000C25A3">
            <w:pPr>
              <w:spacing w:before="60" w:after="60"/>
              <w:ind w:left="96"/>
              <w:rPr>
                <w:rFonts w:cstheme="minorHAnsi"/>
                <w:b/>
                <w:caps/>
                <w:szCs w:val="23"/>
              </w:rPr>
            </w:pPr>
            <w:r w:rsidRPr="00F52884">
              <w:rPr>
                <w:rFonts w:cstheme="minorHAnsi"/>
                <w:b/>
                <w:bCs/>
                <w:caps/>
                <w:szCs w:val="23"/>
                <w:lang w:val="fr-CA"/>
              </w:rPr>
              <w:t xml:space="preserve">4. </w:t>
            </w:r>
            <w:r w:rsidR="007824FC" w:rsidRPr="00F52884">
              <w:rPr>
                <w:rFonts w:cstheme="minorHAnsi"/>
                <w:b/>
                <w:bCs/>
                <w:caps/>
                <w:szCs w:val="23"/>
                <w:lang w:val="fr-CA"/>
              </w:rPr>
              <w:t xml:space="preserve"> </w:t>
            </w:r>
            <w:r w:rsidRPr="00F52884">
              <w:rPr>
                <w:rFonts w:cstheme="minorHAnsi"/>
                <w:b/>
                <w:bCs/>
                <w:caps/>
                <w:szCs w:val="23"/>
                <w:lang w:val="fr-CA"/>
              </w:rPr>
              <w:t>Nouveau-Brunswick</w:t>
            </w:r>
          </w:p>
          <w:tbl>
            <w:tblPr>
              <w:tblW w:w="10116" w:type="dxa"/>
              <w:jc w:val="center"/>
              <w:tblCellMar>
                <w:top w:w="14" w:type="dxa"/>
                <w:left w:w="86" w:type="dxa"/>
                <w:bottom w:w="14" w:type="dxa"/>
                <w:right w:w="86" w:type="dxa"/>
              </w:tblCellMar>
              <w:tblLook w:val="0000" w:firstRow="0" w:lastRow="0" w:firstColumn="0" w:lastColumn="0" w:noHBand="0" w:noVBand="0"/>
            </w:tblPr>
            <w:tblGrid>
              <w:gridCol w:w="2256"/>
              <w:gridCol w:w="7435"/>
              <w:gridCol w:w="425"/>
            </w:tblGrid>
            <w:tr w:rsidR="00B8348C" w:rsidRPr="00F52884" w14:paraId="28A7A218" w14:textId="77777777" w:rsidTr="000C25A3">
              <w:trPr>
                <w:trHeight w:val="42"/>
                <w:jc w:val="center"/>
              </w:trPr>
              <w:tc>
                <w:tcPr>
                  <w:tcW w:w="2256" w:type="dxa"/>
                  <w:tcBorders>
                    <w:top w:val="single" w:sz="4" w:space="0" w:color="C0C0C0"/>
                    <w:left w:val="nil"/>
                    <w:bottom w:val="single" w:sz="4" w:space="0" w:color="C0C0C0"/>
                    <w:right w:val="single" w:sz="4" w:space="0" w:color="FFFFFF"/>
                  </w:tcBorders>
                  <w:vAlign w:val="center"/>
                </w:tcPr>
                <w:p w14:paraId="04BDCA23"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r w:rsidRPr="00F52884">
                    <w:rPr>
                      <w:rFonts w:cstheme="minorHAnsi"/>
                      <w:szCs w:val="23"/>
                      <w:lang w:val="fr-CA"/>
                    </w:rPr>
                    <w:t xml:space="preserve"> </w:t>
                  </w:r>
                </w:p>
              </w:tc>
              <w:tc>
                <w:tcPr>
                  <w:tcW w:w="7860" w:type="dxa"/>
                  <w:gridSpan w:val="2"/>
                  <w:tcBorders>
                    <w:top w:val="single" w:sz="4" w:space="0" w:color="C0C0C0"/>
                    <w:left w:val="single" w:sz="4" w:space="0" w:color="FFFFFF"/>
                    <w:bottom w:val="single" w:sz="4" w:space="0" w:color="C0C0C0"/>
                    <w:right w:val="nil"/>
                  </w:tcBorders>
                  <w:vAlign w:val="center"/>
                </w:tcPr>
                <w:p w14:paraId="00005ACA" w14:textId="77777777" w:rsidR="00B8348C" w:rsidRPr="00F52884" w:rsidRDefault="00B8348C" w:rsidP="000C25A3">
                  <w:pPr>
                    <w:spacing w:before="60" w:after="60"/>
                    <w:rPr>
                      <w:rFonts w:cstheme="minorHAnsi"/>
                      <w:szCs w:val="23"/>
                    </w:rPr>
                  </w:pPr>
                  <w:r w:rsidRPr="00F52884">
                    <w:rPr>
                      <w:rFonts w:cstheme="minorHAnsi"/>
                      <w:szCs w:val="23"/>
                      <w:lang w:val="fr-CA"/>
                    </w:rPr>
                    <w:t>Énergie (pétrole et gaz)</w:t>
                  </w:r>
                </w:p>
              </w:tc>
            </w:tr>
            <w:tr w:rsidR="00B8348C" w:rsidRPr="00F52884" w14:paraId="67B3C3EE" w14:textId="77777777" w:rsidTr="000C25A3">
              <w:trPr>
                <w:trHeight w:val="42"/>
                <w:jc w:val="center"/>
              </w:trPr>
              <w:tc>
                <w:tcPr>
                  <w:tcW w:w="2256" w:type="dxa"/>
                  <w:tcBorders>
                    <w:top w:val="single" w:sz="4" w:space="0" w:color="C0C0C0"/>
                    <w:left w:val="nil"/>
                    <w:bottom w:val="single" w:sz="4" w:space="0" w:color="C0C0C0"/>
                    <w:right w:val="single" w:sz="4" w:space="0" w:color="FFFFFF"/>
                  </w:tcBorders>
                  <w:vAlign w:val="center"/>
                </w:tcPr>
                <w:p w14:paraId="42023ABA"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860" w:type="dxa"/>
                  <w:gridSpan w:val="2"/>
                  <w:tcBorders>
                    <w:top w:val="single" w:sz="4" w:space="0" w:color="C0C0C0"/>
                    <w:left w:val="single" w:sz="4" w:space="0" w:color="FFFFFF"/>
                    <w:bottom w:val="single" w:sz="4" w:space="0" w:color="C0C0C0"/>
                    <w:right w:val="nil"/>
                  </w:tcBorders>
                  <w:vAlign w:val="center"/>
                </w:tcPr>
                <w:p w14:paraId="6A93C82F" w14:textId="77777777" w:rsidR="00B8348C" w:rsidRPr="00F52884" w:rsidRDefault="00B8348C" w:rsidP="000C25A3">
                  <w:pPr>
                    <w:spacing w:before="60" w:after="60"/>
                    <w:rPr>
                      <w:rFonts w:cstheme="minorHAnsi"/>
                      <w:szCs w:val="23"/>
                      <w:lang w:val="fr-FR"/>
                    </w:rPr>
                  </w:pPr>
                  <w:r w:rsidRPr="00F52884">
                    <w:rPr>
                      <w:rFonts w:cstheme="minorHAnsi"/>
                      <w:szCs w:val="23"/>
                      <w:lang w:val="fr-CA"/>
                    </w:rPr>
                    <w:t>Industries du pétrole brut et du gaz naturel</w:t>
                  </w:r>
                </w:p>
                <w:p w14:paraId="4273B261" w14:textId="77777777" w:rsidR="00B8348C" w:rsidRPr="00F52884" w:rsidRDefault="00B8348C" w:rsidP="000C25A3">
                  <w:pPr>
                    <w:spacing w:before="60" w:after="60"/>
                    <w:rPr>
                      <w:rFonts w:cstheme="minorHAnsi"/>
                      <w:szCs w:val="23"/>
                    </w:rPr>
                  </w:pPr>
                  <w:r w:rsidRPr="00F52884">
                    <w:rPr>
                      <w:rFonts w:cstheme="minorHAnsi"/>
                      <w:szCs w:val="23"/>
                      <w:lang w:val="fr-CA"/>
                    </w:rPr>
                    <w:t>Services annexes aux industries extractives</w:t>
                  </w:r>
                </w:p>
                <w:p w14:paraId="6B8EFE04" w14:textId="77777777" w:rsidR="00B8348C" w:rsidRPr="00F52884" w:rsidRDefault="00B8348C" w:rsidP="000C25A3">
                  <w:pPr>
                    <w:spacing w:before="60" w:after="60"/>
                    <w:rPr>
                      <w:rFonts w:cstheme="minorHAnsi"/>
                      <w:szCs w:val="23"/>
                    </w:rPr>
                  </w:pPr>
                </w:p>
              </w:tc>
            </w:tr>
            <w:tr w:rsidR="00B8348C" w:rsidRPr="00F52884" w14:paraId="44DE58C0" w14:textId="77777777" w:rsidTr="000C25A3">
              <w:trPr>
                <w:gridAfter w:val="1"/>
                <w:wAfter w:w="425" w:type="dxa"/>
                <w:trHeight w:val="42"/>
                <w:jc w:val="center"/>
              </w:trPr>
              <w:tc>
                <w:tcPr>
                  <w:tcW w:w="2256" w:type="dxa"/>
                  <w:tcBorders>
                    <w:top w:val="single" w:sz="4" w:space="0" w:color="C0C0C0"/>
                    <w:left w:val="nil"/>
                    <w:bottom w:val="single" w:sz="4" w:space="0" w:color="C0C0C0"/>
                    <w:right w:val="single" w:sz="4" w:space="0" w:color="FFFFFF"/>
                  </w:tcBorders>
                  <w:vAlign w:val="center"/>
                </w:tcPr>
                <w:p w14:paraId="767071A0"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435" w:type="dxa"/>
                  <w:tcBorders>
                    <w:top w:val="single" w:sz="4" w:space="0" w:color="C0C0C0"/>
                    <w:left w:val="single" w:sz="4" w:space="0" w:color="FFFFFF"/>
                    <w:bottom w:val="single" w:sz="4" w:space="0" w:color="C0C0C0"/>
                    <w:right w:val="nil"/>
                  </w:tcBorders>
                  <w:vAlign w:val="center"/>
                </w:tcPr>
                <w:p w14:paraId="52C4041B" w14:textId="77777777" w:rsidR="00B8348C" w:rsidRPr="00F52884" w:rsidRDefault="00B8348C" w:rsidP="000C25A3">
                  <w:pPr>
                    <w:spacing w:before="60" w:after="60"/>
                    <w:rPr>
                      <w:rFonts w:cstheme="minorHAnsi"/>
                      <w:b/>
                      <w:szCs w:val="23"/>
                    </w:rPr>
                  </w:pPr>
                  <w:r w:rsidRPr="00F52884">
                    <w:rPr>
                      <w:rFonts w:cstheme="minorHAnsi"/>
                      <w:szCs w:val="23"/>
                      <w:shd w:val="clear" w:color="auto" w:fill="FFFFFF"/>
                      <w:lang w:val="fr-CA"/>
                    </w:rPr>
                    <w:t>CPC 120, 883</w:t>
                  </w:r>
                </w:p>
              </w:tc>
            </w:tr>
            <w:tr w:rsidR="00B8348C" w:rsidRPr="0068240F" w14:paraId="68CCE968" w14:textId="77777777" w:rsidTr="000C25A3">
              <w:trPr>
                <w:trHeight w:val="42"/>
                <w:jc w:val="center"/>
              </w:trPr>
              <w:tc>
                <w:tcPr>
                  <w:tcW w:w="2256" w:type="dxa"/>
                  <w:tcBorders>
                    <w:top w:val="single" w:sz="4" w:space="0" w:color="C0C0C0"/>
                    <w:left w:val="nil"/>
                    <w:bottom w:val="single" w:sz="4" w:space="0" w:color="C0C0C0"/>
                  </w:tcBorders>
                </w:tcPr>
                <w:p w14:paraId="20FF8888" w14:textId="65534E18"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860" w:type="dxa"/>
                  <w:gridSpan w:val="2"/>
                  <w:tcBorders>
                    <w:top w:val="single" w:sz="4" w:space="0" w:color="C0C0C0"/>
                    <w:left w:val="nil"/>
                    <w:bottom w:val="single" w:sz="4" w:space="0" w:color="C0C0C0"/>
                  </w:tcBorders>
                </w:tcPr>
                <w:p w14:paraId="06258787"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307 (Accès aux marchés – Services), article 313 (Prescriptions de résultats)</w:t>
                  </w:r>
                </w:p>
              </w:tc>
            </w:tr>
            <w:tr w:rsidR="00B8348C" w:rsidRPr="00F52884" w14:paraId="1913B8CF"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82330CC"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021BA6F3" w14:textId="77777777" w:rsidTr="000C25A3">
              <w:trPr>
                <w:trHeight w:val="120"/>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24A5A79B" w14:textId="24252F2E" w:rsidR="00B8348C" w:rsidRPr="00F52884" w:rsidRDefault="00B8348C" w:rsidP="00B8348C">
                  <w:pPr>
                    <w:spacing w:before="60" w:after="60"/>
                    <w:rPr>
                      <w:rFonts w:eastAsia="Arial" w:cstheme="minorHAnsi"/>
                      <w:szCs w:val="23"/>
                      <w:lang w:val="fr-FR"/>
                    </w:rPr>
                  </w:pPr>
                  <w:r w:rsidRPr="00F52884">
                    <w:rPr>
                      <w:rFonts w:cstheme="minorHAnsi"/>
                      <w:szCs w:val="23"/>
                      <w:lang w:val="fr-CA"/>
                    </w:rPr>
                    <w:t xml:space="preserve">Des dispositions prolongeant celles énoncées dans la </w:t>
                  </w:r>
                  <w:r w:rsidRPr="00F52884">
                    <w:rPr>
                      <w:rFonts w:cstheme="minorHAnsi"/>
                      <w:i/>
                      <w:iCs/>
                      <w:szCs w:val="23"/>
                      <w:lang w:val="fr-CA"/>
                    </w:rPr>
                    <w:t>Loi sur les opérations pétrolières au Canada</w:t>
                  </w:r>
                  <w:r w:rsidRPr="00F52884">
                    <w:rPr>
                      <w:rFonts w:cstheme="minorHAnsi"/>
                      <w:szCs w:val="23"/>
                      <w:lang w:val="fr-CA"/>
                    </w:rPr>
                    <w:t xml:space="preserve"> seront incorporées dans les lois ou règlements afin de mettre en œuvre les accords conclus avec différentes provinces, notamment les lois de mise en œuvre comme l’Accord sur le pétrole et le gaz avec le Nouveau-Brunswick. Pour l’application de la présente exception, cet accord est réputé, une fois conclu, être une mesure existante.</w:t>
                  </w:r>
                </w:p>
              </w:tc>
            </w:tr>
            <w:tr w:rsidR="00B8348C" w:rsidRPr="0068240F" w14:paraId="323F1507"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9E0703F" w14:textId="3C5F952F" w:rsidR="00B8348C" w:rsidRPr="00F52884" w:rsidRDefault="00B8348C" w:rsidP="00B8348C">
                  <w:pPr>
                    <w:spacing w:before="60" w:after="60"/>
                    <w:rPr>
                      <w:rFonts w:eastAsia="Arial" w:cstheme="minorHAnsi"/>
                      <w:caps/>
                      <w:szCs w:val="23"/>
                      <w:lang w:val="fr-FR"/>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r w:rsidRPr="00F52884">
                    <w:rPr>
                      <w:rFonts w:eastAsia="Arial" w:cstheme="minorHAnsi"/>
                      <w:szCs w:val="23"/>
                      <w:lang w:val="fr-CA"/>
                    </w:rPr>
                    <w:t xml:space="preserve"> Fourni à des fins illustratives</w:t>
                  </w:r>
                </w:p>
              </w:tc>
            </w:tr>
            <w:tr w:rsidR="00B8348C" w:rsidRPr="0068240F" w14:paraId="312942B4"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39168CED" w14:textId="77777777" w:rsidR="00B8348C" w:rsidRPr="00F52884" w:rsidRDefault="00B8348C" w:rsidP="000C25A3">
                  <w:pPr>
                    <w:spacing w:before="60" w:after="60"/>
                    <w:rPr>
                      <w:rFonts w:eastAsia="Arial" w:cstheme="minorHAnsi"/>
                      <w:b/>
                      <w:szCs w:val="23"/>
                      <w:lang w:val="fr-FR"/>
                    </w:rPr>
                  </w:pPr>
                </w:p>
              </w:tc>
            </w:tr>
          </w:tbl>
          <w:p w14:paraId="16F0CEBB" w14:textId="77777777" w:rsidR="00B8348C" w:rsidRDefault="00B8348C" w:rsidP="000C25A3">
            <w:pPr>
              <w:spacing w:after="60"/>
              <w:rPr>
                <w:rFonts w:cstheme="minorHAnsi"/>
                <w:b/>
                <w:szCs w:val="23"/>
                <w:lang w:val="fr-FR"/>
              </w:rPr>
            </w:pPr>
          </w:p>
          <w:p w14:paraId="3699E3E5" w14:textId="77777777" w:rsidR="007730E4" w:rsidRDefault="007730E4" w:rsidP="000C25A3">
            <w:pPr>
              <w:spacing w:after="60"/>
              <w:rPr>
                <w:rFonts w:cstheme="minorHAnsi"/>
                <w:b/>
                <w:szCs w:val="23"/>
                <w:lang w:val="fr-FR"/>
              </w:rPr>
            </w:pPr>
          </w:p>
          <w:p w14:paraId="668CEB9A" w14:textId="61C180CA" w:rsidR="007730E4" w:rsidRPr="007730E4" w:rsidRDefault="007730E4" w:rsidP="007730E4">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7730E4">
              <w:rPr>
                <w:rFonts w:ascii="Arial" w:eastAsia="Times New Roman" w:hAnsi="Arial" w:cs="Arial"/>
                <w:b/>
                <w:bCs/>
                <w:caps/>
                <w:szCs w:val="23"/>
                <w:lang w:val="fr-CA"/>
              </w:rPr>
              <w:t>5.</w:t>
            </w:r>
            <w:r>
              <w:rPr>
                <w:rFonts w:ascii="Arial" w:eastAsia="Times New Roman" w:hAnsi="Arial" w:cs="Arial"/>
                <w:b/>
                <w:bCs/>
                <w:caps/>
                <w:szCs w:val="23"/>
                <w:lang w:val="fr-CA"/>
              </w:rPr>
              <w:t xml:space="preserve">  5. </w:t>
            </w:r>
            <w:r w:rsidRPr="007730E4">
              <w:rPr>
                <w:rFonts w:ascii="Arial" w:eastAsia="Times New Roman" w:hAnsi="Arial" w:cs="Arial"/>
                <w:b/>
                <w:bCs/>
                <w:szCs w:val="23"/>
                <w:lang w:val="fr-CA"/>
              </w:rPr>
              <w:t>NOUVEAU-BRUNSWICK</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7730E4" w:rsidRPr="007730E4" w14:paraId="42ADCC81"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473761D7" w14:textId="77777777" w:rsidR="007730E4" w:rsidRPr="007730E4" w:rsidRDefault="007730E4" w:rsidP="007730E4">
                  <w:pPr>
                    <w:spacing w:before="60" w:after="60"/>
                    <w:rPr>
                      <w:rFonts w:ascii="Arial" w:eastAsia="Calibri" w:hAnsi="Arial" w:cs="Arial"/>
                      <w:b/>
                      <w:szCs w:val="24"/>
                      <w:lang w:eastAsia="en-CA" w:bidi="en-US"/>
                    </w:rPr>
                  </w:pP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r w:rsidRPr="007730E4">
                    <w:rPr>
                      <w:rFonts w:ascii="Arial" w:eastAsia="Calibri" w:hAnsi="Arial" w:cs="Arial"/>
                      <w:b/>
                      <w:szCs w:val="24"/>
                      <w:lang w:eastAsia="en-CA" w:bidi="en-US"/>
                    </w:rPr>
                    <w:t xml:space="preserve"> </w:t>
                  </w:r>
                </w:p>
                <w:p w14:paraId="32B1485A" w14:textId="77777777" w:rsidR="007730E4" w:rsidRPr="007730E4" w:rsidRDefault="007730E4" w:rsidP="007730E4">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563176F7" w14:textId="77777777" w:rsidR="007730E4" w:rsidRPr="007730E4" w:rsidRDefault="007730E4" w:rsidP="007730E4">
                  <w:pPr>
                    <w:spacing w:before="60" w:after="60" w:line="42" w:lineRule="atLeast"/>
                    <w:rPr>
                      <w:rFonts w:ascii="Arial" w:eastAsia="Calibri" w:hAnsi="Arial" w:cs="Arial"/>
                      <w:bCs/>
                      <w:szCs w:val="24"/>
                      <w:lang w:eastAsia="en-CA" w:bidi="en-US"/>
                    </w:rPr>
                  </w:pPr>
                  <w:r w:rsidRPr="007730E4">
                    <w:rPr>
                      <w:rFonts w:ascii="Arial" w:eastAsia="Calibri" w:hAnsi="Arial" w:cs="Arial"/>
                      <w:bCs/>
                      <w:szCs w:val="24"/>
                      <w:lang w:eastAsia="en-CA" w:bidi="en-US"/>
                    </w:rPr>
                    <w:t>Cannabis</w:t>
                  </w:r>
                </w:p>
              </w:tc>
            </w:tr>
            <w:tr w:rsidR="007730E4" w:rsidRPr="0068240F" w14:paraId="38D0C347"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208B447C"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t>Sous-</w:t>
                  </w: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19CF17CD" w14:textId="77777777" w:rsidR="007730E4" w:rsidRPr="007730E4" w:rsidRDefault="007730E4" w:rsidP="007730E4">
                  <w:pPr>
                    <w:rPr>
                      <w:rFonts w:ascii="Arial" w:eastAsia="Calibri" w:hAnsi="Arial" w:cs="Arial"/>
                      <w:bCs/>
                      <w:szCs w:val="24"/>
                      <w:lang w:val="fr-CA" w:eastAsia="en-CA" w:bidi="en-US"/>
                    </w:rPr>
                  </w:pPr>
                  <w:r w:rsidRPr="007730E4">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7730E4" w:rsidRPr="007730E4" w14:paraId="5DE94701"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BE05049"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t xml:space="preserve">Classification de </w:t>
                  </w:r>
                  <w:proofErr w:type="spellStart"/>
                  <w:proofErr w:type="gramStart"/>
                  <w:r w:rsidRPr="007730E4">
                    <w:rPr>
                      <w:rFonts w:ascii="Arial" w:eastAsia="Calibri" w:hAnsi="Arial" w:cs="Arial"/>
                      <w:b/>
                      <w:szCs w:val="24"/>
                      <w:lang w:eastAsia="en-CA" w:bidi="en-US"/>
                    </w:rPr>
                    <w:t>l’industrie</w:t>
                  </w:r>
                  <w:proofErr w:type="spellEnd"/>
                  <w:r w:rsidRPr="007730E4">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2774E407"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4A5C9C69"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 </w:t>
                  </w:r>
                </w:p>
              </w:tc>
            </w:tr>
            <w:tr w:rsidR="007730E4" w:rsidRPr="0068240F" w14:paraId="3EE7EF28"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5955C98D" w14:textId="77777777" w:rsidR="007730E4" w:rsidRPr="007730E4" w:rsidRDefault="007730E4" w:rsidP="007730E4">
                  <w:pPr>
                    <w:spacing w:before="60" w:after="60"/>
                    <w:rPr>
                      <w:rFonts w:ascii="Arial" w:eastAsia="Calibri" w:hAnsi="Arial" w:cs="Arial"/>
                      <w:b/>
                      <w:szCs w:val="24"/>
                      <w:lang w:eastAsia="en-CA"/>
                    </w:rPr>
                  </w:pPr>
                  <w:r w:rsidRPr="007730E4">
                    <w:rPr>
                      <w:rFonts w:ascii="Arial" w:eastAsia="Calibri" w:hAnsi="Arial" w:cs="Arial"/>
                      <w:b/>
                      <w:szCs w:val="24"/>
                      <w:lang w:eastAsia="en-CA" w:bidi="en-US"/>
                    </w:rPr>
                    <w:t>Type</w:t>
                  </w:r>
                </w:p>
                <w:p w14:paraId="4B221E68" w14:textId="77777777" w:rsidR="007730E4" w:rsidRPr="007730E4" w:rsidRDefault="007730E4" w:rsidP="007730E4">
                  <w:pPr>
                    <w:spacing w:before="60" w:after="60"/>
                    <w:rPr>
                      <w:rFonts w:ascii="Arial" w:eastAsia="Calibri" w:hAnsi="Arial" w:cs="Arial"/>
                      <w:b/>
                      <w:szCs w:val="24"/>
                      <w:lang w:eastAsia="en-CA"/>
                    </w:rPr>
                  </w:pPr>
                  <w:proofErr w:type="spellStart"/>
                  <w:proofErr w:type="gramStart"/>
                  <w:r w:rsidRPr="007730E4">
                    <w:rPr>
                      <w:rFonts w:ascii="Arial" w:eastAsia="Calibri" w:hAnsi="Arial" w:cs="Arial"/>
                      <w:b/>
                      <w:szCs w:val="24"/>
                      <w:lang w:eastAsia="en-CA" w:bidi="en-US"/>
                    </w:rPr>
                    <w:t>d’exception</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76F5631B"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Article 307 (Accès aux marchés – Services), article 312 (Accès aux marchés – Investissement)</w:t>
                  </w:r>
                </w:p>
              </w:tc>
            </w:tr>
            <w:tr w:rsidR="007730E4" w:rsidRPr="007730E4" w14:paraId="2B9743F2"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62CE9E2E" w14:textId="77777777" w:rsidR="007730E4" w:rsidRPr="007730E4" w:rsidRDefault="007730E4" w:rsidP="007730E4">
                  <w:pPr>
                    <w:spacing w:before="60" w:after="60"/>
                    <w:rPr>
                      <w:rFonts w:ascii="Arial" w:eastAsia="Calibri" w:hAnsi="Arial" w:cs="Arial"/>
                      <w:b/>
                      <w:szCs w:val="24"/>
                      <w:lang w:eastAsia="en-CA" w:bidi="en-US"/>
                    </w:rPr>
                  </w:pPr>
                  <w:proofErr w:type="gramStart"/>
                  <w:r w:rsidRPr="007730E4">
                    <w:rPr>
                      <w:rFonts w:ascii="Arial" w:eastAsia="Calibri" w:hAnsi="Arial" w:cs="Arial"/>
                      <w:b/>
                      <w:szCs w:val="24"/>
                      <w:lang w:eastAsia="en-CA" w:bidi="en-US"/>
                    </w:rPr>
                    <w:t>Description :</w:t>
                  </w:r>
                  <w:proofErr w:type="gramEnd"/>
                  <w:r w:rsidRPr="007730E4">
                    <w:rPr>
                      <w:rFonts w:ascii="Arial" w:eastAsia="Calibri" w:hAnsi="Arial" w:cs="Arial"/>
                      <w:b/>
                      <w:szCs w:val="24"/>
                      <w:lang w:eastAsia="en-CA" w:bidi="en-US"/>
                    </w:rPr>
                    <w:t xml:space="preserve"> </w:t>
                  </w:r>
                </w:p>
              </w:tc>
            </w:tr>
            <w:tr w:rsidR="007730E4" w:rsidRPr="0068240F" w14:paraId="28EEA8C5"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651670B4"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 xml:space="preserve">La Société de gestion du cannabis est une société d’État du gouvernement du Nouveau-Brunswick qui est la seule à pouvoir effectuer l’importation, le commerce de gros, la vente au détail et la distribution de cannabis au Nouveau-Brunswick. Les mesures susmentionnées permettent au Nouveau-Brunswick de réglementer et d’autoriser l’importation, l’achat, la production, la distribution, l’approvisionnement, la commercialisation et la vente de cannabis au Nouveau-Brunswick. Cela comprend le droit de passer des contrats avec des fournisseurs de services afin qu’ils entreprennent l’importation, l’achat, la production, la distribution, l’approvisionnement, la commercialisation et la vente de cannabis au Nouveau-Brunswick au </w:t>
                  </w:r>
                  <w:r w:rsidRPr="007730E4">
                    <w:rPr>
                      <w:rFonts w:ascii="Arial" w:eastAsia="Calibri" w:hAnsi="Arial" w:cs="Arial"/>
                      <w:bCs/>
                      <w:szCs w:val="24"/>
                      <w:lang w:val="fr-CA" w:eastAsia="en-CA" w:bidi="en-US"/>
                    </w:rPr>
                    <w:lastRenderedPageBreak/>
                    <w:t>nom de la Société de gestion du cannabis. Le Nouveau-Brunswick se réserve le droit d’adopter ou de maintenir toute mesure limitant l’accès aux marchés dans les sous-secteurs susmentionnés.</w:t>
                  </w:r>
                </w:p>
              </w:tc>
            </w:tr>
            <w:tr w:rsidR="007730E4" w:rsidRPr="0068240F" w14:paraId="6FCE606B"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66CD5F50"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
                      <w:szCs w:val="24"/>
                      <w:lang w:val="fr-CA" w:eastAsia="en-CA" w:bidi="en-US"/>
                    </w:rPr>
                    <w:lastRenderedPageBreak/>
                    <w:t>Toute mesure existante :</w:t>
                  </w:r>
                  <w:r w:rsidRPr="007730E4">
                    <w:rPr>
                      <w:rFonts w:ascii="Arial" w:eastAsia="Calibri" w:hAnsi="Arial" w:cs="Arial"/>
                      <w:bCs/>
                      <w:szCs w:val="24"/>
                      <w:lang w:val="fr-CA" w:eastAsia="en-CA" w:bidi="en-US"/>
                    </w:rPr>
                    <w:t xml:space="preserve"> (À titre d’exemple seulement)</w:t>
                  </w:r>
                </w:p>
              </w:tc>
            </w:tr>
            <w:tr w:rsidR="007730E4" w:rsidRPr="0068240F" w14:paraId="077FAAD0"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5B55D956"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i/>
                      <w:iCs/>
                      <w:szCs w:val="24"/>
                      <w:lang w:val="fr-CA" w:eastAsia="en-CA" w:bidi="en-US"/>
                    </w:rPr>
                    <w:t>Loi constituant la Société de gestion du cannabis, LN-B 2018, ch. 3</w:t>
                  </w:r>
                </w:p>
              </w:tc>
            </w:tr>
          </w:tbl>
          <w:p w14:paraId="633CE9EE" w14:textId="77777777" w:rsidR="007730E4" w:rsidRPr="00F52884" w:rsidRDefault="007730E4" w:rsidP="000C25A3">
            <w:pPr>
              <w:spacing w:after="60"/>
              <w:rPr>
                <w:rFonts w:cstheme="minorHAnsi"/>
                <w:b/>
                <w:szCs w:val="23"/>
                <w:lang w:val="fr-FR"/>
              </w:rPr>
            </w:pPr>
          </w:p>
          <w:p w14:paraId="2F379F85" w14:textId="77777777" w:rsidR="00B8348C" w:rsidRPr="00F52884" w:rsidRDefault="00B8348C" w:rsidP="000C25A3">
            <w:pPr>
              <w:spacing w:after="60"/>
              <w:rPr>
                <w:rFonts w:cstheme="minorHAnsi"/>
                <w:szCs w:val="23"/>
                <w:lang w:val="fr-FR"/>
              </w:rPr>
            </w:pPr>
          </w:p>
        </w:tc>
      </w:tr>
    </w:tbl>
    <w:p w14:paraId="16CE99D0" w14:textId="77777777" w:rsidR="00B8348C" w:rsidRPr="00F52884" w:rsidRDefault="00B8348C">
      <w:pPr>
        <w:rPr>
          <w:rFonts w:eastAsia="Times New Roman" w:cstheme="minorHAnsi"/>
          <w:b/>
          <w:szCs w:val="23"/>
          <w:lang w:val="fr-FR"/>
        </w:rPr>
      </w:pPr>
    </w:p>
    <w:p w14:paraId="0EEF6C40" w14:textId="77777777" w:rsidR="00B8348C" w:rsidRPr="00F52884" w:rsidRDefault="00B8348C">
      <w:pPr>
        <w:rPr>
          <w:rFonts w:eastAsia="Times New Roman" w:cstheme="minorHAnsi"/>
          <w:b/>
          <w:szCs w:val="23"/>
          <w:lang w:val="fr-FR"/>
        </w:rPr>
      </w:pPr>
      <w:r w:rsidRPr="00F52884">
        <w:rPr>
          <w:rFonts w:eastAsia="Times New Roman" w:cstheme="minorHAnsi"/>
          <w:b/>
          <w:bCs/>
          <w:szCs w:val="23"/>
          <w:lang w:val="fr-CA"/>
        </w:rPr>
        <w:br w:type="page"/>
      </w:r>
    </w:p>
    <w:p w14:paraId="121882C2" w14:textId="77777777" w:rsidR="00B8348C" w:rsidRPr="00F52884" w:rsidRDefault="00B8348C" w:rsidP="00F52884">
      <w:pPr>
        <w:pStyle w:val="Heading3"/>
        <w:jc w:val="center"/>
        <w:rPr>
          <w:rFonts w:asciiTheme="minorHAnsi" w:hAnsiTheme="minorHAnsi" w:cstheme="minorHAnsi"/>
          <w:sz w:val="24"/>
          <w:szCs w:val="24"/>
          <w:lang w:val="fr-FR"/>
        </w:rPr>
      </w:pPr>
      <w:bookmarkStart w:id="311" w:name="_Toc476566354"/>
      <w:bookmarkStart w:id="312" w:name="_Toc156311807"/>
      <w:r w:rsidRPr="00F52884">
        <w:rPr>
          <w:rFonts w:asciiTheme="minorHAnsi" w:hAnsiTheme="minorHAnsi" w:cstheme="minorHAnsi"/>
          <w:sz w:val="24"/>
          <w:szCs w:val="24"/>
          <w:lang w:val="fr-CA"/>
        </w:rPr>
        <w:lastRenderedPageBreak/>
        <w:t>Liste du Manitoba</w:t>
      </w:r>
      <w:bookmarkEnd w:id="311"/>
      <w:bookmarkEnd w:id="312"/>
    </w:p>
    <w:p w14:paraId="515D0618" w14:textId="77777777" w:rsidR="00B8348C" w:rsidRPr="00F52884" w:rsidRDefault="00B8348C" w:rsidP="000C25A3">
      <w:pPr>
        <w:rPr>
          <w:rFonts w:eastAsia="Times New Roman" w:cstheme="minorHAnsi"/>
          <w:b/>
          <w:sz w:val="24"/>
          <w:szCs w:val="24"/>
          <w:lang w:val="fr-FR"/>
        </w:rPr>
      </w:pPr>
    </w:p>
    <w:p w14:paraId="78BFBAB4"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II</w:t>
      </w:r>
    </w:p>
    <w:p w14:paraId="6E6A927C" w14:textId="77777777" w:rsidR="00B8348C" w:rsidRPr="00F52884" w:rsidRDefault="00B8348C" w:rsidP="000C25A3">
      <w:pPr>
        <w:contextualSpacing/>
        <w:jc w:val="center"/>
        <w:outlineLvl w:val="2"/>
        <w:rPr>
          <w:rFonts w:eastAsia="Times New Roman" w:cstheme="minorHAnsi"/>
          <w:b/>
          <w:szCs w:val="23"/>
          <w:lang w:val="fr-FR"/>
        </w:rPr>
      </w:pPr>
    </w:p>
    <w:p w14:paraId="09828C12" w14:textId="6A6D43C5" w:rsidR="00B8348C" w:rsidRPr="00F52884" w:rsidRDefault="00B8348C" w:rsidP="007824FC">
      <w:pPr>
        <w:spacing w:before="60" w:after="60"/>
        <w:ind w:left="-360"/>
        <w:rPr>
          <w:rFonts w:cstheme="minorHAnsi"/>
          <w:b/>
          <w:szCs w:val="23"/>
        </w:rPr>
      </w:pPr>
      <w:r w:rsidRPr="00F52884">
        <w:rPr>
          <w:rFonts w:cstheme="minorHAnsi"/>
          <w:b/>
          <w:bCs/>
          <w:szCs w:val="23"/>
          <w:lang w:val="fr-CA"/>
        </w:rPr>
        <w:t xml:space="preserve">1. </w:t>
      </w:r>
      <w:r w:rsidR="007824FC" w:rsidRPr="00F52884">
        <w:rPr>
          <w:rFonts w:cstheme="minorHAnsi"/>
          <w:b/>
          <w:bCs/>
          <w:szCs w:val="23"/>
          <w:lang w:val="fr-CA"/>
        </w:rPr>
        <w:t xml:space="preserve"> </w:t>
      </w:r>
      <w:r w:rsidRPr="00F52884">
        <w:rPr>
          <w:rFonts w:cstheme="minorHAnsi"/>
          <w:b/>
          <w:bCs/>
          <w:szCs w:val="23"/>
          <w:lang w:val="fr-CA"/>
        </w:rPr>
        <w:t>MANITOBA</w:t>
      </w:r>
    </w:p>
    <w:tbl>
      <w:tblPr>
        <w:tblW w:w="10206" w:type="dxa"/>
        <w:jc w:val="center"/>
        <w:tblCellMar>
          <w:top w:w="14" w:type="dxa"/>
          <w:left w:w="86" w:type="dxa"/>
          <w:bottom w:w="14" w:type="dxa"/>
          <w:right w:w="86" w:type="dxa"/>
        </w:tblCellMar>
        <w:tblLook w:val="0000" w:firstRow="0" w:lastRow="0" w:firstColumn="0" w:lastColumn="0" w:noHBand="0" w:noVBand="0"/>
      </w:tblPr>
      <w:tblGrid>
        <w:gridCol w:w="2520"/>
        <w:gridCol w:w="7261"/>
        <w:gridCol w:w="425"/>
      </w:tblGrid>
      <w:tr w:rsidR="00B8348C" w:rsidRPr="00F52884" w14:paraId="75DA8DFB" w14:textId="77777777" w:rsidTr="007824FC">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70444D1A"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Secteur : </w:t>
            </w:r>
          </w:p>
        </w:tc>
        <w:tc>
          <w:tcPr>
            <w:tcW w:w="7686" w:type="dxa"/>
            <w:gridSpan w:val="2"/>
            <w:tcBorders>
              <w:top w:val="single" w:sz="4" w:space="0" w:color="C0C0C0"/>
              <w:left w:val="nil"/>
              <w:bottom w:val="single" w:sz="4" w:space="0" w:color="C0C0C0"/>
              <w:right w:val="single" w:sz="4" w:space="0" w:color="FFFFFF"/>
            </w:tcBorders>
            <w:vAlign w:val="center"/>
          </w:tcPr>
          <w:p w14:paraId="074ED1FD"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68240F" w14:paraId="317D1102" w14:textId="77777777" w:rsidTr="007824FC">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5C85C36D"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686" w:type="dxa"/>
            <w:gridSpan w:val="2"/>
            <w:tcBorders>
              <w:top w:val="single" w:sz="4" w:space="0" w:color="C0C0C0"/>
              <w:left w:val="nil"/>
              <w:bottom w:val="single" w:sz="4" w:space="0" w:color="C0C0C0"/>
              <w:right w:val="single" w:sz="4" w:space="0" w:color="FFFFFF"/>
            </w:tcBorders>
            <w:vAlign w:val="center"/>
          </w:tcPr>
          <w:p w14:paraId="12A72682"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courtage; services de commerce de gros; services de commerce de détail (spiritueux, vin et bière; magasins de bière, de vin et de spiritueux); fabrication de boissons alcoolisées</w:t>
            </w:r>
            <w:r w:rsidRPr="00F52884">
              <w:rPr>
                <w:rFonts w:cstheme="minorHAnsi"/>
                <w:b/>
                <w:bCs/>
                <w:szCs w:val="23"/>
                <w:lang w:val="fr-CA"/>
              </w:rPr>
              <w:t xml:space="preserve">   </w:t>
            </w:r>
          </w:p>
        </w:tc>
      </w:tr>
      <w:tr w:rsidR="00B8348C" w:rsidRPr="00F52884" w14:paraId="292FB211" w14:textId="77777777" w:rsidTr="007824FC">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26025404"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261" w:type="dxa"/>
            <w:tcBorders>
              <w:top w:val="single" w:sz="4" w:space="0" w:color="C0C0C0"/>
              <w:left w:val="nil"/>
              <w:bottom w:val="single" w:sz="4" w:space="0" w:color="C0C0C0"/>
              <w:right w:val="single" w:sz="4" w:space="0" w:color="FFFFFF"/>
            </w:tcBorders>
            <w:vAlign w:val="center"/>
          </w:tcPr>
          <w:p w14:paraId="425DF292" w14:textId="77777777" w:rsidR="00B8348C" w:rsidRPr="00F52884" w:rsidRDefault="00B8348C" w:rsidP="000C25A3">
            <w:pPr>
              <w:spacing w:before="60" w:after="60"/>
              <w:rPr>
                <w:rFonts w:cstheme="minorHAnsi"/>
                <w:szCs w:val="23"/>
              </w:rPr>
            </w:pPr>
            <w:r w:rsidRPr="00F52884">
              <w:rPr>
                <w:rFonts w:cstheme="minorHAnsi"/>
                <w:szCs w:val="23"/>
                <w:lang w:val="fr-CA"/>
              </w:rPr>
              <w:t>CPC 24 (autre que 244), 62112, 62226, 63107</w:t>
            </w:r>
          </w:p>
        </w:tc>
      </w:tr>
      <w:tr w:rsidR="00B8348C" w:rsidRPr="0068240F" w14:paraId="12D55FAF" w14:textId="77777777" w:rsidTr="007824FC">
        <w:trPr>
          <w:trHeight w:val="42"/>
          <w:jc w:val="center"/>
        </w:trPr>
        <w:tc>
          <w:tcPr>
            <w:tcW w:w="2520" w:type="dxa"/>
            <w:tcBorders>
              <w:top w:val="single" w:sz="4" w:space="0" w:color="C0C0C0"/>
              <w:left w:val="nil"/>
              <w:bottom w:val="single" w:sz="4" w:space="0" w:color="C0C0C0"/>
            </w:tcBorders>
          </w:tcPr>
          <w:p w14:paraId="25CF06A7" w14:textId="39EB0AB6"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686" w:type="dxa"/>
            <w:gridSpan w:val="2"/>
            <w:tcBorders>
              <w:top w:val="single" w:sz="4" w:space="0" w:color="C0C0C0"/>
              <w:left w:val="nil"/>
              <w:bottom w:val="single" w:sz="4" w:space="0" w:color="C0C0C0"/>
            </w:tcBorders>
          </w:tcPr>
          <w:p w14:paraId="123EEB4B" w14:textId="77777777"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301 (Droit d’entrée et de sortie), article 307 (Accès aux marchés – Services), article 312 (Accès aux marchés – Investissement)</w:t>
            </w:r>
          </w:p>
        </w:tc>
      </w:tr>
      <w:tr w:rsidR="00B8348C" w:rsidRPr="00F52884" w14:paraId="73C8D4D6" w14:textId="77777777" w:rsidTr="007824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1EC48256"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03010568" w14:textId="77777777" w:rsidTr="007824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7A9A0D66" w14:textId="77777777" w:rsidR="00B8348C" w:rsidRPr="00F52884" w:rsidRDefault="00B8348C" w:rsidP="000C25A3">
            <w:pPr>
              <w:pStyle w:val="NoSpacing"/>
              <w:spacing w:before="60" w:after="60"/>
              <w:rPr>
                <w:rFonts w:cstheme="minorHAnsi"/>
                <w:sz w:val="23"/>
                <w:szCs w:val="23"/>
                <w:lang w:val="fr-FR"/>
              </w:rPr>
            </w:pPr>
            <w:r w:rsidRPr="00F52884">
              <w:rPr>
                <w:rFonts w:cstheme="minorHAnsi"/>
                <w:sz w:val="23"/>
                <w:szCs w:val="23"/>
                <w:lang w:val="fr-CA"/>
              </w:rPr>
              <w:t>Le Manitoba se réserve le droit d’adopter ou de maintenir toute mesure limitant l’accès aux marchés ou le droit d’entrée et de sortie dans les sous-secteurs susmentionnés.</w:t>
            </w:r>
          </w:p>
        </w:tc>
      </w:tr>
      <w:tr w:rsidR="00B8348C" w:rsidRPr="00F52884" w14:paraId="01184BFB" w14:textId="77777777" w:rsidTr="007824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cPr>
          <w:p w14:paraId="59392A4A" w14:textId="77777777" w:rsidR="00B8348C" w:rsidRPr="00F52884" w:rsidRDefault="00B8348C" w:rsidP="000C25A3">
            <w:pPr>
              <w:pStyle w:val="NoSpacing"/>
              <w:spacing w:before="60" w:after="60"/>
              <w:rPr>
                <w:rFonts w:cstheme="minorHAnsi"/>
                <w:caps/>
                <w:sz w:val="23"/>
                <w:szCs w:val="23"/>
              </w:rPr>
            </w:pPr>
            <w:r w:rsidRPr="00F52884">
              <w:rPr>
                <w:rFonts w:cstheme="minorHAnsi"/>
                <w:b/>
                <w:bCs/>
                <w:sz w:val="23"/>
                <w:szCs w:val="23"/>
                <w:lang w:val="fr-CA"/>
              </w:rPr>
              <w:t>Toute mesure existante :</w:t>
            </w:r>
            <w:r w:rsidRPr="00F52884">
              <w:rPr>
                <w:rFonts w:cstheme="minorHAnsi"/>
                <w:caps/>
                <w:sz w:val="23"/>
                <w:szCs w:val="23"/>
                <w:lang w:val="fr-CA"/>
              </w:rPr>
              <w:t xml:space="preserve"> </w:t>
            </w:r>
          </w:p>
        </w:tc>
      </w:tr>
      <w:tr w:rsidR="00B8348C" w:rsidRPr="00F52884" w14:paraId="3271D295" w14:textId="77777777" w:rsidTr="007824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1C27804D" w14:textId="77777777" w:rsidR="0068240F" w:rsidRPr="00F52884" w:rsidRDefault="0068240F" w:rsidP="000C25A3">
            <w:pPr>
              <w:pStyle w:val="NoSpacing"/>
              <w:rPr>
                <w:rFonts w:cstheme="minorHAnsi"/>
                <w:b/>
                <w:sz w:val="23"/>
                <w:szCs w:val="23"/>
              </w:rPr>
            </w:pPr>
          </w:p>
        </w:tc>
      </w:tr>
    </w:tbl>
    <w:p w14:paraId="53A85D7B" w14:textId="77777777" w:rsidR="00B8348C" w:rsidRPr="00F52884" w:rsidRDefault="00B8348C" w:rsidP="000C25A3">
      <w:pPr>
        <w:rPr>
          <w:rFonts w:cstheme="minorHAnsi"/>
          <w:szCs w:val="23"/>
        </w:rPr>
      </w:pPr>
    </w:p>
    <w:p w14:paraId="7895D0F0" w14:textId="27A4FB0F" w:rsidR="00B8348C" w:rsidRPr="00F52884" w:rsidRDefault="00A927CB" w:rsidP="00F52884">
      <w:pPr>
        <w:pStyle w:val="ListParagraph"/>
        <w:spacing w:before="60" w:after="60"/>
        <w:ind w:left="-270"/>
        <w:rPr>
          <w:rFonts w:cstheme="minorHAnsi"/>
          <w:b/>
          <w:szCs w:val="23"/>
        </w:rPr>
      </w:pPr>
      <w:r>
        <w:rPr>
          <w:rFonts w:cstheme="minorHAnsi"/>
          <w:b/>
          <w:bCs/>
          <w:szCs w:val="23"/>
          <w:lang w:val="fr-CA"/>
        </w:rPr>
        <w:t>2</w:t>
      </w:r>
      <w:r w:rsidR="00B8348C" w:rsidRPr="00F52884">
        <w:rPr>
          <w:rFonts w:cstheme="minorHAnsi"/>
          <w:b/>
          <w:bCs/>
          <w:szCs w:val="23"/>
          <w:lang w:val="fr-CA"/>
        </w:rPr>
        <w:t xml:space="preserve">. </w:t>
      </w:r>
      <w:r w:rsidR="007824FC" w:rsidRPr="00F52884">
        <w:rPr>
          <w:rFonts w:cstheme="minorHAnsi"/>
          <w:b/>
          <w:bCs/>
          <w:szCs w:val="23"/>
          <w:lang w:val="fr-CA"/>
        </w:rPr>
        <w:t xml:space="preserve"> </w:t>
      </w:r>
      <w:r w:rsidR="00B8348C" w:rsidRPr="00F52884">
        <w:rPr>
          <w:rFonts w:cstheme="minorHAnsi"/>
          <w:b/>
          <w:bCs/>
          <w:szCs w:val="23"/>
          <w:lang w:val="fr-CA"/>
        </w:rPr>
        <w:t>MANITOBA</w:t>
      </w:r>
    </w:p>
    <w:tbl>
      <w:tblPr>
        <w:tblW w:w="10116" w:type="dxa"/>
        <w:jc w:val="center"/>
        <w:tblCellMar>
          <w:top w:w="14" w:type="dxa"/>
          <w:left w:w="86" w:type="dxa"/>
          <w:bottom w:w="14" w:type="dxa"/>
          <w:right w:w="86" w:type="dxa"/>
        </w:tblCellMar>
        <w:tblLook w:val="0000" w:firstRow="0" w:lastRow="0" w:firstColumn="0" w:lastColumn="0" w:noHBand="0" w:noVBand="0"/>
      </w:tblPr>
      <w:tblGrid>
        <w:gridCol w:w="2340"/>
        <w:gridCol w:w="7351"/>
        <w:gridCol w:w="425"/>
      </w:tblGrid>
      <w:tr w:rsidR="00B8348C" w:rsidRPr="00F52884" w14:paraId="3C9BFF8F"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267D9002"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3A0A6A47"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2C297990"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47A7DBA7"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0DA2732F" w14:textId="77777777" w:rsidR="00B8348C" w:rsidRPr="00F52884" w:rsidRDefault="00B8348C" w:rsidP="000C25A3">
            <w:pPr>
              <w:spacing w:before="60" w:after="60"/>
              <w:rPr>
                <w:rFonts w:cstheme="minorHAnsi"/>
                <w:szCs w:val="23"/>
                <w:lang w:val="fr-FR"/>
              </w:rPr>
            </w:pPr>
            <w:r w:rsidRPr="00F52884">
              <w:rPr>
                <w:rFonts w:cstheme="minorHAnsi"/>
                <w:szCs w:val="23"/>
                <w:lang w:val="fr-CA"/>
              </w:rPr>
              <w:t>Pétrole brut et gaz naturel; énergie électrique; services annexes à la distribution d’énergie</w:t>
            </w:r>
          </w:p>
        </w:tc>
      </w:tr>
      <w:tr w:rsidR="00B8348C" w:rsidRPr="00F52884" w14:paraId="42D7DEE9" w14:textId="77777777" w:rsidTr="000C25A3">
        <w:trPr>
          <w:gridAfter w:val="1"/>
          <w:wAfter w:w="425"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4E295896"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23385314" w14:textId="77777777" w:rsidR="00B8348C" w:rsidRPr="00F52884" w:rsidRDefault="00B8348C" w:rsidP="000C25A3">
            <w:pPr>
              <w:spacing w:before="60" w:after="60"/>
              <w:rPr>
                <w:rFonts w:cstheme="minorHAnsi"/>
                <w:b/>
                <w:szCs w:val="23"/>
              </w:rPr>
            </w:pPr>
            <w:r w:rsidRPr="00F52884">
              <w:rPr>
                <w:rFonts w:cstheme="minorHAnsi"/>
                <w:szCs w:val="23"/>
                <w:lang w:val="fr-CA"/>
              </w:rPr>
              <w:t>CPC 120, 171, 887</w:t>
            </w:r>
          </w:p>
        </w:tc>
      </w:tr>
      <w:tr w:rsidR="00B8348C" w:rsidRPr="0068240F" w14:paraId="09AC8A75" w14:textId="77777777" w:rsidTr="000C25A3">
        <w:trPr>
          <w:trHeight w:val="42"/>
          <w:jc w:val="center"/>
        </w:trPr>
        <w:tc>
          <w:tcPr>
            <w:tcW w:w="2340" w:type="dxa"/>
            <w:tcBorders>
              <w:top w:val="single" w:sz="4" w:space="0" w:color="C0C0C0"/>
              <w:left w:val="nil"/>
              <w:bottom w:val="single" w:sz="4" w:space="0" w:color="C0C0C0"/>
            </w:tcBorders>
          </w:tcPr>
          <w:p w14:paraId="6E8F76C5" w14:textId="430B205A"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76" w:type="dxa"/>
            <w:gridSpan w:val="2"/>
            <w:tcBorders>
              <w:top w:val="single" w:sz="4" w:space="0" w:color="C0C0C0"/>
              <w:left w:val="nil"/>
              <w:bottom w:val="single" w:sz="4" w:space="0" w:color="C0C0C0"/>
            </w:tcBorders>
          </w:tcPr>
          <w:p w14:paraId="10CC5383" w14:textId="77777777"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301 (Droit d’entrée et de sortie), article 307 (Accès aux marchés – Services), article 312 (Accès aux marchés – Investissement)</w:t>
            </w:r>
          </w:p>
        </w:tc>
      </w:tr>
      <w:tr w:rsidR="00B8348C" w:rsidRPr="00F52884" w14:paraId="6058EE3A"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B485105"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0751F66D" w14:textId="77777777" w:rsidTr="000C25A3">
        <w:trPr>
          <w:trHeight w:val="120"/>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4EB816DD" w14:textId="77777777" w:rsidR="00B8348C" w:rsidRPr="00F52884" w:rsidRDefault="00B8348C" w:rsidP="000C25A3">
            <w:pPr>
              <w:pStyle w:val="NoSpacing"/>
              <w:spacing w:before="60" w:after="60"/>
              <w:rPr>
                <w:rFonts w:cstheme="minorHAnsi"/>
                <w:sz w:val="23"/>
                <w:szCs w:val="23"/>
                <w:lang w:val="fr-FR"/>
              </w:rPr>
            </w:pPr>
            <w:r w:rsidRPr="00F52884">
              <w:rPr>
                <w:rFonts w:cstheme="minorHAnsi"/>
                <w:sz w:val="23"/>
                <w:szCs w:val="23"/>
                <w:lang w:val="fr-CA"/>
              </w:rPr>
              <w:t>Le Manitoba se réserve le droit d’adopter ou de maintenir toute mesure limitant l’accès aux marchés ou le droit d’entrée et de sortie dans les sous-secteurs susmentionnés.</w:t>
            </w:r>
          </w:p>
        </w:tc>
      </w:tr>
      <w:tr w:rsidR="00B8348C" w:rsidRPr="00F52884" w14:paraId="12DE1391"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cPr>
          <w:p w14:paraId="6E677AC7" w14:textId="77777777" w:rsidR="00B8348C" w:rsidRPr="00F52884" w:rsidRDefault="00B8348C" w:rsidP="000C25A3">
            <w:pPr>
              <w:pStyle w:val="NoSpacing"/>
              <w:spacing w:before="60" w:after="60"/>
              <w:rPr>
                <w:rFonts w:cstheme="minorHAnsi"/>
                <w:caps/>
                <w:sz w:val="23"/>
                <w:szCs w:val="23"/>
              </w:rPr>
            </w:pPr>
            <w:r w:rsidRPr="00F52884">
              <w:rPr>
                <w:rFonts w:cstheme="minorHAnsi"/>
                <w:b/>
                <w:bCs/>
                <w:sz w:val="23"/>
                <w:szCs w:val="23"/>
                <w:lang w:val="fr-CA"/>
              </w:rPr>
              <w:t>Toute mesure existante :</w:t>
            </w:r>
            <w:r w:rsidRPr="00F52884">
              <w:rPr>
                <w:rFonts w:cstheme="minorHAnsi"/>
                <w:caps/>
                <w:sz w:val="23"/>
                <w:szCs w:val="23"/>
                <w:lang w:val="fr-CA"/>
              </w:rPr>
              <w:t xml:space="preserve"> </w:t>
            </w:r>
          </w:p>
        </w:tc>
      </w:tr>
      <w:tr w:rsidR="00B8348C" w:rsidRPr="00F52884" w14:paraId="02CB5C2C"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6CA14B1C" w14:textId="77777777" w:rsidR="00B8348C" w:rsidRPr="00F52884" w:rsidRDefault="00B8348C" w:rsidP="000C25A3">
            <w:pPr>
              <w:pStyle w:val="NoSpacing"/>
              <w:spacing w:before="60" w:after="60"/>
              <w:rPr>
                <w:rFonts w:cstheme="minorHAnsi"/>
                <w:b/>
                <w:sz w:val="23"/>
                <w:szCs w:val="23"/>
              </w:rPr>
            </w:pPr>
          </w:p>
        </w:tc>
      </w:tr>
    </w:tbl>
    <w:p w14:paraId="4E9BC625" w14:textId="77777777" w:rsidR="00B8348C" w:rsidRDefault="00B8348C" w:rsidP="000C25A3">
      <w:pPr>
        <w:rPr>
          <w:rFonts w:cstheme="minorHAnsi"/>
          <w:szCs w:val="23"/>
        </w:rPr>
      </w:pPr>
    </w:p>
    <w:p w14:paraId="268EEB05" w14:textId="77777777" w:rsidR="007730E4" w:rsidRDefault="007730E4" w:rsidP="000C25A3">
      <w:pPr>
        <w:rPr>
          <w:rFonts w:cstheme="minorHAnsi"/>
          <w:szCs w:val="23"/>
        </w:rPr>
      </w:pPr>
    </w:p>
    <w:p w14:paraId="43A73483" w14:textId="77777777" w:rsidR="007730E4" w:rsidRPr="007730E4" w:rsidRDefault="007730E4" w:rsidP="007730E4">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7730E4">
        <w:rPr>
          <w:rFonts w:ascii="Arial" w:eastAsia="Times New Roman" w:hAnsi="Arial" w:cs="Arial"/>
          <w:b/>
          <w:bCs/>
          <w:caps/>
          <w:szCs w:val="23"/>
          <w:lang w:val="fr-CA"/>
        </w:rPr>
        <w:t xml:space="preserve">3. </w:t>
      </w:r>
      <w:r w:rsidRPr="007730E4">
        <w:rPr>
          <w:rFonts w:ascii="Arial" w:eastAsia="Times New Roman" w:hAnsi="Arial" w:cs="Arial"/>
          <w:b/>
          <w:bCs/>
          <w:szCs w:val="23"/>
          <w:lang w:val="fr-CA"/>
        </w:rPr>
        <w:t>MANITOBA</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7730E4" w:rsidRPr="007730E4" w14:paraId="0CB3E214"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0096705E" w14:textId="77777777" w:rsidR="007730E4" w:rsidRPr="007730E4" w:rsidRDefault="007730E4" w:rsidP="007730E4">
            <w:pPr>
              <w:spacing w:before="60" w:after="60"/>
              <w:rPr>
                <w:rFonts w:ascii="Arial" w:eastAsia="Calibri" w:hAnsi="Arial" w:cs="Arial"/>
                <w:b/>
                <w:szCs w:val="24"/>
                <w:lang w:eastAsia="en-CA" w:bidi="en-US"/>
              </w:rPr>
            </w:pP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r w:rsidRPr="007730E4">
              <w:rPr>
                <w:rFonts w:ascii="Arial" w:eastAsia="Calibri" w:hAnsi="Arial" w:cs="Arial"/>
                <w:b/>
                <w:szCs w:val="24"/>
                <w:lang w:eastAsia="en-CA" w:bidi="en-US"/>
              </w:rPr>
              <w:t xml:space="preserve"> </w:t>
            </w:r>
          </w:p>
          <w:p w14:paraId="26617368" w14:textId="77777777" w:rsidR="007730E4" w:rsidRPr="007730E4" w:rsidRDefault="007730E4" w:rsidP="007730E4">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03952B89" w14:textId="77777777" w:rsidR="007730E4" w:rsidRPr="007730E4" w:rsidRDefault="007730E4" w:rsidP="007730E4">
            <w:pPr>
              <w:spacing w:before="60" w:after="60" w:line="42" w:lineRule="atLeast"/>
              <w:rPr>
                <w:rFonts w:ascii="Arial" w:eastAsia="Calibri" w:hAnsi="Arial" w:cs="Arial"/>
                <w:bCs/>
                <w:szCs w:val="24"/>
                <w:lang w:eastAsia="en-CA" w:bidi="en-US"/>
              </w:rPr>
            </w:pPr>
            <w:r w:rsidRPr="007730E4">
              <w:rPr>
                <w:rFonts w:ascii="Arial" w:eastAsia="Calibri" w:hAnsi="Arial" w:cs="Arial"/>
                <w:bCs/>
                <w:szCs w:val="24"/>
                <w:lang w:eastAsia="en-CA" w:bidi="en-US"/>
              </w:rPr>
              <w:t>Cannabis</w:t>
            </w:r>
          </w:p>
        </w:tc>
      </w:tr>
      <w:tr w:rsidR="007730E4" w:rsidRPr="0068240F" w14:paraId="06C57410"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BF4D70B"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lastRenderedPageBreak/>
              <w:t>Sous-</w:t>
            </w: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2AEAA4EA" w14:textId="77777777" w:rsidR="007730E4" w:rsidRPr="007730E4" w:rsidRDefault="007730E4" w:rsidP="007730E4">
            <w:pPr>
              <w:rPr>
                <w:rFonts w:ascii="Arial" w:eastAsia="Calibri" w:hAnsi="Arial" w:cs="Arial"/>
                <w:bCs/>
                <w:szCs w:val="24"/>
                <w:lang w:val="fr-CA" w:eastAsia="en-CA" w:bidi="en-US"/>
              </w:rPr>
            </w:pPr>
            <w:r w:rsidRPr="007730E4">
              <w:rPr>
                <w:rFonts w:ascii="Arial" w:eastAsia="Calibri" w:hAnsi="Arial" w:cs="Arial"/>
                <w:bCs/>
                <w:szCs w:val="24"/>
                <w:lang w:val="fr-CA" w:eastAsia="en-CA" w:bidi="en-US"/>
              </w:rPr>
              <w:t>Cannabis; Services auxiliaires à la production de plantes de cannabis; Fabrication du cannabis; Services de commerce de gros, y compris à forfait ou sous contrat; Services de commerce de détail, y compris à forfait ou sous contrat; Tous les autres services relatifs au cannabis qui ne sont pas visés par B, C, D et E</w:t>
            </w:r>
          </w:p>
        </w:tc>
      </w:tr>
      <w:tr w:rsidR="007730E4" w:rsidRPr="007730E4" w14:paraId="02C107BA"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60022F20"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t xml:space="preserve">Classification de </w:t>
            </w:r>
            <w:proofErr w:type="spellStart"/>
            <w:proofErr w:type="gramStart"/>
            <w:r w:rsidRPr="007730E4">
              <w:rPr>
                <w:rFonts w:ascii="Arial" w:eastAsia="Calibri" w:hAnsi="Arial" w:cs="Arial"/>
                <w:b/>
                <w:szCs w:val="24"/>
                <w:lang w:eastAsia="en-CA" w:bidi="en-US"/>
              </w:rPr>
              <w:t>l’industrie</w:t>
            </w:r>
            <w:proofErr w:type="spellEnd"/>
            <w:r w:rsidRPr="007730E4">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4ED6C9FF"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 xml:space="preserve">A, B, C, D, E, F </w:t>
            </w:r>
          </w:p>
        </w:tc>
        <w:tc>
          <w:tcPr>
            <w:tcW w:w="390" w:type="dxa"/>
            <w:tcBorders>
              <w:top w:val="nil"/>
              <w:left w:val="nil"/>
              <w:bottom w:val="single" w:sz="8" w:space="0" w:color="C0C0C0"/>
              <w:right w:val="nil"/>
            </w:tcBorders>
            <w:vAlign w:val="center"/>
            <w:hideMark/>
          </w:tcPr>
          <w:p w14:paraId="211020A4"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 </w:t>
            </w:r>
          </w:p>
        </w:tc>
      </w:tr>
      <w:tr w:rsidR="007730E4" w:rsidRPr="0068240F" w14:paraId="02E8D850"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42521D5F" w14:textId="77777777" w:rsidR="007730E4" w:rsidRPr="007730E4" w:rsidRDefault="007730E4" w:rsidP="007730E4">
            <w:pPr>
              <w:spacing w:before="60" w:after="60"/>
              <w:rPr>
                <w:rFonts w:ascii="Arial" w:eastAsia="Calibri" w:hAnsi="Arial" w:cs="Arial"/>
                <w:b/>
                <w:szCs w:val="24"/>
                <w:lang w:eastAsia="en-CA"/>
              </w:rPr>
            </w:pPr>
            <w:r w:rsidRPr="007730E4">
              <w:rPr>
                <w:rFonts w:ascii="Arial" w:eastAsia="Calibri" w:hAnsi="Arial" w:cs="Arial"/>
                <w:b/>
                <w:szCs w:val="24"/>
                <w:lang w:eastAsia="en-CA" w:bidi="en-US"/>
              </w:rPr>
              <w:t>Type</w:t>
            </w:r>
          </w:p>
          <w:p w14:paraId="633DA532" w14:textId="77777777" w:rsidR="007730E4" w:rsidRPr="007730E4" w:rsidRDefault="007730E4" w:rsidP="007730E4">
            <w:pPr>
              <w:spacing w:before="60" w:after="60"/>
              <w:rPr>
                <w:rFonts w:ascii="Arial" w:eastAsia="Calibri" w:hAnsi="Arial" w:cs="Arial"/>
                <w:b/>
                <w:szCs w:val="24"/>
                <w:lang w:eastAsia="en-CA"/>
              </w:rPr>
            </w:pPr>
            <w:proofErr w:type="spellStart"/>
            <w:proofErr w:type="gramStart"/>
            <w:r w:rsidRPr="007730E4">
              <w:rPr>
                <w:rFonts w:ascii="Arial" w:eastAsia="Calibri" w:hAnsi="Arial" w:cs="Arial"/>
                <w:b/>
                <w:szCs w:val="24"/>
                <w:lang w:eastAsia="en-CA" w:bidi="en-US"/>
              </w:rPr>
              <w:t>d’exception</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4EF75E48"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Article 301 (Droit d’entrée et de sortie), article 307 (Accès aux marchés – Services), article 312 (Accès aux marchés – Investissement)</w:t>
            </w:r>
          </w:p>
        </w:tc>
      </w:tr>
      <w:tr w:rsidR="007730E4" w:rsidRPr="007730E4" w14:paraId="72866A34"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39BF149C" w14:textId="77777777" w:rsidR="007730E4" w:rsidRPr="007730E4" w:rsidRDefault="007730E4" w:rsidP="007730E4">
            <w:pPr>
              <w:spacing w:before="60" w:after="60"/>
              <w:rPr>
                <w:rFonts w:ascii="Arial" w:eastAsia="Calibri" w:hAnsi="Arial" w:cs="Arial"/>
                <w:b/>
                <w:szCs w:val="24"/>
                <w:lang w:eastAsia="en-CA" w:bidi="en-US"/>
              </w:rPr>
            </w:pPr>
            <w:proofErr w:type="gramStart"/>
            <w:r w:rsidRPr="007730E4">
              <w:rPr>
                <w:rFonts w:ascii="Arial" w:eastAsia="Calibri" w:hAnsi="Arial" w:cs="Arial"/>
                <w:b/>
                <w:szCs w:val="24"/>
                <w:lang w:eastAsia="en-CA" w:bidi="en-US"/>
              </w:rPr>
              <w:t>Description :</w:t>
            </w:r>
            <w:proofErr w:type="gramEnd"/>
            <w:r w:rsidRPr="007730E4">
              <w:rPr>
                <w:rFonts w:ascii="Arial" w:eastAsia="Calibri" w:hAnsi="Arial" w:cs="Arial"/>
                <w:b/>
                <w:szCs w:val="24"/>
                <w:lang w:eastAsia="en-CA" w:bidi="en-US"/>
              </w:rPr>
              <w:t xml:space="preserve"> </w:t>
            </w:r>
          </w:p>
        </w:tc>
      </w:tr>
      <w:tr w:rsidR="007730E4" w:rsidRPr="0068240F" w14:paraId="63B551AE"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29A55350"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 xml:space="preserve">Le Manitoba se réserve le droit d’adopter ou de maintenir toute mesure limitant l’accès aux marchés ou le droit d’entrée et de sortie dans les sous-secteurs susmentionnés. </w:t>
            </w:r>
          </w:p>
          <w:p w14:paraId="4679F8CE"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 xml:space="preserve">La Société manitobaine des alcools et des loteries conserve le droit exclusif d’importer et de distribuer en gros du cannabis au Manitoba. </w:t>
            </w:r>
          </w:p>
          <w:p w14:paraId="504AE162"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Les plébiscites municipaux sont autorisés à interdire la vente de cannabis dans un magasin de cannabis de la municipalité ou à lever une telle interdiction.</w:t>
            </w:r>
          </w:p>
        </w:tc>
      </w:tr>
      <w:tr w:rsidR="007730E4" w:rsidRPr="0068240F" w14:paraId="54BB5432"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3E0B5B53"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
                <w:szCs w:val="24"/>
                <w:lang w:val="fr-CA" w:eastAsia="en-CA" w:bidi="en-US"/>
              </w:rPr>
              <w:t>Toute mesure existante :</w:t>
            </w:r>
            <w:r w:rsidRPr="007730E4">
              <w:rPr>
                <w:rFonts w:ascii="Arial" w:eastAsia="Calibri" w:hAnsi="Arial" w:cs="Arial"/>
                <w:bCs/>
                <w:szCs w:val="24"/>
                <w:lang w:val="fr-CA" w:eastAsia="en-CA" w:bidi="en-US"/>
              </w:rPr>
              <w:t xml:space="preserve"> (À titre d’exemple seulement)</w:t>
            </w:r>
          </w:p>
        </w:tc>
      </w:tr>
      <w:tr w:rsidR="007730E4" w:rsidRPr="007730E4" w14:paraId="49A25B95"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3199E239" w14:textId="77777777" w:rsidR="007730E4" w:rsidRPr="007730E4" w:rsidRDefault="007730E4" w:rsidP="007730E4">
            <w:pPr>
              <w:spacing w:before="60" w:after="60"/>
              <w:rPr>
                <w:rFonts w:ascii="Arial" w:eastAsia="Calibri" w:hAnsi="Arial" w:cs="Arial"/>
                <w:bCs/>
                <w:i/>
                <w:iCs/>
                <w:szCs w:val="24"/>
                <w:lang w:val="fr-CA" w:eastAsia="en-CA" w:bidi="en-US"/>
              </w:rPr>
            </w:pPr>
            <w:r w:rsidRPr="007730E4">
              <w:rPr>
                <w:rFonts w:ascii="Arial" w:eastAsia="Calibri" w:hAnsi="Arial" w:cs="Arial"/>
                <w:bCs/>
                <w:i/>
                <w:iCs/>
                <w:szCs w:val="24"/>
                <w:lang w:val="fr-CA" w:eastAsia="en-CA" w:bidi="en-US"/>
              </w:rPr>
              <w:t xml:space="preserve">Loi sur la Société manitobaine des alcools et des loteries, ch. L155 de la C.P.L.M. </w:t>
            </w:r>
          </w:p>
          <w:p w14:paraId="7788794C" w14:textId="77777777" w:rsidR="007730E4" w:rsidRPr="007730E4" w:rsidRDefault="007730E4" w:rsidP="007730E4">
            <w:pPr>
              <w:spacing w:before="60" w:after="60"/>
              <w:rPr>
                <w:rFonts w:ascii="Arial" w:eastAsia="Calibri" w:hAnsi="Arial" w:cs="Arial"/>
                <w:bCs/>
                <w:szCs w:val="24"/>
                <w:lang w:eastAsia="en-CA" w:bidi="en-US"/>
              </w:rPr>
            </w:pPr>
            <w:r w:rsidRPr="007730E4">
              <w:rPr>
                <w:rFonts w:ascii="Arial" w:eastAsia="Calibri" w:hAnsi="Arial" w:cs="Arial"/>
                <w:bCs/>
                <w:i/>
                <w:iCs/>
                <w:szCs w:val="24"/>
                <w:lang w:val="fr-CA" w:eastAsia="en-CA" w:bidi="en-US"/>
              </w:rPr>
              <w:t>Loi sur la réglementation des alcools, des jeux et du cannabis, ch. </w:t>
            </w:r>
            <w:r w:rsidRPr="007730E4">
              <w:rPr>
                <w:rFonts w:ascii="Arial" w:eastAsia="Calibri" w:hAnsi="Arial" w:cs="Arial"/>
                <w:bCs/>
                <w:i/>
                <w:iCs/>
                <w:szCs w:val="24"/>
                <w:lang w:eastAsia="en-CA" w:bidi="en-US"/>
              </w:rPr>
              <w:t>L153 de la C.P.L.M.</w:t>
            </w:r>
          </w:p>
        </w:tc>
      </w:tr>
    </w:tbl>
    <w:p w14:paraId="147D0254" w14:textId="77777777" w:rsidR="007730E4" w:rsidRPr="00F52884" w:rsidRDefault="007730E4" w:rsidP="000C25A3">
      <w:pPr>
        <w:rPr>
          <w:rFonts w:cstheme="minorHAnsi"/>
          <w:szCs w:val="23"/>
        </w:rPr>
      </w:pPr>
    </w:p>
    <w:p w14:paraId="416BBE8C" w14:textId="77777777" w:rsidR="00B8348C" w:rsidRPr="00F52884" w:rsidRDefault="00B8348C" w:rsidP="000C25A3">
      <w:pPr>
        <w:rPr>
          <w:rFonts w:cstheme="minorHAnsi"/>
          <w:szCs w:val="23"/>
        </w:rPr>
      </w:pPr>
    </w:p>
    <w:p w14:paraId="5D79CF88" w14:textId="77777777" w:rsidR="00B8348C" w:rsidRPr="00F52884" w:rsidRDefault="00B8348C">
      <w:pPr>
        <w:rPr>
          <w:rFonts w:cstheme="minorHAnsi"/>
          <w:szCs w:val="23"/>
        </w:rPr>
      </w:pPr>
      <w:r w:rsidRPr="00F52884">
        <w:rPr>
          <w:rFonts w:cstheme="minorHAnsi"/>
          <w:szCs w:val="23"/>
          <w:lang w:val="fr-CA"/>
        </w:rPr>
        <w:br w:type="page"/>
      </w:r>
    </w:p>
    <w:p w14:paraId="251B89F9" w14:textId="77777777" w:rsidR="00B8348C" w:rsidRPr="00592D28" w:rsidRDefault="00B8348C" w:rsidP="000C25A3">
      <w:pPr>
        <w:contextualSpacing/>
        <w:jc w:val="center"/>
        <w:outlineLvl w:val="2"/>
        <w:rPr>
          <w:rFonts w:eastAsia="Times New Roman" w:cstheme="minorHAnsi"/>
          <w:b/>
          <w:bCs/>
          <w:sz w:val="24"/>
          <w:szCs w:val="24"/>
          <w:lang w:val="fr-CA"/>
        </w:rPr>
      </w:pPr>
      <w:bookmarkStart w:id="313" w:name="_Toc476566355"/>
      <w:bookmarkStart w:id="314" w:name="_Toc156311808"/>
      <w:r w:rsidRPr="00592D28">
        <w:rPr>
          <w:rFonts w:eastAsia="Times New Roman" w:cstheme="minorHAnsi"/>
          <w:b/>
          <w:bCs/>
          <w:sz w:val="24"/>
          <w:szCs w:val="24"/>
          <w:lang w:val="fr-CA"/>
        </w:rPr>
        <w:lastRenderedPageBreak/>
        <w:t>Liste de la Colombie-Britannique</w:t>
      </w:r>
      <w:bookmarkEnd w:id="313"/>
      <w:bookmarkEnd w:id="314"/>
    </w:p>
    <w:p w14:paraId="2C88C8B6" w14:textId="77777777" w:rsidR="00B8348C" w:rsidRPr="00592D28" w:rsidRDefault="00B8348C" w:rsidP="000C25A3">
      <w:pPr>
        <w:rPr>
          <w:rFonts w:cstheme="minorHAnsi"/>
          <w:b/>
          <w:sz w:val="24"/>
          <w:szCs w:val="24"/>
          <w:lang w:val="fr-CA"/>
        </w:rPr>
      </w:pPr>
    </w:p>
    <w:p w14:paraId="1688AAE3" w14:textId="77777777" w:rsidR="00B8348C" w:rsidRPr="00592D28" w:rsidRDefault="00B8348C" w:rsidP="000C25A3">
      <w:pPr>
        <w:jc w:val="center"/>
        <w:rPr>
          <w:rFonts w:cstheme="minorHAnsi"/>
          <w:b/>
          <w:sz w:val="24"/>
          <w:szCs w:val="24"/>
          <w:lang w:val="fr-CA"/>
        </w:rPr>
      </w:pPr>
      <w:r w:rsidRPr="00F52884">
        <w:rPr>
          <w:rFonts w:cstheme="minorHAnsi"/>
          <w:b/>
          <w:bCs/>
          <w:sz w:val="24"/>
          <w:szCs w:val="24"/>
          <w:lang w:val="fr-CA"/>
        </w:rPr>
        <w:t>Annexe II</w:t>
      </w:r>
    </w:p>
    <w:p w14:paraId="141085DB" w14:textId="77777777" w:rsidR="00B8348C" w:rsidRPr="00592D28" w:rsidRDefault="00B8348C" w:rsidP="000C25A3">
      <w:pPr>
        <w:rPr>
          <w:rFonts w:cstheme="minorHAnsi"/>
          <w:b/>
          <w:szCs w:val="23"/>
          <w:lang w:val="fr-CA"/>
        </w:rPr>
      </w:pPr>
    </w:p>
    <w:p w14:paraId="58EBEFA9" w14:textId="60AA93E9" w:rsidR="00B8348C" w:rsidRPr="00F52884" w:rsidRDefault="00B8348C" w:rsidP="000C25A3">
      <w:pPr>
        <w:spacing w:before="60" w:after="60"/>
        <w:ind w:left="-360"/>
        <w:rPr>
          <w:rFonts w:cstheme="minorHAnsi"/>
          <w:b/>
          <w:szCs w:val="23"/>
        </w:rPr>
      </w:pPr>
      <w:r w:rsidRPr="00F52884">
        <w:rPr>
          <w:rFonts w:cstheme="minorHAnsi"/>
          <w:b/>
          <w:bCs/>
          <w:szCs w:val="23"/>
          <w:lang w:val="fr-CA"/>
        </w:rPr>
        <w:t xml:space="preserve"> 1. </w:t>
      </w:r>
      <w:r w:rsidR="007824FC" w:rsidRPr="00F52884">
        <w:rPr>
          <w:rFonts w:cstheme="minorHAnsi"/>
          <w:b/>
          <w:bCs/>
          <w:szCs w:val="23"/>
          <w:lang w:val="fr-CA"/>
        </w:rPr>
        <w:t xml:space="preserve"> </w:t>
      </w:r>
      <w:r w:rsidRPr="00F52884">
        <w:rPr>
          <w:rFonts w:cstheme="minorHAnsi"/>
          <w:b/>
          <w:bCs/>
          <w:szCs w:val="23"/>
          <w:lang w:val="fr-CA"/>
        </w:rPr>
        <w:t>COLOMBIE-BRITANNIQUE</w:t>
      </w:r>
    </w:p>
    <w:tbl>
      <w:tblPr>
        <w:tblW w:w="10116" w:type="dxa"/>
        <w:jc w:val="center"/>
        <w:tblCellMar>
          <w:top w:w="14" w:type="dxa"/>
          <w:left w:w="86" w:type="dxa"/>
          <w:bottom w:w="14" w:type="dxa"/>
          <w:right w:w="86" w:type="dxa"/>
        </w:tblCellMar>
        <w:tblLook w:val="0000" w:firstRow="0" w:lastRow="0" w:firstColumn="0" w:lastColumn="0" w:noHBand="0" w:noVBand="0"/>
      </w:tblPr>
      <w:tblGrid>
        <w:gridCol w:w="2334"/>
        <w:gridCol w:w="7357"/>
        <w:gridCol w:w="425"/>
      </w:tblGrid>
      <w:tr w:rsidR="00B8348C" w:rsidRPr="00F52884" w14:paraId="0F5D9733" w14:textId="77777777" w:rsidTr="000C25A3">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6E55FCB6"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Secteur : </w:t>
            </w:r>
          </w:p>
        </w:tc>
        <w:tc>
          <w:tcPr>
            <w:tcW w:w="7782" w:type="dxa"/>
            <w:gridSpan w:val="2"/>
            <w:tcBorders>
              <w:top w:val="single" w:sz="4" w:space="0" w:color="C0C0C0"/>
              <w:left w:val="single" w:sz="4" w:space="0" w:color="FFFFFF"/>
              <w:bottom w:val="single" w:sz="4" w:space="0" w:color="C0C0C0"/>
              <w:right w:val="nil"/>
            </w:tcBorders>
            <w:vAlign w:val="center"/>
          </w:tcPr>
          <w:p w14:paraId="73CCB58B"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36BAAE0B" w14:textId="77777777" w:rsidTr="000C25A3">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147E4331"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82" w:type="dxa"/>
            <w:gridSpan w:val="2"/>
            <w:tcBorders>
              <w:top w:val="single" w:sz="4" w:space="0" w:color="C0C0C0"/>
              <w:left w:val="nil"/>
              <w:bottom w:val="single" w:sz="4" w:space="0" w:color="C0C0C0"/>
              <w:right w:val="single" w:sz="4" w:space="0" w:color="FFFFFF"/>
            </w:tcBorders>
            <w:vAlign w:val="center"/>
          </w:tcPr>
          <w:p w14:paraId="4AE4631A" w14:textId="77777777" w:rsidR="00B8348C" w:rsidRPr="00F52884" w:rsidRDefault="00B8348C" w:rsidP="000C25A3">
            <w:pPr>
              <w:spacing w:before="60" w:after="60"/>
              <w:rPr>
                <w:rFonts w:cstheme="minorHAnsi"/>
                <w:szCs w:val="23"/>
                <w:lang w:val="fr-FR"/>
              </w:rPr>
            </w:pPr>
            <w:r w:rsidRPr="00F52884">
              <w:rPr>
                <w:rFonts w:cstheme="minorHAnsi"/>
                <w:szCs w:val="23"/>
                <w:lang w:val="fr-CA"/>
              </w:rPr>
              <w:t>Production, transport et distribution d’électricité, de gaz, de vapeur et d’eau chaude; pétrole brut et gaz naturel; gaz de pétrole et autres hydrocarbures gazeux; services de transports par conduites; services annexes à la distribution d’énergie</w:t>
            </w:r>
          </w:p>
        </w:tc>
      </w:tr>
      <w:tr w:rsidR="00B8348C" w:rsidRPr="00F52884" w14:paraId="059C5CBA" w14:textId="77777777" w:rsidTr="000C25A3">
        <w:trPr>
          <w:gridAfter w:val="1"/>
          <w:wAfter w:w="425" w:type="dxa"/>
          <w:trHeight w:val="42"/>
          <w:jc w:val="center"/>
        </w:trPr>
        <w:tc>
          <w:tcPr>
            <w:tcW w:w="2334" w:type="dxa"/>
            <w:tcBorders>
              <w:top w:val="single" w:sz="4" w:space="0" w:color="C0C0C0"/>
              <w:left w:val="nil"/>
              <w:bottom w:val="single" w:sz="4" w:space="0" w:color="C0C0C0"/>
              <w:right w:val="single" w:sz="4" w:space="0" w:color="FFFFFF"/>
            </w:tcBorders>
            <w:vAlign w:val="center"/>
          </w:tcPr>
          <w:p w14:paraId="32B3AE6B" w14:textId="77777777" w:rsidR="00B8348C" w:rsidRPr="00F52884" w:rsidRDefault="00B8348C" w:rsidP="000C25A3">
            <w:pPr>
              <w:spacing w:before="60" w:after="60"/>
              <w:ind w:right="-110"/>
              <w:rPr>
                <w:rFonts w:cstheme="minorHAnsi"/>
                <w:szCs w:val="23"/>
              </w:rPr>
            </w:pPr>
            <w:r w:rsidRPr="00F52884">
              <w:rPr>
                <w:rFonts w:cstheme="minorHAnsi"/>
                <w:b/>
                <w:bCs/>
                <w:szCs w:val="23"/>
                <w:lang w:val="fr-CA"/>
              </w:rPr>
              <w:t xml:space="preserve">Classification de l’industrie : </w:t>
            </w:r>
          </w:p>
        </w:tc>
        <w:tc>
          <w:tcPr>
            <w:tcW w:w="7357" w:type="dxa"/>
            <w:tcBorders>
              <w:top w:val="single" w:sz="4" w:space="0" w:color="C0C0C0"/>
              <w:left w:val="nil"/>
              <w:bottom w:val="single" w:sz="4" w:space="0" w:color="C0C0C0"/>
              <w:right w:val="single" w:sz="4" w:space="0" w:color="FFFFFF"/>
            </w:tcBorders>
            <w:vAlign w:val="center"/>
          </w:tcPr>
          <w:p w14:paraId="32371138" w14:textId="77777777" w:rsidR="00B8348C" w:rsidRPr="00F52884" w:rsidRDefault="00B8348C" w:rsidP="000C25A3">
            <w:pPr>
              <w:spacing w:before="60" w:after="60"/>
              <w:ind w:right="-110"/>
              <w:rPr>
                <w:rFonts w:cstheme="minorHAnsi"/>
                <w:szCs w:val="23"/>
              </w:rPr>
            </w:pPr>
            <w:r w:rsidRPr="00F52884">
              <w:rPr>
                <w:rFonts w:cstheme="minorHAnsi"/>
                <w:szCs w:val="23"/>
                <w:lang w:val="fr-CA"/>
              </w:rPr>
              <w:t>CPC 17, 120, 334, 713, 887</w:t>
            </w:r>
          </w:p>
        </w:tc>
      </w:tr>
      <w:tr w:rsidR="00B8348C" w:rsidRPr="0068240F" w14:paraId="352C9463" w14:textId="77777777" w:rsidTr="000C25A3">
        <w:trPr>
          <w:trHeight w:val="42"/>
          <w:jc w:val="center"/>
        </w:trPr>
        <w:tc>
          <w:tcPr>
            <w:tcW w:w="2334" w:type="dxa"/>
            <w:tcBorders>
              <w:top w:val="single" w:sz="4" w:space="0" w:color="C0C0C0"/>
              <w:left w:val="nil"/>
              <w:bottom w:val="single" w:sz="4" w:space="0" w:color="C0C0C0"/>
            </w:tcBorders>
          </w:tcPr>
          <w:p w14:paraId="5A9DF4B4" w14:textId="4A6C1635"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78C192E0" w14:textId="77777777" w:rsidR="00B8348C" w:rsidRPr="00F52884" w:rsidRDefault="00B8348C" w:rsidP="000C25A3">
            <w:pPr>
              <w:pStyle w:val="Text"/>
              <w:spacing w:before="60" w:after="60" w:line="240" w:lineRule="auto"/>
              <w:ind w:left="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21BE2272"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A455AEE"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Description :</w:t>
            </w:r>
          </w:p>
        </w:tc>
      </w:tr>
      <w:tr w:rsidR="00B8348C" w:rsidRPr="0068240F" w14:paraId="199271BD" w14:textId="77777777" w:rsidTr="000C25A3">
        <w:trPr>
          <w:trHeight w:val="4511"/>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163C3BEB" w14:textId="2F9CC07A" w:rsidR="00B8348C" w:rsidRPr="00F52884" w:rsidRDefault="00B8348C" w:rsidP="000C25A3">
            <w:pPr>
              <w:spacing w:before="120" w:after="120"/>
              <w:rPr>
                <w:rFonts w:cstheme="minorHAnsi"/>
                <w:szCs w:val="23"/>
                <w:lang w:val="fr-FR"/>
              </w:rPr>
            </w:pPr>
            <w:r w:rsidRPr="00F52884">
              <w:rPr>
                <w:rFonts w:cstheme="minorHAnsi"/>
                <w:szCs w:val="23"/>
                <w:lang w:val="fr-CA"/>
              </w:rPr>
              <w:t>La Colombie-Britannique se réserve le droit d’adopter ou de maintenir toute mesure se rapportant : i) à l’exploration, à la production, à l’extraction et à la mise en valeur du pétrole brut et du gaz naturel; ii) à l’octroi de droits d’exploitation de réseaux de distribution ou de transport de pétrole brut ou de gaz naturel</w:t>
            </w:r>
            <w:r w:rsidR="00737D34" w:rsidRPr="00F52884">
              <w:rPr>
                <w:rFonts w:cstheme="minorHAnsi"/>
                <w:szCs w:val="23"/>
                <w:lang w:val="fr-CA"/>
              </w:rPr>
              <w:t>, y compris les services de distribution et de transports connexes par conduits or par voie maritime</w:t>
            </w:r>
            <w:r w:rsidRPr="00F52884">
              <w:rPr>
                <w:rFonts w:cstheme="minorHAnsi"/>
                <w:szCs w:val="23"/>
                <w:lang w:val="fr-CA"/>
              </w:rPr>
              <w:t>; ou iii) à la production, au transport, à la distribution, à la fourniture, à l’importation et à l’exportation d’électricité, qui :</w:t>
            </w:r>
          </w:p>
          <w:p w14:paraId="1FD36B4F" w14:textId="7193B1CA" w:rsidR="00B8348C" w:rsidRPr="00F52884" w:rsidRDefault="00B8348C" w:rsidP="00B8348C">
            <w:pPr>
              <w:numPr>
                <w:ilvl w:val="0"/>
                <w:numId w:val="143"/>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d’investissements visés ou de fournisseurs de services, que ce soit sous la forme de contingents numériques, de monopoles, de fournisseurs exclusifs</w:t>
            </w:r>
            <w:r w:rsidR="00737D34" w:rsidRPr="00F52884">
              <w:rPr>
                <w:rFonts w:cstheme="minorHAnsi"/>
                <w:szCs w:val="23"/>
                <w:lang w:val="fr-CA"/>
              </w:rPr>
              <w:t xml:space="preserve"> de services</w:t>
            </w:r>
            <w:r w:rsidRPr="00F52884">
              <w:rPr>
                <w:rFonts w:cstheme="minorHAnsi"/>
                <w:szCs w:val="23"/>
                <w:lang w:val="fr-CA"/>
              </w:rPr>
              <w:t xml:space="preserve"> ou de l’exigence d’un examen des besoins économiques;</w:t>
            </w:r>
          </w:p>
          <w:p w14:paraId="0CC86D60" w14:textId="77777777" w:rsidR="00B8348C" w:rsidRPr="00F52884" w:rsidRDefault="00B8348C" w:rsidP="00B8348C">
            <w:pPr>
              <w:numPr>
                <w:ilvl w:val="0"/>
                <w:numId w:val="143"/>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la valeur totale des transactions ou des actifs, sous la forme de contingents numériques ou de l’exigence d’un examen des besoins économiques;</w:t>
            </w:r>
          </w:p>
          <w:p w14:paraId="0018ADC8" w14:textId="77777777" w:rsidR="00B8348C" w:rsidRPr="00F52884" w:rsidRDefault="00B8348C" w:rsidP="00B8348C">
            <w:pPr>
              <w:numPr>
                <w:ilvl w:val="0"/>
                <w:numId w:val="143"/>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d’opérations ou la quantité totale produite, exprimées en unités numériques déterminées, sous la forme de contingents ou de l’exigence d’un examen des besoins économiques;</w:t>
            </w:r>
          </w:p>
          <w:p w14:paraId="4DCF8415" w14:textId="77777777" w:rsidR="00B8348C" w:rsidRPr="00F52884" w:rsidRDefault="00B8348C" w:rsidP="00B8348C">
            <w:pPr>
              <w:numPr>
                <w:ilvl w:val="0"/>
                <w:numId w:val="143"/>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de personnes physiques qui peuvent être employées dans un sous-secteur ou qu’un investissement visé peut employer, et qui sont nécessaires pour la réalisation d’une activité économique et s’en occupent directement, sous la forme de contingents numériques ou de l’exigence d’un examen des besoins économiques;</w:t>
            </w:r>
          </w:p>
          <w:p w14:paraId="2D0AFCD6" w14:textId="6FAB974A" w:rsidR="00B8348C" w:rsidRPr="00F52884" w:rsidRDefault="00B8348C" w:rsidP="00B8348C">
            <w:pPr>
              <w:pStyle w:val="ListParagraph"/>
              <w:numPr>
                <w:ilvl w:val="0"/>
                <w:numId w:val="143"/>
              </w:numPr>
              <w:spacing w:before="120" w:after="120"/>
              <w:ind w:left="906" w:hanging="540"/>
              <w:contextualSpacing w:val="0"/>
              <w:rPr>
                <w:rFonts w:cstheme="minorHAnsi"/>
                <w:szCs w:val="23"/>
                <w:lang w:val="fr-FR"/>
              </w:rPr>
            </w:pPr>
            <w:proofErr w:type="gramStart"/>
            <w:r w:rsidRPr="00F52884">
              <w:rPr>
                <w:rFonts w:cstheme="minorHAnsi"/>
                <w:szCs w:val="23"/>
                <w:lang w:val="fr-CA"/>
              </w:rPr>
              <w:t>restreint</w:t>
            </w:r>
            <w:proofErr w:type="gramEnd"/>
            <w:r w:rsidRPr="00F52884">
              <w:rPr>
                <w:rFonts w:cstheme="minorHAnsi"/>
                <w:szCs w:val="23"/>
                <w:lang w:val="fr-CA"/>
              </w:rPr>
              <w:t xml:space="preserve"> ou prescrit un type spécifique d’entité juridique ou de coentreprise par l’intermédiaire duquel un investisseur peut mener une activité économique.</w:t>
            </w:r>
          </w:p>
        </w:tc>
      </w:tr>
      <w:tr w:rsidR="00B8348C" w:rsidRPr="00F52884" w14:paraId="13D42E65" w14:textId="77777777" w:rsidTr="000C25A3">
        <w:trPr>
          <w:trHeight w:val="39"/>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2222AE4"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1F234390"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4E0489B2" w14:textId="77777777" w:rsidR="00B8348C" w:rsidRPr="00F52884" w:rsidRDefault="00B8348C" w:rsidP="000C25A3">
            <w:pPr>
              <w:pStyle w:val="NoSpacing"/>
              <w:rPr>
                <w:rFonts w:cstheme="minorHAnsi"/>
                <w:b/>
                <w:sz w:val="23"/>
                <w:szCs w:val="23"/>
              </w:rPr>
            </w:pPr>
          </w:p>
        </w:tc>
      </w:tr>
    </w:tbl>
    <w:p w14:paraId="26E3B33F" w14:textId="77777777" w:rsidR="00B8348C" w:rsidRPr="00F52884" w:rsidRDefault="00B8348C" w:rsidP="000C25A3">
      <w:pPr>
        <w:rPr>
          <w:rFonts w:cstheme="minorHAnsi"/>
          <w:b/>
          <w:szCs w:val="23"/>
        </w:rPr>
      </w:pPr>
    </w:p>
    <w:p w14:paraId="086039C1" w14:textId="77777777" w:rsidR="00B8348C" w:rsidRPr="00F52884" w:rsidRDefault="00B8348C">
      <w:pPr>
        <w:rPr>
          <w:rFonts w:cstheme="minorHAnsi"/>
          <w:b/>
          <w:szCs w:val="23"/>
        </w:rPr>
      </w:pPr>
      <w:r w:rsidRPr="00F52884">
        <w:rPr>
          <w:rFonts w:cstheme="minorHAnsi"/>
          <w:b/>
          <w:szCs w:val="23"/>
        </w:rPr>
        <w:br w:type="page"/>
      </w:r>
    </w:p>
    <w:p w14:paraId="6E9447A0" w14:textId="4AE1B09E" w:rsidR="00B8348C" w:rsidRPr="00F52884" w:rsidRDefault="00B8348C" w:rsidP="000C25A3">
      <w:pPr>
        <w:spacing w:before="60" w:after="60"/>
        <w:ind w:left="-360"/>
        <w:rPr>
          <w:rFonts w:cstheme="minorHAnsi"/>
          <w:b/>
          <w:szCs w:val="23"/>
        </w:rPr>
      </w:pPr>
      <w:r w:rsidRPr="00F52884">
        <w:rPr>
          <w:rFonts w:cstheme="minorHAnsi"/>
          <w:b/>
          <w:bCs/>
          <w:szCs w:val="23"/>
          <w:lang w:val="fr-CA"/>
        </w:rPr>
        <w:lastRenderedPageBreak/>
        <w:t xml:space="preserve"> 2. </w:t>
      </w:r>
      <w:r w:rsidR="007824FC" w:rsidRPr="00F52884">
        <w:rPr>
          <w:rFonts w:cstheme="minorHAnsi"/>
          <w:b/>
          <w:bCs/>
          <w:szCs w:val="23"/>
          <w:lang w:val="fr-CA"/>
        </w:rPr>
        <w:t xml:space="preserve"> </w:t>
      </w:r>
      <w:r w:rsidRPr="00F52884">
        <w:rPr>
          <w:rFonts w:cstheme="minorHAnsi"/>
          <w:b/>
          <w:bCs/>
          <w:szCs w:val="23"/>
          <w:lang w:val="fr-CA"/>
        </w:rPr>
        <w:t>COLOMBIE-BRITANNIQUE</w:t>
      </w:r>
    </w:p>
    <w:tbl>
      <w:tblPr>
        <w:tblW w:w="10116" w:type="dxa"/>
        <w:jc w:val="center"/>
        <w:tblCellMar>
          <w:top w:w="14" w:type="dxa"/>
          <w:left w:w="86" w:type="dxa"/>
          <w:bottom w:w="14" w:type="dxa"/>
          <w:right w:w="86" w:type="dxa"/>
        </w:tblCellMar>
        <w:tblLook w:val="0000" w:firstRow="0" w:lastRow="0" w:firstColumn="0" w:lastColumn="0" w:noHBand="0" w:noVBand="0"/>
      </w:tblPr>
      <w:tblGrid>
        <w:gridCol w:w="2334"/>
        <w:gridCol w:w="7357"/>
        <w:gridCol w:w="425"/>
      </w:tblGrid>
      <w:tr w:rsidR="00B8348C" w:rsidRPr="00F52884" w14:paraId="730E8757" w14:textId="77777777" w:rsidTr="000C25A3">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498CACE7"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Secteur : </w:t>
            </w:r>
          </w:p>
        </w:tc>
        <w:tc>
          <w:tcPr>
            <w:tcW w:w="7782" w:type="dxa"/>
            <w:gridSpan w:val="2"/>
            <w:tcBorders>
              <w:top w:val="single" w:sz="4" w:space="0" w:color="C0C0C0"/>
              <w:left w:val="single" w:sz="4" w:space="0" w:color="FFFFFF"/>
              <w:bottom w:val="single" w:sz="4" w:space="0" w:color="C0C0C0"/>
              <w:right w:val="nil"/>
            </w:tcBorders>
            <w:vAlign w:val="center"/>
          </w:tcPr>
          <w:p w14:paraId="34D1E36C"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68240F" w14:paraId="1D1AD783" w14:textId="77777777" w:rsidTr="000C25A3">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0F6AFE08"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82" w:type="dxa"/>
            <w:gridSpan w:val="2"/>
            <w:tcBorders>
              <w:top w:val="single" w:sz="4" w:space="0" w:color="C0C0C0"/>
              <w:left w:val="nil"/>
              <w:bottom w:val="single" w:sz="4" w:space="0" w:color="C0C0C0"/>
              <w:right w:val="single" w:sz="4" w:space="0" w:color="FFFFFF"/>
            </w:tcBorders>
            <w:vAlign w:val="center"/>
          </w:tcPr>
          <w:p w14:paraId="16A04244"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Sylviculture et produits de l’exploitation forestière; services annexes à la sylviculture et à l’exploitation forestière</w:t>
            </w:r>
          </w:p>
        </w:tc>
      </w:tr>
      <w:tr w:rsidR="00B8348C" w:rsidRPr="00F52884" w14:paraId="07A9A075" w14:textId="77777777" w:rsidTr="000C25A3">
        <w:trPr>
          <w:gridAfter w:val="1"/>
          <w:wAfter w:w="425" w:type="dxa"/>
          <w:trHeight w:val="42"/>
          <w:jc w:val="center"/>
        </w:trPr>
        <w:tc>
          <w:tcPr>
            <w:tcW w:w="2334" w:type="dxa"/>
            <w:tcBorders>
              <w:top w:val="single" w:sz="4" w:space="0" w:color="C0C0C0"/>
              <w:left w:val="nil"/>
              <w:bottom w:val="single" w:sz="4" w:space="0" w:color="C0C0C0"/>
              <w:right w:val="single" w:sz="4" w:space="0" w:color="FFFFFF"/>
            </w:tcBorders>
            <w:vAlign w:val="center"/>
          </w:tcPr>
          <w:p w14:paraId="29CA87E5" w14:textId="77777777" w:rsidR="00B8348C" w:rsidRPr="00F52884" w:rsidRDefault="00B8348C" w:rsidP="000C25A3">
            <w:pPr>
              <w:spacing w:before="60" w:after="60"/>
              <w:ind w:right="-110"/>
              <w:rPr>
                <w:rFonts w:cstheme="minorHAnsi"/>
                <w:szCs w:val="23"/>
              </w:rPr>
            </w:pPr>
            <w:r w:rsidRPr="00F52884">
              <w:rPr>
                <w:rFonts w:cstheme="minorHAnsi"/>
                <w:b/>
                <w:bCs/>
                <w:szCs w:val="23"/>
                <w:lang w:val="fr-CA"/>
              </w:rPr>
              <w:t xml:space="preserve">Classification de l’industrie : </w:t>
            </w:r>
          </w:p>
        </w:tc>
        <w:tc>
          <w:tcPr>
            <w:tcW w:w="7357" w:type="dxa"/>
            <w:tcBorders>
              <w:top w:val="single" w:sz="4" w:space="0" w:color="C0C0C0"/>
              <w:left w:val="nil"/>
              <w:bottom w:val="single" w:sz="4" w:space="0" w:color="C0C0C0"/>
              <w:right w:val="single" w:sz="4" w:space="0" w:color="FFFFFF"/>
            </w:tcBorders>
            <w:vAlign w:val="center"/>
          </w:tcPr>
          <w:p w14:paraId="59CC24B9" w14:textId="77777777" w:rsidR="00B8348C" w:rsidRPr="00F52884" w:rsidRDefault="00B8348C" w:rsidP="000C25A3">
            <w:pPr>
              <w:spacing w:before="60" w:after="60"/>
              <w:ind w:right="-110"/>
              <w:rPr>
                <w:rFonts w:cstheme="minorHAnsi"/>
                <w:szCs w:val="23"/>
              </w:rPr>
            </w:pPr>
            <w:r w:rsidRPr="00F52884">
              <w:rPr>
                <w:rFonts w:cstheme="minorHAnsi"/>
                <w:szCs w:val="23"/>
                <w:lang w:val="fr-CA"/>
              </w:rPr>
              <w:t>CPC 03, 8814</w:t>
            </w:r>
          </w:p>
        </w:tc>
      </w:tr>
      <w:tr w:rsidR="00B8348C" w:rsidRPr="0068240F" w14:paraId="23A74CFE" w14:textId="77777777" w:rsidTr="000C25A3">
        <w:trPr>
          <w:trHeight w:val="42"/>
          <w:jc w:val="center"/>
        </w:trPr>
        <w:tc>
          <w:tcPr>
            <w:tcW w:w="2334" w:type="dxa"/>
            <w:tcBorders>
              <w:top w:val="single" w:sz="4" w:space="0" w:color="C0C0C0"/>
              <w:left w:val="nil"/>
              <w:bottom w:val="single" w:sz="4" w:space="0" w:color="C0C0C0"/>
            </w:tcBorders>
          </w:tcPr>
          <w:p w14:paraId="117D546A" w14:textId="24D7E1C1"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101C2AEC"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3F196B59"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4417B05"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551ACA87" w14:textId="77777777" w:rsidTr="000C25A3">
        <w:trPr>
          <w:trHeight w:val="4917"/>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4D380AD3" w14:textId="73418425" w:rsidR="00B8348C" w:rsidRPr="00F52884" w:rsidRDefault="00B8348C" w:rsidP="000C25A3">
            <w:pPr>
              <w:spacing w:before="120" w:after="120"/>
              <w:rPr>
                <w:rFonts w:cstheme="minorHAnsi"/>
                <w:szCs w:val="23"/>
                <w:lang w:val="fr-FR"/>
              </w:rPr>
            </w:pPr>
            <w:r w:rsidRPr="00F52884">
              <w:rPr>
                <w:rFonts w:cstheme="minorHAnsi"/>
                <w:szCs w:val="23"/>
                <w:lang w:val="fr-CA"/>
              </w:rPr>
              <w:t>La Colombie-Britannique se réserve le droit d’adopter ou de maintenir toute mesure se rapportant à la production, à la transformation, à la commercialisation, à l’extraction et à la mise en valeur de ressources forestières et de leurs produits dérivés, y compris l’octroi de licences, qui :</w:t>
            </w:r>
          </w:p>
          <w:p w14:paraId="7A042427" w14:textId="7B7C6197" w:rsidR="00B8348C" w:rsidRPr="00F52884" w:rsidRDefault="00B8348C" w:rsidP="00B8348C">
            <w:pPr>
              <w:numPr>
                <w:ilvl w:val="0"/>
                <w:numId w:val="144"/>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d’investissements visés ou de fournisseurs de services, que ce soit sous la forme de contingents numériques, de monopoles, de fournisseurs exclusifs </w:t>
            </w:r>
            <w:r w:rsidR="00737D34" w:rsidRPr="00F52884">
              <w:rPr>
                <w:rFonts w:cstheme="minorHAnsi"/>
                <w:szCs w:val="23"/>
                <w:lang w:val="fr-CA"/>
              </w:rPr>
              <w:t xml:space="preserve">de services </w:t>
            </w:r>
            <w:r w:rsidRPr="00F52884">
              <w:rPr>
                <w:rFonts w:cstheme="minorHAnsi"/>
                <w:szCs w:val="23"/>
                <w:lang w:val="fr-CA"/>
              </w:rPr>
              <w:t>ou de l’exigence d’un examen des besoins économiques;</w:t>
            </w:r>
          </w:p>
          <w:p w14:paraId="0BEBF4C4" w14:textId="77777777" w:rsidR="00B8348C" w:rsidRPr="00F52884" w:rsidRDefault="00B8348C" w:rsidP="00B8348C">
            <w:pPr>
              <w:numPr>
                <w:ilvl w:val="0"/>
                <w:numId w:val="144"/>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la valeur totale des transactions ou des actifs, sous la forme de contingents numériques ou de l’exigence d’un examen des besoins économiques;</w:t>
            </w:r>
          </w:p>
          <w:p w14:paraId="7619BBC5" w14:textId="77777777" w:rsidR="00B8348C" w:rsidRPr="00F52884" w:rsidRDefault="00B8348C" w:rsidP="00B8348C">
            <w:pPr>
              <w:numPr>
                <w:ilvl w:val="0"/>
                <w:numId w:val="144"/>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d’opérations ou la quantité totale produite, exprimées en unités numériques déterminées, sous la forme de contingents ou de l’exigence d’un examen des besoins économiques;</w:t>
            </w:r>
          </w:p>
          <w:p w14:paraId="54457A16" w14:textId="77777777" w:rsidR="00B8348C" w:rsidRPr="00F52884" w:rsidRDefault="00B8348C" w:rsidP="00B8348C">
            <w:pPr>
              <w:numPr>
                <w:ilvl w:val="0"/>
                <w:numId w:val="144"/>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de personnes physiques qui peuvent être employées dans un sous-secteur ou qu’un investissement visé peut employer, et qui sont nécessaires pour la réalisation d’une activité économique et s’en occupent directement, sous la forme de contingents numériques ou de l’exigence d’un examen des besoins économiques;</w:t>
            </w:r>
          </w:p>
          <w:p w14:paraId="08699236" w14:textId="559291DA" w:rsidR="00B8348C" w:rsidRPr="00F52884" w:rsidRDefault="00B8348C" w:rsidP="00B8348C">
            <w:pPr>
              <w:pStyle w:val="NormalWeb"/>
              <w:numPr>
                <w:ilvl w:val="0"/>
                <w:numId w:val="144"/>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restreint</w:t>
            </w:r>
            <w:proofErr w:type="gramEnd"/>
            <w:r w:rsidRPr="00F52884">
              <w:rPr>
                <w:rFonts w:asciiTheme="minorHAnsi" w:hAnsiTheme="minorHAnsi" w:cstheme="minorHAnsi"/>
                <w:szCs w:val="23"/>
                <w:lang w:val="fr-CA"/>
              </w:rPr>
              <w:t xml:space="preserve"> ou prescrit un type spécifique d’entité juridique ou de coentreprise par l’intermédiaire duquel un investisseur peut mener une activité économique. </w:t>
            </w:r>
          </w:p>
        </w:tc>
      </w:tr>
      <w:tr w:rsidR="00B8348C" w:rsidRPr="00F52884" w14:paraId="2F584223" w14:textId="77777777" w:rsidTr="000C25A3">
        <w:trPr>
          <w:trHeight w:val="39"/>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FD87D9F"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2F625044"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67EDF87A" w14:textId="77777777" w:rsidR="00B8348C" w:rsidRPr="00F52884" w:rsidRDefault="00B8348C" w:rsidP="000C25A3">
            <w:pPr>
              <w:pStyle w:val="NoSpacing"/>
              <w:rPr>
                <w:rFonts w:cstheme="minorHAnsi"/>
                <w:b/>
                <w:sz w:val="23"/>
                <w:szCs w:val="23"/>
              </w:rPr>
            </w:pPr>
          </w:p>
        </w:tc>
      </w:tr>
    </w:tbl>
    <w:p w14:paraId="69AE026A" w14:textId="77777777" w:rsidR="00B8348C" w:rsidRPr="00F52884" w:rsidRDefault="00B8348C" w:rsidP="000C25A3">
      <w:pPr>
        <w:rPr>
          <w:rFonts w:cstheme="minorHAnsi"/>
          <w:b/>
          <w:szCs w:val="23"/>
        </w:rPr>
      </w:pPr>
    </w:p>
    <w:p w14:paraId="539F81CF" w14:textId="77777777" w:rsidR="00B8348C" w:rsidRPr="00F52884" w:rsidRDefault="00B8348C" w:rsidP="000C25A3">
      <w:pPr>
        <w:rPr>
          <w:rFonts w:cstheme="minorHAnsi"/>
          <w:b/>
          <w:szCs w:val="23"/>
        </w:rPr>
      </w:pPr>
    </w:p>
    <w:p w14:paraId="2943D238" w14:textId="62E6655E" w:rsidR="00B8348C" w:rsidRPr="00F52884" w:rsidRDefault="00B8348C" w:rsidP="000C25A3">
      <w:pPr>
        <w:spacing w:before="60" w:after="60"/>
        <w:ind w:left="-360"/>
        <w:rPr>
          <w:rFonts w:cstheme="minorHAnsi"/>
          <w:b/>
          <w:szCs w:val="23"/>
        </w:rPr>
      </w:pPr>
      <w:r w:rsidRPr="00F52884">
        <w:rPr>
          <w:rFonts w:cstheme="minorHAnsi"/>
          <w:b/>
          <w:bCs/>
          <w:szCs w:val="23"/>
          <w:lang w:val="fr-CA"/>
        </w:rPr>
        <w:t xml:space="preserve"> 3. </w:t>
      </w:r>
      <w:r w:rsidR="007824FC" w:rsidRPr="00F52884">
        <w:rPr>
          <w:rFonts w:cstheme="minorHAnsi"/>
          <w:b/>
          <w:bCs/>
          <w:szCs w:val="23"/>
          <w:lang w:val="fr-CA"/>
        </w:rPr>
        <w:t xml:space="preserve"> </w:t>
      </w:r>
      <w:r w:rsidRPr="00F52884">
        <w:rPr>
          <w:rFonts w:cstheme="minorHAnsi"/>
          <w:b/>
          <w:bCs/>
          <w:szCs w:val="23"/>
          <w:lang w:val="fr-CA"/>
        </w:rPr>
        <w:t>COLOMBIE-BRITANNIQUE</w:t>
      </w:r>
    </w:p>
    <w:tbl>
      <w:tblPr>
        <w:tblW w:w="10116" w:type="dxa"/>
        <w:jc w:val="center"/>
        <w:tblCellMar>
          <w:top w:w="14" w:type="dxa"/>
          <w:left w:w="86" w:type="dxa"/>
          <w:bottom w:w="14" w:type="dxa"/>
          <w:right w:w="86" w:type="dxa"/>
        </w:tblCellMar>
        <w:tblLook w:val="0000" w:firstRow="0" w:lastRow="0" w:firstColumn="0" w:lastColumn="0" w:noHBand="0" w:noVBand="0"/>
      </w:tblPr>
      <w:tblGrid>
        <w:gridCol w:w="2334"/>
        <w:gridCol w:w="7357"/>
        <w:gridCol w:w="425"/>
      </w:tblGrid>
      <w:tr w:rsidR="00B8348C" w:rsidRPr="00F52884" w14:paraId="53E273D0" w14:textId="77777777" w:rsidTr="000C25A3">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29E47707"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Secteur : </w:t>
            </w:r>
          </w:p>
        </w:tc>
        <w:tc>
          <w:tcPr>
            <w:tcW w:w="7782" w:type="dxa"/>
            <w:gridSpan w:val="2"/>
            <w:tcBorders>
              <w:top w:val="single" w:sz="4" w:space="0" w:color="C0C0C0"/>
              <w:left w:val="single" w:sz="4" w:space="0" w:color="FFFFFF"/>
              <w:bottom w:val="single" w:sz="4" w:space="0" w:color="C0C0C0"/>
              <w:right w:val="nil"/>
            </w:tcBorders>
            <w:vAlign w:val="center"/>
          </w:tcPr>
          <w:p w14:paraId="3CB7025D" w14:textId="77777777" w:rsidR="00B8348C" w:rsidRPr="00F52884" w:rsidRDefault="00B8348C" w:rsidP="000C25A3">
            <w:pPr>
              <w:spacing w:before="60" w:after="60"/>
              <w:rPr>
                <w:rFonts w:cstheme="minorHAnsi"/>
                <w:szCs w:val="23"/>
              </w:rPr>
            </w:pPr>
            <w:r w:rsidRPr="00F52884">
              <w:rPr>
                <w:rFonts w:cstheme="minorHAnsi"/>
                <w:szCs w:val="23"/>
                <w:lang w:val="fr-CA"/>
              </w:rPr>
              <w:t>Pêches</w:t>
            </w:r>
          </w:p>
        </w:tc>
      </w:tr>
      <w:tr w:rsidR="00B8348C" w:rsidRPr="0068240F" w14:paraId="3568B2F1" w14:textId="77777777" w:rsidTr="000C25A3">
        <w:trPr>
          <w:trHeight w:val="42"/>
          <w:jc w:val="center"/>
        </w:trPr>
        <w:tc>
          <w:tcPr>
            <w:tcW w:w="2334" w:type="dxa"/>
            <w:tcBorders>
              <w:top w:val="single" w:sz="4" w:space="0" w:color="C0C0C0"/>
              <w:left w:val="nil"/>
              <w:bottom w:val="single" w:sz="4" w:space="0" w:color="C0C0C0"/>
              <w:right w:val="single" w:sz="4" w:space="0" w:color="FFFFFF"/>
            </w:tcBorders>
            <w:vAlign w:val="center"/>
          </w:tcPr>
          <w:p w14:paraId="3181DE16"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82" w:type="dxa"/>
            <w:gridSpan w:val="2"/>
            <w:tcBorders>
              <w:top w:val="single" w:sz="4" w:space="0" w:color="C0C0C0"/>
              <w:left w:val="nil"/>
              <w:bottom w:val="single" w:sz="4" w:space="0" w:color="C0C0C0"/>
              <w:right w:val="single" w:sz="4" w:space="0" w:color="FFFFFF"/>
            </w:tcBorders>
            <w:vAlign w:val="center"/>
          </w:tcPr>
          <w:p w14:paraId="5E31BE91" w14:textId="77777777" w:rsidR="00B8348C" w:rsidRPr="00F52884" w:rsidRDefault="00B8348C" w:rsidP="000C25A3">
            <w:pPr>
              <w:spacing w:before="60" w:after="60"/>
              <w:rPr>
                <w:rFonts w:cstheme="minorHAnsi"/>
                <w:szCs w:val="23"/>
                <w:lang w:val="fr-FR"/>
              </w:rPr>
            </w:pPr>
            <w:r w:rsidRPr="00F52884">
              <w:rPr>
                <w:rFonts w:cstheme="minorHAnsi"/>
                <w:szCs w:val="23"/>
                <w:lang w:val="fr-CA"/>
              </w:rPr>
              <w:t>Pêche; services annexes à la pêche</w:t>
            </w:r>
          </w:p>
        </w:tc>
      </w:tr>
      <w:tr w:rsidR="00B8348C" w:rsidRPr="00F52884" w14:paraId="57E98247" w14:textId="77777777" w:rsidTr="000C25A3">
        <w:trPr>
          <w:gridAfter w:val="1"/>
          <w:wAfter w:w="425" w:type="dxa"/>
          <w:trHeight w:val="42"/>
          <w:jc w:val="center"/>
        </w:trPr>
        <w:tc>
          <w:tcPr>
            <w:tcW w:w="2334" w:type="dxa"/>
            <w:tcBorders>
              <w:top w:val="single" w:sz="4" w:space="0" w:color="C0C0C0"/>
              <w:left w:val="nil"/>
              <w:bottom w:val="single" w:sz="4" w:space="0" w:color="C0C0C0"/>
              <w:right w:val="single" w:sz="4" w:space="0" w:color="FFFFFF"/>
            </w:tcBorders>
            <w:vAlign w:val="center"/>
          </w:tcPr>
          <w:p w14:paraId="0CA5A178" w14:textId="77777777" w:rsidR="00B8348C" w:rsidRPr="00F52884" w:rsidRDefault="00B8348C" w:rsidP="000C25A3">
            <w:pPr>
              <w:spacing w:before="60" w:after="60"/>
              <w:ind w:right="-110"/>
              <w:rPr>
                <w:rFonts w:cstheme="minorHAnsi"/>
                <w:szCs w:val="23"/>
              </w:rPr>
            </w:pPr>
            <w:r w:rsidRPr="00F52884">
              <w:rPr>
                <w:rFonts w:cstheme="minorHAnsi"/>
                <w:b/>
                <w:bCs/>
                <w:szCs w:val="23"/>
                <w:lang w:val="fr-CA"/>
              </w:rPr>
              <w:t xml:space="preserve">Classification de l’industrie : </w:t>
            </w:r>
          </w:p>
        </w:tc>
        <w:tc>
          <w:tcPr>
            <w:tcW w:w="7357" w:type="dxa"/>
            <w:tcBorders>
              <w:top w:val="single" w:sz="4" w:space="0" w:color="C0C0C0"/>
              <w:left w:val="nil"/>
              <w:bottom w:val="single" w:sz="4" w:space="0" w:color="C0C0C0"/>
              <w:right w:val="single" w:sz="4" w:space="0" w:color="FFFFFF"/>
            </w:tcBorders>
            <w:vAlign w:val="center"/>
          </w:tcPr>
          <w:p w14:paraId="49302ADF" w14:textId="77777777" w:rsidR="00B8348C" w:rsidRPr="00F52884" w:rsidRDefault="00B8348C" w:rsidP="000C25A3">
            <w:pPr>
              <w:spacing w:before="60" w:after="60"/>
              <w:ind w:right="-110"/>
              <w:rPr>
                <w:rFonts w:cstheme="minorHAnsi"/>
                <w:szCs w:val="23"/>
              </w:rPr>
            </w:pPr>
            <w:r w:rsidRPr="00F52884">
              <w:rPr>
                <w:rFonts w:cstheme="minorHAnsi"/>
                <w:szCs w:val="23"/>
                <w:lang w:val="fr-CA"/>
              </w:rPr>
              <w:t>CPC 04, 882, 62224</w:t>
            </w:r>
          </w:p>
        </w:tc>
      </w:tr>
      <w:tr w:rsidR="00B8348C" w:rsidRPr="0068240F" w14:paraId="1396117E" w14:textId="77777777" w:rsidTr="000C25A3">
        <w:trPr>
          <w:trHeight w:val="42"/>
          <w:jc w:val="center"/>
        </w:trPr>
        <w:tc>
          <w:tcPr>
            <w:tcW w:w="2334" w:type="dxa"/>
            <w:tcBorders>
              <w:top w:val="single" w:sz="4" w:space="0" w:color="C0C0C0"/>
              <w:left w:val="nil"/>
              <w:bottom w:val="single" w:sz="4" w:space="0" w:color="C0C0C0"/>
            </w:tcBorders>
          </w:tcPr>
          <w:p w14:paraId="3437D2C2" w14:textId="72F243B7"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5C9D24B5" w14:textId="77777777" w:rsidR="00B8348C" w:rsidRPr="00F52884" w:rsidRDefault="00B8348C" w:rsidP="000C25A3">
            <w:pPr>
              <w:pStyle w:val="Text"/>
              <w:spacing w:before="60" w:after="60" w:line="240" w:lineRule="auto"/>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0163F389"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29CB2A"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36790F99" w14:textId="77777777" w:rsidTr="000C25A3">
        <w:trPr>
          <w:trHeight w:val="624"/>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72828A2F" w14:textId="77777777" w:rsidR="00B8348C" w:rsidRPr="00F52884" w:rsidRDefault="00B8348C" w:rsidP="000C25A3">
            <w:pPr>
              <w:spacing w:before="120" w:after="120"/>
              <w:rPr>
                <w:rFonts w:cstheme="minorHAnsi"/>
                <w:szCs w:val="23"/>
                <w:lang w:val="fr-FR"/>
              </w:rPr>
            </w:pPr>
            <w:r w:rsidRPr="00F52884">
              <w:rPr>
                <w:rFonts w:cstheme="minorHAnsi"/>
                <w:szCs w:val="23"/>
                <w:lang w:val="fr-CA"/>
              </w:rPr>
              <w:lastRenderedPageBreak/>
              <w:t>La Colombie-Britannique se réserve le droit d’adopter ou de maintenir toute mesure se rapportant à la production, à la transformation et à la commercialisation collective des produits de l’aquaculture, des produits marins et des produits de la pêche, qui :</w:t>
            </w:r>
          </w:p>
          <w:p w14:paraId="14FC2EDB" w14:textId="7FC9ED5E" w:rsidR="00B8348C" w:rsidRPr="00F52884" w:rsidRDefault="00B8348C" w:rsidP="00B8348C">
            <w:pPr>
              <w:numPr>
                <w:ilvl w:val="0"/>
                <w:numId w:val="198"/>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d’investissements visés ou de fournisseurs de services, que ce soit sous la forme de contingents numériques, de monopoles, de fournisseurs exclusifs de services ou de l’exigence d’un examen des besoins économiques;</w:t>
            </w:r>
          </w:p>
          <w:p w14:paraId="299E374A" w14:textId="77777777" w:rsidR="00B8348C" w:rsidRPr="00F52884" w:rsidRDefault="00B8348C" w:rsidP="00B8348C">
            <w:pPr>
              <w:numPr>
                <w:ilvl w:val="0"/>
                <w:numId w:val="198"/>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la valeur totale des transactions ou des actifs, sous la forme de contingents numériques ou de l’exigence d’un examen des besoins économiques;</w:t>
            </w:r>
          </w:p>
          <w:p w14:paraId="35BBE069" w14:textId="77777777" w:rsidR="00B8348C" w:rsidRPr="00F52884" w:rsidRDefault="00B8348C" w:rsidP="00B8348C">
            <w:pPr>
              <w:numPr>
                <w:ilvl w:val="0"/>
                <w:numId w:val="198"/>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d’opérations ou la quantité totale produite, exprimées en unités numériques déterminées, sous la forme de contingents ou de l’exigence d’un examen des besoins économiques;</w:t>
            </w:r>
          </w:p>
          <w:p w14:paraId="039CDD69" w14:textId="77777777" w:rsidR="00B8348C" w:rsidRPr="00F52884" w:rsidRDefault="00B8348C" w:rsidP="00B8348C">
            <w:pPr>
              <w:numPr>
                <w:ilvl w:val="0"/>
                <w:numId w:val="198"/>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de personnes physiques qui peuvent être employées dans un sous-secteur ou qu’un investissement visé peut employer, et qui sont nécessaires pour la réalisation d’une activité économique et s’en occupent directement, sous la forme de contingents numériques ou de l’exigence d’un examen des besoins économiques;</w:t>
            </w:r>
          </w:p>
          <w:p w14:paraId="33E6C0A3" w14:textId="00A425EA" w:rsidR="00B8348C" w:rsidRPr="00F52884" w:rsidRDefault="00B8348C" w:rsidP="00B8348C">
            <w:pPr>
              <w:pStyle w:val="NormalWeb"/>
              <w:spacing w:before="120" w:beforeAutospacing="0" w:after="120" w:afterAutospacing="0"/>
              <w:ind w:left="906" w:hanging="540"/>
              <w:rPr>
                <w:rFonts w:asciiTheme="minorHAnsi" w:hAnsiTheme="minorHAnsi" w:cstheme="minorHAnsi"/>
                <w:szCs w:val="23"/>
                <w:lang w:val="fr-FR"/>
              </w:rPr>
            </w:pPr>
            <w:r w:rsidRPr="00F52884">
              <w:rPr>
                <w:rFonts w:asciiTheme="minorHAnsi" w:hAnsiTheme="minorHAnsi" w:cstheme="minorHAnsi"/>
                <w:szCs w:val="23"/>
                <w:lang w:val="fr-CA"/>
              </w:rPr>
              <w:t xml:space="preserve">e) </w:t>
            </w:r>
            <w:r w:rsidRPr="00F52884">
              <w:rPr>
                <w:rFonts w:asciiTheme="minorHAnsi" w:hAnsiTheme="minorHAnsi" w:cstheme="minorHAnsi"/>
                <w:szCs w:val="23"/>
                <w:lang w:val="fr-CA"/>
              </w:rPr>
              <w:tab/>
              <w:t xml:space="preserve">restreint ou prescrit un type spécifique d’entité juridique ou de coentreprise par l’intermédiaire duquel un investisseur peut mener une activité économique. </w:t>
            </w:r>
          </w:p>
        </w:tc>
      </w:tr>
      <w:tr w:rsidR="00B8348C" w:rsidRPr="00F52884" w14:paraId="19DD9467" w14:textId="77777777" w:rsidTr="000C25A3">
        <w:trPr>
          <w:trHeight w:val="39"/>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D582703"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77599B31"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649305FD" w14:textId="77777777" w:rsidR="00B8348C" w:rsidRPr="00F52884" w:rsidRDefault="00B8348C" w:rsidP="000C25A3">
            <w:pPr>
              <w:pStyle w:val="NoSpacing"/>
              <w:rPr>
                <w:rFonts w:cstheme="minorHAnsi"/>
                <w:b/>
                <w:sz w:val="23"/>
                <w:szCs w:val="23"/>
              </w:rPr>
            </w:pPr>
          </w:p>
        </w:tc>
      </w:tr>
    </w:tbl>
    <w:p w14:paraId="43A3904D" w14:textId="77777777" w:rsidR="00B8348C" w:rsidRPr="00F52884" w:rsidRDefault="00B8348C" w:rsidP="000C25A3">
      <w:pPr>
        <w:rPr>
          <w:rFonts w:cstheme="minorHAnsi"/>
          <w:b/>
          <w:szCs w:val="23"/>
        </w:rPr>
      </w:pPr>
    </w:p>
    <w:p w14:paraId="74E3AA38" w14:textId="77777777" w:rsidR="00B8348C" w:rsidRPr="00F52884" w:rsidRDefault="00B8348C" w:rsidP="000C25A3">
      <w:pPr>
        <w:rPr>
          <w:rFonts w:cstheme="minorHAnsi"/>
          <w:b/>
          <w:szCs w:val="23"/>
        </w:rPr>
      </w:pPr>
    </w:p>
    <w:p w14:paraId="5D0614C9" w14:textId="637540AB" w:rsidR="00B8348C" w:rsidRPr="00F52884" w:rsidRDefault="00B8348C" w:rsidP="000C25A3">
      <w:pPr>
        <w:spacing w:before="60" w:after="60"/>
        <w:ind w:left="-360"/>
        <w:rPr>
          <w:rFonts w:cstheme="minorHAnsi"/>
          <w:b/>
          <w:szCs w:val="23"/>
        </w:rPr>
      </w:pPr>
      <w:r w:rsidRPr="00F52884">
        <w:rPr>
          <w:rFonts w:cstheme="minorHAnsi"/>
          <w:b/>
          <w:bCs/>
          <w:szCs w:val="23"/>
          <w:lang w:val="fr-CA"/>
        </w:rPr>
        <w:t xml:space="preserve"> 4. </w:t>
      </w:r>
      <w:r w:rsidR="007824FC" w:rsidRPr="00F52884">
        <w:rPr>
          <w:rFonts w:cstheme="minorHAnsi"/>
          <w:b/>
          <w:bCs/>
          <w:szCs w:val="23"/>
          <w:lang w:val="fr-CA"/>
        </w:rPr>
        <w:t xml:space="preserve"> </w:t>
      </w:r>
      <w:r w:rsidRPr="00F52884">
        <w:rPr>
          <w:rFonts w:cstheme="minorHAnsi"/>
          <w:b/>
          <w:bCs/>
          <w:szCs w:val="23"/>
          <w:lang w:val="fr-CA"/>
        </w:rPr>
        <w:t>COLOMBIE-BRITANNIQUE</w:t>
      </w:r>
    </w:p>
    <w:tbl>
      <w:tblPr>
        <w:tblW w:w="10116" w:type="dxa"/>
        <w:jc w:val="center"/>
        <w:tblCellMar>
          <w:top w:w="14" w:type="dxa"/>
          <w:left w:w="86" w:type="dxa"/>
          <w:bottom w:w="14" w:type="dxa"/>
          <w:right w:w="86" w:type="dxa"/>
        </w:tblCellMar>
        <w:tblLook w:val="0000" w:firstRow="0" w:lastRow="0" w:firstColumn="0" w:lastColumn="0" w:noHBand="0" w:noVBand="0"/>
      </w:tblPr>
      <w:tblGrid>
        <w:gridCol w:w="2340"/>
        <w:gridCol w:w="7351"/>
        <w:gridCol w:w="425"/>
      </w:tblGrid>
      <w:tr w:rsidR="00B8348C" w:rsidRPr="00F52884" w14:paraId="19B3F010"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4D58595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5167E473"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68240F" w14:paraId="76112D1F" w14:textId="77777777" w:rsidTr="000C25A3">
        <w:trPr>
          <w:trHeight w:val="42"/>
          <w:jc w:val="center"/>
        </w:trPr>
        <w:tc>
          <w:tcPr>
            <w:tcW w:w="2340" w:type="dxa"/>
            <w:tcBorders>
              <w:top w:val="single" w:sz="4" w:space="0" w:color="C0C0C0"/>
              <w:left w:val="nil"/>
              <w:bottom w:val="single" w:sz="4" w:space="0" w:color="C0C0C0"/>
              <w:right w:val="single" w:sz="4" w:space="0" w:color="FFFFFF"/>
            </w:tcBorders>
            <w:vAlign w:val="center"/>
          </w:tcPr>
          <w:p w14:paraId="270D58F3"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461A3287"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courtage; services de commerce de gros; services de commerce de détail (spiritueux, vin et bière; magasins de bière, de vin et de spiritueux); fabrication de boissons alcoolisées</w:t>
            </w:r>
          </w:p>
        </w:tc>
      </w:tr>
      <w:tr w:rsidR="00B8348C" w:rsidRPr="00F52884" w14:paraId="7C46A5D3" w14:textId="77777777" w:rsidTr="000C25A3">
        <w:trPr>
          <w:gridAfter w:val="1"/>
          <w:wAfter w:w="425" w:type="dxa"/>
          <w:trHeight w:val="42"/>
          <w:jc w:val="center"/>
        </w:trPr>
        <w:tc>
          <w:tcPr>
            <w:tcW w:w="2340" w:type="dxa"/>
            <w:tcBorders>
              <w:top w:val="single" w:sz="4" w:space="0" w:color="C0C0C0"/>
              <w:left w:val="nil"/>
              <w:bottom w:val="single" w:sz="4" w:space="0" w:color="C0C0C0"/>
              <w:right w:val="single" w:sz="4" w:space="0" w:color="FFFFFF"/>
            </w:tcBorders>
            <w:vAlign w:val="center"/>
          </w:tcPr>
          <w:p w14:paraId="0BFCF46D" w14:textId="77777777" w:rsidR="00B8348C" w:rsidRPr="00F52884" w:rsidRDefault="00B8348C" w:rsidP="000C25A3">
            <w:pPr>
              <w:spacing w:before="60" w:after="60"/>
              <w:ind w:right="-110"/>
              <w:rPr>
                <w:rFonts w:cstheme="minorHAnsi"/>
                <w:szCs w:val="23"/>
              </w:rPr>
            </w:pPr>
            <w:r w:rsidRPr="00F52884">
              <w:rPr>
                <w:rFonts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0239BE50" w14:textId="77777777" w:rsidR="00B8348C" w:rsidRPr="00F52884" w:rsidRDefault="00B8348C" w:rsidP="000C25A3">
            <w:pPr>
              <w:spacing w:before="60" w:after="60"/>
              <w:ind w:right="-110"/>
              <w:rPr>
                <w:rFonts w:cstheme="minorHAnsi"/>
                <w:szCs w:val="23"/>
              </w:rPr>
            </w:pPr>
            <w:r w:rsidRPr="00F52884">
              <w:rPr>
                <w:rFonts w:cstheme="minorHAnsi"/>
                <w:szCs w:val="23"/>
                <w:lang w:val="fr-CA"/>
              </w:rPr>
              <w:t>CPC 24 (autre que 244), 62112, 62226, 63107</w:t>
            </w:r>
          </w:p>
        </w:tc>
      </w:tr>
      <w:tr w:rsidR="00B8348C" w:rsidRPr="0068240F" w14:paraId="11E13761" w14:textId="77777777" w:rsidTr="000C25A3">
        <w:trPr>
          <w:trHeight w:val="42"/>
          <w:jc w:val="center"/>
        </w:trPr>
        <w:tc>
          <w:tcPr>
            <w:tcW w:w="2340" w:type="dxa"/>
            <w:tcBorders>
              <w:top w:val="single" w:sz="4" w:space="0" w:color="C0C0C0"/>
              <w:left w:val="nil"/>
              <w:bottom w:val="single" w:sz="4" w:space="0" w:color="C0C0C0"/>
            </w:tcBorders>
          </w:tcPr>
          <w:p w14:paraId="3D549AA6" w14:textId="344F31BD"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76" w:type="dxa"/>
            <w:gridSpan w:val="2"/>
            <w:tcBorders>
              <w:top w:val="single" w:sz="4" w:space="0" w:color="C0C0C0"/>
              <w:left w:val="nil"/>
              <w:bottom w:val="single" w:sz="4" w:space="0" w:color="C0C0C0"/>
            </w:tcBorders>
          </w:tcPr>
          <w:p w14:paraId="71BD9A9C"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581C30E0"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8163C83"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61DEA993" w14:textId="77777777" w:rsidTr="000C25A3">
        <w:trPr>
          <w:trHeight w:val="4161"/>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4C8BDF8F" w14:textId="77777777" w:rsidR="00B8348C" w:rsidRPr="00F52884" w:rsidRDefault="00B8348C" w:rsidP="000C25A3">
            <w:pPr>
              <w:pStyle w:val="NormalWeb"/>
              <w:spacing w:before="120" w:beforeAutospacing="0" w:after="120" w:afterAutospacing="0"/>
              <w:rPr>
                <w:rFonts w:asciiTheme="minorHAnsi" w:hAnsiTheme="minorHAnsi" w:cstheme="minorHAnsi"/>
                <w:szCs w:val="23"/>
                <w:lang w:val="fr-FR"/>
              </w:rPr>
            </w:pPr>
            <w:r w:rsidRPr="00F52884">
              <w:rPr>
                <w:rFonts w:asciiTheme="minorHAnsi" w:hAnsiTheme="minorHAnsi" w:cstheme="minorHAnsi"/>
                <w:szCs w:val="23"/>
                <w:lang w:val="fr-CA"/>
              </w:rPr>
              <w:lastRenderedPageBreak/>
              <w:t>La Colombie-Britannique se réserve le droit d’adopter ou de maintenir toute mesure se rapportant à l’importation, à la commercialisation, à l’octroi de licences, à la vente et à la distribution de boissons alcoolisées dans la Colombie-Britannique, qui :</w:t>
            </w:r>
          </w:p>
          <w:p w14:paraId="2D0C5727" w14:textId="5D33EE2F" w:rsidR="00B8348C" w:rsidRPr="00F52884" w:rsidRDefault="00B8348C" w:rsidP="007824FC">
            <w:pPr>
              <w:numPr>
                <w:ilvl w:val="0"/>
                <w:numId w:val="145"/>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d’investissements visés ou de fournisseurs de services qui peuvent mener une activité économique spécifique, que ce soit sous la forme de contingents numériques, de monopoles, de fournisseurs exclusifs de services ou de l’exigence d’un examen des besoins économiques;</w:t>
            </w:r>
          </w:p>
          <w:p w14:paraId="4D7843B7" w14:textId="77777777" w:rsidR="00B8348C" w:rsidRPr="00F52884" w:rsidRDefault="00B8348C" w:rsidP="007824FC">
            <w:pPr>
              <w:numPr>
                <w:ilvl w:val="0"/>
                <w:numId w:val="145"/>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la valeur totale des transactions ou des actifs, sous la forme de contingents numériques ou de l’exigence d’un examen des besoins économiques;</w:t>
            </w:r>
          </w:p>
          <w:p w14:paraId="19CAA770" w14:textId="2F78B92D" w:rsidR="00B8348C" w:rsidRPr="00F52884" w:rsidRDefault="00B8348C" w:rsidP="007824FC">
            <w:pPr>
              <w:numPr>
                <w:ilvl w:val="0"/>
                <w:numId w:val="145"/>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d’opérations ou la quantité totale produite, exprimées en unités numériques déterminées, sous la forme de contingents ou de l’exigence d’un examen des besoins économiques;</w:t>
            </w:r>
          </w:p>
          <w:p w14:paraId="0E863301" w14:textId="4B5EFF68" w:rsidR="00B8348C" w:rsidRPr="00F52884" w:rsidRDefault="00B8348C" w:rsidP="007824FC">
            <w:pPr>
              <w:numPr>
                <w:ilvl w:val="0"/>
                <w:numId w:val="145"/>
              </w:numPr>
              <w:spacing w:before="120" w:after="120"/>
              <w:ind w:left="906" w:hanging="54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de personnes physiques qui peuvent être employées dans un sous-secteur ou qu’un investissement visé peut employer, et qui sont nécessaires pour la réalisation d’une activité économique et s’en occupent directement, sous la forme de contingents numériques ou de l’exigence d’un examen des besoins économiques;</w:t>
            </w:r>
          </w:p>
          <w:p w14:paraId="4D5F737F" w14:textId="2C457434" w:rsidR="00B8348C" w:rsidRPr="00F52884" w:rsidRDefault="00B8348C" w:rsidP="007824FC">
            <w:pPr>
              <w:pStyle w:val="NormalWeb"/>
              <w:numPr>
                <w:ilvl w:val="0"/>
                <w:numId w:val="145"/>
              </w:numPr>
              <w:spacing w:before="120" w:beforeAutospacing="0" w:after="120" w:afterAutospacing="0"/>
              <w:ind w:left="906" w:hanging="540"/>
              <w:rPr>
                <w:rFonts w:asciiTheme="minorHAnsi" w:hAnsiTheme="minorHAnsi" w:cstheme="minorHAnsi"/>
                <w:szCs w:val="23"/>
                <w:lang w:val="fr-FR"/>
              </w:rPr>
            </w:pPr>
            <w:proofErr w:type="gramStart"/>
            <w:r w:rsidRPr="00F52884">
              <w:rPr>
                <w:rFonts w:asciiTheme="minorHAnsi" w:hAnsiTheme="minorHAnsi" w:cstheme="minorHAnsi"/>
                <w:szCs w:val="23"/>
                <w:lang w:val="fr-CA"/>
              </w:rPr>
              <w:t>restreint</w:t>
            </w:r>
            <w:proofErr w:type="gramEnd"/>
            <w:r w:rsidRPr="00F52884">
              <w:rPr>
                <w:rFonts w:asciiTheme="minorHAnsi" w:hAnsiTheme="minorHAnsi" w:cstheme="minorHAnsi"/>
                <w:szCs w:val="23"/>
                <w:lang w:val="fr-CA"/>
              </w:rPr>
              <w:t xml:space="preserve"> ou prescrit un type spécifique d’entité juridique ou de coentreprise par l’intermédiaire duquel un investisseur peut mener une activité économique.</w:t>
            </w:r>
          </w:p>
        </w:tc>
      </w:tr>
      <w:tr w:rsidR="00B8348C" w:rsidRPr="00F52884" w14:paraId="77211A49" w14:textId="77777777" w:rsidTr="000C25A3">
        <w:trPr>
          <w:trHeight w:val="39"/>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61C4F75"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5E5F93C0" w14:textId="77777777" w:rsidTr="000C25A3">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4BFA5A1B" w14:textId="77777777" w:rsidR="00B8348C" w:rsidRPr="00F52884" w:rsidRDefault="00B8348C" w:rsidP="000C25A3">
            <w:pPr>
              <w:pStyle w:val="NoSpacing"/>
              <w:rPr>
                <w:rFonts w:cstheme="minorHAnsi"/>
                <w:b/>
                <w:sz w:val="23"/>
                <w:szCs w:val="23"/>
              </w:rPr>
            </w:pPr>
          </w:p>
        </w:tc>
      </w:tr>
    </w:tbl>
    <w:p w14:paraId="13B413B4" w14:textId="77777777" w:rsidR="00B8348C" w:rsidRPr="00F52884" w:rsidRDefault="00B8348C" w:rsidP="000C25A3">
      <w:pPr>
        <w:pStyle w:val="Heading3"/>
        <w:rPr>
          <w:rFonts w:asciiTheme="minorHAnsi" w:hAnsiTheme="minorHAnsi" w:cstheme="minorHAnsi"/>
          <w:sz w:val="23"/>
          <w:szCs w:val="23"/>
        </w:rPr>
      </w:pPr>
    </w:p>
    <w:p w14:paraId="30EBF814" w14:textId="60962563" w:rsidR="00181B02" w:rsidRDefault="00181B02" w:rsidP="0068240F">
      <w:pPr>
        <w:spacing w:before="60" w:after="60"/>
        <w:ind w:left="-284"/>
        <w:rPr>
          <w:rFonts w:ascii="Arial" w:hAnsi="Arial" w:cs="Arial"/>
          <w:b/>
          <w:bCs/>
          <w:szCs w:val="23"/>
          <w:lang w:val="fr-CA"/>
        </w:rPr>
      </w:pPr>
      <w:r>
        <w:rPr>
          <w:rFonts w:ascii="Arial" w:hAnsi="Arial" w:cs="Arial"/>
          <w:b/>
          <w:bCs/>
          <w:szCs w:val="23"/>
          <w:lang w:val="fr-CA"/>
        </w:rPr>
        <w:t>5.  COLOMBIE-BRITANNIQUE</w:t>
      </w:r>
    </w:p>
    <w:tbl>
      <w:tblPr>
        <w:tblW w:w="10116" w:type="dxa"/>
        <w:jc w:val="center"/>
        <w:tblCellMar>
          <w:top w:w="14" w:type="dxa"/>
          <w:left w:w="86" w:type="dxa"/>
          <w:bottom w:w="14" w:type="dxa"/>
          <w:right w:w="86" w:type="dxa"/>
        </w:tblCellMar>
        <w:tblLook w:val="04A0" w:firstRow="1" w:lastRow="0" w:firstColumn="1" w:lastColumn="0" w:noHBand="0" w:noVBand="1"/>
      </w:tblPr>
      <w:tblGrid>
        <w:gridCol w:w="2447"/>
        <w:gridCol w:w="7251"/>
        <w:gridCol w:w="418"/>
      </w:tblGrid>
      <w:tr w:rsidR="00181B02" w14:paraId="288EF8A3" w14:textId="77777777" w:rsidTr="00181B02">
        <w:trPr>
          <w:trHeight w:val="42"/>
          <w:jc w:val="center"/>
        </w:trPr>
        <w:tc>
          <w:tcPr>
            <w:tcW w:w="2447" w:type="dxa"/>
            <w:tcBorders>
              <w:top w:val="single" w:sz="4" w:space="0" w:color="C0C0C0"/>
              <w:left w:val="nil"/>
              <w:bottom w:val="single" w:sz="4" w:space="0" w:color="C0C0C0"/>
              <w:right w:val="single" w:sz="4" w:space="0" w:color="FFFFFF"/>
            </w:tcBorders>
            <w:vAlign w:val="center"/>
            <w:hideMark/>
          </w:tcPr>
          <w:p w14:paraId="6798EC9B" w14:textId="77777777" w:rsidR="00181B02" w:rsidRDefault="00181B02">
            <w:pPr>
              <w:spacing w:line="256" w:lineRule="auto"/>
              <w:rPr>
                <w:rFonts w:ascii="Arial" w:hAnsi="Arial" w:cs="Arial"/>
                <w:b/>
                <w:szCs w:val="23"/>
              </w:rPr>
            </w:pPr>
            <w:r>
              <w:rPr>
                <w:rFonts w:ascii="Arial" w:hAnsi="Arial" w:cs="Arial"/>
                <w:b/>
                <w:bCs/>
                <w:szCs w:val="23"/>
                <w:lang w:val="fr-CA"/>
              </w:rPr>
              <w:t xml:space="preserve">Secteur : </w:t>
            </w:r>
          </w:p>
        </w:tc>
        <w:tc>
          <w:tcPr>
            <w:tcW w:w="7669" w:type="dxa"/>
            <w:gridSpan w:val="2"/>
            <w:tcBorders>
              <w:top w:val="single" w:sz="4" w:space="0" w:color="C0C0C0"/>
              <w:left w:val="nil"/>
              <w:bottom w:val="single" w:sz="4" w:space="0" w:color="C0C0C0"/>
              <w:right w:val="single" w:sz="4" w:space="0" w:color="FFFFFF"/>
            </w:tcBorders>
            <w:vAlign w:val="center"/>
            <w:hideMark/>
          </w:tcPr>
          <w:p w14:paraId="70B9F23D" w14:textId="77777777" w:rsidR="00181B02" w:rsidRDefault="00181B02">
            <w:pPr>
              <w:spacing w:line="256" w:lineRule="auto"/>
              <w:rPr>
                <w:rFonts w:ascii="Arial" w:hAnsi="Arial" w:cs="Arial"/>
                <w:szCs w:val="23"/>
              </w:rPr>
            </w:pPr>
            <w:r>
              <w:rPr>
                <w:rFonts w:ascii="Arial" w:hAnsi="Arial" w:cs="Arial"/>
                <w:szCs w:val="23"/>
                <w:lang w:val="fr-CA"/>
              </w:rPr>
              <w:t xml:space="preserve">Énergie </w:t>
            </w:r>
          </w:p>
        </w:tc>
      </w:tr>
      <w:tr w:rsidR="00181B02" w:rsidRPr="0068240F" w14:paraId="48ABBA81" w14:textId="77777777" w:rsidTr="00181B02">
        <w:trPr>
          <w:trHeight w:val="42"/>
          <w:jc w:val="center"/>
        </w:trPr>
        <w:tc>
          <w:tcPr>
            <w:tcW w:w="2447" w:type="dxa"/>
            <w:tcBorders>
              <w:top w:val="single" w:sz="4" w:space="0" w:color="C0C0C0"/>
              <w:left w:val="nil"/>
              <w:bottom w:val="single" w:sz="4" w:space="0" w:color="C0C0C0"/>
              <w:right w:val="single" w:sz="4" w:space="0" w:color="FFFFFF"/>
            </w:tcBorders>
            <w:vAlign w:val="center"/>
            <w:hideMark/>
          </w:tcPr>
          <w:p w14:paraId="0FE53D0A" w14:textId="77777777" w:rsidR="00181B02" w:rsidRDefault="00181B02">
            <w:pPr>
              <w:spacing w:line="256" w:lineRule="auto"/>
              <w:rPr>
                <w:rFonts w:ascii="Arial" w:hAnsi="Arial" w:cs="Arial"/>
                <w:b/>
                <w:szCs w:val="23"/>
              </w:rPr>
            </w:pPr>
            <w:r>
              <w:rPr>
                <w:rFonts w:ascii="Arial" w:hAnsi="Arial" w:cs="Arial"/>
                <w:b/>
                <w:bCs/>
                <w:szCs w:val="23"/>
                <w:lang w:val="fr-CA"/>
              </w:rPr>
              <w:t xml:space="preserve">Sous-secteur :  </w:t>
            </w:r>
          </w:p>
        </w:tc>
        <w:tc>
          <w:tcPr>
            <w:tcW w:w="7669" w:type="dxa"/>
            <w:gridSpan w:val="2"/>
            <w:tcBorders>
              <w:top w:val="single" w:sz="4" w:space="0" w:color="C0C0C0"/>
              <w:left w:val="nil"/>
              <w:bottom w:val="single" w:sz="4" w:space="0" w:color="C0C0C0"/>
              <w:right w:val="single" w:sz="4" w:space="0" w:color="FFFFFF"/>
            </w:tcBorders>
            <w:vAlign w:val="center"/>
            <w:hideMark/>
          </w:tcPr>
          <w:p w14:paraId="68636878" w14:textId="77777777" w:rsidR="00181B02" w:rsidRDefault="00181B02">
            <w:pPr>
              <w:spacing w:line="256" w:lineRule="auto"/>
              <w:rPr>
                <w:rFonts w:ascii="Arial" w:hAnsi="Arial" w:cs="Arial"/>
                <w:szCs w:val="23"/>
                <w:lang w:val="fr-CA"/>
              </w:rPr>
            </w:pPr>
            <w:r>
              <w:rPr>
                <w:rFonts w:ascii="Arial" w:hAnsi="Arial" w:cs="Arial"/>
                <w:szCs w:val="23"/>
                <w:lang w:val="fr-CA"/>
              </w:rPr>
              <w:t>Services annexes à la distribution d’énergie</w:t>
            </w:r>
          </w:p>
        </w:tc>
      </w:tr>
      <w:tr w:rsidR="00181B02" w14:paraId="4AAC9584" w14:textId="77777777" w:rsidTr="00181B02">
        <w:trPr>
          <w:gridAfter w:val="1"/>
          <w:wAfter w:w="418" w:type="dxa"/>
          <w:trHeight w:val="42"/>
          <w:jc w:val="center"/>
        </w:trPr>
        <w:tc>
          <w:tcPr>
            <w:tcW w:w="2447" w:type="dxa"/>
            <w:tcBorders>
              <w:top w:val="single" w:sz="4" w:space="0" w:color="C0C0C0"/>
              <w:left w:val="nil"/>
              <w:bottom w:val="single" w:sz="4" w:space="0" w:color="C0C0C0"/>
              <w:right w:val="single" w:sz="4" w:space="0" w:color="FFFFFF"/>
            </w:tcBorders>
            <w:vAlign w:val="center"/>
            <w:hideMark/>
          </w:tcPr>
          <w:p w14:paraId="7F1ECAD0" w14:textId="77777777" w:rsidR="00181B02" w:rsidRDefault="00181B02">
            <w:pPr>
              <w:spacing w:line="256" w:lineRule="auto"/>
              <w:rPr>
                <w:rFonts w:ascii="Arial" w:hAnsi="Arial" w:cs="Arial"/>
                <w:b/>
                <w:szCs w:val="23"/>
                <w:lang w:val="en-US"/>
              </w:rPr>
            </w:pPr>
            <w:r>
              <w:rPr>
                <w:rFonts w:ascii="Arial" w:hAnsi="Arial" w:cs="Arial"/>
                <w:b/>
                <w:bCs/>
                <w:szCs w:val="23"/>
                <w:lang w:val="fr-CA"/>
              </w:rPr>
              <w:t xml:space="preserve">Classification de l’industrie : </w:t>
            </w:r>
          </w:p>
        </w:tc>
        <w:tc>
          <w:tcPr>
            <w:tcW w:w="7251" w:type="dxa"/>
            <w:tcBorders>
              <w:top w:val="single" w:sz="4" w:space="0" w:color="C0C0C0"/>
              <w:left w:val="nil"/>
              <w:bottom w:val="single" w:sz="4" w:space="0" w:color="C0C0C0"/>
              <w:right w:val="single" w:sz="4" w:space="0" w:color="FFFFFF"/>
            </w:tcBorders>
            <w:vAlign w:val="center"/>
            <w:hideMark/>
          </w:tcPr>
          <w:p w14:paraId="5B57999A" w14:textId="77777777" w:rsidR="00181B02" w:rsidRDefault="00181B02">
            <w:pPr>
              <w:spacing w:line="256" w:lineRule="auto"/>
              <w:rPr>
                <w:rFonts w:ascii="Arial" w:hAnsi="Arial" w:cs="Arial"/>
                <w:szCs w:val="23"/>
              </w:rPr>
            </w:pPr>
            <w:r>
              <w:rPr>
                <w:rFonts w:ascii="Arial" w:hAnsi="Arial" w:cs="Arial"/>
                <w:szCs w:val="23"/>
                <w:lang w:val="fr-CA"/>
              </w:rPr>
              <w:t>CPC 887</w:t>
            </w:r>
          </w:p>
        </w:tc>
      </w:tr>
      <w:tr w:rsidR="00181B02" w:rsidRPr="0068240F" w14:paraId="01EA2439" w14:textId="77777777" w:rsidTr="00181B02">
        <w:trPr>
          <w:trHeight w:val="42"/>
          <w:jc w:val="center"/>
        </w:trPr>
        <w:tc>
          <w:tcPr>
            <w:tcW w:w="2447" w:type="dxa"/>
            <w:tcBorders>
              <w:top w:val="single" w:sz="4" w:space="0" w:color="C0C0C0"/>
              <w:left w:val="nil"/>
              <w:bottom w:val="single" w:sz="4" w:space="0" w:color="C0C0C0"/>
              <w:right w:val="nil"/>
            </w:tcBorders>
            <w:hideMark/>
          </w:tcPr>
          <w:p w14:paraId="59F0CA5C" w14:textId="77777777" w:rsidR="00181B02" w:rsidRDefault="00181B02">
            <w:pPr>
              <w:spacing w:line="256" w:lineRule="auto"/>
              <w:rPr>
                <w:rFonts w:ascii="Arial" w:hAnsi="Arial" w:cs="Arial"/>
                <w:b/>
                <w:szCs w:val="23"/>
              </w:rPr>
            </w:pPr>
            <w:r>
              <w:rPr>
                <w:rFonts w:ascii="Arial" w:hAnsi="Arial" w:cs="Arial"/>
                <w:b/>
                <w:bCs/>
                <w:szCs w:val="23"/>
                <w:lang w:val="fr-CA"/>
              </w:rPr>
              <w:t xml:space="preserve">Type d’exception : </w:t>
            </w:r>
          </w:p>
        </w:tc>
        <w:tc>
          <w:tcPr>
            <w:tcW w:w="7669" w:type="dxa"/>
            <w:gridSpan w:val="2"/>
            <w:tcBorders>
              <w:top w:val="single" w:sz="4" w:space="0" w:color="C0C0C0"/>
              <w:left w:val="nil"/>
              <w:bottom w:val="single" w:sz="4" w:space="0" w:color="C0C0C0"/>
              <w:right w:val="nil"/>
            </w:tcBorders>
            <w:hideMark/>
          </w:tcPr>
          <w:p w14:paraId="05900A5C" w14:textId="77777777" w:rsidR="00181B02" w:rsidRDefault="00181B02">
            <w:pPr>
              <w:spacing w:line="256" w:lineRule="auto"/>
              <w:rPr>
                <w:rFonts w:ascii="Arial" w:hAnsi="Arial" w:cs="Arial"/>
                <w:szCs w:val="23"/>
                <w:lang w:val="fr-CA"/>
              </w:rPr>
            </w:pPr>
            <w:r>
              <w:rPr>
                <w:rFonts w:ascii="Arial" w:hAnsi="Arial" w:cs="Arial"/>
                <w:szCs w:val="23"/>
                <w:lang w:val="fr-CA"/>
              </w:rPr>
              <w:t xml:space="preserve">Annexe 309 (Fournisseurs de services de transport d’électricité et commerce des services de transport d’électricité) </w:t>
            </w:r>
          </w:p>
        </w:tc>
      </w:tr>
      <w:tr w:rsidR="00181B02" w14:paraId="5097FBB3" w14:textId="77777777" w:rsidTr="00181B02">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0E7C460C" w14:textId="77777777" w:rsidR="00181B02" w:rsidRDefault="00181B02">
            <w:pPr>
              <w:spacing w:line="256" w:lineRule="auto"/>
              <w:rPr>
                <w:rFonts w:ascii="Arial" w:hAnsi="Arial" w:cs="Arial"/>
                <w:b/>
                <w:szCs w:val="23"/>
                <w:lang w:val="en-US"/>
              </w:rPr>
            </w:pPr>
            <w:r>
              <w:rPr>
                <w:rFonts w:ascii="Arial" w:hAnsi="Arial" w:cs="Arial"/>
                <w:b/>
                <w:bCs/>
                <w:szCs w:val="23"/>
                <w:lang w:val="fr-CA"/>
              </w:rPr>
              <w:t xml:space="preserve">Description : </w:t>
            </w:r>
          </w:p>
        </w:tc>
      </w:tr>
      <w:tr w:rsidR="00181B02" w:rsidRPr="0068240F" w14:paraId="1CB445F8" w14:textId="77777777" w:rsidTr="00181B02">
        <w:trPr>
          <w:trHeight w:val="892"/>
          <w:jc w:val="center"/>
        </w:trPr>
        <w:tc>
          <w:tcPr>
            <w:tcW w:w="10116" w:type="dxa"/>
            <w:gridSpan w:val="3"/>
            <w:tcBorders>
              <w:top w:val="single" w:sz="4" w:space="0" w:color="C0C0C0"/>
              <w:left w:val="single" w:sz="4" w:space="0" w:color="C0C0C0"/>
              <w:bottom w:val="single" w:sz="4" w:space="0" w:color="C0C0C0"/>
              <w:right w:val="single" w:sz="4" w:space="0" w:color="C0C0C0"/>
            </w:tcBorders>
            <w:hideMark/>
          </w:tcPr>
          <w:p w14:paraId="719FDB7D" w14:textId="77777777" w:rsidR="00181B02" w:rsidRDefault="00181B02">
            <w:pPr>
              <w:spacing w:before="120" w:after="120" w:line="256" w:lineRule="auto"/>
              <w:rPr>
                <w:rFonts w:ascii="Arial" w:hAnsi="Arial" w:cs="Arial"/>
                <w:szCs w:val="23"/>
                <w:lang w:val="fr-CA"/>
              </w:rPr>
            </w:pPr>
            <w:r>
              <w:rPr>
                <w:rFonts w:ascii="Arial" w:hAnsi="Arial" w:cs="Arial"/>
                <w:szCs w:val="23"/>
                <w:lang w:val="fr-CA"/>
              </w:rPr>
              <w:t xml:space="preserve">La plupart des centrales et des installations de transport et de distribution d’électricité de la Colombie-Britannique sont la propriété de la société d’État British Columbia Hydro and Power </w:t>
            </w:r>
            <w:proofErr w:type="spellStart"/>
            <w:r>
              <w:rPr>
                <w:rFonts w:ascii="Arial" w:hAnsi="Arial" w:cs="Arial"/>
                <w:szCs w:val="23"/>
                <w:lang w:val="fr-CA"/>
              </w:rPr>
              <w:t>Authority</w:t>
            </w:r>
            <w:proofErr w:type="spellEnd"/>
            <w:r>
              <w:rPr>
                <w:rFonts w:ascii="Arial" w:hAnsi="Arial" w:cs="Arial"/>
                <w:szCs w:val="23"/>
                <w:lang w:val="fr-CA"/>
              </w:rPr>
              <w:t xml:space="preserve"> (« BC Hydro »).  L’annexe 309 ne s’applique pas aux mesures relatives à la ligne de transport 1L359 de BC Hydro, qui s’étend de la station de production Fort Nelson de BC Hydro en Colombie-Britannique jusqu’à la sous-station de Rainbow Lake en Alberta. </w:t>
            </w:r>
          </w:p>
        </w:tc>
      </w:tr>
      <w:tr w:rsidR="00181B02" w14:paraId="019145CC" w14:textId="77777777" w:rsidTr="00181B02">
        <w:trPr>
          <w:trHeight w:val="39"/>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4AED02CD" w14:textId="77777777" w:rsidR="00181B02" w:rsidRDefault="00181B02">
            <w:pPr>
              <w:spacing w:line="256" w:lineRule="auto"/>
              <w:rPr>
                <w:rFonts w:ascii="Arial" w:hAnsi="Arial" w:cs="Arial"/>
                <w:b/>
                <w:szCs w:val="23"/>
                <w:lang w:val="en-US"/>
              </w:rPr>
            </w:pPr>
            <w:r>
              <w:rPr>
                <w:rFonts w:ascii="Arial" w:hAnsi="Arial" w:cs="Arial"/>
                <w:b/>
                <w:bCs/>
                <w:szCs w:val="23"/>
                <w:lang w:val="fr-CA"/>
              </w:rPr>
              <w:t xml:space="preserve">Toute mesure existante : </w:t>
            </w:r>
          </w:p>
        </w:tc>
      </w:tr>
      <w:tr w:rsidR="0068240F" w14:paraId="3AFDCDAE" w14:textId="77777777" w:rsidTr="0068240F">
        <w:trPr>
          <w:trHeight w:val="39"/>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auto"/>
          </w:tcPr>
          <w:p w14:paraId="7D22CC1F" w14:textId="77777777" w:rsidR="0068240F" w:rsidRDefault="0068240F">
            <w:pPr>
              <w:spacing w:line="256" w:lineRule="auto"/>
              <w:rPr>
                <w:rFonts w:ascii="Arial" w:hAnsi="Arial" w:cs="Arial"/>
                <w:b/>
                <w:bCs/>
                <w:szCs w:val="23"/>
                <w:lang w:val="fr-CA"/>
              </w:rPr>
            </w:pPr>
          </w:p>
        </w:tc>
      </w:tr>
    </w:tbl>
    <w:p w14:paraId="27BAE3CD" w14:textId="77777777" w:rsidR="007730E4" w:rsidRDefault="007730E4">
      <w:pPr>
        <w:rPr>
          <w:rFonts w:cstheme="minorHAnsi"/>
          <w:szCs w:val="23"/>
          <w:lang w:val="fr-CA"/>
        </w:rPr>
      </w:pPr>
    </w:p>
    <w:p w14:paraId="3D2D43A0" w14:textId="77777777" w:rsidR="007730E4" w:rsidRDefault="007730E4">
      <w:pPr>
        <w:rPr>
          <w:rFonts w:cstheme="minorHAnsi"/>
          <w:szCs w:val="23"/>
          <w:lang w:val="fr-CA"/>
        </w:rPr>
      </w:pPr>
    </w:p>
    <w:p w14:paraId="2011FFA9" w14:textId="77777777" w:rsidR="007730E4" w:rsidRPr="007730E4" w:rsidRDefault="007730E4" w:rsidP="007730E4">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7730E4">
        <w:rPr>
          <w:rFonts w:ascii="Arial" w:eastAsia="Times New Roman" w:hAnsi="Arial" w:cs="Arial"/>
          <w:b/>
          <w:bCs/>
          <w:caps/>
          <w:szCs w:val="23"/>
          <w:lang w:val="fr-CA"/>
        </w:rPr>
        <w:t xml:space="preserve">6. </w:t>
      </w:r>
      <w:r w:rsidRPr="007730E4">
        <w:rPr>
          <w:rFonts w:ascii="Arial" w:eastAsia="Times New Roman" w:hAnsi="Arial" w:cs="Arial"/>
          <w:b/>
          <w:bCs/>
          <w:szCs w:val="23"/>
          <w:lang w:val="fr-CA"/>
        </w:rPr>
        <w:t>COLOMBIE-BRITANNIQUE</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7730E4" w:rsidRPr="007730E4" w14:paraId="63040313"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6D89A945" w14:textId="77777777" w:rsidR="007730E4" w:rsidRPr="007730E4" w:rsidRDefault="007730E4" w:rsidP="007730E4">
            <w:pPr>
              <w:spacing w:before="60" w:after="60"/>
              <w:rPr>
                <w:rFonts w:ascii="Arial" w:eastAsia="Calibri" w:hAnsi="Arial" w:cs="Arial"/>
                <w:b/>
                <w:szCs w:val="24"/>
                <w:lang w:eastAsia="en-CA" w:bidi="en-US"/>
              </w:rPr>
            </w:pPr>
            <w:proofErr w:type="spellStart"/>
            <w:proofErr w:type="gramStart"/>
            <w:r w:rsidRPr="007730E4">
              <w:rPr>
                <w:rFonts w:ascii="Arial" w:eastAsia="Calibri" w:hAnsi="Arial" w:cs="Arial"/>
                <w:b/>
                <w:szCs w:val="24"/>
                <w:lang w:eastAsia="en-CA" w:bidi="en-US"/>
              </w:rPr>
              <w:lastRenderedPageBreak/>
              <w:t>Secteur</w:t>
            </w:r>
            <w:proofErr w:type="spellEnd"/>
            <w:r w:rsidRPr="007730E4">
              <w:rPr>
                <w:rFonts w:ascii="Arial" w:eastAsia="Calibri" w:hAnsi="Arial" w:cs="Arial"/>
                <w:b/>
                <w:szCs w:val="24"/>
                <w:lang w:eastAsia="en-CA" w:bidi="en-US"/>
              </w:rPr>
              <w:t> :</w:t>
            </w:r>
            <w:proofErr w:type="gramEnd"/>
            <w:r w:rsidRPr="007730E4">
              <w:rPr>
                <w:rFonts w:ascii="Arial" w:eastAsia="Calibri" w:hAnsi="Arial" w:cs="Arial"/>
                <w:b/>
                <w:szCs w:val="24"/>
                <w:lang w:eastAsia="en-CA" w:bidi="en-US"/>
              </w:rPr>
              <w:t xml:space="preserve"> </w:t>
            </w:r>
          </w:p>
          <w:p w14:paraId="552FA2B8" w14:textId="77777777" w:rsidR="007730E4" w:rsidRPr="007730E4" w:rsidRDefault="007730E4" w:rsidP="007730E4">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1F8240FE" w14:textId="77777777" w:rsidR="007730E4" w:rsidRPr="007730E4" w:rsidRDefault="007730E4" w:rsidP="007730E4">
            <w:pPr>
              <w:spacing w:before="60" w:after="60" w:line="42" w:lineRule="atLeast"/>
              <w:rPr>
                <w:rFonts w:ascii="Arial" w:eastAsia="Calibri" w:hAnsi="Arial" w:cs="Arial"/>
                <w:bCs/>
                <w:szCs w:val="24"/>
                <w:lang w:eastAsia="en-CA" w:bidi="en-US"/>
              </w:rPr>
            </w:pPr>
            <w:r w:rsidRPr="007730E4">
              <w:rPr>
                <w:rFonts w:ascii="Arial" w:eastAsia="Calibri" w:hAnsi="Arial" w:cs="Arial"/>
                <w:bCs/>
                <w:szCs w:val="24"/>
                <w:lang w:eastAsia="en-CA" w:bidi="en-US"/>
              </w:rPr>
              <w:t>Cannabis</w:t>
            </w:r>
          </w:p>
        </w:tc>
      </w:tr>
      <w:tr w:rsidR="007730E4" w:rsidRPr="0068240F" w14:paraId="61C07C86"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2BF6CF96"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t>Sous-</w:t>
            </w: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3686859C" w14:textId="77777777" w:rsidR="007730E4" w:rsidRPr="007730E4" w:rsidRDefault="007730E4" w:rsidP="007730E4">
            <w:pPr>
              <w:rPr>
                <w:rFonts w:ascii="Arial" w:eastAsia="Calibri" w:hAnsi="Arial" w:cs="Arial"/>
                <w:bCs/>
                <w:szCs w:val="24"/>
                <w:lang w:val="fr-CA" w:eastAsia="en-CA" w:bidi="en-US"/>
              </w:rPr>
            </w:pPr>
            <w:r w:rsidRPr="007730E4">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7730E4" w:rsidRPr="007730E4" w14:paraId="32DFA7D9"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0760C21"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t xml:space="preserve">Classification de </w:t>
            </w:r>
            <w:proofErr w:type="spellStart"/>
            <w:proofErr w:type="gramStart"/>
            <w:r w:rsidRPr="007730E4">
              <w:rPr>
                <w:rFonts w:ascii="Arial" w:eastAsia="Calibri" w:hAnsi="Arial" w:cs="Arial"/>
                <w:b/>
                <w:szCs w:val="24"/>
                <w:lang w:eastAsia="en-CA" w:bidi="en-US"/>
              </w:rPr>
              <w:t>l’industrie</w:t>
            </w:r>
            <w:proofErr w:type="spellEnd"/>
            <w:r w:rsidRPr="007730E4">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3BBC1399" w14:textId="77777777" w:rsidR="007730E4" w:rsidRPr="007730E4" w:rsidRDefault="007730E4" w:rsidP="007730E4">
            <w:pPr>
              <w:spacing w:before="60" w:after="60"/>
              <w:ind w:left="28" w:hanging="28"/>
              <w:rPr>
                <w:rFonts w:ascii="Arial" w:eastAsia="Calibri" w:hAnsi="Arial" w:cs="Arial"/>
                <w:bCs/>
                <w:szCs w:val="24"/>
                <w:lang w:eastAsia="en-CA" w:bidi="en-US"/>
              </w:rPr>
            </w:pPr>
            <w:r w:rsidRPr="007730E4">
              <w:rPr>
                <w:rFonts w:ascii="Arial" w:eastAsia="Calibri" w:hAnsi="Arial" w:cs="Arial"/>
                <w:bCs/>
                <w:szCs w:val="24"/>
                <w:lang w:eastAsia="en-CA" w:bidi="en-US"/>
              </w:rPr>
              <w:t xml:space="preserve">A, D, E, F </w:t>
            </w:r>
          </w:p>
        </w:tc>
        <w:tc>
          <w:tcPr>
            <w:tcW w:w="390" w:type="dxa"/>
            <w:tcBorders>
              <w:top w:val="nil"/>
              <w:left w:val="nil"/>
              <w:bottom w:val="single" w:sz="8" w:space="0" w:color="C0C0C0"/>
              <w:right w:val="nil"/>
            </w:tcBorders>
            <w:vAlign w:val="center"/>
            <w:hideMark/>
          </w:tcPr>
          <w:p w14:paraId="3948A49B"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 </w:t>
            </w:r>
          </w:p>
        </w:tc>
      </w:tr>
      <w:tr w:rsidR="007730E4" w:rsidRPr="0068240F" w14:paraId="32D0823F"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49370BFE" w14:textId="77777777" w:rsidR="007730E4" w:rsidRPr="007730E4" w:rsidRDefault="007730E4" w:rsidP="007730E4">
            <w:pPr>
              <w:spacing w:before="60" w:after="60"/>
              <w:rPr>
                <w:rFonts w:ascii="Arial" w:eastAsia="Calibri" w:hAnsi="Arial" w:cs="Arial"/>
                <w:b/>
                <w:szCs w:val="24"/>
                <w:lang w:eastAsia="en-CA"/>
              </w:rPr>
            </w:pPr>
            <w:r w:rsidRPr="007730E4">
              <w:rPr>
                <w:rFonts w:ascii="Arial" w:eastAsia="Calibri" w:hAnsi="Arial" w:cs="Arial"/>
                <w:b/>
                <w:szCs w:val="24"/>
                <w:lang w:eastAsia="en-CA" w:bidi="en-US"/>
              </w:rPr>
              <w:t>Type</w:t>
            </w:r>
          </w:p>
          <w:p w14:paraId="5FD3F925" w14:textId="77777777" w:rsidR="007730E4" w:rsidRPr="007730E4" w:rsidRDefault="007730E4" w:rsidP="007730E4">
            <w:pPr>
              <w:spacing w:before="60" w:after="60"/>
              <w:rPr>
                <w:rFonts w:ascii="Arial" w:eastAsia="Calibri" w:hAnsi="Arial" w:cs="Arial"/>
                <w:b/>
                <w:szCs w:val="24"/>
                <w:lang w:eastAsia="en-CA"/>
              </w:rPr>
            </w:pPr>
            <w:proofErr w:type="spellStart"/>
            <w:proofErr w:type="gramStart"/>
            <w:r w:rsidRPr="007730E4">
              <w:rPr>
                <w:rFonts w:ascii="Arial" w:eastAsia="Calibri" w:hAnsi="Arial" w:cs="Arial"/>
                <w:b/>
                <w:szCs w:val="24"/>
                <w:lang w:eastAsia="en-CA" w:bidi="en-US"/>
              </w:rPr>
              <w:t>d’exception</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6209F388"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Article 307 (Accès aux marchés – Services), article 312 (Accès aux marchés – Investissement)</w:t>
            </w:r>
          </w:p>
        </w:tc>
      </w:tr>
      <w:tr w:rsidR="007730E4" w:rsidRPr="007730E4" w14:paraId="13B45357"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04217C90" w14:textId="77777777" w:rsidR="007730E4" w:rsidRPr="007730E4" w:rsidRDefault="007730E4" w:rsidP="007730E4">
            <w:pPr>
              <w:spacing w:before="60" w:after="60"/>
              <w:rPr>
                <w:rFonts w:ascii="Arial" w:eastAsia="Calibri" w:hAnsi="Arial" w:cs="Arial"/>
                <w:b/>
                <w:szCs w:val="24"/>
                <w:lang w:eastAsia="en-CA" w:bidi="en-US"/>
              </w:rPr>
            </w:pPr>
            <w:proofErr w:type="gramStart"/>
            <w:r w:rsidRPr="007730E4">
              <w:rPr>
                <w:rFonts w:ascii="Arial" w:eastAsia="Calibri" w:hAnsi="Arial" w:cs="Arial"/>
                <w:b/>
                <w:szCs w:val="24"/>
                <w:lang w:eastAsia="en-CA" w:bidi="en-US"/>
              </w:rPr>
              <w:t>Description :</w:t>
            </w:r>
            <w:proofErr w:type="gramEnd"/>
            <w:r w:rsidRPr="007730E4">
              <w:rPr>
                <w:rFonts w:ascii="Arial" w:eastAsia="Calibri" w:hAnsi="Arial" w:cs="Arial"/>
                <w:b/>
                <w:szCs w:val="24"/>
                <w:lang w:eastAsia="en-CA" w:bidi="en-US"/>
              </w:rPr>
              <w:t xml:space="preserve"> </w:t>
            </w:r>
          </w:p>
        </w:tc>
      </w:tr>
      <w:tr w:rsidR="007730E4" w:rsidRPr="0068240F" w14:paraId="1A385571"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07EDFED6"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La Colombie-Britannique se réserve le droit d’adopter ou de maintenir toute mesure se rapportant à l’importation, à la commercialisation, à l’octroi de licences, à la vente et à la distribution de cannabis ou de produits à base de cannabis en Colombie-Britannique qui :</w:t>
            </w:r>
          </w:p>
          <w:p w14:paraId="5055FD21" w14:textId="77777777" w:rsidR="007730E4" w:rsidRPr="007730E4" w:rsidRDefault="007730E4" w:rsidP="007730E4">
            <w:pPr>
              <w:widowControl w:val="0"/>
              <w:numPr>
                <w:ilvl w:val="0"/>
                <w:numId w:val="441"/>
              </w:numPr>
              <w:tabs>
                <w:tab w:val="left" w:pos="720"/>
                <w:tab w:val="left" w:pos="1440"/>
                <w:tab w:val="left" w:pos="2160"/>
                <w:tab w:val="left" w:pos="2880"/>
              </w:tabs>
              <w:autoSpaceDE w:val="0"/>
              <w:autoSpaceDN w:val="0"/>
              <w:adjustRightInd w:val="0"/>
              <w:spacing w:before="60" w:after="60"/>
              <w:ind w:left="1043" w:hanging="425"/>
              <w:rPr>
                <w:rFonts w:ascii="Arial" w:eastAsia="Calibri" w:hAnsi="Arial" w:cs="Arial"/>
                <w:bCs/>
                <w:szCs w:val="24"/>
                <w:lang w:val="fr-CA" w:eastAsia="en-CA" w:bidi="en-US"/>
              </w:rPr>
            </w:pPr>
            <w:proofErr w:type="gramStart"/>
            <w:r w:rsidRPr="007730E4">
              <w:rPr>
                <w:rFonts w:ascii="Arial" w:eastAsia="Calibri" w:hAnsi="Arial" w:cs="Arial"/>
                <w:bCs/>
                <w:szCs w:val="24"/>
                <w:lang w:val="fr-CA" w:eastAsia="en-CA" w:bidi="en-US"/>
              </w:rPr>
              <w:t>limite</w:t>
            </w:r>
            <w:proofErr w:type="gramEnd"/>
            <w:r w:rsidRPr="007730E4">
              <w:rPr>
                <w:rFonts w:ascii="Arial" w:eastAsia="Calibri" w:hAnsi="Arial" w:cs="Arial"/>
                <w:bCs/>
                <w:szCs w:val="24"/>
                <w:lang w:val="fr-CA" w:eastAsia="en-CA" w:bidi="en-US"/>
              </w:rPr>
              <w:t xml:space="preserve"> le nombre d’investissements visés ou de fournisseurs de services qui peuvent mener une activité économique précise, que ce soit sous la forme de contingents numériques, de monopoles, de fournisseurs exclusifs de services ou de l’exigence d’un examen des besoins économiques;</w:t>
            </w:r>
          </w:p>
          <w:p w14:paraId="0DDCCD55" w14:textId="77777777" w:rsidR="007730E4" w:rsidRPr="007730E4" w:rsidRDefault="007730E4" w:rsidP="007730E4">
            <w:pPr>
              <w:widowControl w:val="0"/>
              <w:numPr>
                <w:ilvl w:val="0"/>
                <w:numId w:val="441"/>
              </w:numPr>
              <w:tabs>
                <w:tab w:val="left" w:pos="720"/>
                <w:tab w:val="left" w:pos="1440"/>
                <w:tab w:val="left" w:pos="2160"/>
                <w:tab w:val="left" w:pos="2880"/>
              </w:tabs>
              <w:autoSpaceDE w:val="0"/>
              <w:autoSpaceDN w:val="0"/>
              <w:adjustRightInd w:val="0"/>
              <w:spacing w:before="60" w:after="60"/>
              <w:ind w:left="1043" w:hanging="425"/>
              <w:rPr>
                <w:rFonts w:ascii="Arial" w:eastAsia="Calibri" w:hAnsi="Arial" w:cs="Arial"/>
                <w:bCs/>
                <w:szCs w:val="24"/>
                <w:lang w:val="fr-CA" w:eastAsia="en-CA" w:bidi="en-US"/>
              </w:rPr>
            </w:pPr>
            <w:proofErr w:type="gramStart"/>
            <w:r w:rsidRPr="007730E4">
              <w:rPr>
                <w:rFonts w:ascii="Arial" w:eastAsia="Calibri" w:hAnsi="Arial" w:cs="Arial"/>
                <w:bCs/>
                <w:szCs w:val="24"/>
                <w:lang w:val="fr-CA" w:eastAsia="en-CA" w:bidi="en-US"/>
              </w:rPr>
              <w:t>limite</w:t>
            </w:r>
            <w:proofErr w:type="gramEnd"/>
            <w:r w:rsidRPr="007730E4">
              <w:rPr>
                <w:rFonts w:ascii="Arial" w:eastAsia="Calibri" w:hAnsi="Arial" w:cs="Arial"/>
                <w:bCs/>
                <w:szCs w:val="24"/>
                <w:lang w:val="fr-CA" w:eastAsia="en-CA" w:bidi="en-US"/>
              </w:rPr>
              <w:t xml:space="preserve"> la valeur totale des transactions ou des actifs, sous la forme de contingents numériques ou de l’exigence d’un examen des besoins économiques;</w:t>
            </w:r>
          </w:p>
          <w:p w14:paraId="6ABDF065" w14:textId="77777777" w:rsidR="007730E4" w:rsidRPr="007730E4" w:rsidRDefault="007730E4" w:rsidP="007730E4">
            <w:pPr>
              <w:widowControl w:val="0"/>
              <w:numPr>
                <w:ilvl w:val="0"/>
                <w:numId w:val="441"/>
              </w:numPr>
              <w:tabs>
                <w:tab w:val="left" w:pos="720"/>
                <w:tab w:val="left" w:pos="1440"/>
                <w:tab w:val="left" w:pos="2160"/>
                <w:tab w:val="left" w:pos="2880"/>
              </w:tabs>
              <w:autoSpaceDE w:val="0"/>
              <w:autoSpaceDN w:val="0"/>
              <w:adjustRightInd w:val="0"/>
              <w:spacing w:before="60" w:after="60"/>
              <w:ind w:left="1043" w:hanging="425"/>
              <w:rPr>
                <w:rFonts w:ascii="Arial" w:eastAsia="Calibri" w:hAnsi="Arial" w:cs="Arial"/>
                <w:bCs/>
                <w:szCs w:val="24"/>
                <w:lang w:val="fr-CA" w:eastAsia="en-CA" w:bidi="en-US"/>
              </w:rPr>
            </w:pPr>
            <w:proofErr w:type="gramStart"/>
            <w:r w:rsidRPr="007730E4">
              <w:rPr>
                <w:rFonts w:ascii="Arial" w:eastAsia="Calibri" w:hAnsi="Arial" w:cs="Arial"/>
                <w:bCs/>
                <w:szCs w:val="24"/>
                <w:lang w:val="fr-CA" w:eastAsia="en-CA" w:bidi="en-US"/>
              </w:rPr>
              <w:t>limite</w:t>
            </w:r>
            <w:proofErr w:type="gramEnd"/>
            <w:r w:rsidRPr="007730E4">
              <w:rPr>
                <w:rFonts w:ascii="Arial" w:eastAsia="Calibri" w:hAnsi="Arial" w:cs="Arial"/>
                <w:bCs/>
                <w:szCs w:val="24"/>
                <w:lang w:val="fr-CA" w:eastAsia="en-CA" w:bidi="en-US"/>
              </w:rPr>
              <w:t xml:space="preserve"> le nombre total d’opérations ou la quantité totale produite, exprimées en unités numériques déterminées, sous la forme de contingents numériques ou de l’exigence d’un examen des besoins économiques;</w:t>
            </w:r>
          </w:p>
          <w:p w14:paraId="13BC4D94" w14:textId="77777777" w:rsidR="007730E4" w:rsidRPr="007730E4" w:rsidRDefault="007730E4" w:rsidP="007730E4">
            <w:pPr>
              <w:widowControl w:val="0"/>
              <w:numPr>
                <w:ilvl w:val="0"/>
                <w:numId w:val="441"/>
              </w:numPr>
              <w:tabs>
                <w:tab w:val="right" w:pos="660"/>
                <w:tab w:val="left" w:pos="720"/>
                <w:tab w:val="left" w:pos="1440"/>
                <w:tab w:val="left" w:pos="2160"/>
                <w:tab w:val="left" w:pos="2880"/>
              </w:tabs>
              <w:autoSpaceDE w:val="0"/>
              <w:autoSpaceDN w:val="0"/>
              <w:adjustRightInd w:val="0"/>
              <w:spacing w:before="60" w:after="60"/>
              <w:ind w:left="1044" w:hanging="425"/>
              <w:rPr>
                <w:rFonts w:ascii="Arial" w:eastAsia="Calibri" w:hAnsi="Arial" w:cs="Arial"/>
                <w:bCs/>
                <w:szCs w:val="24"/>
                <w:lang w:val="fr-CA" w:eastAsia="en-CA" w:bidi="en-US"/>
              </w:rPr>
            </w:pPr>
            <w:proofErr w:type="gramStart"/>
            <w:r w:rsidRPr="007730E4">
              <w:rPr>
                <w:rFonts w:ascii="Arial" w:eastAsia="Calibri" w:hAnsi="Arial" w:cs="Arial"/>
                <w:bCs/>
                <w:szCs w:val="24"/>
                <w:lang w:val="fr-CA" w:eastAsia="en-CA" w:bidi="en-US"/>
              </w:rPr>
              <w:t>limite</w:t>
            </w:r>
            <w:proofErr w:type="gramEnd"/>
            <w:r w:rsidRPr="007730E4">
              <w:rPr>
                <w:rFonts w:ascii="Arial" w:eastAsia="Calibri" w:hAnsi="Arial" w:cs="Arial"/>
                <w:bCs/>
                <w:szCs w:val="24"/>
                <w:lang w:val="fr-CA" w:eastAsia="en-CA" w:bidi="en-US"/>
              </w:rPr>
              <w:t xml:space="preserve"> le nombre total de personnes physiques qui peuvent être employées dans un sous-secteur ou qu’un investissement visé peut employer, et qui sont nécessaires pour la réalisation d’une activité économique et s’en occupent directement, sous la forme de contingents numériques ou de l’exigence d’un examen des besoins économiques;</w:t>
            </w:r>
          </w:p>
          <w:p w14:paraId="39F8D60C" w14:textId="77777777" w:rsidR="007730E4" w:rsidRPr="007730E4" w:rsidRDefault="007730E4" w:rsidP="007730E4">
            <w:pPr>
              <w:widowControl w:val="0"/>
              <w:numPr>
                <w:ilvl w:val="0"/>
                <w:numId w:val="441"/>
              </w:numPr>
              <w:tabs>
                <w:tab w:val="left" w:pos="720"/>
                <w:tab w:val="left" w:pos="1440"/>
                <w:tab w:val="left" w:pos="2160"/>
                <w:tab w:val="left" w:pos="2880"/>
              </w:tabs>
              <w:autoSpaceDE w:val="0"/>
              <w:autoSpaceDN w:val="0"/>
              <w:adjustRightInd w:val="0"/>
              <w:spacing w:before="60" w:after="60"/>
              <w:ind w:left="1044" w:hanging="425"/>
              <w:rPr>
                <w:rFonts w:ascii="Arial" w:eastAsia="Calibri" w:hAnsi="Arial" w:cs="Arial"/>
                <w:bCs/>
                <w:szCs w:val="24"/>
                <w:lang w:val="fr-CA" w:eastAsia="en-CA" w:bidi="en-US"/>
              </w:rPr>
            </w:pPr>
            <w:proofErr w:type="gramStart"/>
            <w:r w:rsidRPr="007730E4">
              <w:rPr>
                <w:rFonts w:ascii="Arial" w:eastAsia="Calibri" w:hAnsi="Arial" w:cs="Arial"/>
                <w:bCs/>
                <w:szCs w:val="24"/>
                <w:lang w:val="fr-CA" w:eastAsia="en-CA" w:bidi="en-US"/>
              </w:rPr>
              <w:t>restreint</w:t>
            </w:r>
            <w:proofErr w:type="gramEnd"/>
            <w:r w:rsidRPr="007730E4">
              <w:rPr>
                <w:rFonts w:ascii="Arial" w:eastAsia="Calibri" w:hAnsi="Arial" w:cs="Arial"/>
                <w:bCs/>
                <w:szCs w:val="24"/>
                <w:lang w:val="fr-CA" w:eastAsia="en-CA" w:bidi="en-US"/>
              </w:rPr>
              <w:t xml:space="preserve"> ou prescrit un type précis d’entité juridique ou de coentreprise par l’intermédiaire duquel un investisseur peut mener une activité économique.</w:t>
            </w:r>
          </w:p>
        </w:tc>
      </w:tr>
      <w:tr w:rsidR="007730E4" w:rsidRPr="0068240F" w14:paraId="72F26374" w14:textId="77777777" w:rsidTr="0068240F">
        <w:trPr>
          <w:trHeight w:val="42"/>
          <w:jc w:val="center"/>
        </w:trPr>
        <w:tc>
          <w:tcPr>
            <w:tcW w:w="10116" w:type="dxa"/>
            <w:gridSpan w:val="3"/>
            <w:tcBorders>
              <w:top w:val="nil"/>
              <w:left w:val="single" w:sz="8" w:space="0" w:color="C0C0C0"/>
              <w:bottom w:val="nil"/>
              <w:right w:val="single" w:sz="8" w:space="0" w:color="C0C0C0"/>
            </w:tcBorders>
            <w:shd w:val="clear" w:color="auto" w:fill="D9D9D9"/>
            <w:tcMar>
              <w:top w:w="14" w:type="dxa"/>
              <w:left w:w="86" w:type="dxa"/>
              <w:bottom w:w="14" w:type="dxa"/>
              <w:right w:w="86" w:type="dxa"/>
            </w:tcMar>
            <w:hideMark/>
          </w:tcPr>
          <w:p w14:paraId="7E3283AC"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
                <w:szCs w:val="24"/>
                <w:lang w:val="fr-CA" w:eastAsia="en-CA" w:bidi="en-US"/>
              </w:rPr>
              <w:t>Toute mesure existante :</w:t>
            </w:r>
            <w:r w:rsidRPr="007730E4">
              <w:rPr>
                <w:rFonts w:ascii="Arial" w:eastAsia="Calibri" w:hAnsi="Arial" w:cs="Arial"/>
                <w:bCs/>
                <w:szCs w:val="24"/>
                <w:lang w:val="fr-CA" w:eastAsia="en-CA" w:bidi="en-US"/>
              </w:rPr>
              <w:t xml:space="preserve"> (À titre d’exemple seulement)</w:t>
            </w:r>
          </w:p>
        </w:tc>
      </w:tr>
      <w:tr w:rsidR="0068240F" w:rsidRPr="0068240F" w14:paraId="0DBD7FDF" w14:textId="77777777" w:rsidTr="0068240F">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auto"/>
            <w:tcMar>
              <w:top w:w="14" w:type="dxa"/>
              <w:left w:w="86" w:type="dxa"/>
              <w:bottom w:w="14" w:type="dxa"/>
              <w:right w:w="86" w:type="dxa"/>
            </w:tcMar>
          </w:tcPr>
          <w:p w14:paraId="6414D1B2" w14:textId="77777777" w:rsidR="0068240F" w:rsidRPr="007730E4" w:rsidRDefault="0068240F" w:rsidP="007730E4">
            <w:pPr>
              <w:spacing w:before="60" w:after="60"/>
              <w:rPr>
                <w:rFonts w:ascii="Arial" w:eastAsia="Calibri" w:hAnsi="Arial" w:cs="Arial"/>
                <w:b/>
                <w:szCs w:val="24"/>
                <w:lang w:val="fr-CA" w:eastAsia="en-CA" w:bidi="en-US"/>
              </w:rPr>
            </w:pPr>
          </w:p>
        </w:tc>
      </w:tr>
    </w:tbl>
    <w:p w14:paraId="7E64A9E4" w14:textId="43660DD4" w:rsidR="00B8348C" w:rsidRPr="009A780E" w:rsidRDefault="00B8348C">
      <w:pPr>
        <w:rPr>
          <w:rFonts w:eastAsia="Times New Roman" w:cstheme="minorHAnsi"/>
          <w:b/>
          <w:bCs/>
          <w:szCs w:val="23"/>
          <w:lang w:val="fr-FR"/>
        </w:rPr>
      </w:pPr>
      <w:r w:rsidRPr="00F52884">
        <w:rPr>
          <w:rFonts w:cstheme="minorHAnsi"/>
          <w:szCs w:val="23"/>
          <w:lang w:val="fr-CA"/>
        </w:rPr>
        <w:br w:type="page"/>
      </w:r>
    </w:p>
    <w:p w14:paraId="76D6974C" w14:textId="77777777" w:rsidR="00B8348C" w:rsidRPr="00F52884" w:rsidRDefault="00B8348C" w:rsidP="00F52884">
      <w:pPr>
        <w:pStyle w:val="Heading3"/>
        <w:jc w:val="center"/>
        <w:rPr>
          <w:rFonts w:asciiTheme="minorHAnsi" w:hAnsiTheme="minorHAnsi" w:cstheme="minorHAnsi"/>
          <w:sz w:val="24"/>
          <w:szCs w:val="24"/>
          <w:lang w:val="fr-FR"/>
        </w:rPr>
      </w:pPr>
      <w:bookmarkStart w:id="315" w:name="_Toc476566356"/>
      <w:bookmarkStart w:id="316" w:name="_Toc476427390"/>
      <w:bookmarkStart w:id="317" w:name="_Toc156311809"/>
      <w:r w:rsidRPr="00F52884">
        <w:rPr>
          <w:rFonts w:asciiTheme="minorHAnsi" w:hAnsiTheme="minorHAnsi" w:cstheme="minorHAnsi"/>
          <w:sz w:val="24"/>
          <w:szCs w:val="24"/>
          <w:lang w:val="fr-CA"/>
        </w:rPr>
        <w:lastRenderedPageBreak/>
        <w:t>Liste de l’Île-du-Prince-Édouard</w:t>
      </w:r>
      <w:bookmarkEnd w:id="315"/>
      <w:bookmarkEnd w:id="316"/>
      <w:bookmarkEnd w:id="317"/>
    </w:p>
    <w:p w14:paraId="21772809" w14:textId="77777777" w:rsidR="00B8348C" w:rsidRPr="00F52884" w:rsidRDefault="00B8348C" w:rsidP="000C25A3">
      <w:pPr>
        <w:rPr>
          <w:rFonts w:eastAsia="Times New Roman" w:cstheme="minorHAnsi"/>
          <w:b/>
          <w:sz w:val="24"/>
          <w:szCs w:val="24"/>
          <w:lang w:val="fr-FR"/>
        </w:rPr>
      </w:pPr>
    </w:p>
    <w:p w14:paraId="7347AA9F"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II</w:t>
      </w:r>
    </w:p>
    <w:p w14:paraId="1F698F4C" w14:textId="77777777" w:rsidR="00B8348C" w:rsidRPr="00F52884" w:rsidRDefault="00B8348C" w:rsidP="000C25A3">
      <w:pPr>
        <w:rPr>
          <w:rFonts w:eastAsia="Times New Roman" w:cstheme="minorHAnsi"/>
          <w:b/>
          <w:szCs w:val="23"/>
          <w:lang w:val="fr-FR"/>
        </w:rPr>
      </w:pPr>
    </w:p>
    <w:p w14:paraId="2FAB2210" w14:textId="339BE0B0" w:rsidR="00B8348C" w:rsidRPr="00F52884" w:rsidRDefault="00B8348C" w:rsidP="007824FC">
      <w:pPr>
        <w:spacing w:before="60" w:after="60"/>
        <w:ind w:left="-360"/>
        <w:rPr>
          <w:rFonts w:cstheme="minorHAnsi"/>
          <w:b/>
          <w:caps/>
          <w:szCs w:val="23"/>
          <w:lang w:val="fr-FR"/>
        </w:rPr>
      </w:pPr>
      <w:r w:rsidRPr="00F52884">
        <w:rPr>
          <w:rFonts w:cstheme="minorHAnsi"/>
          <w:b/>
          <w:bCs/>
          <w:caps/>
          <w:szCs w:val="23"/>
          <w:lang w:val="fr-CA"/>
        </w:rPr>
        <w:t xml:space="preserve">1. </w:t>
      </w:r>
      <w:r w:rsidR="007824FC" w:rsidRPr="00F52884">
        <w:rPr>
          <w:rFonts w:cstheme="minorHAnsi"/>
          <w:b/>
          <w:bCs/>
          <w:caps/>
          <w:szCs w:val="23"/>
          <w:lang w:val="fr-CA"/>
        </w:rPr>
        <w:t xml:space="preserve"> </w:t>
      </w:r>
      <w:r w:rsidRPr="00F52884">
        <w:rPr>
          <w:rFonts w:cstheme="minorHAnsi"/>
          <w:b/>
          <w:bCs/>
          <w:caps/>
          <w:szCs w:val="23"/>
          <w:lang w:val="fr-CA"/>
        </w:rPr>
        <w:t>Île-du-Prince-Édouard</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5BEBDEEA" w14:textId="77777777" w:rsidTr="007824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53469647"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6001329" w14:textId="77777777" w:rsidR="00B8348C" w:rsidRPr="00F52884" w:rsidRDefault="00B8348C" w:rsidP="000C25A3">
            <w:pPr>
              <w:spacing w:before="60" w:after="60"/>
              <w:rPr>
                <w:rFonts w:cstheme="minorHAnsi"/>
                <w:szCs w:val="23"/>
              </w:rPr>
            </w:pPr>
            <w:r w:rsidRPr="00F52884">
              <w:rPr>
                <w:rFonts w:cstheme="minorHAnsi"/>
                <w:szCs w:val="23"/>
                <w:lang w:val="fr-CA"/>
              </w:rPr>
              <w:t>Pêches, aquaculture</w:t>
            </w:r>
          </w:p>
        </w:tc>
      </w:tr>
      <w:tr w:rsidR="00B8348C" w:rsidRPr="0068240F" w14:paraId="6B1715D2" w14:textId="77777777" w:rsidTr="007824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02D39ABE"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0AE41570" w14:textId="77777777" w:rsidR="00B8348C" w:rsidRPr="00F52884" w:rsidRDefault="00B8348C" w:rsidP="000C25A3">
            <w:pPr>
              <w:spacing w:before="60" w:after="60"/>
              <w:rPr>
                <w:rFonts w:cstheme="minorHAnsi"/>
                <w:szCs w:val="23"/>
                <w:lang w:val="fr-FR"/>
              </w:rPr>
            </w:pPr>
            <w:r w:rsidRPr="00F52884">
              <w:rPr>
                <w:rFonts w:cstheme="minorHAnsi"/>
                <w:szCs w:val="23"/>
                <w:lang w:val="fr-CA"/>
              </w:rPr>
              <w:t>Poissons et autres produits de la pêche; services de commerce de gros de produits de la pêche; services annexes à la pêche</w:t>
            </w:r>
          </w:p>
        </w:tc>
      </w:tr>
      <w:tr w:rsidR="00B8348C" w:rsidRPr="00F52884" w14:paraId="6B7AE4BD" w14:textId="77777777" w:rsidTr="007824FC">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6FAD0998"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5C5607ED" w14:textId="77777777" w:rsidR="00B8348C" w:rsidRPr="00F52884" w:rsidRDefault="00B8348C" w:rsidP="000C25A3">
            <w:pPr>
              <w:spacing w:before="60" w:after="60"/>
              <w:rPr>
                <w:rFonts w:cstheme="minorHAnsi"/>
                <w:szCs w:val="23"/>
              </w:rPr>
            </w:pPr>
            <w:r w:rsidRPr="00F52884">
              <w:rPr>
                <w:rFonts w:cstheme="minorHAnsi"/>
                <w:szCs w:val="23"/>
                <w:lang w:val="fr-CA"/>
              </w:rPr>
              <w:t>CPC 04, 62224, 882</w:t>
            </w:r>
          </w:p>
        </w:tc>
      </w:tr>
      <w:tr w:rsidR="00B8348C" w:rsidRPr="0068240F" w14:paraId="7AB37CAC" w14:textId="77777777" w:rsidTr="007824FC">
        <w:trPr>
          <w:trHeight w:val="42"/>
          <w:jc w:val="center"/>
        </w:trPr>
        <w:tc>
          <w:tcPr>
            <w:tcW w:w="2424" w:type="dxa"/>
            <w:tcBorders>
              <w:top w:val="single" w:sz="4" w:space="0" w:color="C0C0C0"/>
              <w:left w:val="nil"/>
              <w:bottom w:val="single" w:sz="4" w:space="0" w:color="C0C0C0"/>
            </w:tcBorders>
          </w:tcPr>
          <w:p w14:paraId="64A6181A"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52F77795"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148FD8EA" w14:textId="77777777" w:rsidTr="007824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52C2C1C1"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148C751B" w14:textId="77777777" w:rsidTr="007824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6D814DA4" w14:textId="14D3BAA3" w:rsidR="00B8348C" w:rsidRPr="00F52884" w:rsidRDefault="00B8348C" w:rsidP="00B8348C">
            <w:pPr>
              <w:spacing w:before="60" w:after="60"/>
              <w:rPr>
                <w:rFonts w:eastAsia="Times New Roman" w:cstheme="minorHAnsi"/>
                <w:szCs w:val="23"/>
                <w:lang w:val="fr-FR"/>
              </w:rPr>
            </w:pPr>
            <w:r w:rsidRPr="00F52884">
              <w:rPr>
                <w:rFonts w:cstheme="minorHAnsi"/>
                <w:szCs w:val="23"/>
                <w:lang w:val="fr-CA"/>
              </w:rPr>
              <w:t xml:space="preserve">L’Île-du-Prince-Édouard se réserve le droit d’adopter ou de maintenir toute mesure limitant le droit d’entrée et de sortie ou l’accès aux marchés dans ces sous-secteurs, y compris la mise en marché collective et les arrangements commerciaux de produits de poissons et de l’aquaculture. </w:t>
            </w:r>
          </w:p>
        </w:tc>
      </w:tr>
      <w:tr w:rsidR="00B8348C" w:rsidRPr="00F52884" w14:paraId="0E6EE854" w14:textId="77777777" w:rsidTr="007824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cPr>
          <w:p w14:paraId="6B754F45" w14:textId="77777777" w:rsidR="00B8348C" w:rsidRPr="00F52884" w:rsidRDefault="00B8348C" w:rsidP="000C25A3">
            <w:pPr>
              <w:spacing w:before="60" w:after="60"/>
              <w:rPr>
                <w:rFonts w:cstheme="minorHAnsi"/>
                <w:caps/>
                <w:szCs w:val="23"/>
              </w:rPr>
            </w:pPr>
            <w:r w:rsidRPr="00F52884">
              <w:rPr>
                <w:rFonts w:cstheme="minorHAnsi"/>
                <w:b/>
                <w:bCs/>
                <w:szCs w:val="23"/>
                <w:lang w:val="fr-CA"/>
              </w:rPr>
              <w:t>Toute mesure existante :</w:t>
            </w:r>
            <w:r w:rsidRPr="00F52884">
              <w:rPr>
                <w:rFonts w:cstheme="minorHAnsi"/>
                <w:caps/>
                <w:szCs w:val="23"/>
                <w:lang w:val="fr-CA"/>
              </w:rPr>
              <w:t xml:space="preserve"> </w:t>
            </w:r>
          </w:p>
        </w:tc>
      </w:tr>
      <w:tr w:rsidR="00B8348C" w:rsidRPr="00F52884" w14:paraId="057FED53" w14:textId="77777777" w:rsidTr="007824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4FD3A579" w14:textId="77777777" w:rsidR="00B8348C" w:rsidRPr="00F52884" w:rsidRDefault="00B8348C" w:rsidP="000C25A3">
            <w:pPr>
              <w:spacing w:before="60" w:after="60"/>
              <w:rPr>
                <w:rFonts w:cstheme="minorHAnsi"/>
                <w:b/>
                <w:szCs w:val="23"/>
              </w:rPr>
            </w:pPr>
          </w:p>
        </w:tc>
      </w:tr>
    </w:tbl>
    <w:p w14:paraId="17C03EE1" w14:textId="77777777" w:rsidR="00B8348C" w:rsidRPr="00F52884" w:rsidRDefault="00B8348C" w:rsidP="000C25A3">
      <w:pPr>
        <w:rPr>
          <w:rFonts w:cstheme="minorHAnsi"/>
          <w:szCs w:val="23"/>
        </w:rPr>
      </w:pPr>
    </w:p>
    <w:p w14:paraId="4538FA48" w14:textId="77777777" w:rsidR="00B8348C" w:rsidRPr="00F52884" w:rsidRDefault="00B8348C" w:rsidP="000C25A3">
      <w:pPr>
        <w:rPr>
          <w:rFonts w:cstheme="minorHAnsi"/>
          <w:szCs w:val="23"/>
        </w:rPr>
      </w:pPr>
    </w:p>
    <w:p w14:paraId="35E66D01" w14:textId="57E6B32E"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2. </w:t>
      </w:r>
      <w:r w:rsidR="004E1EFC" w:rsidRPr="00F52884">
        <w:rPr>
          <w:rFonts w:cstheme="minorHAnsi"/>
          <w:b/>
          <w:bCs/>
          <w:caps/>
          <w:szCs w:val="23"/>
          <w:lang w:val="fr-CA"/>
        </w:rPr>
        <w:t xml:space="preserve"> </w:t>
      </w:r>
      <w:r w:rsidRPr="00F52884">
        <w:rPr>
          <w:rFonts w:cstheme="minorHAnsi"/>
          <w:b/>
          <w:bCs/>
          <w:caps/>
          <w:szCs w:val="23"/>
          <w:lang w:val="fr-CA"/>
        </w:rPr>
        <w:t>Île-du-Prince-Édouard</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19442940"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63F098D3"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2023D236"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7EF4AB9C"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66EF489A"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04C1194F"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Systèmes d’énergie renouvelable; énergie électrique; pétrole brut et gaz naturel; services annexes à la distribution d’énergie</w:t>
            </w:r>
          </w:p>
        </w:tc>
      </w:tr>
      <w:tr w:rsidR="00B8348C" w:rsidRPr="00F52884" w14:paraId="5EE28123" w14:textId="77777777" w:rsidTr="004E1EFC">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0B687D8E"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42A56A0E" w14:textId="77777777" w:rsidR="00B8348C" w:rsidRPr="00F52884" w:rsidRDefault="00B8348C" w:rsidP="000C25A3">
            <w:pPr>
              <w:spacing w:before="60" w:after="60"/>
              <w:rPr>
                <w:rFonts w:cstheme="minorHAnsi"/>
                <w:szCs w:val="23"/>
              </w:rPr>
            </w:pPr>
            <w:r w:rsidRPr="00F52884">
              <w:rPr>
                <w:rFonts w:cstheme="minorHAnsi"/>
                <w:szCs w:val="23"/>
                <w:lang w:val="fr-CA"/>
              </w:rPr>
              <w:t>CPC 120, 17, 887</w:t>
            </w:r>
          </w:p>
        </w:tc>
      </w:tr>
      <w:tr w:rsidR="00B8348C" w:rsidRPr="0068240F" w14:paraId="30E0BD48" w14:textId="77777777" w:rsidTr="004E1EFC">
        <w:trPr>
          <w:trHeight w:val="42"/>
          <w:jc w:val="center"/>
        </w:trPr>
        <w:tc>
          <w:tcPr>
            <w:tcW w:w="2424" w:type="dxa"/>
            <w:tcBorders>
              <w:top w:val="single" w:sz="4" w:space="0" w:color="C0C0C0"/>
              <w:left w:val="nil"/>
              <w:bottom w:val="single" w:sz="4" w:space="0" w:color="C0C0C0"/>
            </w:tcBorders>
          </w:tcPr>
          <w:p w14:paraId="328104B1"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1A9DC023"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4212DA2A"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38CA4055"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3B140250"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68485C91"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L’Île-du-Prince-Édouard se réserve le droit d’adopter ou de maintenir toute mesure limitant le droit d’entrée et de sortie ou l’accès aux marchés dans ces sous-secteurs.</w:t>
            </w:r>
          </w:p>
        </w:tc>
      </w:tr>
      <w:tr w:rsidR="00B8348C" w:rsidRPr="00F52884" w14:paraId="4A0055E4"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cPr>
          <w:p w14:paraId="09A99686" w14:textId="77777777" w:rsidR="00B8348C" w:rsidRPr="00F52884" w:rsidRDefault="00B8348C" w:rsidP="000C25A3">
            <w:pPr>
              <w:spacing w:before="60" w:after="60"/>
              <w:rPr>
                <w:rFonts w:cstheme="minorHAnsi"/>
                <w:caps/>
                <w:szCs w:val="23"/>
              </w:rPr>
            </w:pPr>
            <w:r w:rsidRPr="00F52884">
              <w:rPr>
                <w:rFonts w:cstheme="minorHAnsi"/>
                <w:b/>
                <w:bCs/>
                <w:szCs w:val="23"/>
                <w:lang w:val="fr-CA"/>
              </w:rPr>
              <w:t>Toute mesure existante :</w:t>
            </w:r>
            <w:r w:rsidRPr="00F52884">
              <w:rPr>
                <w:rFonts w:cstheme="minorHAnsi"/>
                <w:caps/>
                <w:szCs w:val="23"/>
                <w:lang w:val="fr-CA"/>
              </w:rPr>
              <w:t xml:space="preserve"> </w:t>
            </w:r>
          </w:p>
        </w:tc>
      </w:tr>
      <w:tr w:rsidR="00B8348C" w:rsidRPr="00F52884" w14:paraId="39720752"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09EBE30C" w14:textId="77777777" w:rsidR="00B8348C" w:rsidRPr="00F52884" w:rsidRDefault="00B8348C" w:rsidP="000C25A3">
            <w:pPr>
              <w:spacing w:before="60" w:after="60"/>
              <w:rPr>
                <w:rFonts w:cstheme="minorHAnsi"/>
                <w:b/>
                <w:szCs w:val="23"/>
              </w:rPr>
            </w:pPr>
          </w:p>
        </w:tc>
      </w:tr>
    </w:tbl>
    <w:p w14:paraId="668FA4F6" w14:textId="77777777" w:rsidR="00B8348C" w:rsidRPr="00F52884" w:rsidRDefault="00B8348C" w:rsidP="000C25A3">
      <w:pPr>
        <w:rPr>
          <w:rFonts w:cstheme="minorHAnsi"/>
          <w:szCs w:val="23"/>
        </w:rPr>
      </w:pPr>
    </w:p>
    <w:p w14:paraId="2FB858D8" w14:textId="77777777" w:rsidR="00B8348C" w:rsidRPr="00F52884" w:rsidRDefault="00B8348C" w:rsidP="000C25A3">
      <w:pPr>
        <w:rPr>
          <w:rFonts w:cstheme="minorHAnsi"/>
          <w:szCs w:val="23"/>
        </w:rPr>
      </w:pPr>
    </w:p>
    <w:p w14:paraId="4E352A63" w14:textId="5682FAF1"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3. </w:t>
      </w:r>
      <w:r w:rsidR="004E1EFC" w:rsidRPr="00F52884">
        <w:rPr>
          <w:rFonts w:cstheme="minorHAnsi"/>
          <w:b/>
          <w:bCs/>
          <w:caps/>
          <w:szCs w:val="23"/>
          <w:lang w:val="fr-CA"/>
        </w:rPr>
        <w:t xml:space="preserve"> </w:t>
      </w:r>
      <w:r w:rsidRPr="00F52884">
        <w:rPr>
          <w:rFonts w:cstheme="minorHAnsi"/>
          <w:b/>
          <w:bCs/>
          <w:caps/>
          <w:szCs w:val="23"/>
          <w:lang w:val="fr-CA"/>
        </w:rPr>
        <w:t>Île-du-Prince-Édouard</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6B85251F"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68A80296"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1078208B"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68240F" w14:paraId="17E8A3D6"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6DEE120A" w14:textId="77777777" w:rsidR="00B8348C" w:rsidRPr="00F52884" w:rsidRDefault="00B8348C" w:rsidP="000C25A3">
            <w:pPr>
              <w:spacing w:before="60" w:after="60"/>
              <w:rPr>
                <w:rFonts w:cstheme="minorHAnsi"/>
                <w:b/>
                <w:szCs w:val="23"/>
              </w:rPr>
            </w:pPr>
            <w:r w:rsidRPr="00F52884">
              <w:rPr>
                <w:rFonts w:cstheme="minorHAnsi"/>
                <w:b/>
                <w:bCs/>
                <w:szCs w:val="23"/>
                <w:lang w:val="fr-CA"/>
              </w:rPr>
              <w:lastRenderedPageBreak/>
              <w:t>Sous-secteur :</w:t>
            </w:r>
          </w:p>
        </w:tc>
        <w:tc>
          <w:tcPr>
            <w:tcW w:w="7782" w:type="dxa"/>
            <w:gridSpan w:val="2"/>
            <w:tcBorders>
              <w:top w:val="single" w:sz="4" w:space="0" w:color="C0C0C0"/>
              <w:left w:val="single" w:sz="4" w:space="0" w:color="FFFFFF"/>
              <w:bottom w:val="single" w:sz="4" w:space="0" w:color="C0C0C0"/>
              <w:right w:val="nil"/>
            </w:tcBorders>
            <w:vAlign w:val="center"/>
          </w:tcPr>
          <w:p w14:paraId="61370C88"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Sylviculture et produits de l’exploitation forestière; transformation des ressources forestières; services annexes à l’agriculture, à la chasse et à la sylviculture; fabrication de papier et de produits en papier, à forfait ou sous contrat</w:t>
            </w:r>
          </w:p>
        </w:tc>
      </w:tr>
      <w:tr w:rsidR="00B8348C" w:rsidRPr="0068240F" w14:paraId="4AE309E5" w14:textId="77777777" w:rsidTr="004E1EFC">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52E207D5"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44534DF8" w14:textId="77777777" w:rsidR="00B8348C" w:rsidRPr="00F52884" w:rsidRDefault="00B8348C" w:rsidP="000C25A3">
            <w:pPr>
              <w:spacing w:before="60" w:after="60"/>
              <w:rPr>
                <w:rFonts w:cstheme="minorHAnsi"/>
                <w:szCs w:val="23"/>
                <w:lang w:val="fr-FR"/>
              </w:rPr>
            </w:pPr>
            <w:r w:rsidRPr="00F52884">
              <w:rPr>
                <w:rFonts w:cstheme="minorHAnsi"/>
                <w:szCs w:val="23"/>
                <w:lang w:val="fr-CA"/>
              </w:rPr>
              <w:t>CPC 03, 321, 881 (sauf la location d’équipement agricole, avec opérateur, et 8814), 88430, 88441</w:t>
            </w:r>
          </w:p>
        </w:tc>
      </w:tr>
      <w:tr w:rsidR="00B8348C" w:rsidRPr="0068240F" w14:paraId="09C6175A" w14:textId="77777777" w:rsidTr="004E1EFC">
        <w:trPr>
          <w:trHeight w:val="42"/>
          <w:jc w:val="center"/>
        </w:trPr>
        <w:tc>
          <w:tcPr>
            <w:tcW w:w="2424" w:type="dxa"/>
            <w:tcBorders>
              <w:top w:val="single" w:sz="4" w:space="0" w:color="C0C0C0"/>
              <w:left w:val="nil"/>
              <w:bottom w:val="single" w:sz="4" w:space="0" w:color="C0C0C0"/>
            </w:tcBorders>
          </w:tcPr>
          <w:p w14:paraId="02FF782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1DB0269D"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6D3F5160"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0F7A98A9"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7738B808"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3121C2BE"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L’Île-du-Prince-Édouard se réserve le droit d’adopter ou de maintenir toute mesure limitant le droit d’entrée et de sortie ou l’accès aux marchés dans ces sous-secteurs.</w:t>
            </w:r>
          </w:p>
        </w:tc>
      </w:tr>
      <w:tr w:rsidR="00B8348C" w:rsidRPr="00F52884" w14:paraId="4A1891CA"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cPr>
          <w:p w14:paraId="55F8EFE9" w14:textId="77777777" w:rsidR="00B8348C" w:rsidRPr="00F52884" w:rsidRDefault="00B8348C" w:rsidP="000C25A3">
            <w:pPr>
              <w:spacing w:before="60" w:after="60"/>
              <w:rPr>
                <w:rFonts w:cstheme="minorHAnsi"/>
                <w:caps/>
                <w:szCs w:val="23"/>
              </w:rPr>
            </w:pPr>
            <w:r w:rsidRPr="00F52884">
              <w:rPr>
                <w:rFonts w:cstheme="minorHAnsi"/>
                <w:b/>
                <w:bCs/>
                <w:szCs w:val="23"/>
                <w:lang w:val="fr-CA"/>
              </w:rPr>
              <w:t>Toute mesure existante :</w:t>
            </w:r>
            <w:r w:rsidRPr="00F52884">
              <w:rPr>
                <w:rFonts w:cstheme="minorHAnsi"/>
                <w:caps/>
                <w:szCs w:val="23"/>
                <w:lang w:val="fr-CA"/>
              </w:rPr>
              <w:t xml:space="preserve"> </w:t>
            </w:r>
          </w:p>
        </w:tc>
      </w:tr>
      <w:tr w:rsidR="00B8348C" w:rsidRPr="00F52884" w14:paraId="5F96998B"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2B9DCB8D" w14:textId="77777777" w:rsidR="00B8348C" w:rsidRPr="00F52884" w:rsidRDefault="00B8348C" w:rsidP="000C25A3">
            <w:pPr>
              <w:spacing w:before="60" w:after="60"/>
              <w:rPr>
                <w:rFonts w:cstheme="minorHAnsi"/>
                <w:b/>
                <w:szCs w:val="23"/>
              </w:rPr>
            </w:pPr>
          </w:p>
        </w:tc>
      </w:tr>
    </w:tbl>
    <w:p w14:paraId="2F8D419D" w14:textId="77777777" w:rsidR="00B8348C" w:rsidRPr="00F52884" w:rsidRDefault="00B8348C" w:rsidP="000C25A3">
      <w:pPr>
        <w:rPr>
          <w:rFonts w:cstheme="minorHAnsi"/>
          <w:szCs w:val="23"/>
        </w:rPr>
      </w:pPr>
    </w:p>
    <w:p w14:paraId="591AEEE3" w14:textId="77777777" w:rsidR="00B8348C" w:rsidRPr="00F52884" w:rsidRDefault="00B8348C" w:rsidP="000C25A3">
      <w:pPr>
        <w:rPr>
          <w:rFonts w:cstheme="minorHAnsi"/>
          <w:szCs w:val="23"/>
        </w:rPr>
      </w:pPr>
    </w:p>
    <w:p w14:paraId="794B65E9" w14:textId="04EC24FD"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4. </w:t>
      </w:r>
      <w:r w:rsidR="004E1EFC" w:rsidRPr="00F52884">
        <w:rPr>
          <w:rFonts w:cstheme="minorHAnsi"/>
          <w:b/>
          <w:bCs/>
          <w:caps/>
          <w:szCs w:val="23"/>
          <w:lang w:val="fr-CA"/>
        </w:rPr>
        <w:t xml:space="preserve"> </w:t>
      </w:r>
      <w:r w:rsidRPr="00F52884">
        <w:rPr>
          <w:rFonts w:cstheme="minorHAnsi"/>
          <w:b/>
          <w:bCs/>
          <w:caps/>
          <w:szCs w:val="23"/>
          <w:lang w:val="fr-CA"/>
        </w:rPr>
        <w:t>Île-du-Prince-Édouard</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39DD50A5"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5C91879D"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60C887F"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68240F" w14:paraId="2FE0DFAE"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7A6BA1FB"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0E32046F"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courtage; services de commerce de gros; services de commerce de détail (spiritueux, vin et bière; magasins de bière, de vin et de spiritueux); fabrication de boissons alcoolisées</w:t>
            </w:r>
          </w:p>
        </w:tc>
      </w:tr>
      <w:tr w:rsidR="00B8348C" w:rsidRPr="00F52884" w14:paraId="163BCFD1" w14:textId="77777777" w:rsidTr="004E1EFC">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60F1E961"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3B931FE8" w14:textId="77777777" w:rsidR="00B8348C" w:rsidRPr="00F52884" w:rsidRDefault="00B8348C" w:rsidP="000C25A3">
            <w:pPr>
              <w:spacing w:before="60" w:after="60"/>
              <w:rPr>
                <w:rFonts w:cstheme="minorHAnsi"/>
                <w:szCs w:val="23"/>
              </w:rPr>
            </w:pPr>
            <w:r w:rsidRPr="00F52884">
              <w:rPr>
                <w:rFonts w:cstheme="minorHAnsi"/>
                <w:szCs w:val="23"/>
                <w:lang w:val="fr-CA"/>
              </w:rPr>
              <w:t>CPC 24, 62112, 62226, 63107</w:t>
            </w:r>
          </w:p>
        </w:tc>
      </w:tr>
      <w:tr w:rsidR="00B8348C" w:rsidRPr="0068240F" w14:paraId="13E97A5F" w14:textId="77777777" w:rsidTr="004E1EFC">
        <w:trPr>
          <w:trHeight w:val="42"/>
          <w:jc w:val="center"/>
        </w:trPr>
        <w:tc>
          <w:tcPr>
            <w:tcW w:w="2424" w:type="dxa"/>
            <w:tcBorders>
              <w:top w:val="single" w:sz="4" w:space="0" w:color="C0C0C0"/>
              <w:left w:val="nil"/>
              <w:bottom w:val="single" w:sz="4" w:space="0" w:color="C0C0C0"/>
            </w:tcBorders>
          </w:tcPr>
          <w:p w14:paraId="0FA031D0"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0FA3A479"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79E9C350"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tcPr>
          <w:p w14:paraId="7F083BC4"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Description : </w:t>
            </w:r>
          </w:p>
        </w:tc>
      </w:tr>
      <w:tr w:rsidR="00B8348C" w:rsidRPr="0068240F" w14:paraId="72B00CA8"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17F6D0AC"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L’Île-du-Prince-Édouard se réserve le droit d’adopter ou de maintenir toute mesure limitant le droit d’entrée et de sortie ou l’accès aux marchés dans ces sous-secteurs.</w:t>
            </w:r>
          </w:p>
        </w:tc>
      </w:tr>
      <w:tr w:rsidR="00B8348C" w:rsidRPr="00F52884" w14:paraId="17D7E13D"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cPr>
          <w:p w14:paraId="66E26F62" w14:textId="77777777" w:rsidR="00B8348C" w:rsidRPr="00F52884" w:rsidRDefault="00B8348C" w:rsidP="000C25A3">
            <w:pPr>
              <w:spacing w:before="60" w:after="60"/>
              <w:rPr>
                <w:rFonts w:cstheme="minorHAnsi"/>
                <w:caps/>
                <w:szCs w:val="23"/>
              </w:rPr>
            </w:pPr>
            <w:r w:rsidRPr="00F52884">
              <w:rPr>
                <w:rFonts w:cstheme="minorHAnsi"/>
                <w:b/>
                <w:bCs/>
                <w:szCs w:val="23"/>
                <w:lang w:val="fr-CA"/>
              </w:rPr>
              <w:t>Toute mesure existante :</w:t>
            </w:r>
            <w:r w:rsidRPr="00F52884">
              <w:rPr>
                <w:rFonts w:cstheme="minorHAnsi"/>
                <w:caps/>
                <w:szCs w:val="23"/>
                <w:lang w:val="fr-CA"/>
              </w:rPr>
              <w:t xml:space="preserve"> </w:t>
            </w:r>
          </w:p>
        </w:tc>
      </w:tr>
      <w:tr w:rsidR="00B8348C" w:rsidRPr="00F52884" w14:paraId="2AF9879A"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4FE8A472" w14:textId="77777777" w:rsidR="00B8348C" w:rsidRPr="00F52884" w:rsidRDefault="00B8348C" w:rsidP="000C25A3">
            <w:pPr>
              <w:spacing w:before="60" w:after="60"/>
              <w:rPr>
                <w:rFonts w:cstheme="minorHAnsi"/>
                <w:b/>
                <w:szCs w:val="23"/>
              </w:rPr>
            </w:pPr>
          </w:p>
        </w:tc>
      </w:tr>
    </w:tbl>
    <w:p w14:paraId="41D3DEC9" w14:textId="77777777" w:rsidR="00B8348C" w:rsidRPr="00F52884" w:rsidRDefault="00B8348C" w:rsidP="000C25A3">
      <w:pPr>
        <w:pStyle w:val="Heading3"/>
        <w:rPr>
          <w:rFonts w:asciiTheme="minorHAnsi" w:hAnsiTheme="minorHAnsi" w:cstheme="minorHAnsi"/>
          <w:sz w:val="23"/>
          <w:szCs w:val="23"/>
        </w:rPr>
      </w:pPr>
    </w:p>
    <w:p w14:paraId="2F16921B" w14:textId="77777777" w:rsidR="007730E4" w:rsidRPr="007730E4" w:rsidRDefault="007730E4" w:rsidP="007730E4">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7730E4">
        <w:rPr>
          <w:rFonts w:ascii="Arial" w:eastAsia="Times New Roman" w:hAnsi="Arial" w:cs="Arial"/>
          <w:b/>
          <w:bCs/>
          <w:caps/>
          <w:szCs w:val="23"/>
          <w:lang w:val="fr-CA"/>
        </w:rPr>
        <w:t xml:space="preserve">5. </w:t>
      </w:r>
      <w:r w:rsidRPr="007730E4">
        <w:rPr>
          <w:rFonts w:ascii="Arial" w:eastAsia="Times New Roman" w:hAnsi="Arial" w:cs="Arial"/>
          <w:b/>
          <w:bCs/>
          <w:szCs w:val="23"/>
          <w:lang w:val="fr-CA"/>
        </w:rPr>
        <w:t>ÎLE-DU-PRINCE-ÉDOUARD</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7730E4" w:rsidRPr="007730E4" w14:paraId="1957F632" w14:textId="77777777" w:rsidTr="000017AC">
        <w:trPr>
          <w:trHeight w:val="263"/>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0FEFD6A0" w14:textId="77777777" w:rsidR="007730E4" w:rsidRPr="007730E4" w:rsidRDefault="007730E4" w:rsidP="007730E4">
            <w:pPr>
              <w:spacing w:before="60" w:after="60"/>
              <w:rPr>
                <w:rFonts w:ascii="Arial" w:eastAsia="Calibri" w:hAnsi="Arial" w:cs="Arial"/>
                <w:b/>
                <w:szCs w:val="24"/>
                <w:lang w:eastAsia="en-CA" w:bidi="en-US"/>
              </w:rPr>
            </w:pP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r w:rsidRPr="007730E4">
              <w:rPr>
                <w:rFonts w:ascii="Arial" w:eastAsia="Calibri" w:hAnsi="Arial" w:cs="Arial"/>
                <w:b/>
                <w:szCs w:val="24"/>
                <w:lang w:eastAsia="en-CA" w:bidi="en-US"/>
              </w:rPr>
              <w:t xml:space="preserve"> </w:t>
            </w:r>
          </w:p>
          <w:p w14:paraId="7F09702B" w14:textId="77777777" w:rsidR="007730E4" w:rsidRPr="007730E4" w:rsidRDefault="007730E4" w:rsidP="007730E4">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28211CBB" w14:textId="77777777" w:rsidR="007730E4" w:rsidRPr="007730E4" w:rsidRDefault="007730E4" w:rsidP="007730E4">
            <w:pPr>
              <w:spacing w:before="60" w:after="60" w:line="42" w:lineRule="atLeast"/>
              <w:rPr>
                <w:rFonts w:ascii="Arial" w:eastAsia="Calibri" w:hAnsi="Arial" w:cs="Arial"/>
                <w:bCs/>
                <w:szCs w:val="24"/>
                <w:lang w:eastAsia="en-CA" w:bidi="en-US"/>
              </w:rPr>
            </w:pPr>
            <w:r w:rsidRPr="007730E4">
              <w:rPr>
                <w:rFonts w:ascii="Arial" w:eastAsia="Calibri" w:hAnsi="Arial" w:cs="Arial"/>
                <w:bCs/>
                <w:szCs w:val="24"/>
                <w:lang w:eastAsia="en-CA" w:bidi="en-US"/>
              </w:rPr>
              <w:t>Cannabis</w:t>
            </w:r>
          </w:p>
        </w:tc>
      </w:tr>
      <w:tr w:rsidR="007730E4" w:rsidRPr="0068240F" w14:paraId="646FEC12"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5E8CA1D9"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t>Sous-</w:t>
            </w:r>
            <w:proofErr w:type="spellStart"/>
            <w:proofErr w:type="gramStart"/>
            <w:r w:rsidRPr="007730E4">
              <w:rPr>
                <w:rFonts w:ascii="Arial" w:eastAsia="Calibri" w:hAnsi="Arial" w:cs="Arial"/>
                <w:b/>
                <w:szCs w:val="24"/>
                <w:lang w:eastAsia="en-CA" w:bidi="en-US"/>
              </w:rPr>
              <w:t>secteur</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5429D8D3" w14:textId="77777777" w:rsidR="007730E4" w:rsidRPr="007730E4" w:rsidRDefault="007730E4" w:rsidP="007730E4">
            <w:pPr>
              <w:rPr>
                <w:rFonts w:ascii="Arial" w:eastAsia="Calibri" w:hAnsi="Arial" w:cs="Arial"/>
                <w:bCs/>
                <w:szCs w:val="24"/>
                <w:lang w:val="fr-CA" w:eastAsia="en-CA" w:bidi="en-US"/>
              </w:rPr>
            </w:pPr>
            <w:r w:rsidRPr="007730E4">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7730E4" w:rsidRPr="007730E4" w14:paraId="4128B4CB"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4C04B14" w14:textId="77777777" w:rsidR="007730E4" w:rsidRPr="007730E4" w:rsidRDefault="007730E4" w:rsidP="007730E4">
            <w:pPr>
              <w:spacing w:before="60" w:after="60"/>
              <w:rPr>
                <w:rFonts w:ascii="Arial" w:eastAsia="Calibri" w:hAnsi="Arial" w:cs="Arial"/>
                <w:b/>
                <w:szCs w:val="24"/>
                <w:lang w:eastAsia="en-CA" w:bidi="en-US"/>
              </w:rPr>
            </w:pPr>
            <w:r w:rsidRPr="007730E4">
              <w:rPr>
                <w:rFonts w:ascii="Arial" w:eastAsia="Calibri" w:hAnsi="Arial" w:cs="Arial"/>
                <w:b/>
                <w:szCs w:val="24"/>
                <w:lang w:eastAsia="en-CA" w:bidi="en-US"/>
              </w:rPr>
              <w:lastRenderedPageBreak/>
              <w:t xml:space="preserve">Classification de </w:t>
            </w:r>
            <w:proofErr w:type="spellStart"/>
            <w:proofErr w:type="gramStart"/>
            <w:r w:rsidRPr="007730E4">
              <w:rPr>
                <w:rFonts w:ascii="Arial" w:eastAsia="Calibri" w:hAnsi="Arial" w:cs="Arial"/>
                <w:b/>
                <w:szCs w:val="24"/>
                <w:lang w:eastAsia="en-CA" w:bidi="en-US"/>
              </w:rPr>
              <w:t>l’industrie</w:t>
            </w:r>
            <w:proofErr w:type="spellEnd"/>
            <w:r w:rsidRPr="007730E4">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500CFE41"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1D82E21A" w14:textId="77777777" w:rsidR="007730E4" w:rsidRPr="007730E4" w:rsidRDefault="007730E4" w:rsidP="007730E4">
            <w:pPr>
              <w:rPr>
                <w:rFonts w:ascii="Arial" w:eastAsia="Calibri" w:hAnsi="Arial" w:cs="Arial"/>
                <w:bCs/>
                <w:szCs w:val="24"/>
                <w:lang w:eastAsia="en-CA" w:bidi="en-US"/>
              </w:rPr>
            </w:pPr>
            <w:r w:rsidRPr="007730E4">
              <w:rPr>
                <w:rFonts w:ascii="Arial" w:eastAsia="Calibri" w:hAnsi="Arial" w:cs="Arial"/>
                <w:bCs/>
                <w:szCs w:val="24"/>
                <w:lang w:eastAsia="en-CA" w:bidi="en-US"/>
              </w:rPr>
              <w:t> </w:t>
            </w:r>
          </w:p>
        </w:tc>
      </w:tr>
      <w:tr w:rsidR="007730E4" w:rsidRPr="0068240F" w14:paraId="4BC05D98"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51ACB62C" w14:textId="77777777" w:rsidR="007730E4" w:rsidRPr="007730E4" w:rsidRDefault="007730E4" w:rsidP="007730E4">
            <w:pPr>
              <w:spacing w:before="60" w:after="60"/>
              <w:rPr>
                <w:rFonts w:ascii="Arial" w:eastAsia="Calibri" w:hAnsi="Arial" w:cs="Arial"/>
                <w:b/>
                <w:szCs w:val="24"/>
                <w:lang w:eastAsia="en-CA"/>
              </w:rPr>
            </w:pPr>
            <w:r w:rsidRPr="007730E4">
              <w:rPr>
                <w:rFonts w:ascii="Arial" w:eastAsia="Calibri" w:hAnsi="Arial" w:cs="Arial"/>
                <w:b/>
                <w:szCs w:val="24"/>
                <w:lang w:eastAsia="en-CA" w:bidi="en-US"/>
              </w:rPr>
              <w:t>Type</w:t>
            </w:r>
          </w:p>
          <w:p w14:paraId="69D59B6F" w14:textId="77777777" w:rsidR="007730E4" w:rsidRPr="007730E4" w:rsidRDefault="007730E4" w:rsidP="007730E4">
            <w:pPr>
              <w:spacing w:before="60" w:after="60"/>
              <w:rPr>
                <w:rFonts w:ascii="Arial" w:eastAsia="Calibri" w:hAnsi="Arial" w:cs="Arial"/>
                <w:b/>
                <w:szCs w:val="24"/>
                <w:lang w:eastAsia="en-CA"/>
              </w:rPr>
            </w:pPr>
            <w:proofErr w:type="spellStart"/>
            <w:proofErr w:type="gramStart"/>
            <w:r w:rsidRPr="007730E4">
              <w:rPr>
                <w:rFonts w:ascii="Arial" w:eastAsia="Calibri" w:hAnsi="Arial" w:cs="Arial"/>
                <w:b/>
                <w:szCs w:val="24"/>
                <w:lang w:eastAsia="en-CA" w:bidi="en-US"/>
              </w:rPr>
              <w:t>d’exception</w:t>
            </w:r>
            <w:proofErr w:type="spellEnd"/>
            <w:r w:rsidRPr="007730E4">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42B8EF47"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Article 307 (Accès aux marchés – Services), article 312 (Accès aux marchés – Investissement)</w:t>
            </w:r>
          </w:p>
        </w:tc>
      </w:tr>
      <w:tr w:rsidR="007730E4" w:rsidRPr="007730E4" w14:paraId="23CF0528"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2DD37227" w14:textId="77777777" w:rsidR="007730E4" w:rsidRPr="007730E4" w:rsidRDefault="007730E4" w:rsidP="007730E4">
            <w:pPr>
              <w:spacing w:before="60" w:after="60"/>
              <w:rPr>
                <w:rFonts w:ascii="Arial" w:eastAsia="Calibri" w:hAnsi="Arial" w:cs="Arial"/>
                <w:b/>
                <w:szCs w:val="24"/>
                <w:lang w:eastAsia="en-CA" w:bidi="en-US"/>
              </w:rPr>
            </w:pPr>
            <w:proofErr w:type="gramStart"/>
            <w:r w:rsidRPr="007730E4">
              <w:rPr>
                <w:rFonts w:ascii="Arial" w:eastAsia="Calibri" w:hAnsi="Arial" w:cs="Arial"/>
                <w:b/>
                <w:szCs w:val="24"/>
                <w:lang w:eastAsia="en-CA" w:bidi="en-US"/>
              </w:rPr>
              <w:t>Description :</w:t>
            </w:r>
            <w:proofErr w:type="gramEnd"/>
            <w:r w:rsidRPr="007730E4">
              <w:rPr>
                <w:rFonts w:ascii="Arial" w:eastAsia="Calibri" w:hAnsi="Arial" w:cs="Arial"/>
                <w:b/>
                <w:szCs w:val="24"/>
                <w:lang w:eastAsia="en-CA" w:bidi="en-US"/>
              </w:rPr>
              <w:t xml:space="preserve"> </w:t>
            </w:r>
          </w:p>
        </w:tc>
      </w:tr>
      <w:tr w:rsidR="007730E4" w:rsidRPr="0068240F" w14:paraId="68B8DBCA"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580591D7"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Cs/>
                <w:szCs w:val="24"/>
                <w:lang w:val="fr-CA" w:eastAsia="en-CA" w:bidi="en-US"/>
              </w:rPr>
              <w:t xml:space="preserve">La Prince Edward Island Cannabis Management Corporation est une société d’État qui est la seule à pouvoir effectuer l’importation, le commerce de gros, la vente au détail et la distribution de cannabis dans la province. La </w:t>
            </w:r>
            <w:r w:rsidRPr="007730E4">
              <w:rPr>
                <w:rFonts w:ascii="Arial" w:eastAsia="Calibri" w:hAnsi="Arial" w:cs="Arial"/>
                <w:bCs/>
                <w:i/>
                <w:iCs/>
                <w:szCs w:val="24"/>
                <w:lang w:val="fr-CA" w:eastAsia="en-CA" w:bidi="en-US"/>
              </w:rPr>
              <w:t xml:space="preserve">Cannabis Management Corporation </w:t>
            </w:r>
            <w:proofErr w:type="spellStart"/>
            <w:r w:rsidRPr="007730E4">
              <w:rPr>
                <w:rFonts w:ascii="Arial" w:eastAsia="Calibri" w:hAnsi="Arial" w:cs="Arial"/>
                <w:bCs/>
                <w:i/>
                <w:iCs/>
                <w:szCs w:val="24"/>
                <w:lang w:val="fr-CA" w:eastAsia="en-CA" w:bidi="en-US"/>
              </w:rPr>
              <w:t>Act</w:t>
            </w:r>
            <w:proofErr w:type="spellEnd"/>
            <w:r w:rsidRPr="007730E4">
              <w:rPr>
                <w:rFonts w:ascii="Arial" w:eastAsia="Calibri" w:hAnsi="Arial" w:cs="Arial"/>
                <w:bCs/>
                <w:szCs w:val="24"/>
                <w:lang w:val="fr-CA" w:eastAsia="en-CA" w:bidi="en-US"/>
              </w:rPr>
              <w:t xml:space="preserve"> prévoit l’établissement de magasins de cannabis qui sont gérés et exploités par la société d’État. Les mesures mentionnées permettent à l’Île-du-Prince-Édouard de réglementer et d’autoriser l’importation, l’achat, la production, la distribution, l’approvisionnement, la commercialisation et la vente de cannabis dans la province. L’Île-du-Prince-Édouard se réserve le droit d’adopter ou de maintenir toute mesure limitant l’accès aux marchés dans les sous-secteurs susmentionnés. Aucune restriction concernant l’importation ou l’exportation n’est imposée aux producteurs de cannabis autorisés.</w:t>
            </w:r>
          </w:p>
        </w:tc>
      </w:tr>
      <w:tr w:rsidR="007730E4" w:rsidRPr="0068240F" w14:paraId="7C4E62C9"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16D4C9CC" w14:textId="77777777" w:rsidR="007730E4" w:rsidRPr="007730E4" w:rsidRDefault="007730E4" w:rsidP="007730E4">
            <w:pPr>
              <w:spacing w:before="60" w:after="60"/>
              <w:rPr>
                <w:rFonts w:ascii="Arial" w:eastAsia="Calibri" w:hAnsi="Arial" w:cs="Arial"/>
                <w:bCs/>
                <w:szCs w:val="24"/>
                <w:lang w:val="fr-CA" w:eastAsia="en-CA" w:bidi="en-US"/>
              </w:rPr>
            </w:pPr>
            <w:r w:rsidRPr="007730E4">
              <w:rPr>
                <w:rFonts w:ascii="Arial" w:eastAsia="Calibri" w:hAnsi="Arial" w:cs="Arial"/>
                <w:b/>
                <w:szCs w:val="24"/>
                <w:lang w:val="fr-CA" w:eastAsia="en-CA" w:bidi="en-US"/>
              </w:rPr>
              <w:t>Toute mesure existante :</w:t>
            </w:r>
            <w:r w:rsidRPr="007730E4">
              <w:rPr>
                <w:rFonts w:ascii="Arial" w:eastAsia="Calibri" w:hAnsi="Arial" w:cs="Arial"/>
                <w:bCs/>
                <w:szCs w:val="24"/>
                <w:lang w:val="fr-CA" w:eastAsia="en-CA" w:bidi="en-US"/>
              </w:rPr>
              <w:t xml:space="preserve"> (À titre d’exemple seulement)</w:t>
            </w:r>
          </w:p>
        </w:tc>
      </w:tr>
      <w:tr w:rsidR="007730E4" w:rsidRPr="007730E4" w14:paraId="731F7567"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6630A464" w14:textId="77777777" w:rsidR="007730E4" w:rsidRPr="007730E4" w:rsidRDefault="007730E4" w:rsidP="007730E4">
            <w:pPr>
              <w:spacing w:before="60" w:after="60"/>
              <w:rPr>
                <w:rFonts w:ascii="Arial" w:eastAsia="Calibri" w:hAnsi="Arial" w:cs="Arial"/>
                <w:bCs/>
                <w:szCs w:val="24"/>
                <w:lang w:eastAsia="en-CA" w:bidi="en-US"/>
              </w:rPr>
            </w:pPr>
            <w:r w:rsidRPr="007730E4">
              <w:rPr>
                <w:rFonts w:ascii="Arial" w:eastAsia="Calibri" w:hAnsi="Arial" w:cs="Arial"/>
                <w:bCs/>
                <w:i/>
                <w:iCs/>
                <w:szCs w:val="24"/>
                <w:lang w:eastAsia="en-CA" w:bidi="en-US"/>
              </w:rPr>
              <w:t>Cannabis Management Corporation Act</w:t>
            </w:r>
            <w:r w:rsidRPr="007730E4">
              <w:rPr>
                <w:rFonts w:ascii="Arial" w:eastAsia="Calibri" w:hAnsi="Arial" w:cs="Arial"/>
                <w:bCs/>
                <w:szCs w:val="24"/>
                <w:lang w:eastAsia="en-CA" w:bidi="en-US"/>
              </w:rPr>
              <w:t>, R.S.P.E.I. 1988, C-1.3</w:t>
            </w:r>
          </w:p>
        </w:tc>
      </w:tr>
    </w:tbl>
    <w:p w14:paraId="3B874AB5" w14:textId="77777777" w:rsidR="007730E4" w:rsidRPr="009A780E" w:rsidRDefault="007730E4">
      <w:pPr>
        <w:rPr>
          <w:rFonts w:cstheme="minorHAnsi"/>
          <w:szCs w:val="23"/>
        </w:rPr>
      </w:pPr>
    </w:p>
    <w:p w14:paraId="78169590" w14:textId="6EB35FE6" w:rsidR="00B8348C" w:rsidRDefault="00B8348C">
      <w:pPr>
        <w:rPr>
          <w:rFonts w:eastAsia="Times New Roman" w:cstheme="minorHAnsi"/>
          <w:b/>
          <w:bCs/>
          <w:szCs w:val="23"/>
        </w:rPr>
      </w:pPr>
    </w:p>
    <w:p w14:paraId="399D44F1" w14:textId="77777777" w:rsidR="0068240F" w:rsidRDefault="0068240F">
      <w:pPr>
        <w:rPr>
          <w:rFonts w:eastAsia="Times New Roman" w:cstheme="minorHAnsi"/>
          <w:b/>
          <w:bCs/>
          <w:szCs w:val="23"/>
        </w:rPr>
      </w:pPr>
    </w:p>
    <w:p w14:paraId="69685ED1" w14:textId="77777777" w:rsidR="0068240F" w:rsidRDefault="0068240F">
      <w:pPr>
        <w:rPr>
          <w:rFonts w:eastAsia="Times New Roman" w:cstheme="minorHAnsi"/>
          <w:b/>
          <w:bCs/>
          <w:szCs w:val="23"/>
        </w:rPr>
      </w:pPr>
    </w:p>
    <w:p w14:paraId="6A00928D" w14:textId="77777777" w:rsidR="0068240F" w:rsidRDefault="0068240F">
      <w:pPr>
        <w:rPr>
          <w:rFonts w:eastAsia="Times New Roman" w:cstheme="minorHAnsi"/>
          <w:b/>
          <w:bCs/>
          <w:szCs w:val="23"/>
        </w:rPr>
      </w:pPr>
    </w:p>
    <w:p w14:paraId="08C63BCE" w14:textId="77777777" w:rsidR="0068240F" w:rsidRDefault="0068240F">
      <w:pPr>
        <w:rPr>
          <w:rFonts w:eastAsia="Times New Roman" w:cstheme="minorHAnsi"/>
          <w:b/>
          <w:bCs/>
          <w:szCs w:val="23"/>
        </w:rPr>
      </w:pPr>
    </w:p>
    <w:p w14:paraId="68FADB08" w14:textId="77777777" w:rsidR="0068240F" w:rsidRDefault="0068240F">
      <w:pPr>
        <w:rPr>
          <w:rFonts w:eastAsia="Times New Roman" w:cstheme="minorHAnsi"/>
          <w:b/>
          <w:bCs/>
          <w:szCs w:val="23"/>
        </w:rPr>
      </w:pPr>
    </w:p>
    <w:p w14:paraId="52BF037C" w14:textId="77777777" w:rsidR="0068240F" w:rsidRDefault="0068240F">
      <w:pPr>
        <w:rPr>
          <w:rFonts w:eastAsia="Times New Roman" w:cstheme="minorHAnsi"/>
          <w:b/>
          <w:bCs/>
          <w:szCs w:val="23"/>
        </w:rPr>
      </w:pPr>
    </w:p>
    <w:p w14:paraId="3FC3D2DA" w14:textId="77777777" w:rsidR="0068240F" w:rsidRDefault="0068240F">
      <w:pPr>
        <w:rPr>
          <w:rFonts w:eastAsia="Times New Roman" w:cstheme="minorHAnsi"/>
          <w:b/>
          <w:bCs/>
          <w:szCs w:val="23"/>
        </w:rPr>
      </w:pPr>
    </w:p>
    <w:p w14:paraId="5B47DAA1" w14:textId="77777777" w:rsidR="0068240F" w:rsidRDefault="0068240F">
      <w:pPr>
        <w:rPr>
          <w:rFonts w:eastAsia="Times New Roman" w:cstheme="minorHAnsi"/>
          <w:b/>
          <w:bCs/>
          <w:szCs w:val="23"/>
        </w:rPr>
      </w:pPr>
    </w:p>
    <w:p w14:paraId="24BB5074" w14:textId="77777777" w:rsidR="0068240F" w:rsidRDefault="0068240F">
      <w:pPr>
        <w:rPr>
          <w:rFonts w:eastAsia="Times New Roman" w:cstheme="minorHAnsi"/>
          <w:b/>
          <w:bCs/>
          <w:szCs w:val="23"/>
        </w:rPr>
      </w:pPr>
    </w:p>
    <w:p w14:paraId="3457A4A2" w14:textId="77777777" w:rsidR="0068240F" w:rsidRDefault="0068240F">
      <w:pPr>
        <w:rPr>
          <w:rFonts w:eastAsia="Times New Roman" w:cstheme="minorHAnsi"/>
          <w:b/>
          <w:bCs/>
          <w:szCs w:val="23"/>
        </w:rPr>
      </w:pPr>
    </w:p>
    <w:p w14:paraId="157C8B7C" w14:textId="77777777" w:rsidR="0068240F" w:rsidRDefault="0068240F">
      <w:pPr>
        <w:rPr>
          <w:rFonts w:eastAsia="Times New Roman" w:cstheme="minorHAnsi"/>
          <w:b/>
          <w:bCs/>
          <w:szCs w:val="23"/>
        </w:rPr>
      </w:pPr>
    </w:p>
    <w:p w14:paraId="31F47792" w14:textId="77777777" w:rsidR="0068240F" w:rsidRDefault="0068240F">
      <w:pPr>
        <w:rPr>
          <w:rFonts w:eastAsia="Times New Roman" w:cstheme="minorHAnsi"/>
          <w:b/>
          <w:bCs/>
          <w:szCs w:val="23"/>
        </w:rPr>
      </w:pPr>
    </w:p>
    <w:p w14:paraId="7A1AA694" w14:textId="77777777" w:rsidR="0068240F" w:rsidRDefault="0068240F">
      <w:pPr>
        <w:rPr>
          <w:rFonts w:eastAsia="Times New Roman" w:cstheme="minorHAnsi"/>
          <w:b/>
          <w:bCs/>
          <w:szCs w:val="23"/>
        </w:rPr>
      </w:pPr>
    </w:p>
    <w:p w14:paraId="021376C7" w14:textId="77777777" w:rsidR="0068240F" w:rsidRDefault="0068240F">
      <w:pPr>
        <w:rPr>
          <w:rFonts w:eastAsia="Times New Roman" w:cstheme="minorHAnsi"/>
          <w:b/>
          <w:bCs/>
          <w:szCs w:val="23"/>
        </w:rPr>
      </w:pPr>
    </w:p>
    <w:p w14:paraId="415C0139" w14:textId="77777777" w:rsidR="0068240F" w:rsidRDefault="0068240F">
      <w:pPr>
        <w:rPr>
          <w:rFonts w:eastAsia="Times New Roman" w:cstheme="minorHAnsi"/>
          <w:b/>
          <w:bCs/>
          <w:szCs w:val="23"/>
        </w:rPr>
      </w:pPr>
    </w:p>
    <w:p w14:paraId="176380E4" w14:textId="77777777" w:rsidR="0068240F" w:rsidRDefault="0068240F">
      <w:pPr>
        <w:rPr>
          <w:rFonts w:eastAsia="Times New Roman" w:cstheme="minorHAnsi"/>
          <w:b/>
          <w:bCs/>
          <w:szCs w:val="23"/>
        </w:rPr>
      </w:pPr>
    </w:p>
    <w:p w14:paraId="53AD595F" w14:textId="77777777" w:rsidR="0068240F" w:rsidRDefault="0068240F">
      <w:pPr>
        <w:rPr>
          <w:rFonts w:eastAsia="Times New Roman" w:cstheme="minorHAnsi"/>
          <w:b/>
          <w:bCs/>
          <w:szCs w:val="23"/>
        </w:rPr>
      </w:pPr>
    </w:p>
    <w:p w14:paraId="3C47C8C6" w14:textId="77777777" w:rsidR="0068240F" w:rsidRDefault="0068240F">
      <w:pPr>
        <w:rPr>
          <w:rFonts w:eastAsia="Times New Roman" w:cstheme="minorHAnsi"/>
          <w:b/>
          <w:bCs/>
          <w:szCs w:val="23"/>
        </w:rPr>
      </w:pPr>
    </w:p>
    <w:p w14:paraId="7D04948F" w14:textId="77777777" w:rsidR="0068240F" w:rsidRDefault="0068240F">
      <w:pPr>
        <w:rPr>
          <w:rFonts w:eastAsia="Times New Roman" w:cstheme="minorHAnsi"/>
          <w:b/>
          <w:bCs/>
          <w:szCs w:val="23"/>
        </w:rPr>
      </w:pPr>
    </w:p>
    <w:p w14:paraId="0EAAD3A9" w14:textId="77777777" w:rsidR="0068240F" w:rsidRDefault="0068240F">
      <w:pPr>
        <w:rPr>
          <w:rFonts w:eastAsia="Times New Roman" w:cstheme="minorHAnsi"/>
          <w:b/>
          <w:bCs/>
          <w:szCs w:val="23"/>
        </w:rPr>
      </w:pPr>
    </w:p>
    <w:p w14:paraId="05ACEA86" w14:textId="77777777" w:rsidR="0068240F" w:rsidRDefault="0068240F">
      <w:pPr>
        <w:rPr>
          <w:rFonts w:eastAsia="Times New Roman" w:cstheme="minorHAnsi"/>
          <w:b/>
          <w:bCs/>
          <w:szCs w:val="23"/>
        </w:rPr>
      </w:pPr>
    </w:p>
    <w:p w14:paraId="6A5679A1" w14:textId="77777777" w:rsidR="0068240F" w:rsidRDefault="0068240F">
      <w:pPr>
        <w:rPr>
          <w:rFonts w:eastAsia="Times New Roman" w:cstheme="minorHAnsi"/>
          <w:b/>
          <w:bCs/>
          <w:szCs w:val="23"/>
        </w:rPr>
      </w:pPr>
    </w:p>
    <w:p w14:paraId="6D3EF72C" w14:textId="77777777" w:rsidR="0068240F" w:rsidRDefault="0068240F">
      <w:pPr>
        <w:rPr>
          <w:rFonts w:eastAsia="Times New Roman" w:cstheme="minorHAnsi"/>
          <w:b/>
          <w:bCs/>
          <w:szCs w:val="23"/>
        </w:rPr>
      </w:pPr>
    </w:p>
    <w:p w14:paraId="47B3C229" w14:textId="77777777" w:rsidR="0068240F" w:rsidRDefault="0068240F">
      <w:pPr>
        <w:rPr>
          <w:rFonts w:eastAsia="Times New Roman" w:cstheme="minorHAnsi"/>
          <w:b/>
          <w:bCs/>
          <w:szCs w:val="23"/>
        </w:rPr>
      </w:pPr>
    </w:p>
    <w:p w14:paraId="097F0006" w14:textId="77777777" w:rsidR="0068240F" w:rsidRPr="00F52884" w:rsidRDefault="0068240F">
      <w:pPr>
        <w:rPr>
          <w:rFonts w:eastAsia="Times New Roman" w:cstheme="minorHAnsi"/>
          <w:b/>
          <w:bCs/>
          <w:szCs w:val="23"/>
        </w:rPr>
      </w:pPr>
    </w:p>
    <w:p w14:paraId="1574BFA2" w14:textId="77777777" w:rsidR="00B8348C" w:rsidRPr="009A780E" w:rsidRDefault="00B8348C" w:rsidP="00F52884">
      <w:pPr>
        <w:pStyle w:val="Heading3"/>
        <w:jc w:val="center"/>
        <w:rPr>
          <w:rFonts w:asciiTheme="minorHAnsi" w:hAnsiTheme="minorHAnsi" w:cstheme="minorHAnsi"/>
          <w:sz w:val="24"/>
          <w:szCs w:val="24"/>
          <w:lang w:val="fr-FR"/>
        </w:rPr>
      </w:pPr>
      <w:bookmarkStart w:id="318" w:name="_Toc476566357"/>
      <w:bookmarkStart w:id="319" w:name="_Toc156311810"/>
      <w:r w:rsidRPr="00F52884">
        <w:rPr>
          <w:rFonts w:asciiTheme="minorHAnsi" w:hAnsiTheme="minorHAnsi" w:cstheme="minorHAnsi"/>
          <w:sz w:val="24"/>
          <w:szCs w:val="24"/>
          <w:lang w:val="fr-CA"/>
        </w:rPr>
        <w:lastRenderedPageBreak/>
        <w:t>Liste de la Saskatchewan</w:t>
      </w:r>
      <w:bookmarkEnd w:id="318"/>
      <w:bookmarkEnd w:id="319"/>
    </w:p>
    <w:p w14:paraId="3AE86951" w14:textId="77777777" w:rsidR="00B8348C" w:rsidRPr="009A780E" w:rsidRDefault="00B8348C" w:rsidP="000C25A3">
      <w:pPr>
        <w:contextualSpacing/>
        <w:jc w:val="center"/>
        <w:rPr>
          <w:rFonts w:eastAsia="Times New Roman" w:cstheme="minorHAnsi"/>
          <w:sz w:val="24"/>
          <w:szCs w:val="24"/>
          <w:lang w:val="fr-FR"/>
        </w:rPr>
      </w:pPr>
    </w:p>
    <w:p w14:paraId="011D1C80" w14:textId="77777777" w:rsidR="00B8348C" w:rsidRPr="009A780E" w:rsidRDefault="00B8348C" w:rsidP="000C25A3">
      <w:pPr>
        <w:jc w:val="center"/>
        <w:rPr>
          <w:rFonts w:cstheme="minorHAnsi"/>
          <w:b/>
          <w:sz w:val="24"/>
          <w:szCs w:val="24"/>
          <w:lang w:val="fr-FR"/>
        </w:rPr>
      </w:pPr>
      <w:r w:rsidRPr="00F52884">
        <w:rPr>
          <w:rFonts w:cstheme="minorHAnsi"/>
          <w:b/>
          <w:bCs/>
          <w:sz w:val="24"/>
          <w:szCs w:val="24"/>
          <w:lang w:val="fr-CA"/>
        </w:rPr>
        <w:t>Annexe II</w:t>
      </w:r>
    </w:p>
    <w:p w14:paraId="54DB0655" w14:textId="77777777" w:rsidR="00B8348C" w:rsidRPr="009A780E" w:rsidRDefault="00B8348C" w:rsidP="000C25A3">
      <w:pPr>
        <w:rPr>
          <w:rFonts w:cstheme="minorHAnsi"/>
          <w:b/>
          <w:szCs w:val="23"/>
          <w:lang w:val="fr-FR"/>
        </w:rPr>
      </w:pPr>
    </w:p>
    <w:p w14:paraId="718ECEAF" w14:textId="0C69B72C" w:rsidR="00B8348C" w:rsidRPr="00F52884" w:rsidRDefault="00B8348C" w:rsidP="000C25A3">
      <w:pPr>
        <w:spacing w:before="60" w:after="60"/>
        <w:ind w:left="-360"/>
        <w:rPr>
          <w:rFonts w:cstheme="minorHAnsi"/>
          <w:b/>
          <w:caps/>
          <w:szCs w:val="23"/>
        </w:rPr>
      </w:pPr>
      <w:r w:rsidRPr="00F52884">
        <w:rPr>
          <w:rFonts w:cstheme="minorHAnsi"/>
          <w:b/>
          <w:bCs/>
          <w:caps/>
          <w:szCs w:val="23"/>
          <w:lang w:val="fr-CA"/>
        </w:rPr>
        <w:t>1.</w:t>
      </w:r>
      <w:r w:rsidR="004E1EFC" w:rsidRPr="00F52884">
        <w:rPr>
          <w:rFonts w:cstheme="minorHAnsi"/>
          <w:b/>
          <w:bCs/>
          <w:caps/>
          <w:szCs w:val="23"/>
          <w:lang w:val="fr-CA"/>
        </w:rPr>
        <w:t xml:space="preserve">  </w:t>
      </w:r>
      <w:r w:rsidRPr="00F52884">
        <w:rPr>
          <w:rFonts w:cstheme="minorHAnsi"/>
          <w:b/>
          <w:bCs/>
          <w:caps/>
          <w:szCs w:val="23"/>
          <w:lang w:val="fr-CA"/>
        </w:rPr>
        <w:t>Saskatchewan</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7A09C76E"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0E9BF2C8"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0FBDA904" w14:textId="77777777" w:rsidR="00B8348C" w:rsidRPr="00F52884" w:rsidRDefault="00B8348C" w:rsidP="000C25A3">
            <w:pPr>
              <w:spacing w:before="60" w:after="60"/>
              <w:rPr>
                <w:rFonts w:cstheme="minorHAnsi"/>
                <w:szCs w:val="23"/>
              </w:rPr>
            </w:pPr>
            <w:r w:rsidRPr="00F52884">
              <w:rPr>
                <w:rFonts w:cstheme="minorHAnsi"/>
                <w:szCs w:val="23"/>
                <w:lang w:val="fr-CA"/>
              </w:rPr>
              <w:t>Boissons alcoolisées</w:t>
            </w:r>
          </w:p>
        </w:tc>
      </w:tr>
      <w:tr w:rsidR="00B8348C" w:rsidRPr="0068240F" w14:paraId="4D1A6F50"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6434C404"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5750AD6F" w14:textId="77777777" w:rsidR="00B8348C" w:rsidRPr="00F52884" w:rsidRDefault="00B8348C" w:rsidP="000C25A3">
            <w:pPr>
              <w:spacing w:before="60" w:after="60"/>
              <w:rPr>
                <w:rFonts w:cstheme="minorHAnsi"/>
                <w:szCs w:val="23"/>
                <w:lang w:val="fr-FR"/>
              </w:rPr>
            </w:pPr>
            <w:r w:rsidRPr="00F52884">
              <w:rPr>
                <w:rFonts w:cstheme="minorHAnsi"/>
                <w:szCs w:val="23"/>
                <w:lang w:val="fr-CA"/>
              </w:rPr>
              <w:t>Boissons, commerce de gros; magasins de bière, de vin et de spiritueux; services de courtage, services de commerce de gros, services de commerce de détail</w:t>
            </w:r>
          </w:p>
        </w:tc>
      </w:tr>
      <w:tr w:rsidR="00B8348C" w:rsidRPr="00F52884" w14:paraId="12E10C30" w14:textId="77777777" w:rsidTr="004E1EFC">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0A2D30CC"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02B5C8B2"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24, 62112, 62226, 63107, 643</w:t>
            </w:r>
          </w:p>
        </w:tc>
      </w:tr>
      <w:tr w:rsidR="00B8348C" w:rsidRPr="0068240F" w14:paraId="1E25E78D" w14:textId="77777777" w:rsidTr="004E1EFC">
        <w:trPr>
          <w:trHeight w:val="42"/>
          <w:jc w:val="center"/>
        </w:trPr>
        <w:tc>
          <w:tcPr>
            <w:tcW w:w="2424" w:type="dxa"/>
            <w:tcBorders>
              <w:top w:val="single" w:sz="4" w:space="0" w:color="C0C0C0"/>
              <w:left w:val="nil"/>
              <w:bottom w:val="single" w:sz="4" w:space="0" w:color="C0C0C0"/>
            </w:tcBorders>
          </w:tcPr>
          <w:p w14:paraId="5E9D57C4" w14:textId="19ABC3A1"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553CF23D"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301 (Droit d’entrée et de sortie), article 307 (Accès aux marchés – Services), article 312 (Accès aux marchés – Investissement)</w:t>
            </w:r>
          </w:p>
        </w:tc>
      </w:tr>
      <w:tr w:rsidR="00B8348C" w:rsidRPr="00F52884" w14:paraId="00393989"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F30DA73"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11B2167E"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2E60E263" w14:textId="77777777" w:rsidR="00B8348C" w:rsidRPr="00F52884" w:rsidRDefault="00B8348C" w:rsidP="000C25A3">
            <w:pPr>
              <w:pStyle w:val="NoSpacing"/>
              <w:spacing w:before="120" w:after="120"/>
              <w:rPr>
                <w:rFonts w:cstheme="minorHAnsi"/>
                <w:sz w:val="23"/>
                <w:szCs w:val="23"/>
                <w:lang w:val="fr-FR"/>
              </w:rPr>
            </w:pPr>
            <w:r w:rsidRPr="00F52884">
              <w:rPr>
                <w:rFonts w:cstheme="minorHAnsi"/>
                <w:sz w:val="23"/>
                <w:szCs w:val="23"/>
                <w:lang w:val="fr-CA"/>
              </w:rPr>
              <w:t>La Saskatchewan se réserve le droit d’adopter ou de maintenir toute mesure qui :</w:t>
            </w:r>
          </w:p>
          <w:p w14:paraId="55D9AA7C" w14:textId="77777777" w:rsidR="00B8348C" w:rsidRPr="00F52884" w:rsidRDefault="00B8348C" w:rsidP="00B8348C">
            <w:pPr>
              <w:pStyle w:val="NoSpacing"/>
              <w:numPr>
                <w:ilvl w:val="0"/>
                <w:numId w:val="137"/>
              </w:numPr>
              <w:spacing w:before="120" w:after="120"/>
              <w:ind w:hanging="564"/>
              <w:rPr>
                <w:rFonts w:cstheme="minorHAnsi"/>
                <w:sz w:val="23"/>
                <w:szCs w:val="23"/>
                <w:lang w:val="fr-FR"/>
              </w:rPr>
            </w:pPr>
            <w:proofErr w:type="gramStart"/>
            <w:r w:rsidRPr="00F52884">
              <w:rPr>
                <w:rFonts w:cstheme="minorHAnsi"/>
                <w:sz w:val="23"/>
                <w:szCs w:val="23"/>
                <w:lang w:val="fr-CA"/>
              </w:rPr>
              <w:t>limite</w:t>
            </w:r>
            <w:proofErr w:type="gramEnd"/>
            <w:r w:rsidRPr="00F52884">
              <w:rPr>
                <w:rFonts w:cstheme="minorHAnsi"/>
                <w:sz w:val="23"/>
                <w:szCs w:val="23"/>
                <w:lang w:val="fr-CA"/>
              </w:rPr>
              <w:t xml:space="preserve"> le nombre d’investissements visés ou de fournisseurs de services, que ce soit sous la forme de contingents numériques, de monopoles, de fournisseurs exclusifs ou de l’exigence d’un examen des besoins économiques;</w:t>
            </w:r>
          </w:p>
          <w:p w14:paraId="1A6E39F4" w14:textId="6B65F835" w:rsidR="00B8348C" w:rsidRPr="00F52884" w:rsidRDefault="00B8348C" w:rsidP="00B8348C">
            <w:pPr>
              <w:pStyle w:val="NoSpacing"/>
              <w:numPr>
                <w:ilvl w:val="0"/>
                <w:numId w:val="137"/>
              </w:numPr>
              <w:spacing w:before="120" w:after="120"/>
              <w:ind w:hanging="564"/>
              <w:rPr>
                <w:rFonts w:cstheme="minorHAnsi"/>
                <w:sz w:val="23"/>
                <w:szCs w:val="23"/>
                <w:lang w:val="fr-FR"/>
              </w:rPr>
            </w:pPr>
            <w:proofErr w:type="gramStart"/>
            <w:r w:rsidRPr="00F52884">
              <w:rPr>
                <w:rFonts w:cstheme="minorHAnsi"/>
                <w:sz w:val="23"/>
                <w:szCs w:val="23"/>
                <w:lang w:val="fr-CA"/>
              </w:rPr>
              <w:t>restreint</w:t>
            </w:r>
            <w:proofErr w:type="gramEnd"/>
            <w:r w:rsidRPr="00F52884">
              <w:rPr>
                <w:rFonts w:cstheme="minorHAnsi"/>
                <w:sz w:val="23"/>
                <w:szCs w:val="23"/>
                <w:lang w:val="fr-CA"/>
              </w:rPr>
              <w:t xml:space="preserve"> ou prescrit un type spécifique d’entité juridique ou de coentreprise par l’intermédiaire duquel un investisseur peut mener une activité économique</w:t>
            </w:r>
            <w:r w:rsidR="0008375D" w:rsidRPr="00F52884">
              <w:rPr>
                <w:rFonts w:cstheme="minorHAnsi"/>
                <w:sz w:val="23"/>
                <w:szCs w:val="23"/>
                <w:lang w:val="fr-CA"/>
              </w:rPr>
              <w:t xml:space="preserve"> dans les sous-secteur</w:t>
            </w:r>
            <w:r w:rsidR="002454AE" w:rsidRPr="00F52884">
              <w:rPr>
                <w:rFonts w:cstheme="minorHAnsi"/>
                <w:sz w:val="23"/>
                <w:szCs w:val="23"/>
                <w:lang w:val="fr-CA"/>
              </w:rPr>
              <w:t>s</w:t>
            </w:r>
            <w:r w:rsidR="0008375D" w:rsidRPr="00F52884">
              <w:rPr>
                <w:rFonts w:cstheme="minorHAnsi"/>
                <w:sz w:val="23"/>
                <w:szCs w:val="23"/>
                <w:lang w:val="fr-CA"/>
              </w:rPr>
              <w:t xml:space="preserve"> susmentionnés</w:t>
            </w:r>
            <w:r w:rsidRPr="00F52884">
              <w:rPr>
                <w:rFonts w:cstheme="minorHAnsi"/>
                <w:sz w:val="23"/>
                <w:szCs w:val="23"/>
                <w:lang w:val="fr-CA"/>
              </w:rPr>
              <w:t>.</w:t>
            </w:r>
          </w:p>
        </w:tc>
      </w:tr>
      <w:tr w:rsidR="00B8348C" w:rsidRPr="0068240F" w14:paraId="6EB07091"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81592DF" w14:textId="7763CEF4" w:rsidR="00B8348C" w:rsidRPr="00F52884" w:rsidRDefault="00B8348C" w:rsidP="00B8348C">
            <w:pPr>
              <w:pStyle w:val="NoSpacing"/>
              <w:spacing w:before="60" w:after="60"/>
              <w:rPr>
                <w:rFonts w:cstheme="minorHAnsi"/>
                <w:caps/>
                <w:sz w:val="23"/>
                <w:szCs w:val="23"/>
                <w:lang w:val="fr-FR"/>
              </w:rPr>
            </w:pPr>
            <w:r w:rsidRPr="00F52884">
              <w:rPr>
                <w:rFonts w:cstheme="minorHAnsi"/>
                <w:b/>
                <w:bCs/>
                <w:sz w:val="23"/>
                <w:szCs w:val="23"/>
                <w:lang w:val="fr-CA"/>
              </w:rPr>
              <w:t>Toute mesure existante :</w:t>
            </w:r>
            <w:r w:rsidRPr="00F52884">
              <w:rPr>
                <w:rFonts w:cstheme="minorHAnsi"/>
                <w:caps/>
                <w:sz w:val="23"/>
                <w:szCs w:val="23"/>
                <w:lang w:val="fr-CA"/>
              </w:rPr>
              <w:t xml:space="preserve"> </w:t>
            </w:r>
            <w:proofErr w:type="gramStart"/>
            <w:r w:rsidRPr="00F52884">
              <w:rPr>
                <w:rFonts w:cstheme="minorHAnsi"/>
                <w:caps/>
                <w:sz w:val="23"/>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cstheme="minorHAnsi"/>
                <w:sz w:val="23"/>
                <w:szCs w:val="23"/>
                <w:lang w:val="fr-CA"/>
              </w:rPr>
              <w:t>)</w:t>
            </w:r>
          </w:p>
        </w:tc>
      </w:tr>
      <w:tr w:rsidR="00F52884" w:rsidRPr="00F52884" w14:paraId="2D555ADE"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01DB58C0" w14:textId="4B076977" w:rsidR="00B8348C" w:rsidRPr="00F52884" w:rsidRDefault="00B8348C" w:rsidP="000C25A3">
            <w:pPr>
              <w:pStyle w:val="NoSpacing"/>
              <w:spacing w:before="60" w:after="60"/>
              <w:rPr>
                <w:rFonts w:cstheme="minorHAnsi"/>
                <w:sz w:val="23"/>
                <w:szCs w:val="23"/>
              </w:rPr>
            </w:pPr>
            <w:r w:rsidRPr="00F52884">
              <w:rPr>
                <w:rFonts w:cstheme="minorHAnsi"/>
                <w:i/>
                <w:iCs/>
                <w:sz w:val="23"/>
                <w:szCs w:val="23"/>
                <w:lang w:val="en-US"/>
              </w:rPr>
              <w:t>The Alcohol and Gaming Regulation Act, 1997</w:t>
            </w:r>
            <w:r w:rsidRPr="00F52884">
              <w:rPr>
                <w:rFonts w:cstheme="minorHAnsi"/>
                <w:sz w:val="23"/>
                <w:szCs w:val="23"/>
                <w:lang w:val="en-US"/>
              </w:rPr>
              <w:t>, SS 1997, c A-18.011</w:t>
            </w:r>
          </w:p>
          <w:p w14:paraId="56E86AC8" w14:textId="7665D9C3" w:rsidR="00B8348C" w:rsidRPr="00B04E29" w:rsidRDefault="00B8348C" w:rsidP="00B8348C">
            <w:pPr>
              <w:pStyle w:val="NoSpacing"/>
              <w:spacing w:before="60" w:after="60"/>
              <w:rPr>
                <w:rFonts w:cstheme="minorHAnsi"/>
                <w:b/>
                <w:sz w:val="23"/>
                <w:szCs w:val="23"/>
              </w:rPr>
            </w:pPr>
            <w:r w:rsidRPr="00F52884">
              <w:rPr>
                <w:rFonts w:cstheme="minorHAnsi"/>
                <w:i/>
                <w:iCs/>
                <w:sz w:val="23"/>
                <w:szCs w:val="23"/>
              </w:rPr>
              <w:t>The Alcohol Control Regulations, 2016</w:t>
            </w:r>
            <w:r w:rsidRPr="00F52884">
              <w:rPr>
                <w:rFonts w:cstheme="minorHAnsi"/>
                <w:sz w:val="23"/>
                <w:szCs w:val="23"/>
              </w:rPr>
              <w:t>, R</w:t>
            </w:r>
            <w:r w:rsidRPr="00F52884">
              <w:rPr>
                <w:rFonts w:cstheme="minorHAnsi"/>
                <w:sz w:val="23"/>
                <w:szCs w:val="23"/>
                <w:lang w:val="en-US"/>
              </w:rPr>
              <w:t>R</w:t>
            </w:r>
            <w:r w:rsidRPr="00F52884">
              <w:rPr>
                <w:rFonts w:cstheme="minorHAnsi"/>
                <w:sz w:val="23"/>
                <w:szCs w:val="23"/>
              </w:rPr>
              <w:t>S c </w:t>
            </w:r>
            <w:r w:rsidRPr="00B04E29">
              <w:rPr>
                <w:rFonts w:cstheme="minorHAnsi"/>
                <w:sz w:val="23"/>
                <w:szCs w:val="23"/>
              </w:rPr>
              <w:t>A-18.011, Reg 7</w:t>
            </w:r>
          </w:p>
        </w:tc>
      </w:tr>
    </w:tbl>
    <w:p w14:paraId="3E8BC9D2" w14:textId="77777777" w:rsidR="00B8348C" w:rsidRPr="00B04E29" w:rsidRDefault="00B8348C" w:rsidP="000C25A3">
      <w:pPr>
        <w:rPr>
          <w:rFonts w:cstheme="minorHAnsi"/>
          <w:b/>
          <w:szCs w:val="23"/>
        </w:rPr>
      </w:pPr>
    </w:p>
    <w:p w14:paraId="13CA4898" w14:textId="77777777" w:rsidR="00B8348C" w:rsidRPr="00B04E29" w:rsidRDefault="00B8348C" w:rsidP="000C25A3">
      <w:pPr>
        <w:rPr>
          <w:rFonts w:cstheme="minorHAnsi"/>
          <w:b/>
          <w:szCs w:val="23"/>
        </w:rPr>
      </w:pPr>
    </w:p>
    <w:p w14:paraId="524FB7C0" w14:textId="751E44F0" w:rsidR="00B8348C" w:rsidRPr="00F52884" w:rsidRDefault="00B8348C" w:rsidP="000C25A3">
      <w:pPr>
        <w:spacing w:before="60" w:after="60"/>
        <w:ind w:left="-360"/>
        <w:rPr>
          <w:rFonts w:cstheme="minorHAnsi"/>
          <w:b/>
          <w:caps/>
          <w:szCs w:val="23"/>
          <w:lang w:val="fr-CA"/>
        </w:rPr>
      </w:pPr>
      <w:r w:rsidRPr="00F52884">
        <w:rPr>
          <w:rFonts w:cstheme="minorHAnsi"/>
          <w:b/>
          <w:bCs/>
          <w:caps/>
          <w:szCs w:val="23"/>
          <w:lang w:val="fr-CA"/>
        </w:rPr>
        <w:t>2.</w:t>
      </w:r>
      <w:r w:rsidR="004E1EFC" w:rsidRPr="00F52884">
        <w:rPr>
          <w:rFonts w:cstheme="minorHAnsi"/>
          <w:b/>
          <w:bCs/>
          <w:caps/>
          <w:szCs w:val="23"/>
          <w:lang w:val="fr-CA"/>
        </w:rPr>
        <w:t xml:space="preserve">  </w:t>
      </w:r>
      <w:r w:rsidRPr="00F52884">
        <w:rPr>
          <w:rFonts w:cstheme="minorHAnsi"/>
          <w:b/>
          <w:bCs/>
          <w:caps/>
          <w:szCs w:val="23"/>
          <w:lang w:val="fr-CA"/>
        </w:rPr>
        <w:t>Saskatchewan</w:t>
      </w:r>
      <w:r w:rsidRPr="00F52884">
        <w:rPr>
          <w:rFonts w:cstheme="minorHAnsi"/>
          <w:caps/>
          <w:szCs w:val="23"/>
          <w:lang w:val="fr-CA"/>
        </w:rPr>
        <w:tab/>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3850820E"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574913FF"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2990EFE9" w14:textId="77777777" w:rsidR="00B8348C" w:rsidRPr="00F52884" w:rsidRDefault="00B8348C" w:rsidP="000C25A3">
            <w:pPr>
              <w:spacing w:before="60" w:after="60"/>
              <w:rPr>
                <w:rFonts w:cstheme="minorHAnsi"/>
                <w:szCs w:val="23"/>
                <w:lang w:val="fr-CA"/>
              </w:rPr>
            </w:pPr>
            <w:r w:rsidRPr="00F52884">
              <w:rPr>
                <w:rFonts w:cstheme="minorHAnsi"/>
                <w:szCs w:val="23"/>
                <w:lang w:val="fr-CA"/>
              </w:rPr>
              <w:t>Énergie</w:t>
            </w:r>
          </w:p>
        </w:tc>
      </w:tr>
      <w:tr w:rsidR="00B8348C" w:rsidRPr="0068240F" w14:paraId="620B7707"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039A26B6"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4BCBBC81" w14:textId="77777777" w:rsidR="00B8348C" w:rsidRPr="00F52884" w:rsidRDefault="00B8348C" w:rsidP="000C25A3">
            <w:pPr>
              <w:spacing w:before="60" w:after="60"/>
              <w:rPr>
                <w:rFonts w:cstheme="minorHAnsi"/>
                <w:szCs w:val="23"/>
                <w:lang w:val="fr-FR"/>
              </w:rPr>
            </w:pPr>
            <w:r w:rsidRPr="00F52884">
              <w:rPr>
                <w:rFonts w:cstheme="minorHAnsi"/>
                <w:szCs w:val="23"/>
                <w:lang w:val="fr-CA"/>
              </w:rPr>
              <w:t>Électricité, gaz de ville, vapeur et eau chaude; gaz de houille, gaz à l’eau, gaz pauvre et gaz similaires, à l’exclusion des gaz de pétrole et autres hydrocarbures gazeux; services annexes à la distribution d’énergie; énergie électrique; gaz pauvre; services de transports par conduites</w:t>
            </w:r>
          </w:p>
        </w:tc>
      </w:tr>
      <w:tr w:rsidR="00B8348C" w:rsidRPr="00F52884" w14:paraId="2903E72F"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6CE24366"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3F40838F" w14:textId="77777777" w:rsidR="00B8348C" w:rsidRPr="00F52884" w:rsidRDefault="00B8348C" w:rsidP="000C25A3">
            <w:pPr>
              <w:spacing w:before="60" w:after="60"/>
              <w:ind w:left="28" w:hanging="28"/>
              <w:rPr>
                <w:rFonts w:cstheme="minorHAnsi"/>
                <w:b/>
                <w:szCs w:val="23"/>
              </w:rPr>
            </w:pPr>
            <w:r w:rsidRPr="00F52884">
              <w:rPr>
                <w:rFonts w:cstheme="minorHAnsi"/>
                <w:szCs w:val="23"/>
                <w:lang w:val="fr-CA"/>
              </w:rPr>
              <w:t>CPC 17, 1202, 713, 887</w:t>
            </w:r>
          </w:p>
        </w:tc>
      </w:tr>
      <w:tr w:rsidR="00B8348C" w:rsidRPr="0068240F" w14:paraId="332F7C42" w14:textId="77777777" w:rsidTr="004E1EFC">
        <w:trPr>
          <w:trHeight w:val="42"/>
          <w:jc w:val="center"/>
        </w:trPr>
        <w:tc>
          <w:tcPr>
            <w:tcW w:w="2514" w:type="dxa"/>
            <w:tcBorders>
              <w:top w:val="single" w:sz="4" w:space="0" w:color="C0C0C0"/>
              <w:left w:val="nil"/>
              <w:bottom w:val="single" w:sz="4" w:space="0" w:color="C0C0C0"/>
            </w:tcBorders>
          </w:tcPr>
          <w:p w14:paraId="15C8AE93" w14:textId="3C5FFE62"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4EDDEF3B"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1196D389"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FBEB0F1"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1052DAD3"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623DFB45" w14:textId="77777777" w:rsidR="00B8348C" w:rsidRPr="00F52884" w:rsidRDefault="00B8348C" w:rsidP="000C25A3">
            <w:pPr>
              <w:pStyle w:val="NoSpacing"/>
              <w:spacing w:before="120" w:after="120"/>
              <w:rPr>
                <w:rFonts w:cstheme="minorHAnsi"/>
                <w:sz w:val="23"/>
                <w:szCs w:val="23"/>
                <w:lang w:val="fr-FR"/>
              </w:rPr>
            </w:pPr>
            <w:r w:rsidRPr="00F52884">
              <w:rPr>
                <w:rFonts w:cstheme="minorHAnsi"/>
                <w:sz w:val="23"/>
                <w:szCs w:val="23"/>
                <w:lang w:val="fr-CA"/>
              </w:rPr>
              <w:lastRenderedPageBreak/>
              <w:t>La Saskatchewan se réserve le droit d’adopter ou de maintenir toute mesure limitant le nombre d’investissements visés ou de fournisseurs de services, que ce soit sous la forme de contingents numériques, de monopoles, de fournisseurs exclusifs ou de l’exigence d’un examen des besoins économiques.</w:t>
            </w:r>
          </w:p>
          <w:p w14:paraId="7EDD715C" w14:textId="515BFF1A" w:rsidR="00B8348C" w:rsidRPr="00F52884" w:rsidRDefault="00B8348C" w:rsidP="00B8348C">
            <w:pPr>
              <w:pStyle w:val="NoSpacing"/>
              <w:spacing w:before="120" w:after="120"/>
              <w:rPr>
                <w:rFonts w:cstheme="minorHAnsi"/>
                <w:sz w:val="23"/>
                <w:szCs w:val="23"/>
                <w:lang w:val="fr-FR"/>
              </w:rPr>
            </w:pPr>
            <w:r w:rsidRPr="00F52884">
              <w:rPr>
                <w:rFonts w:cstheme="minorHAnsi"/>
                <w:sz w:val="23"/>
                <w:szCs w:val="23"/>
                <w:lang w:val="fr-CA"/>
              </w:rPr>
              <w:t>La Saskatchewan se réserve le droit d’adopter ou de maintenir une mesure qui restreint ou prescrit un type spécifique d’entité juridique ou de coentreprise par l’intermédiaire duquel un investisseur peut mener une activité économique dans les sous-secteurs susmentionnés.</w:t>
            </w:r>
          </w:p>
        </w:tc>
      </w:tr>
      <w:tr w:rsidR="00B8348C" w:rsidRPr="0068240F" w14:paraId="301D3A3F"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5A182A1" w14:textId="51567338" w:rsidR="00B8348C" w:rsidRPr="00F52884" w:rsidRDefault="00B8348C" w:rsidP="00B8348C">
            <w:pPr>
              <w:pStyle w:val="NoSpacing"/>
              <w:spacing w:before="60" w:after="60"/>
              <w:rPr>
                <w:rFonts w:cstheme="minorHAnsi"/>
                <w:caps/>
                <w:sz w:val="23"/>
                <w:szCs w:val="23"/>
                <w:lang w:val="fr-FR"/>
              </w:rPr>
            </w:pPr>
            <w:r w:rsidRPr="00F52884">
              <w:rPr>
                <w:rFonts w:cstheme="minorHAnsi"/>
                <w:b/>
                <w:bCs/>
                <w:sz w:val="23"/>
                <w:szCs w:val="23"/>
                <w:lang w:val="fr-CA"/>
              </w:rPr>
              <w:t>Toute mesure existante :</w:t>
            </w:r>
            <w:r w:rsidRPr="00F52884">
              <w:rPr>
                <w:rFonts w:cstheme="minorHAnsi"/>
                <w:caps/>
                <w:sz w:val="23"/>
                <w:szCs w:val="23"/>
                <w:lang w:val="fr-CA"/>
              </w:rPr>
              <w:t xml:space="preserve"> </w:t>
            </w:r>
            <w:proofErr w:type="gramStart"/>
            <w:r w:rsidRPr="00F52884">
              <w:rPr>
                <w:rFonts w:cstheme="minorHAnsi"/>
                <w:caps/>
                <w:sz w:val="23"/>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cstheme="minorHAnsi"/>
                <w:sz w:val="23"/>
                <w:szCs w:val="23"/>
                <w:lang w:val="fr-CA"/>
              </w:rPr>
              <w:t>)</w:t>
            </w:r>
          </w:p>
        </w:tc>
      </w:tr>
      <w:tr w:rsidR="00F52884" w:rsidRPr="00F52884" w14:paraId="2D69A143"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C5061F8" w14:textId="14D8187C" w:rsidR="00B8348C" w:rsidRPr="00F52884" w:rsidRDefault="00B8348C" w:rsidP="000C25A3">
            <w:pPr>
              <w:pStyle w:val="NoSpacing"/>
              <w:spacing w:before="60" w:after="60"/>
              <w:rPr>
                <w:rFonts w:cstheme="minorHAnsi"/>
                <w:sz w:val="23"/>
                <w:szCs w:val="23"/>
              </w:rPr>
            </w:pPr>
            <w:r w:rsidRPr="00F52884">
              <w:rPr>
                <w:rFonts w:cstheme="minorHAnsi"/>
                <w:i/>
                <w:iCs/>
                <w:sz w:val="23"/>
                <w:szCs w:val="23"/>
                <w:lang w:val="en-US"/>
              </w:rPr>
              <w:t xml:space="preserve">The Power Corporation Act, </w:t>
            </w:r>
            <w:r w:rsidRPr="00F52884">
              <w:rPr>
                <w:rFonts w:cstheme="minorHAnsi"/>
                <w:sz w:val="23"/>
                <w:szCs w:val="23"/>
                <w:lang w:val="en-US"/>
              </w:rPr>
              <w:t>RRS 1978, c P-19</w:t>
            </w:r>
          </w:p>
          <w:p w14:paraId="62CB5430" w14:textId="6906EC8F" w:rsidR="00B8348C" w:rsidRPr="00B04E29" w:rsidRDefault="00B8348C" w:rsidP="000C25A3">
            <w:pPr>
              <w:pStyle w:val="NoSpacing"/>
              <w:spacing w:before="60" w:after="60"/>
              <w:rPr>
                <w:rFonts w:cstheme="minorHAnsi"/>
                <w:b/>
                <w:sz w:val="23"/>
                <w:szCs w:val="23"/>
              </w:rPr>
            </w:pPr>
            <w:r w:rsidRPr="00F52884">
              <w:rPr>
                <w:rFonts w:cstheme="minorHAnsi"/>
                <w:i/>
                <w:iCs/>
                <w:sz w:val="23"/>
                <w:szCs w:val="23"/>
              </w:rPr>
              <w:t xml:space="preserve">The SaskEnergy Act, </w:t>
            </w:r>
            <w:r w:rsidRPr="00F52884">
              <w:rPr>
                <w:rFonts w:cstheme="minorHAnsi"/>
                <w:sz w:val="23"/>
                <w:szCs w:val="23"/>
              </w:rPr>
              <w:t>R</w:t>
            </w:r>
            <w:r w:rsidRPr="00F52884">
              <w:rPr>
                <w:rFonts w:cstheme="minorHAnsi"/>
                <w:sz w:val="23"/>
                <w:szCs w:val="23"/>
                <w:lang w:val="en-US"/>
              </w:rPr>
              <w:t xml:space="preserve">RS </w:t>
            </w:r>
            <w:r w:rsidRPr="00F52884">
              <w:rPr>
                <w:rFonts w:cstheme="minorHAnsi"/>
                <w:sz w:val="23"/>
                <w:szCs w:val="23"/>
              </w:rPr>
              <w:t>1992, c </w:t>
            </w:r>
            <w:r w:rsidRPr="00B04E29">
              <w:rPr>
                <w:rFonts w:cstheme="minorHAnsi"/>
                <w:sz w:val="23"/>
                <w:szCs w:val="23"/>
              </w:rPr>
              <w:t>S-35.1</w:t>
            </w:r>
          </w:p>
        </w:tc>
      </w:tr>
    </w:tbl>
    <w:p w14:paraId="485C496D" w14:textId="77777777" w:rsidR="00B8348C" w:rsidRPr="00B04E29" w:rsidRDefault="00B8348C" w:rsidP="000C25A3">
      <w:pPr>
        <w:ind w:left="720"/>
        <w:rPr>
          <w:rFonts w:cstheme="minorHAnsi"/>
          <w:szCs w:val="23"/>
        </w:rPr>
      </w:pPr>
    </w:p>
    <w:p w14:paraId="1779BC62" w14:textId="77777777" w:rsidR="00B8348C" w:rsidRPr="00B04E29" w:rsidRDefault="00B8348C">
      <w:pPr>
        <w:rPr>
          <w:rFonts w:eastAsia="Times New Roman" w:cstheme="minorHAnsi"/>
          <w:b/>
          <w:szCs w:val="23"/>
        </w:rPr>
      </w:pPr>
    </w:p>
    <w:p w14:paraId="343CB0A7" w14:textId="77777777" w:rsidR="00B8348C" w:rsidRPr="00B04E29" w:rsidRDefault="00B8348C">
      <w:pPr>
        <w:rPr>
          <w:rFonts w:eastAsia="Times New Roman" w:cstheme="minorHAnsi"/>
          <w:b/>
          <w:szCs w:val="23"/>
        </w:rPr>
      </w:pPr>
      <w:r w:rsidRPr="00B04E29">
        <w:rPr>
          <w:rFonts w:eastAsia="Times New Roman" w:cstheme="minorHAnsi"/>
          <w:b/>
          <w:bCs/>
          <w:szCs w:val="23"/>
        </w:rPr>
        <w:br w:type="page"/>
      </w:r>
    </w:p>
    <w:p w14:paraId="1751C139" w14:textId="77777777" w:rsidR="00B8348C" w:rsidRPr="00F52884" w:rsidRDefault="00B8348C" w:rsidP="00F52884">
      <w:pPr>
        <w:pStyle w:val="Heading3"/>
        <w:jc w:val="center"/>
        <w:rPr>
          <w:rFonts w:asciiTheme="minorHAnsi" w:hAnsiTheme="minorHAnsi" w:cstheme="minorHAnsi"/>
          <w:sz w:val="24"/>
          <w:szCs w:val="24"/>
          <w:lang w:val="fr-CA"/>
        </w:rPr>
      </w:pPr>
      <w:bookmarkStart w:id="320" w:name="_Toc476566358"/>
      <w:bookmarkStart w:id="321" w:name="_Toc156311811"/>
      <w:r w:rsidRPr="00F52884">
        <w:rPr>
          <w:rFonts w:asciiTheme="minorHAnsi" w:hAnsiTheme="minorHAnsi" w:cstheme="minorHAnsi"/>
          <w:sz w:val="24"/>
          <w:szCs w:val="24"/>
          <w:lang w:val="fr-CA"/>
        </w:rPr>
        <w:lastRenderedPageBreak/>
        <w:t>Liste de l’Alberta</w:t>
      </w:r>
      <w:bookmarkEnd w:id="320"/>
      <w:bookmarkEnd w:id="321"/>
    </w:p>
    <w:p w14:paraId="366E7748" w14:textId="77777777" w:rsidR="00B8348C" w:rsidRPr="00F52884" w:rsidRDefault="00B8348C" w:rsidP="000C25A3">
      <w:pPr>
        <w:contextualSpacing/>
        <w:jc w:val="center"/>
        <w:outlineLvl w:val="2"/>
        <w:rPr>
          <w:rFonts w:eastAsia="Times New Roman" w:cstheme="minorHAnsi"/>
          <w:b/>
          <w:sz w:val="24"/>
          <w:szCs w:val="24"/>
          <w:lang w:val="fr-CA"/>
        </w:rPr>
      </w:pPr>
    </w:p>
    <w:p w14:paraId="46E2DB40" w14:textId="77777777" w:rsidR="00B8348C" w:rsidRPr="00F52884" w:rsidRDefault="00B8348C" w:rsidP="000C25A3">
      <w:pPr>
        <w:jc w:val="center"/>
        <w:rPr>
          <w:rFonts w:cstheme="minorHAnsi"/>
          <w:b/>
          <w:sz w:val="24"/>
          <w:szCs w:val="24"/>
          <w:lang w:val="fr-CA"/>
        </w:rPr>
      </w:pPr>
      <w:r w:rsidRPr="00F52884">
        <w:rPr>
          <w:rFonts w:cstheme="minorHAnsi"/>
          <w:b/>
          <w:bCs/>
          <w:sz w:val="24"/>
          <w:szCs w:val="24"/>
          <w:lang w:val="fr-CA"/>
        </w:rPr>
        <w:t>Annexe II</w:t>
      </w:r>
    </w:p>
    <w:p w14:paraId="0801F4C7" w14:textId="77777777" w:rsidR="00B8348C" w:rsidRPr="00F52884" w:rsidRDefault="00B8348C" w:rsidP="000C25A3">
      <w:pPr>
        <w:pStyle w:val="Header"/>
        <w:rPr>
          <w:rFonts w:cstheme="minorHAnsi"/>
          <w:b/>
          <w:szCs w:val="23"/>
          <w:u w:val="single"/>
          <w:lang w:val="fr-CA"/>
        </w:rPr>
      </w:pPr>
    </w:p>
    <w:p w14:paraId="4E18378E" w14:textId="77777777" w:rsidR="00B8348C" w:rsidRPr="00F52884" w:rsidRDefault="00B8348C" w:rsidP="004E1EFC">
      <w:pPr>
        <w:pStyle w:val="ListParagraph"/>
        <w:numPr>
          <w:ilvl w:val="0"/>
          <w:numId w:val="281"/>
        </w:numPr>
        <w:spacing w:before="60" w:after="60"/>
        <w:ind w:left="-360" w:firstLine="0"/>
        <w:contextualSpacing w:val="0"/>
        <w:rPr>
          <w:rFonts w:cstheme="minorHAnsi"/>
          <w:b/>
          <w:caps/>
          <w:szCs w:val="23"/>
          <w:lang w:val="fr-CA"/>
        </w:rPr>
      </w:pPr>
      <w:r w:rsidRPr="00F52884">
        <w:rPr>
          <w:rFonts w:cstheme="minorHAnsi"/>
          <w:b/>
          <w:bCs/>
          <w:caps/>
          <w:szCs w:val="23"/>
          <w:lang w:val="fr-CA"/>
        </w:rPr>
        <w:t xml:space="preserve"> Alberta </w:t>
      </w:r>
    </w:p>
    <w:tbl>
      <w:tblPr>
        <w:tblW w:w="10206" w:type="dxa"/>
        <w:jc w:val="center"/>
        <w:tblCellMar>
          <w:top w:w="14" w:type="dxa"/>
          <w:left w:w="86" w:type="dxa"/>
          <w:bottom w:w="14" w:type="dxa"/>
          <w:right w:w="86" w:type="dxa"/>
        </w:tblCellMar>
        <w:tblLook w:val="0000" w:firstRow="0" w:lastRow="0" w:firstColumn="0" w:lastColumn="0" w:noHBand="0" w:noVBand="0"/>
      </w:tblPr>
      <w:tblGrid>
        <w:gridCol w:w="2424"/>
        <w:gridCol w:w="7357"/>
        <w:gridCol w:w="425"/>
      </w:tblGrid>
      <w:tr w:rsidR="00B8348C" w:rsidRPr="00F52884" w14:paraId="458099C2"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12182472"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433AE56F" w14:textId="77777777" w:rsidR="00B8348C" w:rsidRPr="00F52884" w:rsidRDefault="00B8348C" w:rsidP="000C25A3">
            <w:pPr>
              <w:spacing w:before="60" w:after="60"/>
              <w:rPr>
                <w:rFonts w:cstheme="minorHAnsi"/>
                <w:szCs w:val="23"/>
                <w:lang w:val="fr-CA"/>
              </w:rPr>
            </w:pPr>
            <w:r w:rsidRPr="00F52884">
              <w:rPr>
                <w:rFonts w:cstheme="minorHAnsi"/>
                <w:szCs w:val="23"/>
                <w:lang w:val="fr-CA"/>
              </w:rPr>
              <w:t>Boissons alcoolisées</w:t>
            </w:r>
          </w:p>
        </w:tc>
      </w:tr>
      <w:tr w:rsidR="00B8348C" w:rsidRPr="0068240F" w14:paraId="1462490F" w14:textId="77777777" w:rsidTr="004E1EFC">
        <w:trPr>
          <w:trHeight w:val="42"/>
          <w:jc w:val="center"/>
        </w:trPr>
        <w:tc>
          <w:tcPr>
            <w:tcW w:w="2424" w:type="dxa"/>
            <w:tcBorders>
              <w:top w:val="single" w:sz="4" w:space="0" w:color="C0C0C0"/>
              <w:left w:val="nil"/>
              <w:bottom w:val="single" w:sz="4" w:space="0" w:color="C0C0C0"/>
              <w:right w:val="single" w:sz="4" w:space="0" w:color="FFFFFF"/>
            </w:tcBorders>
            <w:vAlign w:val="center"/>
          </w:tcPr>
          <w:p w14:paraId="7197776C"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5ACD632B" w14:textId="77777777" w:rsidR="00B8348C" w:rsidRPr="00F52884" w:rsidRDefault="00B8348C" w:rsidP="000C25A3">
            <w:pPr>
              <w:spacing w:before="60" w:after="60"/>
              <w:rPr>
                <w:rFonts w:cstheme="minorHAnsi"/>
                <w:szCs w:val="23"/>
                <w:lang w:val="fr-FR"/>
              </w:rPr>
            </w:pPr>
            <w:r w:rsidRPr="00F52884">
              <w:rPr>
                <w:rFonts w:cstheme="minorHAnsi"/>
                <w:szCs w:val="23"/>
                <w:lang w:val="fr-CA"/>
              </w:rPr>
              <w:t>Boissons; services de courtage; services de commerce de gros; services de commerce de détail (spiritueux, vin et bière; magasins de bière, de vin et de spiritueux); fabrication d’aliments et de boissons, à forfait ou sous contrat</w:t>
            </w:r>
          </w:p>
        </w:tc>
      </w:tr>
      <w:tr w:rsidR="00B8348C" w:rsidRPr="00F52884" w14:paraId="718249BF" w14:textId="77777777" w:rsidTr="004E1EFC">
        <w:trPr>
          <w:gridAfter w:val="1"/>
          <w:wAfter w:w="425" w:type="dxa"/>
          <w:trHeight w:val="42"/>
          <w:jc w:val="center"/>
        </w:trPr>
        <w:tc>
          <w:tcPr>
            <w:tcW w:w="2424" w:type="dxa"/>
            <w:tcBorders>
              <w:top w:val="single" w:sz="4" w:space="0" w:color="C0C0C0"/>
              <w:left w:val="nil"/>
              <w:bottom w:val="single" w:sz="4" w:space="0" w:color="C0C0C0"/>
              <w:right w:val="single" w:sz="4" w:space="0" w:color="FFFFFF"/>
            </w:tcBorders>
            <w:vAlign w:val="center"/>
          </w:tcPr>
          <w:p w14:paraId="19996F29"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2E4A3FE7"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24 (autre que 244), 62112, 62226, 63107, 643, 88411</w:t>
            </w:r>
          </w:p>
        </w:tc>
      </w:tr>
      <w:tr w:rsidR="00B8348C" w:rsidRPr="0068240F" w14:paraId="5DDE533B" w14:textId="77777777" w:rsidTr="004E1EFC">
        <w:trPr>
          <w:trHeight w:val="42"/>
          <w:jc w:val="center"/>
        </w:trPr>
        <w:tc>
          <w:tcPr>
            <w:tcW w:w="2424" w:type="dxa"/>
            <w:tcBorders>
              <w:top w:val="single" w:sz="4" w:space="0" w:color="C0C0C0"/>
              <w:left w:val="nil"/>
              <w:bottom w:val="single" w:sz="4" w:space="0" w:color="C0C0C0"/>
            </w:tcBorders>
          </w:tcPr>
          <w:p w14:paraId="2E541382" w14:textId="44D71267"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6A7D2416" w14:textId="77777777" w:rsidR="00B8348C" w:rsidRPr="00F52884" w:rsidRDefault="00B8348C" w:rsidP="000C25A3">
            <w:pPr>
              <w:pStyle w:val="Text"/>
              <w:spacing w:before="60" w:after="60" w:line="240" w:lineRule="auto"/>
              <w:ind w:left="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702B6F0B"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52BE636"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035411C1"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4D4FF97F" w14:textId="77777777" w:rsidR="00B8348C" w:rsidRPr="00F52884" w:rsidRDefault="00B8348C" w:rsidP="004E1EFC">
            <w:pPr>
              <w:spacing w:before="120" w:after="120"/>
              <w:rPr>
                <w:rFonts w:cstheme="minorHAnsi"/>
                <w:szCs w:val="23"/>
                <w:lang w:val="fr-FR"/>
              </w:rPr>
            </w:pPr>
            <w:r w:rsidRPr="00F52884">
              <w:rPr>
                <w:rFonts w:cstheme="minorHAnsi"/>
                <w:szCs w:val="23"/>
                <w:lang w:val="fr-CA"/>
              </w:rPr>
              <w:t>L’Alberta se réserve le droit d’adopter ou de maintenir une mesure dans les secteurs susmentionnés qui :</w:t>
            </w:r>
          </w:p>
          <w:p w14:paraId="10236AC3" w14:textId="09E9CF4A" w:rsidR="00B8348C" w:rsidRPr="00F52884" w:rsidRDefault="00B8348C" w:rsidP="004E1EFC">
            <w:pPr>
              <w:pStyle w:val="ListParagraph"/>
              <w:numPr>
                <w:ilvl w:val="0"/>
                <w:numId w:val="299"/>
              </w:numPr>
              <w:spacing w:before="120" w:after="120"/>
              <w:ind w:left="906" w:hanging="540"/>
              <w:contextualSpacing w:val="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d’investissements visés ou de fournisseurs de services qui peuvent mener une activité économique spécifique, que ce soit sous la forme de contingents numériques, de monopoles, de fournisseurs exclusifs de services ou de l’exigence d’un examen des besoins économiques;</w:t>
            </w:r>
          </w:p>
          <w:p w14:paraId="39C3645A" w14:textId="77777777" w:rsidR="00B8348C" w:rsidRPr="00F52884" w:rsidRDefault="00B8348C" w:rsidP="004E1EFC">
            <w:pPr>
              <w:pStyle w:val="ListParagraph"/>
              <w:numPr>
                <w:ilvl w:val="0"/>
                <w:numId w:val="299"/>
              </w:numPr>
              <w:spacing w:before="120" w:after="120"/>
              <w:ind w:left="906" w:hanging="540"/>
              <w:contextualSpacing w:val="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la valeur totale des transactions ou des actifs, sous la forme de contingents numériques ou de l’exigence d’un examen des besoins économiques;</w:t>
            </w:r>
          </w:p>
          <w:p w14:paraId="17ED9C4D" w14:textId="77777777" w:rsidR="00B8348C" w:rsidRPr="00F52884" w:rsidRDefault="00B8348C" w:rsidP="004E1EFC">
            <w:pPr>
              <w:pStyle w:val="ListParagraph"/>
              <w:numPr>
                <w:ilvl w:val="0"/>
                <w:numId w:val="299"/>
              </w:numPr>
              <w:spacing w:before="120" w:after="120"/>
              <w:ind w:left="906" w:hanging="540"/>
              <w:contextualSpacing w:val="0"/>
              <w:rPr>
                <w:rFonts w:cstheme="minorHAnsi"/>
                <w:szCs w:val="23"/>
                <w:lang w:val="fr-FR"/>
              </w:rPr>
            </w:pPr>
            <w:proofErr w:type="gramStart"/>
            <w:r w:rsidRPr="00F52884">
              <w:rPr>
                <w:rFonts w:cstheme="minorHAnsi"/>
                <w:szCs w:val="23"/>
                <w:lang w:val="fr-CA"/>
              </w:rPr>
              <w:t>limite</w:t>
            </w:r>
            <w:proofErr w:type="gramEnd"/>
            <w:r w:rsidRPr="00F52884">
              <w:rPr>
                <w:rFonts w:cstheme="minorHAnsi"/>
                <w:szCs w:val="23"/>
                <w:lang w:val="fr-CA"/>
              </w:rPr>
              <w:t xml:space="preserve"> le nombre total d’opérations ou la quantité totale produite, exprimées en unités numériques déterminées, sous la forme de contingents ou de l’exigence d’un examen des besoins économiques;</w:t>
            </w:r>
          </w:p>
          <w:p w14:paraId="274B0037" w14:textId="69C20380" w:rsidR="00B8348C" w:rsidRPr="00F52884" w:rsidRDefault="00B8348C" w:rsidP="004E1EFC">
            <w:pPr>
              <w:pStyle w:val="ListParagraph"/>
              <w:numPr>
                <w:ilvl w:val="0"/>
                <w:numId w:val="299"/>
              </w:numPr>
              <w:spacing w:before="120" w:after="120"/>
              <w:ind w:left="906" w:hanging="540"/>
              <w:contextualSpacing w:val="0"/>
              <w:rPr>
                <w:rFonts w:eastAsia="Calibri" w:cstheme="minorHAnsi"/>
                <w:szCs w:val="23"/>
                <w:lang w:val="fr-FR"/>
              </w:rPr>
            </w:pPr>
            <w:proofErr w:type="gramStart"/>
            <w:r w:rsidRPr="00F52884">
              <w:rPr>
                <w:rFonts w:eastAsia="Calibri" w:cstheme="minorHAnsi"/>
                <w:szCs w:val="23"/>
                <w:lang w:val="fr-CA"/>
              </w:rPr>
              <w:t>restreint</w:t>
            </w:r>
            <w:proofErr w:type="gramEnd"/>
            <w:r w:rsidRPr="00F52884">
              <w:rPr>
                <w:rFonts w:eastAsia="Calibri" w:cstheme="minorHAnsi"/>
                <w:szCs w:val="23"/>
                <w:lang w:val="fr-CA"/>
              </w:rPr>
              <w:t xml:space="preserve"> ou prescrit un type spécifique d’entité juridique ou de coentreprise par l’intermédiaire duquel un investisseur peut mener une activité économique.</w:t>
            </w:r>
          </w:p>
        </w:tc>
      </w:tr>
      <w:tr w:rsidR="00F52884" w:rsidRPr="0068240F" w14:paraId="03D7C99F"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B39CF70" w14:textId="77777777" w:rsidR="00B8348C" w:rsidRPr="00F52884" w:rsidRDefault="00B8348C" w:rsidP="000C25A3">
            <w:pPr>
              <w:pStyle w:val="NoSpacing"/>
              <w:spacing w:before="60" w:after="60"/>
              <w:rPr>
                <w:rFonts w:cstheme="minorHAnsi"/>
                <w:caps/>
                <w:sz w:val="23"/>
                <w:szCs w:val="23"/>
                <w:lang w:val="fr-CA"/>
              </w:rPr>
            </w:pPr>
            <w:r w:rsidRPr="00F52884">
              <w:rPr>
                <w:rFonts w:cstheme="minorHAnsi"/>
                <w:b/>
                <w:bCs/>
                <w:sz w:val="23"/>
                <w:szCs w:val="23"/>
                <w:lang w:val="fr-CA"/>
              </w:rPr>
              <w:t>Toute mesure existante :</w:t>
            </w:r>
            <w:r w:rsidRPr="00F52884">
              <w:rPr>
                <w:rFonts w:cstheme="minorHAnsi"/>
                <w:caps/>
                <w:sz w:val="23"/>
                <w:szCs w:val="23"/>
                <w:lang w:val="fr-CA"/>
              </w:rPr>
              <w:t xml:space="preserve"> (</w:t>
            </w:r>
            <w:r w:rsidRPr="00F52884">
              <w:rPr>
                <w:rFonts w:eastAsia="Arial" w:cstheme="minorHAnsi"/>
                <w:szCs w:val="23"/>
                <w:lang w:val="fr-CA"/>
              </w:rPr>
              <w:t>Fourni à des fins illustratives)</w:t>
            </w:r>
          </w:p>
        </w:tc>
      </w:tr>
      <w:tr w:rsidR="00F52884" w:rsidRPr="0068240F" w14:paraId="2B5F928E"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085E7949" w14:textId="77777777" w:rsidR="00B8348C" w:rsidRPr="00F52884" w:rsidRDefault="00B8348C" w:rsidP="000C25A3">
            <w:pPr>
              <w:pStyle w:val="NoSpacing"/>
              <w:spacing w:before="60" w:after="60"/>
              <w:rPr>
                <w:rFonts w:cstheme="minorHAnsi"/>
                <w:b/>
                <w:sz w:val="23"/>
                <w:szCs w:val="23"/>
                <w:lang w:val="fr-CA"/>
              </w:rPr>
            </w:pPr>
          </w:p>
        </w:tc>
      </w:tr>
    </w:tbl>
    <w:p w14:paraId="3B460A8D" w14:textId="77777777" w:rsidR="00374E96" w:rsidRPr="00C82401" w:rsidRDefault="00374E96" w:rsidP="000C25A3">
      <w:pPr>
        <w:rPr>
          <w:rFonts w:cstheme="minorHAnsi"/>
          <w:b/>
          <w:szCs w:val="23"/>
          <w:lang w:val="fr-CA"/>
        </w:rPr>
      </w:pPr>
    </w:p>
    <w:p w14:paraId="710CE2C4" w14:textId="77777777" w:rsidR="00B8348C" w:rsidRPr="00F52884" w:rsidRDefault="00B8348C" w:rsidP="004E1EFC">
      <w:pPr>
        <w:pStyle w:val="ListParagraph"/>
        <w:numPr>
          <w:ilvl w:val="0"/>
          <w:numId w:val="281"/>
        </w:numPr>
        <w:spacing w:before="60" w:after="60"/>
        <w:ind w:left="-360" w:firstLine="0"/>
        <w:rPr>
          <w:rFonts w:cstheme="minorHAnsi"/>
          <w:b/>
          <w:caps/>
          <w:szCs w:val="23"/>
        </w:rPr>
      </w:pPr>
      <w:r w:rsidRPr="00F52884">
        <w:rPr>
          <w:rFonts w:cstheme="minorHAnsi"/>
          <w:b/>
          <w:bCs/>
          <w:caps/>
          <w:szCs w:val="23"/>
          <w:lang w:val="fr-CA"/>
        </w:rPr>
        <w:t xml:space="preserve"> Alberta </w:t>
      </w:r>
    </w:p>
    <w:tbl>
      <w:tblPr>
        <w:tblW w:w="10296" w:type="dxa"/>
        <w:jc w:val="center"/>
        <w:tblCellMar>
          <w:top w:w="14" w:type="dxa"/>
          <w:left w:w="86" w:type="dxa"/>
          <w:bottom w:w="14" w:type="dxa"/>
          <w:right w:w="86" w:type="dxa"/>
        </w:tblCellMar>
        <w:tblLook w:val="0000" w:firstRow="0" w:lastRow="0" w:firstColumn="0" w:lastColumn="0" w:noHBand="0" w:noVBand="0"/>
      </w:tblPr>
      <w:tblGrid>
        <w:gridCol w:w="2610"/>
        <w:gridCol w:w="7261"/>
        <w:gridCol w:w="425"/>
      </w:tblGrid>
      <w:tr w:rsidR="00B8348C" w:rsidRPr="0068240F" w14:paraId="6E68A669" w14:textId="77777777" w:rsidTr="004E1EFC">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16646B19"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686" w:type="dxa"/>
            <w:gridSpan w:val="2"/>
            <w:tcBorders>
              <w:top w:val="single" w:sz="4" w:space="0" w:color="C0C0C0"/>
              <w:left w:val="single" w:sz="4" w:space="0" w:color="FFFFFF"/>
              <w:bottom w:val="single" w:sz="4" w:space="0" w:color="C0C0C0"/>
              <w:right w:val="nil"/>
            </w:tcBorders>
            <w:vAlign w:val="center"/>
          </w:tcPr>
          <w:p w14:paraId="256D5528" w14:textId="77777777" w:rsidR="00B8348C" w:rsidRPr="00F52884" w:rsidRDefault="00B8348C" w:rsidP="000C25A3">
            <w:pPr>
              <w:spacing w:before="60" w:after="60"/>
              <w:rPr>
                <w:rFonts w:cstheme="minorHAnsi"/>
                <w:szCs w:val="23"/>
                <w:lang w:val="fr-FR"/>
              </w:rPr>
            </w:pPr>
            <w:r w:rsidRPr="00F52884">
              <w:rPr>
                <w:rFonts w:cstheme="minorHAnsi"/>
                <w:szCs w:val="23"/>
                <w:lang w:val="fr-CA"/>
              </w:rPr>
              <w:t>Agriculture; sylviculture et produits de la pêche</w:t>
            </w:r>
          </w:p>
        </w:tc>
      </w:tr>
      <w:tr w:rsidR="00B8348C" w:rsidRPr="0068240F" w14:paraId="49EFAF07" w14:textId="77777777" w:rsidTr="004E1EFC">
        <w:trPr>
          <w:trHeight w:val="42"/>
          <w:jc w:val="center"/>
        </w:trPr>
        <w:tc>
          <w:tcPr>
            <w:tcW w:w="2610" w:type="dxa"/>
            <w:tcBorders>
              <w:top w:val="single" w:sz="4" w:space="0" w:color="C0C0C0"/>
              <w:left w:val="nil"/>
              <w:bottom w:val="single" w:sz="4" w:space="0" w:color="C0C0C0"/>
              <w:right w:val="single" w:sz="4" w:space="0" w:color="FFFFFF"/>
            </w:tcBorders>
            <w:vAlign w:val="center"/>
          </w:tcPr>
          <w:p w14:paraId="3FC503E7"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686" w:type="dxa"/>
            <w:gridSpan w:val="2"/>
            <w:tcBorders>
              <w:top w:val="single" w:sz="4" w:space="0" w:color="C0C0C0"/>
              <w:left w:val="single" w:sz="4" w:space="0" w:color="FFFFFF"/>
              <w:bottom w:val="single" w:sz="4" w:space="0" w:color="C0C0C0"/>
              <w:right w:val="nil"/>
            </w:tcBorders>
            <w:vAlign w:val="center"/>
          </w:tcPr>
          <w:p w14:paraId="04339534" w14:textId="77777777" w:rsidR="00B8348C" w:rsidRPr="00F52884" w:rsidRDefault="00B8348C" w:rsidP="000C25A3">
            <w:pPr>
              <w:spacing w:before="60" w:after="60"/>
              <w:rPr>
                <w:rFonts w:cstheme="minorHAnsi"/>
                <w:szCs w:val="23"/>
                <w:lang w:val="fr-FR"/>
              </w:rPr>
            </w:pPr>
            <w:r w:rsidRPr="00F52884">
              <w:rPr>
                <w:rFonts w:cstheme="minorHAnsi"/>
                <w:szCs w:val="23"/>
                <w:lang w:val="fr-CA"/>
              </w:rPr>
              <w:t>Transformation des ressources forestières; sylviculture et produits de l’exploitation forestière; services annexes à la sylviculture et à l’exploitation forestière</w:t>
            </w:r>
          </w:p>
        </w:tc>
      </w:tr>
      <w:tr w:rsidR="00B8348C" w:rsidRPr="00F52884" w14:paraId="702442D0" w14:textId="77777777" w:rsidTr="004E1EFC">
        <w:trPr>
          <w:gridAfter w:val="1"/>
          <w:wAfter w:w="425" w:type="dxa"/>
          <w:trHeight w:val="42"/>
          <w:jc w:val="center"/>
        </w:trPr>
        <w:tc>
          <w:tcPr>
            <w:tcW w:w="2610" w:type="dxa"/>
            <w:tcBorders>
              <w:top w:val="single" w:sz="4" w:space="0" w:color="C0C0C0"/>
              <w:left w:val="nil"/>
              <w:bottom w:val="single" w:sz="4" w:space="0" w:color="C0C0C0"/>
              <w:right w:val="single" w:sz="4" w:space="0" w:color="FFFFFF"/>
            </w:tcBorders>
            <w:vAlign w:val="center"/>
          </w:tcPr>
          <w:p w14:paraId="0B1A6FCB" w14:textId="77777777" w:rsidR="00B8348C" w:rsidRPr="00F52884" w:rsidRDefault="00B8348C" w:rsidP="000C25A3">
            <w:pPr>
              <w:spacing w:before="60" w:after="60"/>
              <w:rPr>
                <w:rFonts w:cstheme="minorHAnsi"/>
                <w:b/>
                <w:szCs w:val="23"/>
              </w:rPr>
            </w:pPr>
            <w:r w:rsidRPr="00F52884">
              <w:rPr>
                <w:rFonts w:cstheme="minorHAnsi"/>
                <w:b/>
                <w:bCs/>
                <w:szCs w:val="23"/>
                <w:lang w:val="fr-CA"/>
              </w:rPr>
              <w:t>Classification de l’industrie :</w:t>
            </w:r>
          </w:p>
        </w:tc>
        <w:tc>
          <w:tcPr>
            <w:tcW w:w="7261" w:type="dxa"/>
            <w:tcBorders>
              <w:top w:val="single" w:sz="4" w:space="0" w:color="C0C0C0"/>
              <w:left w:val="single" w:sz="4" w:space="0" w:color="FFFFFF"/>
              <w:bottom w:val="single" w:sz="4" w:space="0" w:color="C0C0C0"/>
              <w:right w:val="nil"/>
            </w:tcBorders>
            <w:vAlign w:val="center"/>
          </w:tcPr>
          <w:p w14:paraId="103F86D5"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03, 8814</w:t>
            </w:r>
          </w:p>
        </w:tc>
      </w:tr>
      <w:tr w:rsidR="00B8348C" w:rsidRPr="0068240F" w14:paraId="457CD8B5" w14:textId="77777777" w:rsidTr="004E1EFC">
        <w:trPr>
          <w:trHeight w:val="42"/>
          <w:jc w:val="center"/>
        </w:trPr>
        <w:tc>
          <w:tcPr>
            <w:tcW w:w="2610" w:type="dxa"/>
            <w:tcBorders>
              <w:top w:val="single" w:sz="4" w:space="0" w:color="C0C0C0"/>
              <w:left w:val="nil"/>
              <w:bottom w:val="single" w:sz="4" w:space="0" w:color="C0C0C0"/>
            </w:tcBorders>
          </w:tcPr>
          <w:p w14:paraId="3A241090" w14:textId="295A393D"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lastRenderedPageBreak/>
              <w:t xml:space="preserve">Type d’exception :  </w:t>
            </w:r>
          </w:p>
        </w:tc>
        <w:tc>
          <w:tcPr>
            <w:tcW w:w="7686" w:type="dxa"/>
            <w:gridSpan w:val="2"/>
            <w:tcBorders>
              <w:top w:val="single" w:sz="4" w:space="0" w:color="C0C0C0"/>
              <w:left w:val="nil"/>
              <w:bottom w:val="single" w:sz="4" w:space="0" w:color="C0C0C0"/>
            </w:tcBorders>
          </w:tcPr>
          <w:p w14:paraId="149C267A"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49BAEA4A"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1926F0B"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07CA402C"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2BAE4F0" w14:textId="77777777" w:rsidR="00B8348C" w:rsidRPr="00F52884" w:rsidRDefault="00B8348C" w:rsidP="000C25A3">
            <w:pPr>
              <w:pStyle w:val="NoSpacing"/>
              <w:spacing w:before="120" w:after="120"/>
              <w:rPr>
                <w:rFonts w:cstheme="minorHAnsi"/>
                <w:sz w:val="23"/>
                <w:szCs w:val="23"/>
                <w:lang w:val="fr-FR"/>
              </w:rPr>
            </w:pPr>
            <w:r w:rsidRPr="00F52884">
              <w:rPr>
                <w:rFonts w:cstheme="minorHAnsi"/>
                <w:sz w:val="23"/>
                <w:szCs w:val="23"/>
                <w:lang w:val="fr-CA"/>
              </w:rPr>
              <w:t>L’Alberta se réserve le droit d’adopter ou de maintenir toute mesure se rapportant à la production, à la transformation, à la commercialisation, à l’extraction et à la mise en valeur des ressources forestières et de leurs produits dérivés qui :</w:t>
            </w:r>
          </w:p>
          <w:p w14:paraId="76ED8CAC" w14:textId="055295EE" w:rsidR="00B8348C" w:rsidRPr="00F52884" w:rsidRDefault="00B8348C" w:rsidP="000C25A3">
            <w:pPr>
              <w:pStyle w:val="NoSpacing"/>
              <w:spacing w:before="120" w:after="120"/>
              <w:ind w:left="906" w:hanging="540"/>
              <w:rPr>
                <w:rFonts w:cstheme="minorHAnsi"/>
                <w:sz w:val="23"/>
                <w:szCs w:val="23"/>
                <w:lang w:val="fr-FR"/>
              </w:rPr>
            </w:pPr>
            <w:r w:rsidRPr="00F52884">
              <w:rPr>
                <w:rFonts w:cstheme="minorHAnsi"/>
                <w:sz w:val="23"/>
                <w:szCs w:val="23"/>
                <w:lang w:val="fr-CA"/>
              </w:rPr>
              <w:t xml:space="preserve">a) </w:t>
            </w:r>
            <w:r w:rsidRPr="00F52884">
              <w:rPr>
                <w:rFonts w:cstheme="minorHAnsi"/>
                <w:sz w:val="23"/>
                <w:szCs w:val="23"/>
                <w:lang w:val="fr-CA"/>
              </w:rPr>
              <w:tab/>
              <w:t>limite le nombre d’investissements visés ou de fournisseurs de services qui peuvent mener une activité économique spécifique, que ce soit sous la forme de contingents numériques, de monopoles, de fournisseurs exclusifs de services ou de l’exigence d’un examen des besoins économiques;</w:t>
            </w:r>
          </w:p>
          <w:p w14:paraId="123A9940" w14:textId="6B0F850B" w:rsidR="00B8348C" w:rsidRPr="00F52884" w:rsidRDefault="00B8348C" w:rsidP="000C25A3">
            <w:pPr>
              <w:pStyle w:val="NoSpacing"/>
              <w:spacing w:before="120" w:after="120"/>
              <w:ind w:left="906" w:hanging="540"/>
              <w:rPr>
                <w:rFonts w:cstheme="minorHAnsi"/>
                <w:sz w:val="23"/>
                <w:szCs w:val="23"/>
                <w:lang w:val="fr-FR"/>
              </w:rPr>
            </w:pPr>
            <w:r w:rsidRPr="00F52884">
              <w:rPr>
                <w:rFonts w:cstheme="minorHAnsi"/>
                <w:sz w:val="23"/>
                <w:szCs w:val="23"/>
                <w:lang w:val="fr-CA"/>
              </w:rPr>
              <w:t xml:space="preserve">b) </w:t>
            </w:r>
            <w:r w:rsidRPr="00F52884">
              <w:rPr>
                <w:rFonts w:cstheme="minorHAnsi"/>
                <w:sz w:val="23"/>
                <w:szCs w:val="23"/>
                <w:lang w:val="fr-CA"/>
              </w:rPr>
              <w:tab/>
              <w:t>limite la valeur totale des transactions ou des actifs, sous la forme de contingents numériques ou de l’exigence d’un examen des besoins économiques;</w:t>
            </w:r>
          </w:p>
          <w:p w14:paraId="2632D962" w14:textId="53B59CD1" w:rsidR="00B8348C" w:rsidRPr="00F52884" w:rsidRDefault="00B8348C" w:rsidP="00CC2924">
            <w:pPr>
              <w:pStyle w:val="NoSpacing"/>
              <w:spacing w:before="120" w:after="120"/>
              <w:ind w:left="906" w:hanging="540"/>
              <w:rPr>
                <w:rFonts w:cstheme="minorHAnsi"/>
                <w:sz w:val="23"/>
                <w:szCs w:val="23"/>
                <w:lang w:val="fr-FR"/>
              </w:rPr>
            </w:pPr>
            <w:r w:rsidRPr="00F52884">
              <w:rPr>
                <w:rFonts w:cstheme="minorHAnsi"/>
                <w:sz w:val="23"/>
                <w:szCs w:val="23"/>
                <w:lang w:val="fr-CA"/>
              </w:rPr>
              <w:t xml:space="preserve">c) </w:t>
            </w:r>
            <w:r w:rsidRPr="00F52884">
              <w:rPr>
                <w:rFonts w:cstheme="minorHAnsi"/>
                <w:sz w:val="23"/>
                <w:szCs w:val="23"/>
                <w:lang w:val="fr-CA"/>
              </w:rPr>
              <w:tab/>
              <w:t>limite le nombre total d’opérations ou la quantité totale produite, exprimées en unités numériques déterminées, sous la forme de contingents ou de l’exigence d’un examen des besoins économiques</w:t>
            </w:r>
            <w:r w:rsidR="00CC2924">
              <w:rPr>
                <w:rFonts w:cstheme="minorHAnsi"/>
                <w:sz w:val="23"/>
                <w:szCs w:val="23"/>
                <w:lang w:val="fr-CA"/>
              </w:rPr>
              <w:t xml:space="preserve">. </w:t>
            </w:r>
          </w:p>
        </w:tc>
      </w:tr>
      <w:tr w:rsidR="00B8348C" w:rsidRPr="00F52884" w14:paraId="7FA204C4"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50C9AF8" w14:textId="77777777" w:rsidR="00B8348C" w:rsidRPr="00F52884" w:rsidRDefault="00B8348C" w:rsidP="000C25A3">
            <w:pPr>
              <w:pStyle w:val="NoSpacing"/>
              <w:spacing w:before="60" w:after="60"/>
              <w:rPr>
                <w:rFonts w:cstheme="minorHAnsi"/>
                <w:caps/>
                <w:sz w:val="23"/>
                <w:szCs w:val="23"/>
              </w:rPr>
            </w:pPr>
            <w:r w:rsidRPr="00F52884">
              <w:rPr>
                <w:rFonts w:cstheme="minorHAnsi"/>
                <w:b/>
                <w:bCs/>
                <w:sz w:val="23"/>
                <w:szCs w:val="23"/>
                <w:lang w:val="fr-CA"/>
              </w:rPr>
              <w:t>Toute mesure existante :</w:t>
            </w:r>
            <w:r w:rsidRPr="00F52884">
              <w:rPr>
                <w:rFonts w:cstheme="minorHAnsi"/>
                <w:caps/>
                <w:sz w:val="23"/>
                <w:szCs w:val="23"/>
                <w:lang w:val="fr-CA"/>
              </w:rPr>
              <w:t xml:space="preserve"> </w:t>
            </w:r>
          </w:p>
        </w:tc>
      </w:tr>
      <w:tr w:rsidR="00B8348C" w:rsidRPr="00F52884" w14:paraId="1159DED4"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059DC9F8" w14:textId="77777777" w:rsidR="00B8348C" w:rsidRPr="00F52884" w:rsidRDefault="00B8348C" w:rsidP="000C25A3">
            <w:pPr>
              <w:pStyle w:val="NoSpacing"/>
              <w:spacing w:before="60" w:after="60"/>
              <w:rPr>
                <w:rFonts w:cstheme="minorHAnsi"/>
                <w:b/>
                <w:sz w:val="23"/>
                <w:szCs w:val="23"/>
              </w:rPr>
            </w:pPr>
          </w:p>
        </w:tc>
      </w:tr>
    </w:tbl>
    <w:p w14:paraId="3FC6132D" w14:textId="77777777" w:rsidR="00B8348C" w:rsidRPr="00F52884" w:rsidRDefault="00B8348C" w:rsidP="000C25A3">
      <w:pPr>
        <w:rPr>
          <w:rFonts w:cstheme="minorHAnsi"/>
          <w:b/>
          <w:szCs w:val="23"/>
        </w:rPr>
      </w:pPr>
    </w:p>
    <w:p w14:paraId="2CDA8CFA" w14:textId="77777777" w:rsidR="00B8348C" w:rsidRPr="00F52884" w:rsidRDefault="00B8348C" w:rsidP="000C25A3">
      <w:pPr>
        <w:tabs>
          <w:tab w:val="center" w:pos="4680"/>
          <w:tab w:val="right" w:pos="9360"/>
        </w:tabs>
        <w:rPr>
          <w:rFonts w:cstheme="minorHAnsi"/>
          <w:b/>
          <w:szCs w:val="23"/>
          <w:u w:val="single"/>
        </w:rPr>
      </w:pPr>
    </w:p>
    <w:p w14:paraId="575F0E50" w14:textId="33A5278B" w:rsidR="00B8348C" w:rsidRPr="00F52884" w:rsidRDefault="00374E96" w:rsidP="004E1EFC">
      <w:pPr>
        <w:keepNext/>
        <w:spacing w:before="60" w:after="60"/>
        <w:ind w:left="-360"/>
        <w:rPr>
          <w:rFonts w:cstheme="minorHAnsi"/>
          <w:b/>
          <w:caps/>
          <w:szCs w:val="23"/>
        </w:rPr>
      </w:pPr>
      <w:r>
        <w:rPr>
          <w:rFonts w:cstheme="minorHAnsi"/>
          <w:b/>
          <w:bCs/>
          <w:caps/>
          <w:szCs w:val="23"/>
          <w:lang w:val="fr-CA"/>
        </w:rPr>
        <w:t>3</w:t>
      </w:r>
      <w:r w:rsidR="00B8348C" w:rsidRPr="00F52884">
        <w:rPr>
          <w:rFonts w:cstheme="minorHAnsi"/>
          <w:b/>
          <w:bCs/>
          <w:caps/>
          <w:szCs w:val="23"/>
          <w:lang w:val="fr-CA"/>
        </w:rPr>
        <w:t xml:space="preserve">. </w:t>
      </w:r>
      <w:r w:rsidR="004E1EFC" w:rsidRPr="00F52884">
        <w:rPr>
          <w:rFonts w:cstheme="minorHAnsi"/>
          <w:b/>
          <w:bCs/>
          <w:caps/>
          <w:szCs w:val="23"/>
          <w:lang w:val="fr-CA"/>
        </w:rPr>
        <w:t xml:space="preserve"> </w:t>
      </w:r>
      <w:r w:rsidR="00B8348C" w:rsidRPr="00F52884">
        <w:rPr>
          <w:rFonts w:cstheme="minorHAnsi"/>
          <w:b/>
          <w:bCs/>
          <w:caps/>
          <w:szCs w:val="23"/>
          <w:lang w:val="fr-CA"/>
        </w:rPr>
        <w:t xml:space="preserve">Alberta </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697D40C7"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74B4F571"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D38DCD8" w14:textId="77777777" w:rsidR="00B8348C" w:rsidRPr="00F52884" w:rsidRDefault="00B8348C" w:rsidP="000C25A3">
            <w:pPr>
              <w:keepNext/>
              <w:spacing w:before="60" w:after="60"/>
              <w:rPr>
                <w:rFonts w:cstheme="minorHAnsi"/>
                <w:szCs w:val="23"/>
              </w:rPr>
            </w:pPr>
            <w:r w:rsidRPr="00F52884">
              <w:rPr>
                <w:rFonts w:cstheme="minorHAnsi"/>
                <w:szCs w:val="23"/>
                <w:lang w:val="fr-CA"/>
              </w:rPr>
              <w:t>Sylviculture</w:t>
            </w:r>
          </w:p>
        </w:tc>
      </w:tr>
      <w:tr w:rsidR="00B8348C" w:rsidRPr="00F52884" w14:paraId="3060B632"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052B0B3B"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5F5A905A" w14:textId="77777777" w:rsidR="00B8348C" w:rsidRPr="00F52884" w:rsidRDefault="00B8348C" w:rsidP="000C25A3">
            <w:pPr>
              <w:keepNext/>
              <w:spacing w:before="60" w:after="60"/>
              <w:rPr>
                <w:rFonts w:cstheme="minorHAnsi"/>
                <w:szCs w:val="23"/>
              </w:rPr>
            </w:pPr>
          </w:p>
        </w:tc>
      </w:tr>
      <w:tr w:rsidR="00B8348C" w:rsidRPr="00F52884" w14:paraId="2A63FEA8"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093A6C6A"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215DE697" w14:textId="77777777" w:rsidR="00B8348C" w:rsidRPr="00F52884" w:rsidRDefault="00B8348C" w:rsidP="000C25A3">
            <w:pPr>
              <w:keepNext/>
              <w:spacing w:before="60" w:after="60"/>
              <w:ind w:left="28" w:hanging="28"/>
              <w:rPr>
                <w:rFonts w:cstheme="minorHAnsi"/>
                <w:szCs w:val="23"/>
              </w:rPr>
            </w:pPr>
            <w:r w:rsidRPr="00F52884">
              <w:rPr>
                <w:rFonts w:cstheme="minorHAnsi"/>
                <w:szCs w:val="23"/>
                <w:lang w:val="fr-CA"/>
              </w:rPr>
              <w:t xml:space="preserve">CPC 031, 91131 </w:t>
            </w:r>
          </w:p>
        </w:tc>
      </w:tr>
      <w:tr w:rsidR="00B8348C" w:rsidRPr="0068240F" w14:paraId="19B07BE9" w14:textId="77777777" w:rsidTr="004E1EFC">
        <w:trPr>
          <w:trHeight w:val="42"/>
          <w:jc w:val="center"/>
        </w:trPr>
        <w:tc>
          <w:tcPr>
            <w:tcW w:w="2514" w:type="dxa"/>
            <w:tcBorders>
              <w:top w:val="single" w:sz="4" w:space="0" w:color="C0C0C0"/>
              <w:left w:val="nil"/>
              <w:bottom w:val="single" w:sz="4" w:space="0" w:color="C0C0C0"/>
            </w:tcBorders>
          </w:tcPr>
          <w:p w14:paraId="592D37AA" w14:textId="15F92BEE" w:rsidR="00B8348C" w:rsidRPr="00F52884" w:rsidRDefault="00B8348C" w:rsidP="000C25A3">
            <w:pPr>
              <w:pStyle w:val="Text"/>
              <w:keepN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36BD5D49" w14:textId="77777777" w:rsidR="00B8348C" w:rsidRPr="00F52884" w:rsidRDefault="00B8348C" w:rsidP="000C25A3">
            <w:pPr>
              <w:pStyle w:val="Text"/>
              <w:keepNext/>
              <w:spacing w:before="60" w:after="60" w:line="240" w:lineRule="auto"/>
              <w:ind w:left="432" w:hanging="432"/>
              <w:rPr>
                <w:rFonts w:asciiTheme="minorHAnsi" w:hAnsiTheme="minorHAnsi" w:cstheme="minorHAnsi"/>
                <w:sz w:val="23"/>
                <w:szCs w:val="23"/>
                <w:lang w:val="fr-FR"/>
              </w:rPr>
            </w:pPr>
            <w:r w:rsidRPr="00F52884">
              <w:rPr>
                <w:rFonts w:asciiTheme="minorHAnsi" w:hAnsiTheme="minorHAnsi" w:cstheme="minorHAnsi"/>
                <w:sz w:val="23"/>
                <w:szCs w:val="23"/>
                <w:lang w:val="fr-CA"/>
              </w:rPr>
              <w:t>Article 301 (Droit d’entrée et de sortie)</w:t>
            </w:r>
          </w:p>
        </w:tc>
      </w:tr>
      <w:tr w:rsidR="00B8348C" w:rsidRPr="00F52884" w14:paraId="47CFB455"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28E4A93" w14:textId="77777777" w:rsidR="00B8348C" w:rsidRPr="00F52884" w:rsidRDefault="00B8348C" w:rsidP="000C25A3">
            <w:pPr>
              <w:pStyle w:val="RequirementsList"/>
              <w:numPr>
                <w:ilvl w:val="0"/>
                <w:numId w:val="0"/>
              </w:numPr>
              <w:spacing w:before="60" w:after="60" w:line="240" w:lineRule="auto"/>
              <w:ind w:left="288" w:hanging="288"/>
              <w:rPr>
                <w:rFonts w:asciiTheme="minorHAnsi" w:hAnsiTheme="minorHAnsi" w:cstheme="minorHAnsi"/>
                <w:sz w:val="23"/>
                <w:szCs w:val="23"/>
              </w:rPr>
            </w:pPr>
            <w:r w:rsidRPr="00F52884">
              <w:rPr>
                <w:rFonts w:asciiTheme="minorHAnsi" w:hAnsiTheme="minorHAnsi" w:cstheme="minorHAnsi"/>
                <w:b/>
                <w:bCs/>
                <w:sz w:val="23"/>
                <w:szCs w:val="23"/>
                <w:lang w:val="fr-CA"/>
              </w:rPr>
              <w:t xml:space="preserve">Description : </w:t>
            </w:r>
          </w:p>
        </w:tc>
      </w:tr>
      <w:tr w:rsidR="00B8348C" w:rsidRPr="0068240F" w14:paraId="439F4E50"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0645ECEF" w14:textId="77777777" w:rsidR="00B8348C" w:rsidRPr="00F52884" w:rsidRDefault="00B8348C" w:rsidP="000C25A3">
            <w:pPr>
              <w:pStyle w:val="NoSpacing"/>
              <w:spacing w:before="60" w:after="60"/>
              <w:rPr>
                <w:rFonts w:cstheme="minorHAnsi"/>
                <w:sz w:val="23"/>
                <w:szCs w:val="23"/>
                <w:lang w:val="fr-FR"/>
              </w:rPr>
            </w:pPr>
            <w:r w:rsidRPr="00F52884">
              <w:rPr>
                <w:rFonts w:cstheme="minorHAnsi"/>
                <w:sz w:val="23"/>
                <w:szCs w:val="23"/>
                <w:lang w:val="fr-CA"/>
              </w:rPr>
              <w:t>Toute mesure adoptée ou maintenue se rapportant à l’exportation de certains produits forestiers de base, notamment les billes, les arbres et les copeaux de bois, à destination à l’extérieur de l’Alberta.</w:t>
            </w:r>
          </w:p>
        </w:tc>
      </w:tr>
      <w:tr w:rsidR="00B8348C" w:rsidRPr="00F52884" w14:paraId="08393BE3"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18C2376" w14:textId="77777777" w:rsidR="00B8348C" w:rsidRPr="00F52884" w:rsidRDefault="00B8348C" w:rsidP="000C25A3">
            <w:pPr>
              <w:pStyle w:val="NoSpacing"/>
              <w:spacing w:before="60" w:after="60"/>
              <w:rPr>
                <w:rFonts w:cstheme="minorHAnsi"/>
                <w:caps/>
                <w:sz w:val="23"/>
                <w:szCs w:val="23"/>
              </w:rPr>
            </w:pPr>
            <w:r w:rsidRPr="00F52884">
              <w:rPr>
                <w:rFonts w:cstheme="minorHAnsi"/>
                <w:b/>
                <w:bCs/>
                <w:sz w:val="23"/>
                <w:szCs w:val="23"/>
                <w:lang w:val="fr-CA"/>
              </w:rPr>
              <w:t>Toute mesure existante :</w:t>
            </w:r>
            <w:r w:rsidRPr="00F52884">
              <w:rPr>
                <w:rFonts w:cstheme="minorHAnsi"/>
                <w:caps/>
                <w:sz w:val="23"/>
                <w:szCs w:val="23"/>
                <w:lang w:val="fr-CA"/>
              </w:rPr>
              <w:t xml:space="preserve"> </w:t>
            </w:r>
          </w:p>
        </w:tc>
      </w:tr>
      <w:tr w:rsidR="00B8348C" w:rsidRPr="00F52884" w14:paraId="27D41A91"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16BB3B06" w14:textId="77777777" w:rsidR="00B8348C" w:rsidRPr="00F52884" w:rsidRDefault="00B8348C" w:rsidP="000C25A3">
            <w:pPr>
              <w:pStyle w:val="NoSpacing"/>
              <w:spacing w:before="60" w:after="60"/>
              <w:rPr>
                <w:rFonts w:cstheme="minorHAnsi"/>
                <w:b/>
                <w:sz w:val="23"/>
                <w:szCs w:val="23"/>
              </w:rPr>
            </w:pPr>
          </w:p>
        </w:tc>
      </w:tr>
    </w:tbl>
    <w:p w14:paraId="0F0BE7CC" w14:textId="77777777" w:rsidR="00B8348C" w:rsidRPr="00F52884" w:rsidRDefault="00B8348C" w:rsidP="000C25A3">
      <w:pPr>
        <w:keepNext/>
        <w:rPr>
          <w:rFonts w:cstheme="minorHAnsi"/>
          <w:szCs w:val="23"/>
        </w:rPr>
      </w:pPr>
    </w:p>
    <w:p w14:paraId="56C83CA6" w14:textId="77777777" w:rsidR="00B8348C" w:rsidRPr="00F52884" w:rsidRDefault="00B8348C" w:rsidP="000C25A3">
      <w:pPr>
        <w:tabs>
          <w:tab w:val="center" w:pos="4680"/>
          <w:tab w:val="right" w:pos="9360"/>
        </w:tabs>
        <w:rPr>
          <w:rFonts w:cstheme="minorHAnsi"/>
          <w:b/>
          <w:szCs w:val="23"/>
          <w:u w:val="single"/>
        </w:rPr>
      </w:pPr>
    </w:p>
    <w:p w14:paraId="5ACB8757" w14:textId="06592FAE" w:rsidR="00B8348C" w:rsidRPr="00F52884" w:rsidRDefault="00374E96" w:rsidP="004E1EFC">
      <w:pPr>
        <w:keepNext/>
        <w:spacing w:before="60" w:after="60"/>
        <w:ind w:left="-360"/>
        <w:rPr>
          <w:rFonts w:cstheme="minorHAnsi"/>
          <w:b/>
          <w:caps/>
          <w:szCs w:val="23"/>
        </w:rPr>
      </w:pPr>
      <w:r>
        <w:rPr>
          <w:rFonts w:cstheme="minorHAnsi"/>
          <w:b/>
          <w:bCs/>
          <w:caps/>
          <w:szCs w:val="23"/>
          <w:lang w:val="fr-CA"/>
        </w:rPr>
        <w:lastRenderedPageBreak/>
        <w:t>4</w:t>
      </w:r>
      <w:r w:rsidR="00B8348C" w:rsidRPr="00F52884">
        <w:rPr>
          <w:rFonts w:cstheme="minorHAnsi"/>
          <w:b/>
          <w:bCs/>
          <w:caps/>
          <w:szCs w:val="23"/>
          <w:lang w:val="fr-CA"/>
        </w:rPr>
        <w:t xml:space="preserve">. </w:t>
      </w:r>
      <w:r w:rsidR="004E1EFC" w:rsidRPr="00F52884">
        <w:rPr>
          <w:rFonts w:cstheme="minorHAnsi"/>
          <w:b/>
          <w:bCs/>
          <w:caps/>
          <w:szCs w:val="23"/>
          <w:lang w:val="fr-CA"/>
        </w:rPr>
        <w:t xml:space="preserve"> </w:t>
      </w:r>
      <w:r w:rsidR="00B8348C" w:rsidRPr="00F52884">
        <w:rPr>
          <w:rFonts w:cstheme="minorHAnsi"/>
          <w:b/>
          <w:bCs/>
          <w:caps/>
          <w:szCs w:val="23"/>
          <w:lang w:val="fr-CA"/>
        </w:rPr>
        <w:t xml:space="preserve">Alberta </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68240F" w14:paraId="1E37C592"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4D14090B"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14ABCF2E" w14:textId="77777777" w:rsidR="00B8348C" w:rsidRPr="00F52884" w:rsidRDefault="00B8348C" w:rsidP="000C25A3">
            <w:pPr>
              <w:keepNext/>
              <w:spacing w:before="60" w:after="60"/>
              <w:rPr>
                <w:rFonts w:cstheme="minorHAnsi"/>
                <w:szCs w:val="23"/>
                <w:lang w:val="fr-FR"/>
              </w:rPr>
            </w:pPr>
            <w:r w:rsidRPr="00F52884">
              <w:rPr>
                <w:rFonts w:cstheme="minorHAnsi"/>
                <w:szCs w:val="23"/>
                <w:lang w:val="fr-CA"/>
              </w:rPr>
              <w:t>Minerais et minéraux; électricité, gaz et eau</w:t>
            </w:r>
          </w:p>
        </w:tc>
      </w:tr>
      <w:tr w:rsidR="00B8348C" w:rsidRPr="00F52884" w14:paraId="45363455"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5CA32BCF"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7AD47FC2" w14:textId="77777777" w:rsidR="00B8348C" w:rsidRPr="00F52884" w:rsidRDefault="00B8348C" w:rsidP="000C25A3">
            <w:pPr>
              <w:keepNext/>
              <w:spacing w:before="60" w:after="60"/>
              <w:rPr>
                <w:rFonts w:cstheme="minorHAnsi"/>
                <w:szCs w:val="23"/>
              </w:rPr>
            </w:pPr>
            <w:r w:rsidRPr="00F52884">
              <w:rPr>
                <w:rFonts w:cstheme="minorHAnsi"/>
                <w:szCs w:val="23"/>
                <w:lang w:val="fr-CA"/>
              </w:rPr>
              <w:t>Tous les sous-secteurs</w:t>
            </w:r>
          </w:p>
        </w:tc>
      </w:tr>
      <w:tr w:rsidR="00B8348C" w:rsidRPr="00F52884" w14:paraId="237EFE3E"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4B826849"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64E79654" w14:textId="77777777" w:rsidR="00B8348C" w:rsidRPr="00F52884" w:rsidRDefault="00B8348C" w:rsidP="000C25A3">
            <w:pPr>
              <w:keepNext/>
              <w:spacing w:before="60" w:after="60"/>
              <w:ind w:left="28" w:hanging="28"/>
              <w:rPr>
                <w:rFonts w:cstheme="minorHAnsi"/>
                <w:szCs w:val="23"/>
              </w:rPr>
            </w:pPr>
            <w:r w:rsidRPr="00F52884">
              <w:rPr>
                <w:rFonts w:cstheme="minorHAnsi"/>
                <w:szCs w:val="23"/>
                <w:lang w:val="fr-CA"/>
              </w:rPr>
              <w:t>CPC 11 à 16, 8675, 883, 91132, 91133</w:t>
            </w:r>
          </w:p>
        </w:tc>
      </w:tr>
      <w:tr w:rsidR="00B8348C" w:rsidRPr="0068240F" w14:paraId="2612665E" w14:textId="77777777" w:rsidTr="004E1EFC">
        <w:trPr>
          <w:trHeight w:val="42"/>
          <w:jc w:val="center"/>
        </w:trPr>
        <w:tc>
          <w:tcPr>
            <w:tcW w:w="2514" w:type="dxa"/>
            <w:tcBorders>
              <w:top w:val="single" w:sz="4" w:space="0" w:color="C0C0C0"/>
              <w:left w:val="nil"/>
              <w:bottom w:val="single" w:sz="4" w:space="0" w:color="C0C0C0"/>
            </w:tcBorders>
          </w:tcPr>
          <w:p w14:paraId="59EC4F50" w14:textId="13170688" w:rsidR="00B8348C" w:rsidRPr="00F52884" w:rsidRDefault="00B8348C" w:rsidP="000C25A3">
            <w:pPr>
              <w:spacing w:before="60" w:after="60"/>
              <w:ind w:left="432" w:hanging="432"/>
              <w:rPr>
                <w:rFonts w:cstheme="minorHAnsi"/>
                <w:szCs w:val="23"/>
              </w:rPr>
            </w:pPr>
            <w:r w:rsidRPr="00F52884">
              <w:rPr>
                <w:rFonts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59AB9224" w14:textId="77777777" w:rsidR="00B8348C" w:rsidRPr="00F52884" w:rsidRDefault="00B8348C" w:rsidP="000C25A3">
            <w:pPr>
              <w:spacing w:before="60" w:after="60"/>
              <w:ind w:left="432" w:hanging="432"/>
              <w:rPr>
                <w:rFonts w:cstheme="minorHAnsi"/>
                <w:szCs w:val="23"/>
                <w:lang w:val="fr-FR"/>
              </w:rPr>
            </w:pPr>
            <w:r w:rsidRPr="00F52884">
              <w:rPr>
                <w:rFonts w:cstheme="minorHAnsi"/>
                <w:szCs w:val="23"/>
                <w:lang w:val="fr-CA"/>
              </w:rPr>
              <w:t>Article 307 (Accès aux marchés – Services), article 312 (Accès aux marchés – Investissement)</w:t>
            </w:r>
          </w:p>
        </w:tc>
      </w:tr>
      <w:tr w:rsidR="00B8348C" w:rsidRPr="00F52884" w14:paraId="0272DB6C"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AEDDE38" w14:textId="77777777" w:rsidR="00B8348C" w:rsidRPr="00F52884" w:rsidRDefault="00B8348C" w:rsidP="000C25A3">
            <w:pPr>
              <w:spacing w:before="60" w:after="60"/>
              <w:ind w:left="288" w:hanging="288"/>
              <w:rPr>
                <w:rFonts w:cstheme="minorHAnsi"/>
                <w:szCs w:val="23"/>
              </w:rPr>
            </w:pPr>
            <w:r w:rsidRPr="00F52884">
              <w:rPr>
                <w:rFonts w:cstheme="minorHAnsi"/>
                <w:b/>
                <w:bCs/>
                <w:szCs w:val="23"/>
                <w:lang w:val="fr-CA"/>
              </w:rPr>
              <w:t xml:space="preserve">Description : </w:t>
            </w:r>
          </w:p>
        </w:tc>
      </w:tr>
      <w:tr w:rsidR="00B8348C" w:rsidRPr="0068240F" w14:paraId="22283FB6"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0B585FE1" w14:textId="77777777" w:rsidR="00B8348C" w:rsidRPr="00F52884" w:rsidRDefault="00B8348C" w:rsidP="004E1EFC">
            <w:pPr>
              <w:spacing w:before="120" w:after="120"/>
              <w:rPr>
                <w:rFonts w:cstheme="minorHAnsi"/>
                <w:szCs w:val="23"/>
                <w:lang w:val="fr-FR"/>
              </w:rPr>
            </w:pPr>
            <w:r w:rsidRPr="00F52884">
              <w:rPr>
                <w:rFonts w:cstheme="minorHAnsi"/>
                <w:szCs w:val="23"/>
                <w:lang w:val="fr-CA"/>
              </w:rPr>
              <w:t>Toute mesure adoptée ou maintenue se rapportant :</w:t>
            </w:r>
          </w:p>
          <w:p w14:paraId="58630392" w14:textId="55E34751" w:rsidR="00B8348C" w:rsidRPr="00F52884" w:rsidRDefault="00B8348C" w:rsidP="004E1EFC">
            <w:pPr>
              <w:spacing w:before="120" w:after="120"/>
              <w:ind w:left="906" w:hanging="540"/>
              <w:rPr>
                <w:rFonts w:cstheme="minorHAnsi"/>
                <w:szCs w:val="23"/>
                <w:lang w:val="fr-FR"/>
              </w:rPr>
            </w:pPr>
            <w:r w:rsidRPr="00F52884">
              <w:rPr>
                <w:rFonts w:cstheme="minorHAnsi"/>
                <w:szCs w:val="23"/>
                <w:lang w:val="fr-CA"/>
              </w:rPr>
              <w:t xml:space="preserve">a) </w:t>
            </w:r>
            <w:r w:rsidRPr="00F52884">
              <w:rPr>
                <w:rFonts w:cstheme="minorHAnsi"/>
                <w:szCs w:val="23"/>
                <w:lang w:val="fr-CA"/>
              </w:rPr>
              <w:tab/>
              <w:t>à la délivrance de permis ou de licences, à la certification, à l’enregistrement, à l’octroi de baux ou à d’autres formes d’aliénation de droits aux ressources énergétiques ou minérales;</w:t>
            </w:r>
          </w:p>
          <w:p w14:paraId="698CD7C9" w14:textId="6DD04F97" w:rsidR="00B8348C" w:rsidRPr="00F52884" w:rsidRDefault="00B8348C" w:rsidP="004E1EFC">
            <w:pPr>
              <w:spacing w:before="120" w:after="120"/>
              <w:ind w:left="906" w:hanging="540"/>
              <w:rPr>
                <w:rFonts w:cstheme="minorHAnsi"/>
                <w:szCs w:val="23"/>
                <w:lang w:val="fr-FR"/>
              </w:rPr>
            </w:pPr>
            <w:r w:rsidRPr="00F52884">
              <w:rPr>
                <w:rFonts w:cstheme="minorHAnsi"/>
                <w:szCs w:val="23"/>
                <w:lang w:val="fr-CA"/>
              </w:rPr>
              <w:t xml:space="preserve">b) </w:t>
            </w:r>
            <w:r w:rsidRPr="00F52884">
              <w:rPr>
                <w:rFonts w:cstheme="minorHAnsi"/>
                <w:szCs w:val="23"/>
                <w:lang w:val="fr-CA"/>
              </w:rPr>
              <w:tab/>
              <w:t>à l’exploration et à la mise en valeur des ressources énergétiques ou minérales;</w:t>
            </w:r>
          </w:p>
          <w:p w14:paraId="5B3F302E" w14:textId="04A33BE0" w:rsidR="00B8348C" w:rsidRPr="00F52884" w:rsidRDefault="00B8348C" w:rsidP="004E1EFC">
            <w:pPr>
              <w:spacing w:before="120" w:after="120"/>
              <w:ind w:left="906" w:hanging="540"/>
              <w:rPr>
                <w:rFonts w:cstheme="minorHAnsi"/>
                <w:szCs w:val="23"/>
                <w:lang w:val="fr-FR"/>
              </w:rPr>
            </w:pPr>
            <w:r w:rsidRPr="00F52884">
              <w:rPr>
                <w:rFonts w:cstheme="minorHAnsi"/>
                <w:szCs w:val="23"/>
                <w:lang w:val="fr-CA"/>
              </w:rPr>
              <w:t xml:space="preserve">c) </w:t>
            </w:r>
            <w:r w:rsidRPr="00F52884">
              <w:rPr>
                <w:rFonts w:cstheme="minorHAnsi"/>
                <w:szCs w:val="23"/>
                <w:lang w:val="fr-CA"/>
              </w:rPr>
              <w:tab/>
              <w:t>à la gestion et à la conservation des ressources énergétiques ou minérales.</w:t>
            </w:r>
          </w:p>
        </w:tc>
      </w:tr>
      <w:tr w:rsidR="00B8348C" w:rsidRPr="00F52884" w14:paraId="72EEEB8A"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D20EB47" w14:textId="77777777" w:rsidR="00B8348C" w:rsidRPr="00F52884" w:rsidRDefault="00B8348C" w:rsidP="000C25A3">
            <w:pPr>
              <w:spacing w:before="60" w:after="60"/>
              <w:rPr>
                <w:rFonts w:cstheme="minorHAnsi"/>
                <w:caps/>
                <w:szCs w:val="23"/>
              </w:rPr>
            </w:pPr>
            <w:r w:rsidRPr="00F52884">
              <w:rPr>
                <w:rFonts w:cstheme="minorHAnsi"/>
                <w:b/>
                <w:bCs/>
                <w:szCs w:val="23"/>
                <w:lang w:val="fr-CA"/>
              </w:rPr>
              <w:t>Toute mesure existante :</w:t>
            </w:r>
            <w:r w:rsidRPr="00F52884">
              <w:rPr>
                <w:rFonts w:cstheme="minorHAnsi"/>
                <w:caps/>
                <w:szCs w:val="23"/>
                <w:lang w:val="fr-CA"/>
              </w:rPr>
              <w:t xml:space="preserve"> </w:t>
            </w:r>
          </w:p>
        </w:tc>
      </w:tr>
      <w:tr w:rsidR="00B8348C" w:rsidRPr="00F52884" w14:paraId="6BE37220"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52CF0AF0" w14:textId="77777777" w:rsidR="00B8348C" w:rsidRPr="00F52884" w:rsidRDefault="00B8348C" w:rsidP="000C25A3">
            <w:pPr>
              <w:spacing w:before="60" w:after="60"/>
              <w:rPr>
                <w:rFonts w:cstheme="minorHAnsi"/>
                <w:b/>
                <w:szCs w:val="23"/>
              </w:rPr>
            </w:pPr>
          </w:p>
        </w:tc>
      </w:tr>
    </w:tbl>
    <w:p w14:paraId="52A2C00C" w14:textId="77777777" w:rsidR="00B8348C" w:rsidRPr="00F52884" w:rsidRDefault="00B8348C" w:rsidP="000C25A3">
      <w:pPr>
        <w:keepNext/>
        <w:spacing w:before="60" w:after="60"/>
        <w:ind w:left="-270"/>
        <w:contextualSpacing/>
        <w:rPr>
          <w:rFonts w:cstheme="minorHAnsi"/>
          <w:b/>
          <w:caps/>
          <w:szCs w:val="23"/>
        </w:rPr>
      </w:pPr>
    </w:p>
    <w:p w14:paraId="5DCBB8CE" w14:textId="77777777" w:rsidR="00B8348C" w:rsidRPr="00F52884" w:rsidRDefault="00B8348C" w:rsidP="000C25A3">
      <w:pPr>
        <w:tabs>
          <w:tab w:val="center" w:pos="4680"/>
          <w:tab w:val="right" w:pos="9360"/>
        </w:tabs>
        <w:rPr>
          <w:rFonts w:cstheme="minorHAnsi"/>
          <w:b/>
          <w:szCs w:val="23"/>
          <w:u w:val="single"/>
          <w:lang w:val="fr-FR"/>
        </w:rPr>
      </w:pPr>
    </w:p>
    <w:p w14:paraId="6B7D9F6F" w14:textId="77777777" w:rsidR="00B8348C" w:rsidRPr="00F52884" w:rsidRDefault="00B8348C" w:rsidP="000C25A3">
      <w:pPr>
        <w:tabs>
          <w:tab w:val="center" w:pos="4680"/>
          <w:tab w:val="right" w:pos="9360"/>
        </w:tabs>
        <w:rPr>
          <w:rFonts w:cstheme="minorHAnsi"/>
          <w:b/>
          <w:szCs w:val="23"/>
          <w:u w:val="single"/>
          <w:lang w:val="fr-FR"/>
        </w:rPr>
      </w:pPr>
    </w:p>
    <w:p w14:paraId="4D5A550B" w14:textId="20652F13" w:rsidR="00B8348C" w:rsidRPr="00F52884" w:rsidRDefault="00374E96" w:rsidP="004E1EFC">
      <w:pPr>
        <w:pStyle w:val="ListParagraph"/>
        <w:keepNext/>
        <w:spacing w:before="60" w:after="60"/>
        <w:ind w:left="-360"/>
        <w:rPr>
          <w:rFonts w:cstheme="minorHAnsi"/>
          <w:b/>
          <w:caps/>
          <w:szCs w:val="23"/>
        </w:rPr>
      </w:pPr>
      <w:r>
        <w:rPr>
          <w:rFonts w:cstheme="minorHAnsi"/>
          <w:b/>
          <w:bCs/>
          <w:caps/>
          <w:szCs w:val="23"/>
          <w:lang w:val="fr-CA"/>
        </w:rPr>
        <w:t>5</w:t>
      </w:r>
      <w:r w:rsidR="00B8348C" w:rsidRPr="00F52884">
        <w:rPr>
          <w:rFonts w:cstheme="minorHAnsi"/>
          <w:b/>
          <w:bCs/>
          <w:caps/>
          <w:szCs w:val="23"/>
          <w:lang w:val="fr-CA"/>
        </w:rPr>
        <w:t xml:space="preserve">. </w:t>
      </w:r>
      <w:r w:rsidR="004E1EFC" w:rsidRPr="00F52884">
        <w:rPr>
          <w:rFonts w:cstheme="minorHAnsi"/>
          <w:b/>
          <w:bCs/>
          <w:caps/>
          <w:szCs w:val="23"/>
          <w:lang w:val="fr-CA"/>
        </w:rPr>
        <w:t xml:space="preserve"> </w:t>
      </w:r>
      <w:r w:rsidR="00B8348C" w:rsidRPr="00F52884">
        <w:rPr>
          <w:rFonts w:cstheme="minorHAnsi"/>
          <w:b/>
          <w:bCs/>
          <w:caps/>
          <w:szCs w:val="23"/>
          <w:lang w:val="fr-CA"/>
        </w:rPr>
        <w:t xml:space="preserve">Alberta </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13392C86"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1D7D5A3E"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6CFBCECB" w14:textId="77777777" w:rsidR="00B8348C" w:rsidRPr="00F52884" w:rsidRDefault="00B8348C" w:rsidP="000C25A3">
            <w:pPr>
              <w:keepNext/>
              <w:spacing w:before="60" w:after="60"/>
              <w:rPr>
                <w:rFonts w:cstheme="minorHAnsi"/>
                <w:szCs w:val="23"/>
              </w:rPr>
            </w:pPr>
            <w:r w:rsidRPr="00F52884">
              <w:rPr>
                <w:rFonts w:cstheme="minorHAnsi"/>
                <w:szCs w:val="23"/>
                <w:lang w:val="fr-CA"/>
              </w:rPr>
              <w:t>Environnement</w:t>
            </w:r>
          </w:p>
        </w:tc>
      </w:tr>
      <w:tr w:rsidR="00B8348C" w:rsidRPr="00F52884" w14:paraId="701F2D3E"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136DBE04"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741F4ECE" w14:textId="77777777" w:rsidR="00B8348C" w:rsidRPr="00F52884" w:rsidRDefault="00B8348C" w:rsidP="000C25A3">
            <w:pPr>
              <w:keepNext/>
              <w:spacing w:before="60" w:after="60"/>
              <w:rPr>
                <w:rFonts w:cstheme="minorHAnsi"/>
                <w:szCs w:val="23"/>
              </w:rPr>
            </w:pPr>
            <w:r w:rsidRPr="00F52884">
              <w:rPr>
                <w:rFonts w:cstheme="minorHAnsi"/>
                <w:szCs w:val="23"/>
                <w:lang w:val="fr-CA"/>
              </w:rPr>
              <w:t>Matières dangereuses</w:t>
            </w:r>
          </w:p>
        </w:tc>
      </w:tr>
      <w:tr w:rsidR="00B8348C" w:rsidRPr="00F52884" w14:paraId="2EBFC98C"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77179FD4" w14:textId="77777777" w:rsidR="00B8348C" w:rsidRPr="00F52884" w:rsidRDefault="00B8348C" w:rsidP="000C25A3">
            <w:pPr>
              <w:keepNext/>
              <w:spacing w:before="60" w:after="6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605B6F0A" w14:textId="77777777" w:rsidR="00B8348C" w:rsidRPr="00F52884" w:rsidRDefault="00B8348C" w:rsidP="000C25A3">
            <w:pPr>
              <w:keepNext/>
              <w:spacing w:before="60" w:after="60"/>
              <w:ind w:left="28" w:hanging="28"/>
              <w:rPr>
                <w:rFonts w:cstheme="minorHAnsi"/>
                <w:szCs w:val="23"/>
              </w:rPr>
            </w:pPr>
          </w:p>
        </w:tc>
      </w:tr>
      <w:tr w:rsidR="00B8348C" w:rsidRPr="0068240F" w14:paraId="520EB0A3" w14:textId="77777777" w:rsidTr="004E1EFC">
        <w:trPr>
          <w:trHeight w:val="42"/>
          <w:jc w:val="center"/>
        </w:trPr>
        <w:tc>
          <w:tcPr>
            <w:tcW w:w="2514" w:type="dxa"/>
            <w:tcBorders>
              <w:top w:val="single" w:sz="4" w:space="0" w:color="C0C0C0"/>
              <w:left w:val="nil"/>
              <w:bottom w:val="single" w:sz="4" w:space="0" w:color="C0C0C0"/>
            </w:tcBorders>
          </w:tcPr>
          <w:p w14:paraId="0EA3BD74" w14:textId="0F60F694" w:rsidR="00B8348C" w:rsidRPr="00F52884" w:rsidRDefault="00B8348C" w:rsidP="000C25A3">
            <w:pPr>
              <w:keepNext/>
              <w:spacing w:before="60" w:after="60"/>
              <w:ind w:left="432" w:hanging="432"/>
              <w:rPr>
                <w:rFonts w:cstheme="minorHAnsi"/>
                <w:szCs w:val="23"/>
              </w:rPr>
            </w:pPr>
            <w:r w:rsidRPr="00F52884">
              <w:rPr>
                <w:rFonts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3AA7CA75" w14:textId="77777777" w:rsidR="00B8348C" w:rsidRPr="00F52884" w:rsidRDefault="00B8348C" w:rsidP="000C25A3">
            <w:pPr>
              <w:keepNext/>
              <w:spacing w:before="60" w:after="60"/>
              <w:ind w:left="6"/>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15B2E4BA"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89B37A8" w14:textId="77777777" w:rsidR="00B8348C" w:rsidRPr="00F52884" w:rsidRDefault="00B8348C" w:rsidP="000C25A3">
            <w:pPr>
              <w:keepNext/>
              <w:spacing w:before="60" w:after="60"/>
              <w:ind w:left="288" w:hanging="288"/>
              <w:rPr>
                <w:rFonts w:cstheme="minorHAnsi"/>
                <w:szCs w:val="23"/>
              </w:rPr>
            </w:pPr>
            <w:r w:rsidRPr="00F52884">
              <w:rPr>
                <w:rFonts w:cstheme="minorHAnsi"/>
                <w:b/>
                <w:bCs/>
                <w:szCs w:val="23"/>
                <w:lang w:val="fr-CA"/>
              </w:rPr>
              <w:t xml:space="preserve">Description : </w:t>
            </w:r>
          </w:p>
        </w:tc>
      </w:tr>
      <w:tr w:rsidR="00B8348C" w:rsidRPr="0068240F" w14:paraId="3724C07F"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0AFD6BFF" w14:textId="77777777" w:rsidR="00B8348C" w:rsidRPr="00F52884" w:rsidRDefault="00B8348C" w:rsidP="000C25A3">
            <w:pPr>
              <w:keepNext/>
              <w:spacing w:before="60" w:after="60"/>
              <w:ind w:right="720"/>
              <w:rPr>
                <w:rFonts w:eastAsia="Calibri" w:cstheme="minorHAnsi"/>
                <w:szCs w:val="23"/>
                <w:lang w:val="fr-FR"/>
              </w:rPr>
            </w:pPr>
            <w:r w:rsidRPr="00F52884">
              <w:rPr>
                <w:rFonts w:eastAsia="Calibri" w:cstheme="minorHAnsi"/>
                <w:szCs w:val="23"/>
                <w:lang w:val="fr-CA"/>
              </w:rPr>
              <w:t>Toute mesure adoptée ou maintenue se rapportant à la gestion et à l’élimination des matières dangereuses.</w:t>
            </w:r>
          </w:p>
        </w:tc>
      </w:tr>
      <w:tr w:rsidR="00B8348C" w:rsidRPr="00F52884" w14:paraId="5E324C37"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17F99E15" w14:textId="77777777" w:rsidR="00B8348C" w:rsidRPr="00F52884" w:rsidRDefault="00B8348C" w:rsidP="000C25A3">
            <w:pPr>
              <w:keepNext/>
              <w:spacing w:before="60" w:after="60"/>
              <w:rPr>
                <w:rFonts w:cstheme="minorHAnsi"/>
                <w:caps/>
                <w:szCs w:val="23"/>
              </w:rPr>
            </w:pPr>
            <w:r w:rsidRPr="00F52884">
              <w:rPr>
                <w:rFonts w:cstheme="minorHAnsi"/>
                <w:b/>
                <w:bCs/>
                <w:szCs w:val="23"/>
                <w:lang w:val="fr-CA"/>
              </w:rPr>
              <w:t>Toute mesure existante :</w:t>
            </w:r>
            <w:r w:rsidRPr="00F52884">
              <w:rPr>
                <w:rFonts w:cstheme="minorHAnsi"/>
                <w:caps/>
                <w:szCs w:val="23"/>
                <w:lang w:val="fr-CA"/>
              </w:rPr>
              <w:t xml:space="preserve"> </w:t>
            </w:r>
          </w:p>
        </w:tc>
      </w:tr>
      <w:tr w:rsidR="00B8348C" w:rsidRPr="00F52884" w14:paraId="62266AF0"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4AA2C9D9" w14:textId="77777777" w:rsidR="00B8348C" w:rsidRPr="00F52884" w:rsidRDefault="00B8348C" w:rsidP="000C25A3">
            <w:pPr>
              <w:keepNext/>
              <w:spacing w:before="60" w:after="60"/>
              <w:rPr>
                <w:rFonts w:cstheme="minorHAnsi"/>
                <w:b/>
                <w:szCs w:val="23"/>
              </w:rPr>
            </w:pPr>
          </w:p>
        </w:tc>
      </w:tr>
    </w:tbl>
    <w:p w14:paraId="7DFDFC41" w14:textId="77777777" w:rsidR="00B8348C" w:rsidRPr="00F52884" w:rsidRDefault="00B8348C" w:rsidP="00F856A2">
      <w:pPr>
        <w:contextualSpacing/>
        <w:jc w:val="center"/>
        <w:outlineLvl w:val="2"/>
        <w:rPr>
          <w:rFonts w:eastAsia="Times New Roman" w:cstheme="minorHAnsi"/>
          <w:b/>
          <w:szCs w:val="23"/>
        </w:rPr>
      </w:pPr>
    </w:p>
    <w:p w14:paraId="3D1BF903" w14:textId="77777777" w:rsidR="006A7ED5" w:rsidRDefault="006A7ED5">
      <w:pPr>
        <w:rPr>
          <w:rFonts w:eastAsia="Times New Roman" w:cstheme="minorHAnsi"/>
          <w:b/>
          <w:bCs/>
          <w:szCs w:val="23"/>
          <w:lang w:val="fr-CA"/>
        </w:rPr>
      </w:pPr>
    </w:p>
    <w:p w14:paraId="6F061B5E" w14:textId="77777777" w:rsidR="006A7ED5" w:rsidRP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6A7ED5">
        <w:rPr>
          <w:rFonts w:ascii="Arial" w:eastAsia="Times New Roman" w:hAnsi="Arial" w:cs="Arial"/>
          <w:b/>
          <w:bCs/>
          <w:caps/>
          <w:szCs w:val="23"/>
          <w:lang w:val="fr-CA"/>
        </w:rPr>
        <w:t xml:space="preserve">6. </w:t>
      </w:r>
      <w:r w:rsidRPr="006A7ED5">
        <w:rPr>
          <w:rFonts w:ascii="Arial" w:eastAsia="Times New Roman" w:hAnsi="Arial" w:cs="Arial"/>
          <w:b/>
          <w:bCs/>
          <w:szCs w:val="23"/>
          <w:lang w:val="fr-CA"/>
        </w:rPr>
        <w:t>ALBERTA</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6A7ED5" w:rsidRPr="006A7ED5" w14:paraId="7424FBCB"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5854DB89"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r w:rsidRPr="006A7ED5">
              <w:rPr>
                <w:rFonts w:ascii="Arial" w:eastAsia="Calibri" w:hAnsi="Arial" w:cs="Arial"/>
                <w:b/>
                <w:szCs w:val="24"/>
                <w:lang w:eastAsia="en-CA" w:bidi="en-US"/>
              </w:rPr>
              <w:t xml:space="preserve"> </w:t>
            </w:r>
          </w:p>
          <w:p w14:paraId="4A76F04F" w14:textId="77777777" w:rsidR="006A7ED5" w:rsidRPr="006A7ED5" w:rsidRDefault="006A7ED5" w:rsidP="006A7ED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4FEDE2DC" w14:textId="77777777" w:rsidR="006A7ED5" w:rsidRPr="006A7ED5" w:rsidRDefault="006A7ED5" w:rsidP="006A7ED5">
            <w:pPr>
              <w:spacing w:before="60" w:after="60" w:line="42" w:lineRule="atLeast"/>
              <w:rPr>
                <w:rFonts w:ascii="Arial" w:eastAsia="Calibri" w:hAnsi="Arial" w:cs="Arial"/>
                <w:bCs/>
                <w:szCs w:val="24"/>
                <w:lang w:eastAsia="en-CA" w:bidi="en-US"/>
              </w:rPr>
            </w:pPr>
            <w:r w:rsidRPr="006A7ED5">
              <w:rPr>
                <w:rFonts w:ascii="Arial" w:eastAsia="Calibri" w:hAnsi="Arial" w:cs="Arial"/>
                <w:bCs/>
                <w:szCs w:val="24"/>
                <w:lang w:eastAsia="en-CA" w:bidi="en-US"/>
              </w:rPr>
              <w:t>Cannabis</w:t>
            </w:r>
          </w:p>
        </w:tc>
      </w:tr>
      <w:tr w:rsidR="006A7ED5" w:rsidRPr="0068240F" w14:paraId="2A9A39CD"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49DC8DD6"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lastRenderedPageBreak/>
              <w:t>Sous-</w:t>
            </w: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2D3A2495" w14:textId="77777777" w:rsidR="006A7ED5" w:rsidRPr="006A7ED5" w:rsidRDefault="006A7ED5" w:rsidP="006A7ED5">
            <w:pPr>
              <w:rPr>
                <w:rFonts w:ascii="Arial" w:eastAsia="Calibri" w:hAnsi="Arial" w:cs="Arial"/>
                <w:bCs/>
                <w:szCs w:val="24"/>
                <w:lang w:val="fr-CA" w:eastAsia="en-CA" w:bidi="en-US"/>
              </w:rPr>
            </w:pPr>
            <w:r w:rsidRPr="006A7ED5">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6A7ED5" w:rsidRPr="006A7ED5" w14:paraId="21533EF3"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79A846DC"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 xml:space="preserve">Classification de </w:t>
            </w:r>
            <w:proofErr w:type="spellStart"/>
            <w:proofErr w:type="gramStart"/>
            <w:r w:rsidRPr="006A7ED5">
              <w:rPr>
                <w:rFonts w:ascii="Arial" w:eastAsia="Calibri" w:hAnsi="Arial" w:cs="Arial"/>
                <w:b/>
                <w:szCs w:val="24"/>
                <w:lang w:eastAsia="en-CA" w:bidi="en-US"/>
              </w:rPr>
              <w:t>l’industrie</w:t>
            </w:r>
            <w:proofErr w:type="spellEnd"/>
            <w:r w:rsidRPr="006A7ED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47B35A83"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46A41F58"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 </w:t>
            </w:r>
          </w:p>
        </w:tc>
      </w:tr>
      <w:tr w:rsidR="006A7ED5" w:rsidRPr="0068240F" w14:paraId="7861A96D"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11A2AACD" w14:textId="77777777" w:rsidR="006A7ED5" w:rsidRPr="006A7ED5" w:rsidRDefault="006A7ED5" w:rsidP="006A7ED5">
            <w:pPr>
              <w:spacing w:before="60" w:after="60"/>
              <w:rPr>
                <w:rFonts w:ascii="Arial" w:eastAsia="Calibri" w:hAnsi="Arial" w:cs="Arial"/>
                <w:b/>
                <w:szCs w:val="24"/>
                <w:lang w:eastAsia="en-CA"/>
              </w:rPr>
            </w:pPr>
            <w:r w:rsidRPr="006A7ED5">
              <w:rPr>
                <w:rFonts w:ascii="Arial" w:eastAsia="Calibri" w:hAnsi="Arial" w:cs="Arial"/>
                <w:b/>
                <w:szCs w:val="24"/>
                <w:lang w:eastAsia="en-CA" w:bidi="en-US"/>
              </w:rPr>
              <w:t>Type</w:t>
            </w:r>
          </w:p>
          <w:p w14:paraId="287F28A1" w14:textId="77777777" w:rsidR="006A7ED5" w:rsidRPr="006A7ED5" w:rsidRDefault="006A7ED5" w:rsidP="006A7ED5">
            <w:pPr>
              <w:spacing w:before="60" w:after="60"/>
              <w:rPr>
                <w:rFonts w:ascii="Arial" w:eastAsia="Calibri" w:hAnsi="Arial" w:cs="Arial"/>
                <w:b/>
                <w:szCs w:val="24"/>
                <w:lang w:eastAsia="en-CA"/>
              </w:rPr>
            </w:pPr>
            <w:proofErr w:type="spellStart"/>
            <w:proofErr w:type="gramStart"/>
            <w:r w:rsidRPr="006A7ED5">
              <w:rPr>
                <w:rFonts w:ascii="Arial" w:eastAsia="Calibri" w:hAnsi="Arial" w:cs="Arial"/>
                <w:b/>
                <w:szCs w:val="24"/>
                <w:lang w:eastAsia="en-CA" w:bidi="en-US"/>
              </w:rPr>
              <w:t>d’exception</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31467E22"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Article 307 (Accès aux marchés – Services), article 312 (Accès aux marchés – Investissement)</w:t>
            </w:r>
          </w:p>
        </w:tc>
      </w:tr>
      <w:tr w:rsidR="006A7ED5" w:rsidRPr="006A7ED5" w14:paraId="04E9DBF7"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55ADBAF3" w14:textId="77777777" w:rsidR="006A7ED5" w:rsidRPr="006A7ED5" w:rsidRDefault="006A7ED5" w:rsidP="006A7ED5">
            <w:pPr>
              <w:spacing w:before="60" w:after="60"/>
              <w:rPr>
                <w:rFonts w:ascii="Arial" w:eastAsia="Calibri" w:hAnsi="Arial" w:cs="Arial"/>
                <w:b/>
                <w:szCs w:val="24"/>
                <w:lang w:eastAsia="en-CA" w:bidi="en-US"/>
              </w:rPr>
            </w:pPr>
            <w:proofErr w:type="gramStart"/>
            <w:r w:rsidRPr="006A7ED5">
              <w:rPr>
                <w:rFonts w:ascii="Arial" w:eastAsia="Calibri" w:hAnsi="Arial" w:cs="Arial"/>
                <w:b/>
                <w:szCs w:val="24"/>
                <w:lang w:eastAsia="en-CA" w:bidi="en-US"/>
              </w:rPr>
              <w:t>Description :</w:t>
            </w:r>
            <w:proofErr w:type="gramEnd"/>
            <w:r w:rsidRPr="006A7ED5">
              <w:rPr>
                <w:rFonts w:ascii="Arial" w:eastAsia="Calibri" w:hAnsi="Arial" w:cs="Arial"/>
                <w:b/>
                <w:szCs w:val="24"/>
                <w:lang w:eastAsia="en-CA" w:bidi="en-US"/>
              </w:rPr>
              <w:t xml:space="preserve"> </w:t>
            </w:r>
          </w:p>
        </w:tc>
      </w:tr>
      <w:tr w:rsidR="006A7ED5" w:rsidRPr="0068240F" w14:paraId="6023CDF8"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AA8447C" w14:textId="77777777" w:rsidR="006A7ED5" w:rsidRPr="006A7ED5" w:rsidRDefault="006A7ED5" w:rsidP="006A7ED5">
            <w:pPr>
              <w:spacing w:before="60" w:after="60"/>
              <w:rPr>
                <w:rFonts w:ascii="Arial" w:eastAsia="Calibri" w:hAnsi="Arial" w:cs="Arial"/>
                <w:bCs/>
                <w:szCs w:val="23"/>
                <w:lang w:val="fr-CA" w:eastAsia="en-CA" w:bidi="en-US"/>
              </w:rPr>
            </w:pPr>
            <w:r w:rsidRPr="006A7ED5">
              <w:rPr>
                <w:rFonts w:ascii="Arial" w:eastAsia="Calibri" w:hAnsi="Arial" w:cs="Arial"/>
                <w:bCs/>
                <w:szCs w:val="23"/>
                <w:lang w:val="fr-CA" w:eastAsia="en-CA" w:bidi="en-US"/>
              </w:rPr>
              <w:t xml:space="preserve">L’Alberta se réserve le droit d’adopter ou de maintenir toute mesure dans le secteur susmentionné qui : </w:t>
            </w:r>
          </w:p>
          <w:p w14:paraId="445813E6" w14:textId="77777777" w:rsidR="006A7ED5" w:rsidRPr="006A7ED5" w:rsidRDefault="006A7ED5" w:rsidP="006A7ED5">
            <w:pPr>
              <w:spacing w:before="60" w:after="60"/>
              <w:ind w:left="720"/>
              <w:rPr>
                <w:rFonts w:ascii="Arial" w:eastAsia="Calibri" w:hAnsi="Arial" w:cs="Arial"/>
                <w:szCs w:val="23"/>
                <w:lang w:val="fr-CA" w:eastAsia="en-CA" w:bidi="en-US"/>
              </w:rPr>
            </w:pPr>
            <w:r w:rsidRPr="006A7ED5">
              <w:rPr>
                <w:rFonts w:ascii="Arial" w:eastAsia="Calibri" w:hAnsi="Arial" w:cs="Arial"/>
                <w:szCs w:val="23"/>
                <w:lang w:val="fr-CA" w:eastAsia="en-CA" w:bidi="en-US"/>
              </w:rPr>
              <w:t xml:space="preserve">a) limite le nombre d’investisseurs visés ou de fournisseurs de services qui peuvent mener une activité économique précise, que ce soit sous la forme de contingents numériques, de monopoles, de fournisseurs exclusifs de services ou de l’exigence d’un examen des besoins économiques; </w:t>
            </w:r>
            <w:proofErr w:type="gramStart"/>
            <w:r w:rsidRPr="006A7ED5">
              <w:rPr>
                <w:rFonts w:ascii="Arial" w:eastAsia="Calibri" w:hAnsi="Arial" w:cs="Arial"/>
                <w:szCs w:val="23"/>
                <w:lang w:val="fr-CA" w:eastAsia="en-CA" w:bidi="en-US"/>
              </w:rPr>
              <w:t>ou</w:t>
            </w:r>
            <w:proofErr w:type="gramEnd"/>
          </w:p>
          <w:p w14:paraId="02004A02" w14:textId="77777777" w:rsidR="006A7ED5" w:rsidRPr="006A7ED5" w:rsidRDefault="006A7ED5" w:rsidP="006A7ED5">
            <w:pPr>
              <w:ind w:left="720"/>
              <w:rPr>
                <w:rFonts w:ascii="Arial" w:eastAsia="Calibri" w:hAnsi="Arial" w:cs="Arial"/>
                <w:bCs/>
                <w:szCs w:val="24"/>
                <w:lang w:val="fr-CA" w:eastAsia="en-CA" w:bidi="en-US"/>
              </w:rPr>
            </w:pPr>
            <w:r w:rsidRPr="006A7ED5">
              <w:rPr>
                <w:rFonts w:ascii="Arial" w:eastAsia="Calibri" w:hAnsi="Arial" w:cs="Arial"/>
                <w:bCs/>
                <w:szCs w:val="23"/>
                <w:lang w:val="fr-CA" w:eastAsia="en-CA" w:bidi="en-US"/>
              </w:rPr>
              <w:t>b) restreint ou prescrit un type précis d’entité juridique ou de coentreprise par l’intermédiaire duquel un investisseur peut mener une activité économique.</w:t>
            </w:r>
          </w:p>
        </w:tc>
      </w:tr>
      <w:tr w:rsidR="006A7ED5" w:rsidRPr="0068240F" w14:paraId="4A89F43A"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58A1997B"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
                <w:szCs w:val="24"/>
                <w:lang w:val="fr-CA" w:eastAsia="en-CA" w:bidi="en-US"/>
              </w:rPr>
              <w:t>Toute mesure existante :</w:t>
            </w:r>
            <w:r w:rsidRPr="006A7ED5">
              <w:rPr>
                <w:rFonts w:ascii="Arial" w:eastAsia="Calibri" w:hAnsi="Arial" w:cs="Arial"/>
                <w:bCs/>
                <w:szCs w:val="24"/>
                <w:lang w:val="fr-CA" w:eastAsia="en-CA" w:bidi="en-US"/>
              </w:rPr>
              <w:t xml:space="preserve"> (À titre d’exemple seulement)</w:t>
            </w:r>
          </w:p>
        </w:tc>
      </w:tr>
      <w:tr w:rsidR="006A7ED5" w:rsidRPr="006A7ED5" w14:paraId="4F21FBE7"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296B282B" w14:textId="77777777" w:rsidR="006A7ED5" w:rsidRPr="006A7ED5" w:rsidRDefault="006A7ED5" w:rsidP="006A7ED5">
            <w:pPr>
              <w:spacing w:before="60" w:after="60"/>
              <w:rPr>
                <w:rFonts w:ascii="Arial" w:eastAsia="Calibri" w:hAnsi="Arial" w:cs="Arial"/>
                <w:bCs/>
                <w:szCs w:val="24"/>
                <w:lang w:eastAsia="en-CA" w:bidi="en-US"/>
              </w:rPr>
            </w:pPr>
            <w:r w:rsidRPr="006A7ED5">
              <w:rPr>
                <w:rFonts w:ascii="Arial" w:eastAsia="Calibri" w:hAnsi="Arial" w:cs="Arial"/>
                <w:bCs/>
                <w:i/>
                <w:iCs/>
                <w:szCs w:val="24"/>
                <w:lang w:eastAsia="en-CA" w:bidi="en-US"/>
              </w:rPr>
              <w:t>Gaming, Liquor and Cannabis Act</w:t>
            </w:r>
            <w:r w:rsidRPr="006A7ED5">
              <w:rPr>
                <w:rFonts w:ascii="Arial" w:eastAsia="Calibri" w:hAnsi="Arial" w:cs="Arial"/>
                <w:bCs/>
                <w:szCs w:val="24"/>
                <w:lang w:eastAsia="en-CA" w:bidi="en-US"/>
              </w:rPr>
              <w:t xml:space="preserve">, RSA 2000, </w:t>
            </w:r>
            <w:proofErr w:type="spellStart"/>
            <w:r w:rsidRPr="006A7ED5">
              <w:rPr>
                <w:rFonts w:ascii="Arial" w:eastAsia="Calibri" w:hAnsi="Arial" w:cs="Arial"/>
                <w:bCs/>
                <w:szCs w:val="24"/>
                <w:lang w:eastAsia="en-CA" w:bidi="en-US"/>
              </w:rPr>
              <w:t>ch.</w:t>
            </w:r>
            <w:proofErr w:type="spellEnd"/>
            <w:r w:rsidRPr="006A7ED5">
              <w:rPr>
                <w:rFonts w:ascii="Arial" w:eastAsia="Calibri" w:hAnsi="Arial" w:cs="Arial"/>
                <w:bCs/>
                <w:szCs w:val="24"/>
                <w:lang w:eastAsia="en-CA" w:bidi="en-US"/>
              </w:rPr>
              <w:t> G-1</w:t>
            </w:r>
          </w:p>
          <w:p w14:paraId="0EF0BDF6" w14:textId="77777777" w:rsidR="006A7ED5" w:rsidRPr="006A7ED5" w:rsidRDefault="006A7ED5" w:rsidP="006A7ED5">
            <w:pPr>
              <w:spacing w:before="60" w:after="60"/>
              <w:rPr>
                <w:rFonts w:ascii="Arial" w:eastAsia="Calibri" w:hAnsi="Arial" w:cs="Arial"/>
                <w:bCs/>
                <w:szCs w:val="24"/>
                <w:lang w:eastAsia="en-CA" w:bidi="en-US"/>
              </w:rPr>
            </w:pPr>
            <w:r w:rsidRPr="006A7ED5">
              <w:rPr>
                <w:rFonts w:ascii="Arial" w:eastAsia="Calibri" w:hAnsi="Arial" w:cs="Arial"/>
                <w:bCs/>
                <w:i/>
                <w:iCs/>
                <w:szCs w:val="24"/>
                <w:lang w:eastAsia="en-CA" w:bidi="en-US"/>
              </w:rPr>
              <w:t>Gaming, Liquor and Cannabis Regulation</w:t>
            </w:r>
            <w:r w:rsidRPr="006A7ED5">
              <w:rPr>
                <w:rFonts w:ascii="Arial" w:eastAsia="Calibri" w:hAnsi="Arial" w:cs="Arial"/>
                <w:bCs/>
                <w:szCs w:val="24"/>
                <w:lang w:eastAsia="en-CA" w:bidi="en-US"/>
              </w:rPr>
              <w:t xml:space="preserve">, </w:t>
            </w:r>
            <w:proofErr w:type="spellStart"/>
            <w:r w:rsidRPr="006A7ED5">
              <w:rPr>
                <w:rFonts w:ascii="Arial" w:eastAsia="Calibri" w:hAnsi="Arial" w:cs="Arial"/>
                <w:bCs/>
                <w:szCs w:val="24"/>
                <w:lang w:eastAsia="en-CA" w:bidi="en-US"/>
              </w:rPr>
              <w:t>règl</w:t>
            </w:r>
            <w:proofErr w:type="spellEnd"/>
            <w:r w:rsidRPr="006A7ED5">
              <w:rPr>
                <w:rFonts w:ascii="Arial" w:eastAsia="Calibri" w:hAnsi="Arial" w:cs="Arial"/>
                <w:bCs/>
                <w:szCs w:val="24"/>
                <w:lang w:eastAsia="en-CA" w:bidi="en-US"/>
              </w:rPr>
              <w:t xml:space="preserve">. de </w:t>
            </w:r>
            <w:proofErr w:type="spellStart"/>
            <w:r w:rsidRPr="006A7ED5">
              <w:rPr>
                <w:rFonts w:ascii="Arial" w:eastAsia="Calibri" w:hAnsi="Arial" w:cs="Arial"/>
                <w:bCs/>
                <w:szCs w:val="24"/>
                <w:lang w:eastAsia="en-CA" w:bidi="en-US"/>
              </w:rPr>
              <w:t>l’Alberta</w:t>
            </w:r>
            <w:proofErr w:type="spellEnd"/>
            <w:r w:rsidRPr="006A7ED5">
              <w:rPr>
                <w:rFonts w:ascii="Arial" w:eastAsia="Calibri" w:hAnsi="Arial" w:cs="Arial"/>
                <w:bCs/>
                <w:szCs w:val="24"/>
                <w:lang w:eastAsia="en-CA" w:bidi="en-US"/>
              </w:rPr>
              <w:t> 143/96</w:t>
            </w:r>
          </w:p>
          <w:p w14:paraId="44B42CA8"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 xml:space="preserve">Politiques de </w:t>
            </w:r>
            <w:proofErr w:type="spellStart"/>
            <w:r w:rsidRPr="006A7ED5">
              <w:rPr>
                <w:rFonts w:ascii="Arial" w:eastAsia="Calibri" w:hAnsi="Arial" w:cs="Arial"/>
                <w:bCs/>
                <w:szCs w:val="24"/>
                <w:lang w:eastAsia="en-CA" w:bidi="en-US"/>
              </w:rPr>
              <w:t>l’Alberta</w:t>
            </w:r>
            <w:proofErr w:type="spellEnd"/>
            <w:r w:rsidRPr="006A7ED5">
              <w:rPr>
                <w:rFonts w:ascii="Arial" w:eastAsia="Calibri" w:hAnsi="Arial" w:cs="Arial"/>
                <w:bCs/>
                <w:szCs w:val="24"/>
                <w:lang w:eastAsia="en-CA" w:bidi="en-US"/>
              </w:rPr>
              <w:t xml:space="preserve"> Gaming, Liquor and Cannabis Board</w:t>
            </w:r>
          </w:p>
        </w:tc>
      </w:tr>
    </w:tbl>
    <w:p w14:paraId="13C34D57" w14:textId="0591955E" w:rsidR="00B8348C" w:rsidRPr="00F52884" w:rsidRDefault="00B8348C">
      <w:pPr>
        <w:rPr>
          <w:rFonts w:eastAsia="Times New Roman" w:cstheme="minorHAnsi"/>
          <w:b/>
          <w:szCs w:val="23"/>
        </w:rPr>
      </w:pPr>
      <w:r w:rsidRPr="009A780E">
        <w:rPr>
          <w:rFonts w:eastAsia="Times New Roman" w:cstheme="minorHAnsi"/>
          <w:b/>
          <w:bCs/>
          <w:szCs w:val="23"/>
        </w:rPr>
        <w:br w:type="page"/>
      </w:r>
    </w:p>
    <w:p w14:paraId="467AC2AB" w14:textId="77777777" w:rsidR="00B8348C" w:rsidRPr="00F52884" w:rsidRDefault="00B8348C" w:rsidP="00F856A2">
      <w:pPr>
        <w:contextualSpacing/>
        <w:jc w:val="center"/>
        <w:outlineLvl w:val="2"/>
        <w:rPr>
          <w:rFonts w:eastAsia="Times New Roman" w:cstheme="minorHAnsi"/>
          <w:b/>
          <w:sz w:val="24"/>
          <w:szCs w:val="24"/>
          <w:lang w:val="fr-FR"/>
        </w:rPr>
      </w:pPr>
      <w:bookmarkStart w:id="322" w:name="_Toc476566359"/>
      <w:bookmarkStart w:id="323" w:name="_Toc156311812"/>
      <w:r w:rsidRPr="00F52884">
        <w:rPr>
          <w:rFonts w:eastAsia="Times New Roman" w:cstheme="minorHAnsi"/>
          <w:b/>
          <w:bCs/>
          <w:sz w:val="24"/>
          <w:szCs w:val="24"/>
          <w:lang w:val="fr-CA"/>
        </w:rPr>
        <w:lastRenderedPageBreak/>
        <w:t>Liste de Terre-Neuve-et-Labrador</w:t>
      </w:r>
      <w:bookmarkEnd w:id="322"/>
      <w:bookmarkEnd w:id="323"/>
    </w:p>
    <w:p w14:paraId="6E8AFF92" w14:textId="77777777" w:rsidR="00B8348C" w:rsidRPr="00F52884" w:rsidRDefault="00B8348C" w:rsidP="00F856A2">
      <w:pPr>
        <w:contextualSpacing/>
        <w:jc w:val="center"/>
        <w:outlineLvl w:val="2"/>
        <w:rPr>
          <w:rFonts w:eastAsia="Times New Roman" w:cstheme="minorHAnsi"/>
          <w:b/>
          <w:sz w:val="24"/>
          <w:szCs w:val="24"/>
          <w:lang w:val="fr-FR"/>
        </w:rPr>
      </w:pPr>
    </w:p>
    <w:p w14:paraId="657B81FE" w14:textId="77777777" w:rsidR="00B8348C" w:rsidRPr="00F52884" w:rsidRDefault="00B8348C" w:rsidP="000C25A3">
      <w:pPr>
        <w:jc w:val="center"/>
        <w:rPr>
          <w:rFonts w:cstheme="minorHAnsi"/>
          <w:b/>
          <w:sz w:val="24"/>
          <w:szCs w:val="24"/>
          <w:lang w:val="fr-FR"/>
        </w:rPr>
      </w:pPr>
      <w:r w:rsidRPr="00F52884">
        <w:rPr>
          <w:rFonts w:cstheme="minorHAnsi"/>
          <w:b/>
          <w:bCs/>
          <w:sz w:val="24"/>
          <w:szCs w:val="24"/>
          <w:lang w:val="fr-CA"/>
        </w:rPr>
        <w:t>Annexe II</w:t>
      </w:r>
    </w:p>
    <w:p w14:paraId="4E36D426" w14:textId="77777777" w:rsidR="00B8348C" w:rsidRPr="00F52884" w:rsidRDefault="00B8348C" w:rsidP="00F856A2">
      <w:pPr>
        <w:contextualSpacing/>
        <w:jc w:val="center"/>
        <w:rPr>
          <w:rFonts w:eastAsia="Times New Roman" w:cstheme="minorHAnsi"/>
          <w:szCs w:val="23"/>
          <w:lang w:val="fr-FR"/>
        </w:rPr>
      </w:pPr>
    </w:p>
    <w:p w14:paraId="28759EB5" w14:textId="544560DB" w:rsidR="00B8348C" w:rsidRPr="00F52884" w:rsidRDefault="00B8348C" w:rsidP="004E1EFC">
      <w:pPr>
        <w:spacing w:before="60" w:after="60"/>
        <w:ind w:left="-360"/>
        <w:rPr>
          <w:rFonts w:cstheme="minorHAnsi"/>
          <w:b/>
          <w:caps/>
          <w:szCs w:val="23"/>
          <w:lang w:val="fr-FR"/>
        </w:rPr>
      </w:pPr>
      <w:r w:rsidRPr="00F52884">
        <w:rPr>
          <w:rFonts w:cstheme="minorHAnsi"/>
          <w:b/>
          <w:bCs/>
          <w:caps/>
          <w:szCs w:val="23"/>
          <w:lang w:val="fr-CA"/>
        </w:rPr>
        <w:t xml:space="preserve">1. </w:t>
      </w:r>
      <w:r w:rsidR="004E1EFC" w:rsidRPr="00F52884">
        <w:rPr>
          <w:rFonts w:cstheme="minorHAnsi"/>
          <w:b/>
          <w:bCs/>
          <w:caps/>
          <w:szCs w:val="23"/>
          <w:lang w:val="fr-CA"/>
        </w:rPr>
        <w:t xml:space="preserve"> </w:t>
      </w:r>
      <w:r w:rsidRPr="00F52884">
        <w:rPr>
          <w:rFonts w:cstheme="minorHAnsi"/>
          <w:b/>
          <w:bCs/>
          <w:caps/>
          <w:szCs w:val="23"/>
          <w:lang w:val="fr-CA"/>
        </w:rPr>
        <w:t>Terre-Neuve-et-Labrador</w:t>
      </w:r>
    </w:p>
    <w:tbl>
      <w:tblPr>
        <w:tblW w:w="10206"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7341"/>
        <w:gridCol w:w="345"/>
      </w:tblGrid>
      <w:tr w:rsidR="00B8348C" w:rsidRPr="00F52884" w14:paraId="309BEA95" w14:textId="77777777" w:rsidTr="004E1EFC">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4356449E"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Secteur :</w:t>
            </w:r>
          </w:p>
        </w:tc>
        <w:tc>
          <w:tcPr>
            <w:tcW w:w="7686" w:type="dxa"/>
            <w:gridSpan w:val="2"/>
            <w:tcBorders>
              <w:top w:val="single" w:sz="4" w:space="0" w:color="C0C0C0"/>
              <w:left w:val="single" w:sz="4" w:space="0" w:color="FFFFFF"/>
              <w:bottom w:val="single" w:sz="4" w:space="0" w:color="C0C0C0"/>
              <w:right w:val="nil"/>
            </w:tcBorders>
            <w:vAlign w:val="center"/>
          </w:tcPr>
          <w:p w14:paraId="5F934A72"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Énergie</w:t>
            </w:r>
          </w:p>
        </w:tc>
      </w:tr>
      <w:tr w:rsidR="00B8348C" w:rsidRPr="0068240F" w14:paraId="6407FE67" w14:textId="77777777" w:rsidTr="004E1EFC">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68831092"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686" w:type="dxa"/>
            <w:gridSpan w:val="2"/>
            <w:tcBorders>
              <w:top w:val="single" w:sz="4" w:space="0" w:color="C0C0C0"/>
              <w:left w:val="single" w:sz="4" w:space="0" w:color="FFFFFF"/>
              <w:bottom w:val="single" w:sz="4" w:space="0" w:color="C0C0C0"/>
              <w:right w:val="nil"/>
            </w:tcBorders>
            <w:vAlign w:val="center"/>
          </w:tcPr>
          <w:p w14:paraId="071FA4F5"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Pétrole brut et gaz naturel; services annexes à la distribution d’énergie</w:t>
            </w:r>
          </w:p>
        </w:tc>
      </w:tr>
      <w:tr w:rsidR="00B8348C" w:rsidRPr="00F52884" w14:paraId="0939FBCE" w14:textId="77777777" w:rsidTr="004E1EFC">
        <w:trPr>
          <w:gridAfter w:val="1"/>
          <w:wAfter w:w="345"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21B7A67D"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t>Classification de l’industrie :</w:t>
            </w:r>
          </w:p>
        </w:tc>
        <w:tc>
          <w:tcPr>
            <w:tcW w:w="7341" w:type="dxa"/>
            <w:tcBorders>
              <w:top w:val="single" w:sz="4" w:space="0" w:color="C0C0C0"/>
              <w:left w:val="single" w:sz="4" w:space="0" w:color="FFFFFF"/>
              <w:bottom w:val="single" w:sz="4" w:space="0" w:color="C0C0C0"/>
              <w:right w:val="nil"/>
            </w:tcBorders>
            <w:vAlign w:val="center"/>
          </w:tcPr>
          <w:p w14:paraId="1D7AC08F" w14:textId="77777777" w:rsidR="00B8348C" w:rsidRPr="00F52884" w:rsidRDefault="00B8348C" w:rsidP="000C25A3">
            <w:pPr>
              <w:spacing w:before="60" w:after="60" w:line="259" w:lineRule="auto"/>
              <w:ind w:left="28" w:hanging="28"/>
              <w:rPr>
                <w:rFonts w:eastAsia="Calibri" w:cstheme="minorHAnsi"/>
                <w:szCs w:val="23"/>
              </w:rPr>
            </w:pPr>
            <w:r w:rsidRPr="00F52884">
              <w:rPr>
                <w:rFonts w:eastAsia="Calibri" w:cstheme="minorHAnsi"/>
                <w:szCs w:val="23"/>
                <w:lang w:val="fr-CA"/>
              </w:rPr>
              <w:t>CPC 120, 7112, 71232, 7131, 7422, 8675, 883, 887</w:t>
            </w:r>
          </w:p>
        </w:tc>
      </w:tr>
      <w:tr w:rsidR="00B8348C" w:rsidRPr="0068240F" w14:paraId="2E31121B" w14:textId="77777777" w:rsidTr="004E1EFC">
        <w:trPr>
          <w:trHeight w:val="42"/>
          <w:jc w:val="center"/>
        </w:trPr>
        <w:tc>
          <w:tcPr>
            <w:tcW w:w="2520" w:type="dxa"/>
            <w:tcBorders>
              <w:top w:val="single" w:sz="4" w:space="0" w:color="C0C0C0"/>
              <w:left w:val="nil"/>
              <w:bottom w:val="single" w:sz="4" w:space="0" w:color="C0C0C0"/>
            </w:tcBorders>
          </w:tcPr>
          <w:p w14:paraId="107DB6C0" w14:textId="1FE19A9F" w:rsidR="00B8348C" w:rsidRPr="00F52884" w:rsidRDefault="00B8348C" w:rsidP="000C25A3">
            <w:pPr>
              <w:spacing w:before="60" w:after="60"/>
              <w:ind w:left="2362" w:hanging="2362"/>
              <w:rPr>
                <w:rFonts w:eastAsia="Times New Roman" w:cstheme="minorHAnsi"/>
                <w:szCs w:val="23"/>
              </w:rPr>
            </w:pPr>
            <w:r w:rsidRPr="00F52884">
              <w:rPr>
                <w:rFonts w:eastAsia="Times New Roman" w:cstheme="minorHAnsi"/>
                <w:b/>
                <w:bCs/>
                <w:szCs w:val="23"/>
                <w:lang w:val="fr-CA"/>
              </w:rPr>
              <w:t xml:space="preserve">Type d’exception :  </w:t>
            </w:r>
          </w:p>
        </w:tc>
        <w:tc>
          <w:tcPr>
            <w:tcW w:w="7686" w:type="dxa"/>
            <w:gridSpan w:val="2"/>
            <w:tcBorders>
              <w:top w:val="single" w:sz="4" w:space="0" w:color="C0C0C0"/>
              <w:left w:val="nil"/>
              <w:bottom w:val="single" w:sz="4" w:space="0" w:color="C0C0C0"/>
            </w:tcBorders>
          </w:tcPr>
          <w:p w14:paraId="41D89DF8" w14:textId="61CE3898" w:rsidR="00B8348C" w:rsidRPr="00F52884" w:rsidRDefault="00B8348C" w:rsidP="00B8348C">
            <w:pPr>
              <w:spacing w:before="60" w:after="60"/>
              <w:ind w:left="30" w:hanging="30"/>
              <w:rPr>
                <w:rFonts w:eastAsia="Times New Roman" w:cstheme="minorHAnsi"/>
                <w:szCs w:val="23"/>
                <w:lang w:val="fr-FR"/>
              </w:rPr>
            </w:pPr>
            <w:r w:rsidRPr="00F52884">
              <w:rPr>
                <w:rFonts w:eastAsia="Times New Roman" w:cstheme="minorHAnsi"/>
                <w:szCs w:val="23"/>
                <w:lang w:val="fr-CA"/>
              </w:rPr>
              <w:t>Article 201 (Traitement non discriminatoire), article 301 (Droit d’entrée et de sortie), article 307 (Accès aux marchés – Services), article 312 (Accès aux marchés – Investissement), article 313 (Prescriptions de résultats)</w:t>
            </w:r>
          </w:p>
        </w:tc>
      </w:tr>
      <w:tr w:rsidR="00B8348C" w:rsidRPr="00F52884" w14:paraId="5B2FB1FB"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B905593" w14:textId="77777777" w:rsidR="00B8348C" w:rsidRPr="00F52884" w:rsidRDefault="00B8348C" w:rsidP="000C25A3">
            <w:pPr>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594E1347"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4FCBD242" w14:textId="066ED84A"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Le gouvernement de Terre-Neuve-et-Labrador se réserve le droit d’adopter ou de maintenir toute mesure, y compris des mesures adoptées conjointement avec le Canada, se rapportant à tout aspect de l’exploration, de la production, de l’extraction, de la mise en valeur et du transport des hydrocarbures, et d’accorder diverses autorisations à cet égard, ainsi que d’accorder des droits exclusifs d’exploitation de réseaux de distribution d’hydrocarbures et d’installations de stockage, notamment les conduites d’hydrocarbures connexes, la distribution par voie marine, les installations de transbordement et les services de transports. Sans restreindre la portée générale de ce qui précède, ces mesures peuvent supposer la prise de décisions discrétionnaires fondées sur divers facteurs, les restrictions ou les limitations relatives à la circulation interprovinciale des produits, l’imposition de restrictions quant à l’accès aux marchés, l’imposition de prescriptions de résultats ou la discrimination en faveur de résidents de Terre-Neuve-et-Labrador ou d’entités établies selon la législation du Canada ou d’une province ou d’un territoire du Canada qui ont un lieu d’affaires à Terre-Neuve-et-Labrador et y effectuent des opérations substantielles.</w:t>
            </w:r>
          </w:p>
        </w:tc>
      </w:tr>
      <w:tr w:rsidR="00B8348C" w:rsidRPr="0068240F" w14:paraId="61E2463E"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3467AD0" w14:textId="059F3092" w:rsidR="00B8348C" w:rsidRPr="00F52884" w:rsidRDefault="00B8348C" w:rsidP="00B8348C">
            <w:pPr>
              <w:spacing w:before="60" w:after="60"/>
              <w:rPr>
                <w:rFonts w:eastAsia="Times New Roman" w:cstheme="minorHAnsi"/>
                <w:caps/>
                <w:szCs w:val="23"/>
                <w:lang w:val="fr-FR"/>
              </w:rPr>
            </w:pPr>
            <w:r w:rsidRPr="00F52884">
              <w:rPr>
                <w:rFonts w:eastAsia="Times New Roman" w:cstheme="minorHAnsi"/>
                <w:b/>
                <w:bCs/>
                <w:szCs w:val="23"/>
                <w:lang w:val="fr-CA"/>
              </w:rPr>
              <w:t>Toute mesure existante :</w:t>
            </w:r>
            <w:r w:rsidRPr="00F52884">
              <w:rPr>
                <w:rFonts w:eastAsia="Times New Roman" w:cstheme="minorHAnsi"/>
                <w:caps/>
                <w:szCs w:val="23"/>
                <w:lang w:val="fr-CA"/>
              </w:rPr>
              <w:t xml:space="preserve"> </w:t>
            </w:r>
            <w:proofErr w:type="gramStart"/>
            <w:r w:rsidRPr="00F52884">
              <w:rPr>
                <w:rFonts w:eastAsia="Times New Roman" w:cstheme="minorHAnsi"/>
                <w:caps/>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eastAsia="Times New Roman" w:cstheme="minorHAnsi"/>
                <w:caps/>
                <w:szCs w:val="23"/>
                <w:lang w:val="fr-CA"/>
              </w:rPr>
              <w:t>)</w:t>
            </w:r>
          </w:p>
        </w:tc>
      </w:tr>
      <w:tr w:rsidR="00F52884" w:rsidRPr="00F52884" w14:paraId="7F9EA9EE"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40AD99B5" w14:textId="47170D48" w:rsidR="00B8348C" w:rsidRPr="00F52884" w:rsidRDefault="00B8348C" w:rsidP="000C25A3">
            <w:pPr>
              <w:spacing w:before="60" w:after="60" w:line="259" w:lineRule="auto"/>
              <w:ind w:left="14"/>
              <w:rPr>
                <w:rFonts w:eastAsia="Calibri" w:cstheme="minorHAnsi"/>
                <w:bCs/>
                <w:szCs w:val="23"/>
              </w:rPr>
            </w:pPr>
            <w:r w:rsidRPr="00F52884">
              <w:rPr>
                <w:rFonts w:eastAsia="Calibri" w:cstheme="minorHAnsi"/>
                <w:i/>
                <w:iCs/>
                <w:szCs w:val="23"/>
                <w:lang w:val="en-US"/>
              </w:rPr>
              <w:t>Canada-Newfoundland and Labrador Atlantic Accord Implementation Newfoundland and Labrador Act</w:t>
            </w:r>
            <w:r w:rsidRPr="00F52884">
              <w:rPr>
                <w:rFonts w:eastAsia="Calibri" w:cstheme="minorHAnsi"/>
                <w:szCs w:val="23"/>
                <w:lang w:val="en-US"/>
              </w:rPr>
              <w:t>, RSNL 1990, c C-2</w:t>
            </w:r>
          </w:p>
          <w:p w14:paraId="5EEE7EC8" w14:textId="5A655E7E" w:rsidR="00B8348C" w:rsidRPr="00F52884" w:rsidRDefault="00B8348C" w:rsidP="000C25A3">
            <w:pPr>
              <w:spacing w:before="60" w:after="60" w:line="259" w:lineRule="auto"/>
              <w:ind w:left="14"/>
              <w:rPr>
                <w:rFonts w:eastAsia="Calibri" w:cstheme="minorHAnsi"/>
                <w:bCs/>
                <w:szCs w:val="23"/>
              </w:rPr>
            </w:pPr>
            <w:r w:rsidRPr="00F52884">
              <w:rPr>
                <w:rFonts w:eastAsia="Calibri" w:cstheme="minorHAnsi"/>
                <w:i/>
                <w:iCs/>
                <w:szCs w:val="23"/>
                <w:lang w:val="en-US"/>
              </w:rPr>
              <w:t>Canada-Newfoundland Atlantic Accord</w:t>
            </w:r>
            <w:r w:rsidRPr="00F52884">
              <w:rPr>
                <w:rFonts w:eastAsia="Calibri" w:cstheme="minorHAnsi"/>
                <w:szCs w:val="23"/>
                <w:lang w:val="en-US"/>
              </w:rPr>
              <w:t xml:space="preserve">, 11 </w:t>
            </w:r>
            <w:proofErr w:type="spellStart"/>
            <w:r w:rsidRPr="00F52884">
              <w:rPr>
                <w:rFonts w:eastAsia="Calibri" w:cstheme="minorHAnsi"/>
                <w:szCs w:val="23"/>
                <w:lang w:val="en-US"/>
              </w:rPr>
              <w:t>février</w:t>
            </w:r>
            <w:proofErr w:type="spellEnd"/>
            <w:r w:rsidRPr="00F52884">
              <w:rPr>
                <w:rFonts w:eastAsia="Calibri" w:cstheme="minorHAnsi"/>
                <w:szCs w:val="23"/>
                <w:lang w:val="en-US"/>
              </w:rPr>
              <w:t xml:space="preserve"> 1985</w:t>
            </w:r>
          </w:p>
          <w:p w14:paraId="7E82AA2D" w14:textId="7DE6F1B8" w:rsidR="00B8348C" w:rsidRPr="00F52884" w:rsidRDefault="00B8348C" w:rsidP="000C25A3">
            <w:pPr>
              <w:spacing w:before="60" w:after="60" w:line="259" w:lineRule="auto"/>
              <w:ind w:left="14"/>
              <w:rPr>
                <w:rFonts w:eastAsia="Calibri" w:cstheme="minorHAnsi"/>
                <w:bCs/>
                <w:szCs w:val="23"/>
              </w:rPr>
            </w:pPr>
            <w:r w:rsidRPr="00F52884">
              <w:rPr>
                <w:rFonts w:eastAsia="Calibri" w:cstheme="minorHAnsi"/>
                <w:i/>
                <w:iCs/>
                <w:szCs w:val="23"/>
                <w:lang w:val="en-US"/>
              </w:rPr>
              <w:t>Energy Corporation Act</w:t>
            </w:r>
            <w:r w:rsidRPr="00F52884">
              <w:rPr>
                <w:rFonts w:eastAsia="Calibri" w:cstheme="minorHAnsi"/>
                <w:szCs w:val="23"/>
                <w:lang w:val="en-US"/>
              </w:rPr>
              <w:t>, SNL 2007, c E-11.01</w:t>
            </w:r>
          </w:p>
          <w:p w14:paraId="75C77349" w14:textId="1FD419E7" w:rsidR="00B8348C" w:rsidRPr="00B04E29" w:rsidRDefault="00B8348C" w:rsidP="000C25A3">
            <w:pPr>
              <w:spacing w:before="60" w:after="60"/>
              <w:rPr>
                <w:rFonts w:eastAsia="Times New Roman" w:cstheme="minorHAnsi"/>
                <w:b/>
                <w:szCs w:val="23"/>
              </w:rPr>
            </w:pPr>
            <w:r w:rsidRPr="00F52884">
              <w:rPr>
                <w:rFonts w:eastAsia="Times New Roman" w:cstheme="minorHAnsi"/>
                <w:i/>
                <w:iCs/>
                <w:szCs w:val="23"/>
              </w:rPr>
              <w:t>Petroleum and Natural Gas Act</w:t>
            </w:r>
            <w:r w:rsidRPr="00F52884">
              <w:rPr>
                <w:rFonts w:eastAsia="Times New Roman" w:cstheme="minorHAnsi"/>
                <w:szCs w:val="23"/>
              </w:rPr>
              <w:t>, RSNL 1990, c </w:t>
            </w:r>
            <w:r w:rsidRPr="00B04E29">
              <w:rPr>
                <w:rFonts w:eastAsia="Times New Roman" w:cstheme="minorHAnsi"/>
                <w:szCs w:val="23"/>
              </w:rPr>
              <w:t>P-10</w:t>
            </w:r>
          </w:p>
        </w:tc>
      </w:tr>
    </w:tbl>
    <w:p w14:paraId="04EA1DC1" w14:textId="77777777" w:rsidR="00B8348C" w:rsidRPr="00B04E29" w:rsidRDefault="00B8348C" w:rsidP="000C25A3">
      <w:pPr>
        <w:spacing w:line="259" w:lineRule="auto"/>
        <w:rPr>
          <w:rFonts w:eastAsia="Calibri" w:cstheme="minorHAnsi"/>
          <w:b/>
          <w:szCs w:val="23"/>
        </w:rPr>
      </w:pPr>
    </w:p>
    <w:p w14:paraId="24842631" w14:textId="77777777" w:rsidR="00B8348C" w:rsidRPr="00B04E29" w:rsidRDefault="00B8348C" w:rsidP="000C25A3">
      <w:pPr>
        <w:spacing w:line="259" w:lineRule="auto"/>
        <w:rPr>
          <w:rFonts w:eastAsia="Calibri" w:cstheme="minorHAnsi"/>
          <w:b/>
          <w:szCs w:val="23"/>
        </w:rPr>
      </w:pPr>
    </w:p>
    <w:p w14:paraId="7CB9FEAA" w14:textId="5EC99919" w:rsidR="00B8348C" w:rsidRPr="00F52884" w:rsidRDefault="00B8348C" w:rsidP="004E1EFC">
      <w:pPr>
        <w:spacing w:before="60" w:after="60"/>
        <w:ind w:left="-360"/>
        <w:rPr>
          <w:rFonts w:cstheme="minorHAnsi"/>
          <w:b/>
          <w:caps/>
          <w:szCs w:val="23"/>
          <w:lang w:val="fr-CA"/>
        </w:rPr>
      </w:pPr>
      <w:r w:rsidRPr="00F52884">
        <w:rPr>
          <w:rFonts w:cstheme="minorHAnsi"/>
          <w:b/>
          <w:bCs/>
          <w:caps/>
          <w:szCs w:val="23"/>
          <w:lang w:val="fr-CA"/>
        </w:rPr>
        <w:t xml:space="preserve">2. </w:t>
      </w:r>
      <w:r w:rsidR="004E1EFC" w:rsidRPr="00F52884">
        <w:rPr>
          <w:rFonts w:cstheme="minorHAnsi"/>
          <w:b/>
          <w:bCs/>
          <w:caps/>
          <w:szCs w:val="23"/>
          <w:lang w:val="fr-CA"/>
        </w:rPr>
        <w:t xml:space="preserve"> </w:t>
      </w:r>
      <w:r w:rsidRPr="00F52884">
        <w:rPr>
          <w:rFonts w:cstheme="minorHAnsi"/>
          <w:b/>
          <w:bCs/>
          <w:caps/>
          <w:szCs w:val="23"/>
          <w:lang w:val="fr-CA"/>
        </w:rPr>
        <w:t>Terre-Neuve-et-Labrador</w:t>
      </w:r>
    </w:p>
    <w:tbl>
      <w:tblPr>
        <w:tblW w:w="10206" w:type="dxa"/>
        <w:jc w:val="center"/>
        <w:tblLayout w:type="fixed"/>
        <w:tblCellMar>
          <w:top w:w="14" w:type="dxa"/>
          <w:left w:w="86" w:type="dxa"/>
          <w:bottom w:w="14" w:type="dxa"/>
          <w:right w:w="86" w:type="dxa"/>
        </w:tblCellMar>
        <w:tblLook w:val="0000" w:firstRow="0" w:lastRow="0" w:firstColumn="0" w:lastColumn="0" w:noHBand="0" w:noVBand="0"/>
      </w:tblPr>
      <w:tblGrid>
        <w:gridCol w:w="2430"/>
        <w:gridCol w:w="7740"/>
        <w:gridCol w:w="36"/>
      </w:tblGrid>
      <w:tr w:rsidR="00B8348C" w:rsidRPr="00F52884" w14:paraId="4ED6270A" w14:textId="77777777" w:rsidTr="004E1EFC">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066BA9EF" w14:textId="77777777" w:rsidR="00B8348C" w:rsidRPr="00F52884" w:rsidRDefault="00B8348C" w:rsidP="000C25A3">
            <w:pPr>
              <w:spacing w:before="60" w:after="60" w:line="259" w:lineRule="auto"/>
              <w:rPr>
                <w:rFonts w:eastAsia="Calibri" w:cstheme="minorHAnsi"/>
                <w:b/>
                <w:szCs w:val="23"/>
                <w:lang w:val="fr-CA"/>
              </w:rPr>
            </w:pPr>
            <w:r w:rsidRPr="00F52884">
              <w:rPr>
                <w:rFonts w:eastAsia="Calibri" w:cstheme="minorHAnsi"/>
                <w:b/>
                <w:bCs/>
                <w:szCs w:val="23"/>
                <w:lang w:val="fr-CA"/>
              </w:rPr>
              <w:t>Secteur :</w:t>
            </w:r>
          </w:p>
        </w:tc>
        <w:tc>
          <w:tcPr>
            <w:tcW w:w="7776" w:type="dxa"/>
            <w:gridSpan w:val="2"/>
            <w:tcBorders>
              <w:top w:val="single" w:sz="4" w:space="0" w:color="C0C0C0"/>
              <w:left w:val="single" w:sz="4" w:space="0" w:color="FFFFFF"/>
              <w:bottom w:val="single" w:sz="4" w:space="0" w:color="C0C0C0"/>
              <w:right w:val="nil"/>
            </w:tcBorders>
            <w:vAlign w:val="center"/>
          </w:tcPr>
          <w:p w14:paraId="6B62F822" w14:textId="77777777" w:rsidR="00B8348C" w:rsidRPr="00F52884" w:rsidRDefault="00B8348C" w:rsidP="000C25A3">
            <w:pPr>
              <w:spacing w:before="60" w:after="60" w:line="259" w:lineRule="auto"/>
              <w:rPr>
                <w:rFonts w:eastAsia="Calibri" w:cstheme="minorHAnsi"/>
                <w:szCs w:val="23"/>
                <w:lang w:val="fr-CA"/>
              </w:rPr>
            </w:pPr>
            <w:r w:rsidRPr="00F52884">
              <w:rPr>
                <w:rFonts w:eastAsia="Calibri" w:cstheme="minorHAnsi"/>
                <w:szCs w:val="23"/>
                <w:lang w:val="fr-CA"/>
              </w:rPr>
              <w:t>Énergie</w:t>
            </w:r>
          </w:p>
        </w:tc>
      </w:tr>
      <w:tr w:rsidR="00B8348C" w:rsidRPr="0068240F" w14:paraId="4079549F" w14:textId="77777777" w:rsidTr="004E1EFC">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08A479B0" w14:textId="77777777" w:rsidR="00B8348C" w:rsidRPr="00F52884" w:rsidRDefault="00B8348C" w:rsidP="000C25A3">
            <w:pPr>
              <w:spacing w:before="60" w:after="60" w:line="259" w:lineRule="auto"/>
              <w:rPr>
                <w:rFonts w:eastAsia="Calibri" w:cstheme="minorHAnsi"/>
                <w:b/>
                <w:szCs w:val="23"/>
                <w:lang w:val="fr-CA"/>
              </w:rPr>
            </w:pPr>
            <w:r w:rsidRPr="00F52884">
              <w:rPr>
                <w:rFonts w:eastAsia="Calibri" w:cstheme="minorHAnsi"/>
                <w:b/>
                <w:bCs/>
                <w:szCs w:val="23"/>
                <w:lang w:val="fr-CA"/>
              </w:rPr>
              <w:t>Sous-secteur :</w:t>
            </w:r>
          </w:p>
        </w:tc>
        <w:tc>
          <w:tcPr>
            <w:tcW w:w="7776" w:type="dxa"/>
            <w:gridSpan w:val="2"/>
            <w:tcBorders>
              <w:top w:val="single" w:sz="4" w:space="0" w:color="C0C0C0"/>
              <w:left w:val="single" w:sz="4" w:space="0" w:color="FFFFFF"/>
              <w:bottom w:val="single" w:sz="4" w:space="0" w:color="C0C0C0"/>
              <w:right w:val="nil"/>
            </w:tcBorders>
            <w:vAlign w:val="center"/>
          </w:tcPr>
          <w:p w14:paraId="28DCFA41"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Énergie électrique; services annexes à la distribution d’énergie</w:t>
            </w:r>
          </w:p>
        </w:tc>
      </w:tr>
      <w:tr w:rsidR="00B8348C" w:rsidRPr="00F52884" w14:paraId="38ABD27F" w14:textId="77777777" w:rsidTr="004E1EFC">
        <w:trPr>
          <w:gridAfter w:val="1"/>
          <w:wAfter w:w="36"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09B03CC5"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t>Classification de l’industrie :</w:t>
            </w:r>
          </w:p>
        </w:tc>
        <w:tc>
          <w:tcPr>
            <w:tcW w:w="7740" w:type="dxa"/>
            <w:tcBorders>
              <w:top w:val="single" w:sz="4" w:space="0" w:color="C0C0C0"/>
              <w:left w:val="single" w:sz="4" w:space="0" w:color="FFFFFF"/>
              <w:bottom w:val="single" w:sz="4" w:space="0" w:color="C0C0C0"/>
              <w:right w:val="nil"/>
            </w:tcBorders>
            <w:vAlign w:val="center"/>
          </w:tcPr>
          <w:p w14:paraId="4917FF59" w14:textId="77777777" w:rsidR="00B8348C" w:rsidRPr="00F52884" w:rsidRDefault="00B8348C" w:rsidP="000C25A3">
            <w:pPr>
              <w:spacing w:before="60" w:after="60" w:line="259" w:lineRule="auto"/>
              <w:ind w:left="28" w:hanging="28"/>
              <w:rPr>
                <w:rFonts w:eastAsia="Calibri" w:cstheme="minorHAnsi"/>
                <w:szCs w:val="23"/>
              </w:rPr>
            </w:pPr>
            <w:r w:rsidRPr="00F52884">
              <w:rPr>
                <w:rFonts w:eastAsia="Calibri" w:cstheme="minorHAnsi"/>
                <w:szCs w:val="23"/>
                <w:lang w:val="fr-CA"/>
              </w:rPr>
              <w:t>CPC 171, 887</w:t>
            </w:r>
          </w:p>
        </w:tc>
      </w:tr>
      <w:tr w:rsidR="00B8348C" w:rsidRPr="0068240F" w14:paraId="2E17E9A3" w14:textId="77777777" w:rsidTr="004E1EFC">
        <w:trPr>
          <w:trHeight w:val="42"/>
          <w:jc w:val="center"/>
        </w:trPr>
        <w:tc>
          <w:tcPr>
            <w:tcW w:w="2430" w:type="dxa"/>
            <w:tcBorders>
              <w:top w:val="single" w:sz="4" w:space="0" w:color="C0C0C0"/>
              <w:left w:val="nil"/>
              <w:bottom w:val="single" w:sz="4" w:space="0" w:color="C0C0C0"/>
            </w:tcBorders>
          </w:tcPr>
          <w:p w14:paraId="32B731D2" w14:textId="26F288B6" w:rsidR="00B8348C" w:rsidRPr="00F52884" w:rsidRDefault="00B8348C" w:rsidP="000C25A3">
            <w:pPr>
              <w:spacing w:before="60" w:after="60"/>
              <w:ind w:left="2362" w:hanging="2362"/>
              <w:rPr>
                <w:rFonts w:eastAsia="Times New Roman" w:cstheme="minorHAnsi"/>
                <w:szCs w:val="23"/>
              </w:rPr>
            </w:pPr>
            <w:r w:rsidRPr="00F52884">
              <w:rPr>
                <w:rFonts w:eastAsia="Times New Roman" w:cstheme="minorHAnsi"/>
                <w:b/>
                <w:bCs/>
                <w:szCs w:val="23"/>
                <w:lang w:val="fr-CA"/>
              </w:rPr>
              <w:lastRenderedPageBreak/>
              <w:t xml:space="preserve">Type d’exception :       </w:t>
            </w:r>
          </w:p>
        </w:tc>
        <w:tc>
          <w:tcPr>
            <w:tcW w:w="7776" w:type="dxa"/>
            <w:gridSpan w:val="2"/>
            <w:tcBorders>
              <w:top w:val="single" w:sz="4" w:space="0" w:color="C0C0C0"/>
              <w:left w:val="nil"/>
              <w:bottom w:val="single" w:sz="4" w:space="0" w:color="C0C0C0"/>
            </w:tcBorders>
          </w:tcPr>
          <w:p w14:paraId="38FF1D68"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Article 301 (Droit d’entrée et de sortie), article 307 (Accès aux marchés – Services), article 312 (Accès aux marchés – Investissement)</w:t>
            </w:r>
          </w:p>
        </w:tc>
      </w:tr>
      <w:tr w:rsidR="00B8348C" w:rsidRPr="00F52884" w14:paraId="2BD26A95"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66AD74C" w14:textId="77777777" w:rsidR="00B8348C" w:rsidRPr="00F52884" w:rsidRDefault="00B8348C" w:rsidP="000C25A3">
            <w:pPr>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4C9AA0BA"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424FA627" w14:textId="77777777" w:rsidR="00B8348C" w:rsidRPr="00F52884" w:rsidRDefault="00B8348C" w:rsidP="000C25A3">
            <w:pPr>
              <w:spacing w:before="120" w:after="120"/>
              <w:rPr>
                <w:rFonts w:eastAsia="Times New Roman" w:cstheme="minorHAnsi"/>
                <w:szCs w:val="23"/>
                <w:lang w:val="fr-FR"/>
              </w:rPr>
            </w:pPr>
            <w:r w:rsidRPr="00F52884">
              <w:rPr>
                <w:rFonts w:eastAsia="Times New Roman" w:cstheme="minorHAnsi"/>
                <w:szCs w:val="23"/>
                <w:lang w:val="fr-CA"/>
              </w:rPr>
              <w:t>Le gouvernement de Terre-Neuve-et-Labrador se réserve le droit d’adopter ou de maintenir une mesure se rapportant aux sous-secteurs susmentionnés qui :</w:t>
            </w:r>
          </w:p>
          <w:p w14:paraId="04A5FFB6" w14:textId="6FC50864" w:rsidR="00B8348C" w:rsidRPr="00F52884" w:rsidRDefault="00B8348C" w:rsidP="000C25A3">
            <w:pPr>
              <w:spacing w:before="120" w:after="120"/>
              <w:ind w:left="906" w:hanging="540"/>
              <w:rPr>
                <w:rFonts w:eastAsia="Times New Roman" w:cstheme="minorHAnsi"/>
                <w:szCs w:val="23"/>
                <w:lang w:val="fr-FR"/>
              </w:rPr>
            </w:pPr>
            <w:r w:rsidRPr="00F52884">
              <w:rPr>
                <w:rFonts w:eastAsia="Times New Roman" w:cstheme="minorHAnsi"/>
                <w:szCs w:val="23"/>
                <w:lang w:val="fr-CA"/>
              </w:rPr>
              <w:t>a)</w:t>
            </w:r>
            <w:r w:rsidRPr="00F52884">
              <w:rPr>
                <w:rFonts w:eastAsia="Times New Roman" w:cstheme="minorHAnsi"/>
                <w:szCs w:val="23"/>
                <w:lang w:val="fr-CA"/>
              </w:rPr>
              <w:tab/>
              <w:t>limite le nombre d’investissements visés ou de fournisseurs de services, que ce soit sous la forme de contingents numériques, de monopoles, de fournisseurs exclusifs de services ou de l’exigence d’un examen des besoins économiques;</w:t>
            </w:r>
          </w:p>
          <w:p w14:paraId="6F4F9EEA" w14:textId="41738722" w:rsidR="00B8348C" w:rsidRPr="00F52884" w:rsidRDefault="00B8348C" w:rsidP="000C25A3">
            <w:pPr>
              <w:spacing w:before="120" w:after="120"/>
              <w:ind w:left="906" w:hanging="540"/>
              <w:rPr>
                <w:rFonts w:eastAsia="Times New Roman" w:cstheme="minorHAnsi"/>
                <w:szCs w:val="23"/>
                <w:lang w:val="fr-FR"/>
              </w:rPr>
            </w:pPr>
            <w:r w:rsidRPr="00F52884">
              <w:rPr>
                <w:rFonts w:eastAsia="Times New Roman" w:cstheme="minorHAnsi"/>
                <w:szCs w:val="23"/>
                <w:lang w:val="fr-CA"/>
              </w:rPr>
              <w:t>b)</w:t>
            </w:r>
            <w:r w:rsidRPr="00F52884">
              <w:rPr>
                <w:rFonts w:eastAsia="Times New Roman" w:cstheme="minorHAnsi"/>
                <w:szCs w:val="23"/>
                <w:lang w:val="fr-CA"/>
              </w:rPr>
              <w:tab/>
              <w:t>restreint ou prescrit un type spécifique d’entité juridique ou de coentreprise par l’intermédiaire duquel un investisseur peut mener une activité économique;</w:t>
            </w:r>
          </w:p>
          <w:p w14:paraId="5C9060E1" w14:textId="320CE386" w:rsidR="00B8348C" w:rsidRPr="00F52884" w:rsidRDefault="00B8348C" w:rsidP="000C25A3">
            <w:pPr>
              <w:spacing w:before="120" w:after="120"/>
              <w:ind w:left="906" w:hanging="540"/>
              <w:rPr>
                <w:rFonts w:eastAsia="Times New Roman" w:cstheme="minorHAnsi"/>
                <w:szCs w:val="23"/>
                <w:lang w:val="fr-FR"/>
              </w:rPr>
            </w:pPr>
            <w:r w:rsidRPr="00F52884">
              <w:rPr>
                <w:rFonts w:eastAsia="Times New Roman" w:cstheme="minorHAnsi"/>
                <w:szCs w:val="23"/>
                <w:lang w:val="fr-CA"/>
              </w:rPr>
              <w:t>c)</w:t>
            </w:r>
            <w:r w:rsidRPr="00F52884">
              <w:rPr>
                <w:rFonts w:eastAsia="Times New Roman" w:cstheme="minorHAnsi"/>
                <w:szCs w:val="23"/>
                <w:lang w:val="fr-CA"/>
              </w:rPr>
              <w:tab/>
              <w:t>impose des restrictions ou des limitations sur la circulation interprovinciale des produits.</w:t>
            </w:r>
          </w:p>
          <w:p w14:paraId="29E18AE8" w14:textId="0813F51A" w:rsidR="00B8348C" w:rsidRPr="00F52884" w:rsidRDefault="00B8348C" w:rsidP="00B8348C">
            <w:pPr>
              <w:spacing w:before="120" w:after="120"/>
              <w:rPr>
                <w:rFonts w:eastAsia="Times New Roman" w:cstheme="minorHAnsi"/>
                <w:szCs w:val="23"/>
                <w:lang w:val="fr-FR"/>
              </w:rPr>
            </w:pPr>
            <w:r w:rsidRPr="00F52884">
              <w:rPr>
                <w:rFonts w:eastAsia="Times New Roman" w:cstheme="minorHAnsi"/>
                <w:szCs w:val="23"/>
                <w:lang w:val="fr-CA"/>
              </w:rPr>
              <w:t>Il est entendu que la présente exception est sans préjudice du droit de Terre-Neuve-et-Labrador d’imposer des limitations à la participation de capital étranger au moment de la vente ou de la cession de son capital-actions dans une entreprise publique existante ou une entité publique existante, ou des actifs d’une telle entreprise ou entité.</w:t>
            </w:r>
          </w:p>
        </w:tc>
      </w:tr>
      <w:tr w:rsidR="00B8348C" w:rsidRPr="0068240F" w14:paraId="300DF807"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314CD1F" w14:textId="00AEA072" w:rsidR="00B8348C" w:rsidRPr="00F52884" w:rsidRDefault="00B8348C" w:rsidP="00B8348C">
            <w:pPr>
              <w:spacing w:before="60" w:after="60"/>
              <w:rPr>
                <w:rFonts w:eastAsia="Times New Roman" w:cstheme="minorHAnsi"/>
                <w:caps/>
                <w:szCs w:val="23"/>
                <w:lang w:val="fr-FR"/>
              </w:rPr>
            </w:pPr>
            <w:r w:rsidRPr="00F52884">
              <w:rPr>
                <w:rFonts w:eastAsia="Times New Roman" w:cstheme="minorHAnsi"/>
                <w:b/>
                <w:bCs/>
                <w:szCs w:val="23"/>
                <w:lang w:val="fr-CA"/>
              </w:rPr>
              <w:t>Toute mesure existante :</w:t>
            </w:r>
            <w:r w:rsidRPr="00F52884">
              <w:rPr>
                <w:rFonts w:eastAsia="Times New Roman" w:cstheme="minorHAnsi"/>
                <w:caps/>
                <w:szCs w:val="23"/>
                <w:lang w:val="fr-CA"/>
              </w:rPr>
              <w:t xml:space="preserve"> </w:t>
            </w:r>
            <w:proofErr w:type="gramStart"/>
            <w:r w:rsidRPr="00F52884">
              <w:rPr>
                <w:rFonts w:eastAsia="Times New Roman" w:cstheme="minorHAnsi"/>
                <w:caps/>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eastAsia="Times New Roman" w:cstheme="minorHAnsi"/>
                <w:caps/>
                <w:szCs w:val="23"/>
                <w:lang w:val="fr-CA"/>
              </w:rPr>
              <w:t>)</w:t>
            </w:r>
          </w:p>
        </w:tc>
      </w:tr>
      <w:tr w:rsidR="00F52884" w:rsidRPr="00F52884" w14:paraId="6504AEB2"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22F0EF40" w14:textId="464DD928"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Electrical Power Control Act, 1994</w:t>
            </w:r>
            <w:r w:rsidRPr="00F52884">
              <w:rPr>
                <w:rFonts w:eastAsia="Times New Roman" w:cstheme="minorHAnsi"/>
                <w:szCs w:val="23"/>
                <w:lang w:val="en-US"/>
              </w:rPr>
              <w:t>, SNL 1994, c E-5.1</w:t>
            </w:r>
          </w:p>
          <w:p w14:paraId="10172167" w14:textId="33909FA9"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Energy Corporation Act</w:t>
            </w:r>
            <w:r w:rsidRPr="00F52884">
              <w:rPr>
                <w:rFonts w:eastAsia="Times New Roman" w:cstheme="minorHAnsi"/>
                <w:szCs w:val="23"/>
                <w:lang w:val="en-US"/>
              </w:rPr>
              <w:t>, SNL 2007, c E-11.01</w:t>
            </w:r>
          </w:p>
          <w:p w14:paraId="626913E7" w14:textId="4E49EA50"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Energy Corporation of Newfoundland and Labrador Water Rights Act</w:t>
            </w:r>
            <w:r w:rsidRPr="00F52884">
              <w:rPr>
                <w:rFonts w:eastAsia="Times New Roman" w:cstheme="minorHAnsi"/>
                <w:szCs w:val="23"/>
                <w:lang w:val="en-US"/>
              </w:rPr>
              <w:t>, SNL 2008, c E-11.02</w:t>
            </w:r>
          </w:p>
          <w:p w14:paraId="742D7A8D" w14:textId="04AEE9B0"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Hydro Corporation Act, 2007</w:t>
            </w:r>
            <w:r w:rsidRPr="00F52884">
              <w:rPr>
                <w:rFonts w:eastAsia="Times New Roman" w:cstheme="minorHAnsi"/>
                <w:szCs w:val="23"/>
                <w:lang w:val="en-US"/>
              </w:rPr>
              <w:t>, SNL 2007, c H-17</w:t>
            </w:r>
          </w:p>
          <w:p w14:paraId="0FC37A2C" w14:textId="4547CA9F"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Lower Churchill Development Act</w:t>
            </w:r>
            <w:r w:rsidRPr="00F52884">
              <w:rPr>
                <w:rFonts w:eastAsia="Times New Roman" w:cstheme="minorHAnsi"/>
                <w:szCs w:val="23"/>
                <w:lang w:val="en-US"/>
              </w:rPr>
              <w:t>, RSNL 1990, c L-27</w:t>
            </w:r>
          </w:p>
          <w:p w14:paraId="5932A2B4" w14:textId="6E350CC0"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 xml:space="preserve">Lands Act, </w:t>
            </w:r>
            <w:r w:rsidRPr="00F52884">
              <w:rPr>
                <w:rFonts w:eastAsia="Times New Roman" w:cstheme="minorHAnsi"/>
                <w:szCs w:val="23"/>
                <w:lang w:val="en-US"/>
              </w:rPr>
              <w:t>SNL 1991, c 36</w:t>
            </w:r>
          </w:p>
          <w:p w14:paraId="0698C07D" w14:textId="04371D89"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Muskrat Falls Project Land Use and Expropriation Act</w:t>
            </w:r>
            <w:r w:rsidRPr="00F52884">
              <w:rPr>
                <w:rFonts w:eastAsia="Times New Roman" w:cstheme="minorHAnsi"/>
                <w:szCs w:val="23"/>
                <w:lang w:val="en-US"/>
              </w:rPr>
              <w:t>, SNL 2012, c M-25</w:t>
            </w:r>
          </w:p>
          <w:p w14:paraId="2D1D40DF" w14:textId="5174C6F1"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Public Utilities Act</w:t>
            </w:r>
            <w:r w:rsidRPr="00F52884">
              <w:rPr>
                <w:rFonts w:eastAsia="Times New Roman" w:cstheme="minorHAnsi"/>
                <w:szCs w:val="23"/>
                <w:lang w:val="en-US"/>
              </w:rPr>
              <w:t>, RSNL 1990, c P-47</w:t>
            </w:r>
          </w:p>
          <w:p w14:paraId="564E6D19" w14:textId="274D0968" w:rsidR="00B8348C" w:rsidRPr="00F52884" w:rsidRDefault="00B8348C" w:rsidP="000C25A3">
            <w:pPr>
              <w:spacing w:before="60" w:after="60"/>
              <w:rPr>
                <w:rFonts w:eastAsia="Times New Roman" w:cstheme="minorHAnsi"/>
                <w:szCs w:val="23"/>
              </w:rPr>
            </w:pPr>
            <w:r w:rsidRPr="00F52884">
              <w:rPr>
                <w:rFonts w:eastAsia="Times New Roman" w:cstheme="minorHAnsi"/>
                <w:i/>
                <w:iCs/>
                <w:szCs w:val="23"/>
                <w:lang w:val="en-US"/>
              </w:rPr>
              <w:t>The Churchill Falls (Labrador) Corporation Limited (Lease) Act</w:t>
            </w:r>
            <w:r w:rsidRPr="00F52884">
              <w:rPr>
                <w:rFonts w:eastAsia="Times New Roman" w:cstheme="minorHAnsi"/>
                <w:szCs w:val="23"/>
                <w:lang w:val="en-US"/>
              </w:rPr>
              <w:t xml:space="preserve">, </w:t>
            </w:r>
            <w:r w:rsidRPr="00F52884">
              <w:rPr>
                <w:rFonts w:eastAsia="Times New Roman" w:cstheme="minorHAnsi"/>
                <w:i/>
                <w:iCs/>
                <w:szCs w:val="23"/>
                <w:lang w:val="en-US"/>
              </w:rPr>
              <w:t>1961</w:t>
            </w:r>
            <w:r w:rsidRPr="00F52884">
              <w:rPr>
                <w:rFonts w:eastAsia="Times New Roman" w:cstheme="minorHAnsi"/>
                <w:szCs w:val="23"/>
                <w:lang w:val="en-US"/>
              </w:rPr>
              <w:t>, SNL 1961, c 51</w:t>
            </w:r>
          </w:p>
          <w:p w14:paraId="19BC39DE" w14:textId="516E9021" w:rsidR="00B8348C" w:rsidRPr="00B04E29" w:rsidRDefault="00B8348C" w:rsidP="000C25A3">
            <w:pPr>
              <w:spacing w:before="60" w:after="60"/>
              <w:rPr>
                <w:rFonts w:eastAsia="Times New Roman" w:cstheme="minorHAnsi"/>
                <w:b/>
                <w:szCs w:val="23"/>
              </w:rPr>
            </w:pPr>
            <w:r w:rsidRPr="00F52884">
              <w:rPr>
                <w:rFonts w:eastAsia="Times New Roman" w:cstheme="minorHAnsi"/>
                <w:i/>
                <w:iCs/>
                <w:szCs w:val="23"/>
              </w:rPr>
              <w:t>Water Resources Act</w:t>
            </w:r>
            <w:r w:rsidRPr="00F52884">
              <w:rPr>
                <w:rFonts w:eastAsia="Times New Roman" w:cstheme="minorHAnsi"/>
                <w:szCs w:val="23"/>
              </w:rPr>
              <w:t>, S</w:t>
            </w:r>
            <w:r w:rsidRPr="00F52884">
              <w:rPr>
                <w:rFonts w:eastAsia="Times New Roman" w:cstheme="minorHAnsi"/>
                <w:szCs w:val="23"/>
                <w:lang w:val="en-US"/>
              </w:rPr>
              <w:t xml:space="preserve">NL </w:t>
            </w:r>
            <w:r w:rsidRPr="00F52884">
              <w:rPr>
                <w:rFonts w:eastAsia="Times New Roman" w:cstheme="minorHAnsi"/>
                <w:szCs w:val="23"/>
              </w:rPr>
              <w:t>2002, c </w:t>
            </w:r>
            <w:r w:rsidRPr="00B04E29">
              <w:rPr>
                <w:rFonts w:eastAsia="Times New Roman" w:cstheme="minorHAnsi"/>
                <w:szCs w:val="23"/>
              </w:rPr>
              <w:t>W-4.01</w:t>
            </w:r>
          </w:p>
        </w:tc>
      </w:tr>
    </w:tbl>
    <w:p w14:paraId="7FAED394" w14:textId="77777777" w:rsidR="00B8348C" w:rsidRPr="00B04E29" w:rsidRDefault="00B8348C" w:rsidP="000C25A3">
      <w:pPr>
        <w:spacing w:line="259" w:lineRule="auto"/>
        <w:rPr>
          <w:rFonts w:eastAsia="Calibri" w:cstheme="minorHAnsi"/>
          <w:b/>
          <w:szCs w:val="23"/>
        </w:rPr>
      </w:pPr>
    </w:p>
    <w:p w14:paraId="70F7CAB3" w14:textId="77777777" w:rsidR="00B8348C" w:rsidRPr="00B04E29" w:rsidRDefault="00B8348C" w:rsidP="000C25A3">
      <w:pPr>
        <w:spacing w:line="259" w:lineRule="auto"/>
        <w:rPr>
          <w:rFonts w:eastAsia="Calibri" w:cstheme="minorHAnsi"/>
          <w:b/>
          <w:szCs w:val="23"/>
        </w:rPr>
      </w:pPr>
    </w:p>
    <w:p w14:paraId="6D2831A1" w14:textId="505235DC" w:rsidR="00B8348C" w:rsidRPr="00F52884" w:rsidRDefault="00B8348C" w:rsidP="004E1EFC">
      <w:pPr>
        <w:spacing w:before="60" w:after="60"/>
        <w:ind w:left="-360"/>
        <w:rPr>
          <w:rFonts w:cstheme="minorHAnsi"/>
          <w:b/>
          <w:caps/>
          <w:szCs w:val="23"/>
          <w:lang w:val="fr-CA"/>
        </w:rPr>
      </w:pPr>
      <w:r w:rsidRPr="00F52884">
        <w:rPr>
          <w:rFonts w:cstheme="minorHAnsi"/>
          <w:b/>
          <w:bCs/>
          <w:caps/>
          <w:szCs w:val="23"/>
          <w:lang w:val="fr-CA"/>
        </w:rPr>
        <w:t xml:space="preserve">3. </w:t>
      </w:r>
      <w:r w:rsidR="004E1EFC" w:rsidRPr="00F52884">
        <w:rPr>
          <w:rFonts w:cstheme="minorHAnsi"/>
          <w:b/>
          <w:bCs/>
          <w:caps/>
          <w:szCs w:val="23"/>
          <w:lang w:val="fr-CA"/>
        </w:rPr>
        <w:t xml:space="preserve"> </w:t>
      </w:r>
      <w:r w:rsidRPr="00F52884">
        <w:rPr>
          <w:rFonts w:cstheme="minorHAnsi"/>
          <w:b/>
          <w:bCs/>
          <w:caps/>
          <w:szCs w:val="23"/>
          <w:lang w:val="fr-CA"/>
        </w:rPr>
        <w:t>Terre-Neuve-et-Labrador</w:t>
      </w:r>
    </w:p>
    <w:tbl>
      <w:tblPr>
        <w:tblW w:w="10206" w:type="dxa"/>
        <w:jc w:val="center"/>
        <w:tblLayout w:type="fixed"/>
        <w:tblCellMar>
          <w:top w:w="14" w:type="dxa"/>
          <w:left w:w="86" w:type="dxa"/>
          <w:bottom w:w="14" w:type="dxa"/>
          <w:right w:w="86" w:type="dxa"/>
        </w:tblCellMar>
        <w:tblLook w:val="0000" w:firstRow="0" w:lastRow="0" w:firstColumn="0" w:lastColumn="0" w:noHBand="0" w:noVBand="0"/>
      </w:tblPr>
      <w:tblGrid>
        <w:gridCol w:w="2430"/>
        <w:gridCol w:w="7740"/>
        <w:gridCol w:w="36"/>
      </w:tblGrid>
      <w:tr w:rsidR="00B8348C" w:rsidRPr="00F52884" w14:paraId="55279DC8" w14:textId="77777777" w:rsidTr="004E1EFC">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A04F064" w14:textId="77777777" w:rsidR="00B8348C" w:rsidRPr="00F52884" w:rsidRDefault="00B8348C" w:rsidP="000C25A3">
            <w:pPr>
              <w:spacing w:before="60" w:after="60" w:line="259" w:lineRule="auto"/>
              <w:rPr>
                <w:rFonts w:eastAsia="Calibri" w:cstheme="minorHAnsi"/>
                <w:b/>
                <w:szCs w:val="23"/>
                <w:lang w:val="fr-CA"/>
              </w:rPr>
            </w:pPr>
            <w:r w:rsidRPr="00F52884">
              <w:rPr>
                <w:rFonts w:eastAsia="Calibri" w:cstheme="minorHAnsi"/>
                <w:b/>
                <w:bCs/>
                <w:szCs w:val="23"/>
                <w:lang w:val="fr-CA"/>
              </w:rPr>
              <w:t>Secteur :</w:t>
            </w:r>
          </w:p>
        </w:tc>
        <w:tc>
          <w:tcPr>
            <w:tcW w:w="7776" w:type="dxa"/>
            <w:gridSpan w:val="2"/>
            <w:tcBorders>
              <w:top w:val="single" w:sz="4" w:space="0" w:color="C0C0C0"/>
              <w:left w:val="single" w:sz="4" w:space="0" w:color="FFFFFF"/>
              <w:bottom w:val="single" w:sz="4" w:space="0" w:color="C0C0C0"/>
              <w:right w:val="nil"/>
            </w:tcBorders>
            <w:vAlign w:val="center"/>
          </w:tcPr>
          <w:p w14:paraId="6A86EC64" w14:textId="77777777" w:rsidR="00B8348C" w:rsidRPr="00F52884" w:rsidRDefault="00B8348C" w:rsidP="000C25A3">
            <w:pPr>
              <w:spacing w:before="60" w:after="60" w:line="259" w:lineRule="auto"/>
              <w:rPr>
                <w:rFonts w:eastAsia="Calibri" w:cstheme="minorHAnsi"/>
                <w:szCs w:val="23"/>
                <w:lang w:val="fr-CA"/>
              </w:rPr>
            </w:pPr>
            <w:r w:rsidRPr="00F52884">
              <w:rPr>
                <w:rFonts w:eastAsia="Calibri" w:cstheme="minorHAnsi"/>
                <w:szCs w:val="23"/>
                <w:lang w:val="fr-CA"/>
              </w:rPr>
              <w:t>Sylviculture</w:t>
            </w:r>
          </w:p>
        </w:tc>
      </w:tr>
      <w:tr w:rsidR="00B8348C" w:rsidRPr="0068240F" w14:paraId="66CA3DDE" w14:textId="77777777" w:rsidTr="004E1EFC">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6BDCD93F" w14:textId="77777777" w:rsidR="00B8348C" w:rsidRPr="00F52884" w:rsidRDefault="00B8348C" w:rsidP="000C25A3">
            <w:pPr>
              <w:spacing w:before="60" w:after="60" w:line="259" w:lineRule="auto"/>
              <w:rPr>
                <w:rFonts w:eastAsia="Calibri" w:cstheme="minorHAnsi"/>
                <w:b/>
                <w:szCs w:val="23"/>
                <w:lang w:val="fr-CA"/>
              </w:rPr>
            </w:pPr>
            <w:r w:rsidRPr="00F52884">
              <w:rPr>
                <w:rFonts w:eastAsia="Calibri" w:cstheme="minorHAnsi"/>
                <w:b/>
                <w:bCs/>
                <w:szCs w:val="23"/>
                <w:lang w:val="fr-CA"/>
              </w:rPr>
              <w:t>Sous-secteur :</w:t>
            </w:r>
          </w:p>
        </w:tc>
        <w:tc>
          <w:tcPr>
            <w:tcW w:w="7776" w:type="dxa"/>
            <w:gridSpan w:val="2"/>
            <w:tcBorders>
              <w:top w:val="single" w:sz="4" w:space="0" w:color="C0C0C0"/>
              <w:left w:val="single" w:sz="4" w:space="0" w:color="FFFFFF"/>
              <w:bottom w:val="single" w:sz="4" w:space="0" w:color="C0C0C0"/>
              <w:right w:val="nil"/>
            </w:tcBorders>
            <w:vAlign w:val="center"/>
          </w:tcPr>
          <w:p w14:paraId="12872CB1"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Sylviculture et produits de l’exploitation forestière; transformation des ressources forestières; services annexes à l’agriculture, à la chasse et à la sylviculture; et fabrication de papier et de produits en papier, à forfait ou sous contrat</w:t>
            </w:r>
          </w:p>
        </w:tc>
      </w:tr>
      <w:tr w:rsidR="00B8348C" w:rsidRPr="0068240F" w14:paraId="5D5A9676" w14:textId="77777777" w:rsidTr="004E1EFC">
        <w:trPr>
          <w:gridAfter w:val="1"/>
          <w:wAfter w:w="36"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77B456FF"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t>Classification de l’industrie :</w:t>
            </w:r>
          </w:p>
        </w:tc>
        <w:tc>
          <w:tcPr>
            <w:tcW w:w="7740" w:type="dxa"/>
            <w:tcBorders>
              <w:top w:val="single" w:sz="4" w:space="0" w:color="C0C0C0"/>
              <w:left w:val="single" w:sz="4" w:space="0" w:color="FFFFFF"/>
              <w:bottom w:val="single" w:sz="4" w:space="0" w:color="C0C0C0"/>
              <w:right w:val="nil"/>
            </w:tcBorders>
            <w:vAlign w:val="center"/>
          </w:tcPr>
          <w:p w14:paraId="5C7A5D4F" w14:textId="77777777" w:rsidR="00B8348C" w:rsidRPr="00F52884" w:rsidRDefault="00B8348C" w:rsidP="000C25A3">
            <w:pPr>
              <w:spacing w:before="60" w:after="60" w:line="259" w:lineRule="auto"/>
              <w:ind w:left="28" w:hanging="28"/>
              <w:rPr>
                <w:rFonts w:eastAsia="Calibri" w:cstheme="minorHAnsi"/>
                <w:szCs w:val="23"/>
                <w:lang w:val="fr-FR"/>
              </w:rPr>
            </w:pPr>
            <w:r w:rsidRPr="00F52884">
              <w:rPr>
                <w:rFonts w:eastAsia="Calibri" w:cstheme="minorHAnsi"/>
                <w:szCs w:val="23"/>
                <w:lang w:val="fr-CA"/>
              </w:rPr>
              <w:t>CPC 031, 321, 88430, 88441, 881 (sauf la location d’équipement agricole, avec opérateur, et 8814)</w:t>
            </w:r>
          </w:p>
        </w:tc>
      </w:tr>
      <w:tr w:rsidR="00B8348C" w:rsidRPr="0068240F" w14:paraId="75B459A3" w14:textId="77777777" w:rsidTr="004E1EFC">
        <w:trPr>
          <w:trHeight w:val="42"/>
          <w:jc w:val="center"/>
        </w:trPr>
        <w:tc>
          <w:tcPr>
            <w:tcW w:w="2430" w:type="dxa"/>
            <w:tcBorders>
              <w:top w:val="single" w:sz="4" w:space="0" w:color="C0C0C0"/>
              <w:left w:val="nil"/>
              <w:bottom w:val="single" w:sz="4" w:space="0" w:color="C0C0C0"/>
            </w:tcBorders>
          </w:tcPr>
          <w:p w14:paraId="774B02E2" w14:textId="16C74FF7" w:rsidR="00B8348C" w:rsidRPr="00F52884" w:rsidRDefault="00B8348C" w:rsidP="000C25A3">
            <w:pPr>
              <w:spacing w:before="60" w:after="60"/>
              <w:ind w:left="2362" w:hanging="236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tcBorders>
          </w:tcPr>
          <w:p w14:paraId="13BA8606" w14:textId="1831986A"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Article </w:t>
            </w:r>
            <w:r w:rsidR="00030438">
              <w:rPr>
                <w:rFonts w:eastAsia="Times New Roman" w:cstheme="minorHAnsi"/>
                <w:szCs w:val="23"/>
                <w:lang w:val="fr-CA"/>
              </w:rPr>
              <w:t>307</w:t>
            </w:r>
            <w:r w:rsidR="00030438" w:rsidRPr="00F52884">
              <w:rPr>
                <w:rFonts w:eastAsia="Times New Roman" w:cstheme="minorHAnsi"/>
                <w:szCs w:val="23"/>
                <w:lang w:val="fr-CA"/>
              </w:rPr>
              <w:t xml:space="preserve"> </w:t>
            </w:r>
            <w:r w:rsidRPr="00F52884">
              <w:rPr>
                <w:rFonts w:eastAsia="Times New Roman" w:cstheme="minorHAnsi"/>
                <w:szCs w:val="23"/>
                <w:lang w:val="fr-CA"/>
              </w:rPr>
              <w:t>(Accès aux marchés – Services) et article </w:t>
            </w:r>
            <w:r w:rsidR="00030438">
              <w:rPr>
                <w:rFonts w:eastAsia="Times New Roman" w:cstheme="minorHAnsi"/>
                <w:szCs w:val="23"/>
                <w:lang w:val="fr-CA"/>
              </w:rPr>
              <w:t>312</w:t>
            </w:r>
            <w:r w:rsidR="00030438" w:rsidRPr="00F52884">
              <w:rPr>
                <w:rFonts w:eastAsia="Times New Roman" w:cstheme="minorHAnsi"/>
                <w:szCs w:val="23"/>
                <w:lang w:val="fr-CA"/>
              </w:rPr>
              <w:t xml:space="preserve"> </w:t>
            </w:r>
            <w:r w:rsidRPr="00F52884">
              <w:rPr>
                <w:rFonts w:eastAsia="Times New Roman" w:cstheme="minorHAnsi"/>
                <w:szCs w:val="23"/>
                <w:lang w:val="fr-CA"/>
              </w:rPr>
              <w:t>(Accès aux marchés – Investissement)</w:t>
            </w:r>
          </w:p>
        </w:tc>
      </w:tr>
      <w:tr w:rsidR="00B8348C" w:rsidRPr="00F52884" w14:paraId="79A31DB0"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2DFAAAB" w14:textId="77777777" w:rsidR="00B8348C" w:rsidRPr="00F52884" w:rsidRDefault="00B8348C" w:rsidP="000C25A3">
            <w:pPr>
              <w:spacing w:before="60" w:after="60"/>
              <w:ind w:left="288" w:hanging="288"/>
              <w:rPr>
                <w:rFonts w:eastAsia="Times New Roman" w:cstheme="minorHAnsi"/>
                <w:szCs w:val="23"/>
              </w:rPr>
            </w:pPr>
            <w:r w:rsidRPr="00F52884">
              <w:rPr>
                <w:rFonts w:eastAsia="Times New Roman" w:cstheme="minorHAnsi"/>
                <w:b/>
                <w:bCs/>
                <w:szCs w:val="23"/>
                <w:lang w:val="fr-CA"/>
              </w:rPr>
              <w:lastRenderedPageBreak/>
              <w:t xml:space="preserve">Description : </w:t>
            </w:r>
          </w:p>
        </w:tc>
      </w:tr>
      <w:tr w:rsidR="00B8348C" w:rsidRPr="0068240F" w14:paraId="5960A23F"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01B6D24A" w14:textId="77777777" w:rsidR="00B8348C" w:rsidRPr="00F52884" w:rsidRDefault="00B8348C" w:rsidP="000C25A3">
            <w:pPr>
              <w:spacing w:before="120" w:after="120"/>
              <w:rPr>
                <w:rFonts w:eastAsia="Times New Roman" w:cstheme="minorHAnsi"/>
                <w:szCs w:val="23"/>
                <w:lang w:val="fr-FR"/>
              </w:rPr>
            </w:pPr>
            <w:r w:rsidRPr="00F52884">
              <w:rPr>
                <w:rFonts w:eastAsia="Times New Roman" w:cstheme="minorHAnsi"/>
                <w:szCs w:val="23"/>
                <w:lang w:val="fr-CA"/>
              </w:rPr>
              <w:t>Le gouvernement de Terre-Neuve-et-Labrador se réserve le droit d’adopter ou de maintenir une mesure se rapportant aux sous-secteurs susmentionnés qui :</w:t>
            </w:r>
          </w:p>
          <w:p w14:paraId="5DAE2358" w14:textId="080BD3A7" w:rsidR="00B8348C" w:rsidRPr="00F52884" w:rsidRDefault="00B8348C" w:rsidP="000C25A3">
            <w:pPr>
              <w:spacing w:before="120" w:after="120"/>
              <w:ind w:left="906" w:hanging="546"/>
              <w:rPr>
                <w:rFonts w:eastAsia="Times New Roman" w:cstheme="minorHAnsi"/>
                <w:szCs w:val="23"/>
                <w:lang w:val="fr-FR"/>
              </w:rPr>
            </w:pPr>
            <w:r w:rsidRPr="00F52884">
              <w:rPr>
                <w:rFonts w:eastAsia="Times New Roman" w:cstheme="minorHAnsi"/>
                <w:szCs w:val="23"/>
                <w:lang w:val="fr-CA"/>
              </w:rPr>
              <w:t>a)</w:t>
            </w:r>
            <w:r w:rsidRPr="00F52884">
              <w:rPr>
                <w:rFonts w:eastAsia="Times New Roman" w:cstheme="minorHAnsi"/>
                <w:szCs w:val="23"/>
                <w:lang w:val="fr-CA"/>
              </w:rPr>
              <w:tab/>
              <w:t>limite le nombre d’investissements visés ou de fournisseurs de services, que ce soit sous la forme de contingents numériques, de monopoles, de fournisseurs exclusifs de services ou de l’exigence d’un examen des besoins économiques</w:t>
            </w:r>
            <w:r w:rsidR="00AF5472">
              <w:rPr>
                <w:rFonts w:eastAsia="Times New Roman" w:cstheme="minorHAnsi"/>
                <w:szCs w:val="23"/>
                <w:lang w:val="fr-CA"/>
              </w:rPr>
              <w:t>.</w:t>
            </w:r>
          </w:p>
          <w:p w14:paraId="0C31463F" w14:textId="55C808CE" w:rsidR="00B8348C" w:rsidRPr="00F52884" w:rsidRDefault="00B8348C" w:rsidP="00B8348C">
            <w:pPr>
              <w:spacing w:before="120" w:after="120"/>
              <w:rPr>
                <w:rFonts w:eastAsia="Times New Roman" w:cstheme="minorHAnsi"/>
                <w:szCs w:val="23"/>
                <w:lang w:val="fr-FR"/>
              </w:rPr>
            </w:pPr>
            <w:r w:rsidRPr="00F52884">
              <w:rPr>
                <w:rFonts w:eastAsia="Times New Roman" w:cstheme="minorHAnsi"/>
                <w:szCs w:val="23"/>
                <w:lang w:val="fr-CA"/>
              </w:rPr>
              <w:t xml:space="preserve">Il est entendu que la présente exception est sans préjudice du droit de Terre-Neuve-et-Labrador d’imposer des limitations à la participation de capital étranger au moment de la vente ou de la cession de son capital-actions dans une entreprise publique existante ou une entité publique existante, ou des actifs d’une telle entreprise ou entité. </w:t>
            </w:r>
          </w:p>
        </w:tc>
      </w:tr>
      <w:tr w:rsidR="00B8348C" w:rsidRPr="00F52884" w14:paraId="2568D1B7"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B3D300A" w14:textId="77777777" w:rsidR="00B8348C" w:rsidRPr="00F52884" w:rsidRDefault="00B8348C" w:rsidP="000C25A3">
            <w:pPr>
              <w:spacing w:before="60" w:after="60"/>
              <w:rPr>
                <w:rFonts w:eastAsia="Times New Roman" w:cstheme="minorHAnsi"/>
                <w:caps/>
                <w:szCs w:val="23"/>
              </w:rPr>
            </w:pPr>
            <w:r w:rsidRPr="00F52884">
              <w:rPr>
                <w:rFonts w:eastAsia="Times New Roman" w:cstheme="minorHAnsi"/>
                <w:b/>
                <w:bCs/>
                <w:szCs w:val="23"/>
                <w:lang w:val="fr-CA"/>
              </w:rPr>
              <w:t>Toute mesure existante :</w:t>
            </w:r>
            <w:r w:rsidRPr="00F52884">
              <w:rPr>
                <w:rFonts w:eastAsia="Times New Roman" w:cstheme="minorHAnsi"/>
                <w:caps/>
                <w:szCs w:val="23"/>
                <w:lang w:val="fr-CA"/>
              </w:rPr>
              <w:t xml:space="preserve"> </w:t>
            </w:r>
          </w:p>
        </w:tc>
      </w:tr>
      <w:tr w:rsidR="00B8348C" w:rsidRPr="00F52884" w14:paraId="226471B9"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41422A7A" w14:textId="77777777" w:rsidR="00B8348C" w:rsidRPr="00F52884" w:rsidRDefault="00B8348C" w:rsidP="000C25A3">
            <w:pPr>
              <w:spacing w:before="60" w:after="60"/>
              <w:rPr>
                <w:rFonts w:eastAsia="Times New Roman" w:cstheme="minorHAnsi"/>
                <w:b/>
                <w:szCs w:val="23"/>
              </w:rPr>
            </w:pPr>
          </w:p>
        </w:tc>
      </w:tr>
    </w:tbl>
    <w:p w14:paraId="026B932A" w14:textId="77777777" w:rsidR="00B8348C" w:rsidRPr="00F52884" w:rsidRDefault="00B8348C" w:rsidP="000C25A3">
      <w:pPr>
        <w:rPr>
          <w:rFonts w:cstheme="minorHAnsi"/>
          <w:szCs w:val="23"/>
        </w:rPr>
      </w:pPr>
    </w:p>
    <w:p w14:paraId="73F95446" w14:textId="77777777" w:rsidR="00B8348C" w:rsidRPr="00F52884" w:rsidRDefault="00B8348C" w:rsidP="000C25A3">
      <w:pPr>
        <w:rPr>
          <w:rFonts w:cstheme="minorHAnsi"/>
          <w:caps/>
          <w:szCs w:val="23"/>
        </w:rPr>
      </w:pPr>
    </w:p>
    <w:p w14:paraId="3F22ED1B" w14:textId="48A2E156"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4. </w:t>
      </w:r>
      <w:r w:rsidR="004E1EFC" w:rsidRPr="00F52884">
        <w:rPr>
          <w:rFonts w:cstheme="minorHAnsi"/>
          <w:b/>
          <w:bCs/>
          <w:caps/>
          <w:szCs w:val="23"/>
          <w:lang w:val="fr-CA"/>
        </w:rPr>
        <w:t xml:space="preserve"> </w:t>
      </w:r>
      <w:r w:rsidRPr="00F52884">
        <w:rPr>
          <w:rFonts w:cstheme="minorHAnsi"/>
          <w:b/>
          <w:bCs/>
          <w:caps/>
          <w:szCs w:val="23"/>
          <w:lang w:val="fr-CA"/>
        </w:rPr>
        <w:t>Terre-Neuve-et-Labrador</w:t>
      </w:r>
    </w:p>
    <w:tbl>
      <w:tblPr>
        <w:tblW w:w="10206" w:type="dxa"/>
        <w:jc w:val="center"/>
        <w:tblLayout w:type="fixed"/>
        <w:tblCellMar>
          <w:top w:w="14" w:type="dxa"/>
          <w:left w:w="86" w:type="dxa"/>
          <w:bottom w:w="14" w:type="dxa"/>
          <w:right w:w="86" w:type="dxa"/>
        </w:tblCellMar>
        <w:tblLook w:val="0000" w:firstRow="0" w:lastRow="0" w:firstColumn="0" w:lastColumn="0" w:noHBand="0" w:noVBand="0"/>
      </w:tblPr>
      <w:tblGrid>
        <w:gridCol w:w="2430"/>
        <w:gridCol w:w="7418"/>
        <w:gridCol w:w="358"/>
      </w:tblGrid>
      <w:tr w:rsidR="00B8348C" w:rsidRPr="00F52884" w14:paraId="126BF8A5" w14:textId="77777777" w:rsidTr="004E1EFC">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39EEEFF6"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Secteur :</w:t>
            </w:r>
          </w:p>
        </w:tc>
        <w:tc>
          <w:tcPr>
            <w:tcW w:w="7776" w:type="dxa"/>
            <w:gridSpan w:val="2"/>
            <w:tcBorders>
              <w:top w:val="single" w:sz="4" w:space="0" w:color="C0C0C0"/>
              <w:left w:val="single" w:sz="4" w:space="0" w:color="FFFFFF"/>
              <w:bottom w:val="single" w:sz="4" w:space="0" w:color="C0C0C0"/>
              <w:right w:val="nil"/>
            </w:tcBorders>
            <w:vAlign w:val="center"/>
          </w:tcPr>
          <w:p w14:paraId="1E789154" w14:textId="77777777" w:rsidR="00B8348C" w:rsidRPr="00F52884" w:rsidRDefault="00B8348C" w:rsidP="000C25A3">
            <w:pPr>
              <w:spacing w:before="60" w:after="60" w:line="259" w:lineRule="auto"/>
              <w:rPr>
                <w:rFonts w:eastAsia="Calibri" w:cstheme="minorHAnsi"/>
                <w:szCs w:val="23"/>
              </w:rPr>
            </w:pPr>
            <w:r w:rsidRPr="00F52884">
              <w:rPr>
                <w:rFonts w:eastAsia="Calibri" w:cstheme="minorHAnsi"/>
                <w:szCs w:val="23"/>
                <w:lang w:val="fr-CA"/>
              </w:rPr>
              <w:t>Pêches et chasse</w:t>
            </w:r>
          </w:p>
        </w:tc>
      </w:tr>
      <w:tr w:rsidR="00B8348C" w:rsidRPr="0068240F" w14:paraId="4F286305" w14:textId="77777777" w:rsidTr="004E1EFC">
        <w:trPr>
          <w:trHeight w:val="42"/>
          <w:jc w:val="center"/>
        </w:trPr>
        <w:tc>
          <w:tcPr>
            <w:tcW w:w="2430" w:type="dxa"/>
            <w:tcBorders>
              <w:top w:val="single" w:sz="4" w:space="0" w:color="C0C0C0"/>
              <w:left w:val="nil"/>
              <w:bottom w:val="single" w:sz="4" w:space="0" w:color="C0C0C0"/>
              <w:right w:val="single" w:sz="4" w:space="0" w:color="FFFFFF"/>
            </w:tcBorders>
            <w:vAlign w:val="center"/>
          </w:tcPr>
          <w:p w14:paraId="532E7D19"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76" w:type="dxa"/>
            <w:gridSpan w:val="2"/>
            <w:tcBorders>
              <w:top w:val="single" w:sz="4" w:space="0" w:color="C0C0C0"/>
              <w:left w:val="single" w:sz="4" w:space="0" w:color="FFFFFF"/>
              <w:bottom w:val="single" w:sz="4" w:space="0" w:color="C0C0C0"/>
              <w:right w:val="nil"/>
            </w:tcBorders>
            <w:vAlign w:val="center"/>
          </w:tcPr>
          <w:p w14:paraId="398219E6"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Produits comestibles d’origine animale; peaux brutes d’autres animaux; poissons et autres produits de la pêche; autres viandes et abats comestibles, frais, réfrigérés ou congelés; huiles et graisses animales, brutes et raffinées; pelleteries tannées ou apprêtées; préparations et conserves de poissons; ventes à forfait ou sous contrat de produits alimentaires; boissons et tabacs; services de commerce de gros de produits de la pêche</w:t>
            </w:r>
          </w:p>
        </w:tc>
      </w:tr>
      <w:tr w:rsidR="00B8348C" w:rsidRPr="00F52884" w14:paraId="7ECB0A72" w14:textId="77777777" w:rsidTr="004E1EFC">
        <w:trPr>
          <w:gridAfter w:val="1"/>
          <w:wAfter w:w="358" w:type="dxa"/>
          <w:trHeight w:val="42"/>
          <w:jc w:val="center"/>
        </w:trPr>
        <w:tc>
          <w:tcPr>
            <w:tcW w:w="2430" w:type="dxa"/>
            <w:tcBorders>
              <w:top w:val="single" w:sz="4" w:space="0" w:color="C0C0C0"/>
              <w:left w:val="nil"/>
              <w:bottom w:val="single" w:sz="4" w:space="0" w:color="C0C0C0"/>
              <w:right w:val="single" w:sz="4" w:space="0" w:color="FFFFFF"/>
            </w:tcBorders>
            <w:vAlign w:val="center"/>
          </w:tcPr>
          <w:p w14:paraId="5B6BA82E"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t>Classification de l’industrie :</w:t>
            </w:r>
          </w:p>
        </w:tc>
        <w:tc>
          <w:tcPr>
            <w:tcW w:w="7418" w:type="dxa"/>
            <w:tcBorders>
              <w:top w:val="single" w:sz="4" w:space="0" w:color="C0C0C0"/>
              <w:left w:val="single" w:sz="4" w:space="0" w:color="FFFFFF"/>
              <w:bottom w:val="single" w:sz="4" w:space="0" w:color="C0C0C0"/>
              <w:right w:val="nil"/>
            </w:tcBorders>
            <w:vAlign w:val="center"/>
          </w:tcPr>
          <w:p w14:paraId="4C1FE618" w14:textId="77777777" w:rsidR="00B8348C" w:rsidRPr="00F52884" w:rsidRDefault="00B8348C" w:rsidP="000C25A3">
            <w:pPr>
              <w:spacing w:before="60" w:after="60" w:line="259" w:lineRule="auto"/>
              <w:ind w:left="28" w:hanging="28"/>
              <w:rPr>
                <w:rFonts w:eastAsia="Calibri" w:cstheme="minorHAnsi"/>
                <w:szCs w:val="23"/>
              </w:rPr>
            </w:pPr>
          </w:p>
        </w:tc>
      </w:tr>
      <w:tr w:rsidR="00B8348C" w:rsidRPr="0068240F" w14:paraId="45D010E6" w14:textId="77777777" w:rsidTr="004E1EFC">
        <w:trPr>
          <w:trHeight w:val="42"/>
          <w:jc w:val="center"/>
        </w:trPr>
        <w:tc>
          <w:tcPr>
            <w:tcW w:w="2430" w:type="dxa"/>
            <w:tcBorders>
              <w:top w:val="single" w:sz="4" w:space="0" w:color="C0C0C0"/>
              <w:left w:val="nil"/>
              <w:bottom w:val="single" w:sz="4" w:space="0" w:color="C0C0C0"/>
            </w:tcBorders>
          </w:tcPr>
          <w:p w14:paraId="4E5CAE8D" w14:textId="7606A8C4" w:rsidR="00B8348C" w:rsidRPr="00F52884" w:rsidRDefault="00B8348C" w:rsidP="000C25A3">
            <w:pPr>
              <w:tabs>
                <w:tab w:val="left" w:pos="2272"/>
              </w:tabs>
              <w:spacing w:before="60" w:after="60"/>
              <w:ind w:left="2362" w:hanging="236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tcBorders>
          </w:tcPr>
          <w:p w14:paraId="54A129DE"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Article 301 (Droit d’entrée et de sortie), article 307 (Accès aux marchés – Services), article 312 (Accès aux marchés – Investissement)</w:t>
            </w:r>
          </w:p>
        </w:tc>
      </w:tr>
      <w:tr w:rsidR="00B8348C" w:rsidRPr="00F52884" w14:paraId="5F399D72"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A252CEE" w14:textId="77777777" w:rsidR="00B8348C" w:rsidRPr="00F52884" w:rsidRDefault="00B8348C" w:rsidP="000C25A3">
            <w:pPr>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3B381BED" w14:textId="77777777" w:rsidTr="004E1EFC">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405A0956" w14:textId="77777777" w:rsidR="00B8348C" w:rsidRPr="00F52884" w:rsidRDefault="00B8348C" w:rsidP="000C25A3">
            <w:pPr>
              <w:spacing w:before="120" w:after="120"/>
              <w:rPr>
                <w:rFonts w:eastAsia="Times New Roman" w:cstheme="minorHAnsi"/>
                <w:szCs w:val="23"/>
                <w:lang w:val="fr-FR"/>
              </w:rPr>
            </w:pPr>
            <w:r w:rsidRPr="00F52884">
              <w:rPr>
                <w:rFonts w:eastAsia="Times New Roman" w:cstheme="minorHAnsi"/>
                <w:szCs w:val="23"/>
                <w:lang w:val="fr-CA"/>
              </w:rPr>
              <w:t>Le gouvernement de Terre-Neuve-et-Labrador se réserve le droit d’adopter ou de maintenir une mesure se rapportant aux sous-secteurs susmentionnés qui :</w:t>
            </w:r>
          </w:p>
          <w:p w14:paraId="592509CC" w14:textId="449AF0D6" w:rsidR="00B8348C" w:rsidRPr="00F52884" w:rsidRDefault="00B8348C" w:rsidP="000C25A3">
            <w:pPr>
              <w:spacing w:before="120" w:after="120"/>
              <w:ind w:left="906" w:hanging="540"/>
              <w:rPr>
                <w:rFonts w:eastAsia="Times New Roman" w:cstheme="minorHAnsi"/>
                <w:szCs w:val="23"/>
                <w:lang w:val="fr-FR"/>
              </w:rPr>
            </w:pPr>
            <w:r w:rsidRPr="00F52884">
              <w:rPr>
                <w:rFonts w:eastAsia="Times New Roman" w:cstheme="minorHAnsi"/>
                <w:szCs w:val="23"/>
                <w:lang w:val="fr-CA"/>
              </w:rPr>
              <w:t>a)</w:t>
            </w:r>
            <w:r w:rsidRPr="00F52884">
              <w:rPr>
                <w:rFonts w:eastAsia="Times New Roman" w:cstheme="minorHAnsi"/>
                <w:szCs w:val="23"/>
                <w:lang w:val="fr-CA"/>
              </w:rPr>
              <w:tab/>
              <w:t>limite le nombre d’investissements visés ou de fournisseurs de services, que ce soit sous la forme de contingents numériques, de monopoles, de fournisseurs exclusifs de services ou de l’exigence d’un examen des besoins économiques;</w:t>
            </w:r>
          </w:p>
          <w:p w14:paraId="7B6C4B19" w14:textId="48AB387C" w:rsidR="00B8348C" w:rsidRPr="00F52884" w:rsidRDefault="00030438" w:rsidP="000C25A3">
            <w:pPr>
              <w:spacing w:before="120" w:after="120"/>
              <w:ind w:left="906" w:hanging="540"/>
              <w:rPr>
                <w:rFonts w:eastAsia="Times New Roman" w:cstheme="minorHAnsi"/>
                <w:szCs w:val="23"/>
                <w:lang w:val="fr-FR"/>
              </w:rPr>
            </w:pPr>
            <w:r>
              <w:rPr>
                <w:rFonts w:eastAsia="Times New Roman" w:cstheme="minorHAnsi"/>
                <w:szCs w:val="23"/>
                <w:lang w:val="fr-CA"/>
              </w:rPr>
              <w:t>b</w:t>
            </w:r>
            <w:r w:rsidR="00B8348C" w:rsidRPr="00F52884">
              <w:rPr>
                <w:rFonts w:eastAsia="Times New Roman" w:cstheme="minorHAnsi"/>
                <w:szCs w:val="23"/>
                <w:lang w:val="fr-CA"/>
              </w:rPr>
              <w:t>)</w:t>
            </w:r>
            <w:r w:rsidR="00B8348C" w:rsidRPr="00F52884">
              <w:rPr>
                <w:rFonts w:eastAsia="Times New Roman" w:cstheme="minorHAnsi"/>
                <w:szCs w:val="23"/>
                <w:lang w:val="fr-CA"/>
              </w:rPr>
              <w:tab/>
              <w:t>impose des restrictions ou des limitations sur la circulation interprovinciale des produits.</w:t>
            </w:r>
          </w:p>
          <w:p w14:paraId="0489F2E6" w14:textId="40A41CB2" w:rsidR="00B8348C" w:rsidRPr="00F52884" w:rsidRDefault="00B8348C" w:rsidP="00B8348C">
            <w:pPr>
              <w:spacing w:before="120" w:after="120"/>
              <w:rPr>
                <w:rFonts w:eastAsia="Times New Roman" w:cstheme="minorHAnsi"/>
                <w:szCs w:val="23"/>
                <w:lang w:val="fr-FR"/>
              </w:rPr>
            </w:pPr>
            <w:r w:rsidRPr="00F52884">
              <w:rPr>
                <w:rFonts w:eastAsia="Times New Roman" w:cstheme="minorHAnsi"/>
                <w:szCs w:val="23"/>
                <w:lang w:val="fr-CA"/>
              </w:rPr>
              <w:t xml:space="preserve">Il est entendu que la présente exception est sans préjudice du droit de Terre-Neuve-et-Labrador d’imposer des limitations à la participation de capital étranger au moment de la vente ou de la cession de son capital-actions dans une entreprise publique existante ou une entité publique existante, ou des actifs d’une telle entreprise ou entité. </w:t>
            </w:r>
          </w:p>
        </w:tc>
      </w:tr>
      <w:tr w:rsidR="00B8348C" w:rsidRPr="00F52884" w14:paraId="36AA0619"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29419AD" w14:textId="77777777" w:rsidR="00B8348C" w:rsidRPr="00F52884" w:rsidRDefault="00B8348C" w:rsidP="000C25A3">
            <w:pPr>
              <w:spacing w:before="60" w:after="60"/>
              <w:rPr>
                <w:rFonts w:eastAsia="Times New Roman" w:cstheme="minorHAnsi"/>
                <w:caps/>
                <w:szCs w:val="23"/>
              </w:rPr>
            </w:pPr>
            <w:r w:rsidRPr="00F52884">
              <w:rPr>
                <w:rFonts w:eastAsia="Times New Roman" w:cstheme="minorHAnsi"/>
                <w:b/>
                <w:bCs/>
                <w:szCs w:val="23"/>
                <w:lang w:val="fr-CA"/>
              </w:rPr>
              <w:lastRenderedPageBreak/>
              <w:t>Toute mesure existante :</w:t>
            </w:r>
            <w:r w:rsidRPr="00F52884">
              <w:rPr>
                <w:rFonts w:eastAsia="Times New Roman" w:cstheme="minorHAnsi"/>
                <w:caps/>
                <w:szCs w:val="23"/>
                <w:lang w:val="fr-CA"/>
              </w:rPr>
              <w:t xml:space="preserve"> </w:t>
            </w:r>
          </w:p>
        </w:tc>
      </w:tr>
      <w:tr w:rsidR="00B8348C" w:rsidRPr="00F52884" w14:paraId="5063F80C" w14:textId="77777777" w:rsidTr="004E1EFC">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33B8B77D" w14:textId="77777777" w:rsidR="00B8348C" w:rsidRPr="00F52884" w:rsidRDefault="00B8348C" w:rsidP="000C25A3">
            <w:pPr>
              <w:spacing w:before="60" w:after="60"/>
              <w:rPr>
                <w:rFonts w:eastAsia="Times New Roman" w:cstheme="minorHAnsi"/>
                <w:b/>
                <w:szCs w:val="23"/>
              </w:rPr>
            </w:pPr>
          </w:p>
        </w:tc>
      </w:tr>
    </w:tbl>
    <w:p w14:paraId="262FC2B2" w14:textId="77777777" w:rsidR="00B8348C" w:rsidRPr="00F52884" w:rsidRDefault="00B8348C" w:rsidP="000C25A3">
      <w:pPr>
        <w:spacing w:line="259" w:lineRule="auto"/>
        <w:rPr>
          <w:rFonts w:eastAsia="Calibri" w:cstheme="minorHAnsi"/>
          <w:szCs w:val="23"/>
        </w:rPr>
      </w:pPr>
    </w:p>
    <w:p w14:paraId="114CF471" w14:textId="77777777" w:rsidR="00B8348C" w:rsidRPr="00F52884" w:rsidRDefault="00B8348C" w:rsidP="000C25A3">
      <w:pPr>
        <w:spacing w:line="259" w:lineRule="auto"/>
        <w:rPr>
          <w:rFonts w:eastAsia="Calibri" w:cstheme="minorHAnsi"/>
          <w:szCs w:val="23"/>
        </w:rPr>
      </w:pPr>
    </w:p>
    <w:p w14:paraId="504A5B5B" w14:textId="2F43AE6C"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5.</w:t>
      </w:r>
      <w:r w:rsidR="004E1EFC" w:rsidRPr="00F52884">
        <w:rPr>
          <w:rFonts w:cstheme="minorHAnsi"/>
          <w:b/>
          <w:bCs/>
          <w:caps/>
          <w:szCs w:val="23"/>
          <w:lang w:val="fr-CA"/>
        </w:rPr>
        <w:t xml:space="preserve"> </w:t>
      </w:r>
      <w:r w:rsidRPr="00F52884">
        <w:rPr>
          <w:rFonts w:cstheme="minorHAnsi"/>
          <w:b/>
          <w:bCs/>
          <w:caps/>
          <w:szCs w:val="23"/>
          <w:lang w:val="fr-CA"/>
        </w:rPr>
        <w:t xml:space="preserve"> Terre-Neuve-et-Labrador</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68240F" w14:paraId="78DE2C9A"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4F9F96C3"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3867957A"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Produits alimentaires, boissons et médicaments</w:t>
            </w:r>
          </w:p>
        </w:tc>
      </w:tr>
      <w:tr w:rsidR="00B8348C" w:rsidRPr="0068240F" w14:paraId="3D102650"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7E62147D" w14:textId="77777777" w:rsidR="00B8348C" w:rsidRPr="00F52884" w:rsidRDefault="00B8348C" w:rsidP="000C25A3">
            <w:pPr>
              <w:spacing w:before="60" w:after="60" w:line="259" w:lineRule="auto"/>
              <w:rPr>
                <w:rFonts w:eastAsia="Calibri" w:cstheme="minorHAnsi"/>
                <w:b/>
                <w:szCs w:val="23"/>
              </w:rPr>
            </w:pPr>
            <w:r w:rsidRPr="00F52884">
              <w:rPr>
                <w:rFonts w:eastAsia="Calibri"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13B90C0E" w14:textId="77777777" w:rsidR="00B8348C" w:rsidRPr="00F52884" w:rsidRDefault="00B8348C" w:rsidP="000C25A3">
            <w:pPr>
              <w:spacing w:before="60" w:after="60" w:line="259" w:lineRule="auto"/>
              <w:rPr>
                <w:rFonts w:eastAsia="Calibri" w:cstheme="minorHAnsi"/>
                <w:szCs w:val="23"/>
                <w:lang w:val="fr-FR"/>
              </w:rPr>
            </w:pPr>
            <w:r w:rsidRPr="00F52884">
              <w:rPr>
                <w:rFonts w:eastAsia="Calibri" w:cstheme="minorHAnsi"/>
                <w:szCs w:val="23"/>
                <w:lang w:val="fr-CA"/>
              </w:rPr>
              <w:t>Magasins de spiritueux, de vin et de bière</w:t>
            </w:r>
          </w:p>
        </w:tc>
      </w:tr>
      <w:tr w:rsidR="00B8348C" w:rsidRPr="00F52884" w14:paraId="72ED2054"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2F9AB1DE" w14:textId="77777777" w:rsidR="00B8348C" w:rsidRPr="00F52884" w:rsidRDefault="00B8348C" w:rsidP="000C25A3">
            <w:pPr>
              <w:spacing w:before="60" w:after="60" w:line="259" w:lineRule="auto"/>
              <w:ind w:right="-110"/>
              <w:rPr>
                <w:rFonts w:eastAsia="Calibri" w:cstheme="minorHAnsi"/>
                <w:b/>
                <w:szCs w:val="23"/>
              </w:rPr>
            </w:pPr>
            <w:r w:rsidRPr="00F52884">
              <w:rPr>
                <w:rFonts w:eastAsia="Calibri"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5CA64D37" w14:textId="77777777" w:rsidR="00B8348C" w:rsidRPr="00F52884" w:rsidRDefault="00B8348C" w:rsidP="000C25A3">
            <w:pPr>
              <w:spacing w:before="60" w:after="60" w:line="259" w:lineRule="auto"/>
              <w:ind w:left="28" w:hanging="28"/>
              <w:rPr>
                <w:rFonts w:eastAsia="Calibri" w:cstheme="minorHAnsi"/>
                <w:szCs w:val="23"/>
              </w:rPr>
            </w:pPr>
            <w:r w:rsidRPr="00F52884">
              <w:rPr>
                <w:rFonts w:eastAsia="Calibri" w:cstheme="minorHAnsi"/>
                <w:szCs w:val="23"/>
                <w:lang w:val="fr-CA"/>
              </w:rPr>
              <w:t>CPC 241, 242, 243, 62112, 62226, 63107</w:t>
            </w:r>
          </w:p>
        </w:tc>
      </w:tr>
      <w:tr w:rsidR="00B8348C" w:rsidRPr="0068240F" w14:paraId="29C0598C" w14:textId="77777777" w:rsidTr="004E1EFC">
        <w:trPr>
          <w:trHeight w:val="42"/>
          <w:jc w:val="center"/>
        </w:trPr>
        <w:tc>
          <w:tcPr>
            <w:tcW w:w="2514" w:type="dxa"/>
            <w:tcBorders>
              <w:top w:val="single" w:sz="4" w:space="0" w:color="C0C0C0"/>
              <w:left w:val="nil"/>
              <w:bottom w:val="single" w:sz="4" w:space="0" w:color="C0C0C0"/>
            </w:tcBorders>
          </w:tcPr>
          <w:p w14:paraId="0DFE1F32" w14:textId="72EDA670" w:rsidR="00B8348C" w:rsidRPr="00F52884" w:rsidRDefault="00B8348C" w:rsidP="000C25A3">
            <w:pPr>
              <w:spacing w:before="60" w:after="60"/>
              <w:ind w:left="432" w:hanging="432"/>
              <w:rPr>
                <w:rFonts w:eastAsia="Times New Roman" w:cstheme="minorHAnsi"/>
                <w:szCs w:val="23"/>
              </w:rPr>
            </w:pPr>
            <w:r w:rsidRPr="00F52884">
              <w:rPr>
                <w:rFonts w:eastAsia="Times New Roman" w:cstheme="minorHAnsi"/>
                <w:b/>
                <w:bCs/>
                <w:szCs w:val="23"/>
                <w:lang w:val="fr-CA"/>
              </w:rPr>
              <w:t xml:space="preserve">Type d’exception :    </w:t>
            </w:r>
          </w:p>
        </w:tc>
        <w:tc>
          <w:tcPr>
            <w:tcW w:w="7782" w:type="dxa"/>
            <w:gridSpan w:val="2"/>
            <w:tcBorders>
              <w:top w:val="single" w:sz="4" w:space="0" w:color="C0C0C0"/>
              <w:left w:val="nil"/>
              <w:bottom w:val="single" w:sz="4" w:space="0" w:color="C0C0C0"/>
            </w:tcBorders>
          </w:tcPr>
          <w:p w14:paraId="68FF6B32" w14:textId="77777777" w:rsidR="00B8348C" w:rsidRPr="00F52884" w:rsidRDefault="00B8348C" w:rsidP="000C25A3">
            <w:pPr>
              <w:spacing w:before="60" w:after="60"/>
              <w:ind w:firstLine="6"/>
              <w:rPr>
                <w:rFonts w:eastAsia="Times New Roman" w:cstheme="minorHAnsi"/>
                <w:szCs w:val="23"/>
                <w:lang w:val="fr-FR"/>
              </w:rPr>
            </w:pPr>
            <w:r w:rsidRPr="00F52884">
              <w:rPr>
                <w:rFonts w:eastAsia="Times New Roman" w:cstheme="minorHAnsi"/>
                <w:szCs w:val="23"/>
                <w:lang w:val="fr-CA"/>
              </w:rPr>
              <w:t>Article 307 (Accès aux marchés – Services), article 312 (Accès aux marchés – Investissement)</w:t>
            </w:r>
          </w:p>
        </w:tc>
      </w:tr>
      <w:tr w:rsidR="00B8348C" w:rsidRPr="00F52884" w14:paraId="29E72942"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338176A" w14:textId="77777777" w:rsidR="00B8348C" w:rsidRPr="00F52884" w:rsidRDefault="00B8348C" w:rsidP="000C25A3">
            <w:pPr>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74A6729E"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4268419"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 xml:space="preserve">La </w:t>
            </w:r>
            <w:r w:rsidRPr="00F52884">
              <w:rPr>
                <w:rFonts w:eastAsia="Times New Roman" w:cstheme="minorHAnsi"/>
                <w:i/>
                <w:iCs/>
                <w:szCs w:val="23"/>
                <w:lang w:val="fr-CA"/>
              </w:rPr>
              <w:t>Loi sur l’importation des boissons enivrantes</w:t>
            </w:r>
            <w:r w:rsidRPr="00F52884">
              <w:rPr>
                <w:rFonts w:eastAsia="Times New Roman" w:cstheme="minorHAnsi"/>
                <w:szCs w:val="23"/>
                <w:lang w:val="fr-CA"/>
              </w:rPr>
              <w:t xml:space="preserve"> (Canada) confère au gouvernement de chaque province le monopole d’importation de toute boisson enivrante entrant sur son territoire. La </w:t>
            </w:r>
            <w:proofErr w:type="spellStart"/>
            <w:r w:rsidRPr="00F52884">
              <w:rPr>
                <w:rFonts w:eastAsia="Times New Roman" w:cstheme="minorHAnsi"/>
                <w:i/>
                <w:iCs/>
                <w:szCs w:val="23"/>
                <w:lang w:val="fr-CA"/>
              </w:rPr>
              <w:t>Liquor</w:t>
            </w:r>
            <w:proofErr w:type="spellEnd"/>
            <w:r w:rsidRPr="00F52884">
              <w:rPr>
                <w:rFonts w:eastAsia="Times New Roman" w:cstheme="minorHAnsi"/>
                <w:i/>
                <w:iCs/>
                <w:szCs w:val="23"/>
                <w:lang w:val="fr-CA"/>
              </w:rPr>
              <w:t xml:space="preserve"> Corporation </w:t>
            </w:r>
            <w:proofErr w:type="spellStart"/>
            <w:r w:rsidRPr="00F52884">
              <w:rPr>
                <w:rFonts w:eastAsia="Times New Roman" w:cstheme="minorHAnsi"/>
                <w:i/>
                <w:iCs/>
                <w:szCs w:val="23"/>
                <w:lang w:val="fr-CA"/>
              </w:rPr>
              <w:t>Act</w:t>
            </w:r>
            <w:proofErr w:type="spellEnd"/>
            <w:r w:rsidRPr="00F52884">
              <w:rPr>
                <w:rFonts w:eastAsia="Times New Roman" w:cstheme="minorHAnsi"/>
                <w:i/>
                <w:iCs/>
                <w:szCs w:val="23"/>
                <w:lang w:val="fr-CA"/>
              </w:rPr>
              <w:t xml:space="preserve"> </w:t>
            </w:r>
            <w:r w:rsidRPr="00F52884">
              <w:rPr>
                <w:rFonts w:eastAsia="Times New Roman" w:cstheme="minorHAnsi"/>
                <w:szCs w:val="23"/>
                <w:lang w:val="fr-CA"/>
              </w:rPr>
              <w:t xml:space="preserve">constitue la Newfoundland and Labrador </w:t>
            </w:r>
            <w:proofErr w:type="spellStart"/>
            <w:r w:rsidRPr="00F52884">
              <w:rPr>
                <w:rFonts w:eastAsia="Times New Roman" w:cstheme="minorHAnsi"/>
                <w:szCs w:val="23"/>
                <w:lang w:val="fr-CA"/>
              </w:rPr>
              <w:t>Liquor</w:t>
            </w:r>
            <w:proofErr w:type="spellEnd"/>
            <w:r w:rsidRPr="00F52884">
              <w:rPr>
                <w:rFonts w:eastAsia="Times New Roman" w:cstheme="minorHAnsi"/>
                <w:szCs w:val="23"/>
                <w:lang w:val="fr-CA"/>
              </w:rPr>
              <w:t xml:space="preserve"> Corporation (la « NLC ») et lui confère le monopole d’importation et de vente de toute boisson enivrante entrant à Terre-Neuve-et-Labrador.</w:t>
            </w:r>
          </w:p>
        </w:tc>
      </w:tr>
      <w:tr w:rsidR="00B8348C" w:rsidRPr="0068240F" w14:paraId="702C3E9F"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08818CD" w14:textId="2217055C" w:rsidR="00B8348C" w:rsidRPr="00F52884" w:rsidRDefault="00B8348C" w:rsidP="00B8348C">
            <w:pPr>
              <w:spacing w:before="60" w:after="60"/>
              <w:rPr>
                <w:rFonts w:eastAsia="Times New Roman" w:cstheme="minorHAnsi"/>
                <w:caps/>
                <w:szCs w:val="23"/>
                <w:lang w:val="fr-FR"/>
              </w:rPr>
            </w:pPr>
            <w:r w:rsidRPr="00F52884">
              <w:rPr>
                <w:rFonts w:eastAsia="Times New Roman" w:cstheme="minorHAnsi"/>
                <w:b/>
                <w:bCs/>
                <w:szCs w:val="23"/>
                <w:lang w:val="fr-CA"/>
              </w:rPr>
              <w:t>Toute mesure existante :</w:t>
            </w:r>
            <w:r w:rsidRPr="00F52884">
              <w:rPr>
                <w:rFonts w:eastAsia="Times New Roman" w:cstheme="minorHAnsi"/>
                <w:caps/>
                <w:szCs w:val="23"/>
                <w:lang w:val="fr-CA"/>
              </w:rPr>
              <w:t xml:space="preserve"> </w:t>
            </w:r>
            <w:proofErr w:type="gramStart"/>
            <w:r w:rsidRPr="00F52884">
              <w:rPr>
                <w:rFonts w:eastAsia="Times New Roman" w:cstheme="minorHAnsi"/>
                <w:caps/>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eastAsia="Times New Roman" w:cstheme="minorHAnsi"/>
                <w:szCs w:val="23"/>
                <w:lang w:val="fr-CA"/>
              </w:rPr>
              <w:t>)</w:t>
            </w:r>
          </w:p>
        </w:tc>
      </w:tr>
      <w:tr w:rsidR="00B8348C" w:rsidRPr="00F52884" w14:paraId="6A3F6EE4"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C6B44E8" w14:textId="619DEF58" w:rsidR="00B8348C" w:rsidRPr="00B04E29" w:rsidRDefault="00B8348C" w:rsidP="000C25A3">
            <w:pPr>
              <w:spacing w:before="60" w:after="60"/>
              <w:rPr>
                <w:rFonts w:eastAsia="Times New Roman" w:cstheme="minorHAnsi"/>
                <w:szCs w:val="23"/>
              </w:rPr>
            </w:pPr>
            <w:r w:rsidRPr="00F52884">
              <w:rPr>
                <w:rFonts w:eastAsia="Times New Roman" w:cstheme="minorHAnsi"/>
                <w:i/>
                <w:iCs/>
                <w:szCs w:val="23"/>
              </w:rPr>
              <w:t>Liquor Corporation Act</w:t>
            </w:r>
            <w:r w:rsidRPr="00F52884">
              <w:rPr>
                <w:rFonts w:eastAsia="Times New Roman" w:cstheme="minorHAnsi"/>
                <w:szCs w:val="23"/>
              </w:rPr>
              <w:t>, R</w:t>
            </w:r>
            <w:r w:rsidRPr="00F52884">
              <w:rPr>
                <w:rFonts w:eastAsia="Times New Roman" w:cstheme="minorHAnsi"/>
                <w:szCs w:val="23"/>
                <w:lang w:val="en-US"/>
              </w:rPr>
              <w:t xml:space="preserve">SNL </w:t>
            </w:r>
            <w:r w:rsidRPr="00F52884">
              <w:rPr>
                <w:rFonts w:eastAsia="Times New Roman" w:cstheme="minorHAnsi"/>
                <w:szCs w:val="23"/>
              </w:rPr>
              <w:t>1990, c </w:t>
            </w:r>
            <w:r w:rsidRPr="00B04E29">
              <w:rPr>
                <w:rFonts w:eastAsia="Times New Roman" w:cstheme="minorHAnsi"/>
                <w:szCs w:val="23"/>
              </w:rPr>
              <w:t>L-19</w:t>
            </w:r>
          </w:p>
        </w:tc>
      </w:tr>
    </w:tbl>
    <w:p w14:paraId="5C4B91B0" w14:textId="77777777" w:rsidR="006A7ED5" w:rsidRDefault="006A7ED5" w:rsidP="000C25A3">
      <w:pPr>
        <w:rPr>
          <w:rFonts w:eastAsia="Times New Roman" w:cstheme="minorHAnsi"/>
          <w:szCs w:val="23"/>
        </w:rPr>
      </w:pPr>
    </w:p>
    <w:p w14:paraId="79CC253E" w14:textId="77777777" w:rsidR="006A7ED5" w:rsidRDefault="006A7ED5" w:rsidP="000C25A3">
      <w:pPr>
        <w:rPr>
          <w:rFonts w:eastAsia="Times New Roman" w:cstheme="minorHAnsi"/>
          <w:szCs w:val="23"/>
        </w:rPr>
      </w:pPr>
    </w:p>
    <w:p w14:paraId="69A4B269" w14:textId="77777777" w:rsidR="006A7ED5" w:rsidRP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6A7ED5">
        <w:rPr>
          <w:rFonts w:ascii="Arial" w:eastAsia="Times New Roman" w:hAnsi="Arial" w:cs="Arial"/>
          <w:b/>
          <w:bCs/>
          <w:caps/>
          <w:szCs w:val="23"/>
          <w:lang w:val="fr-CA"/>
        </w:rPr>
        <w:t>6. TERRE-NEUVE-ET-LABRADOR</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6A7ED5" w:rsidRPr="006A7ED5" w14:paraId="3F0020AF" w14:textId="77777777" w:rsidTr="000017AC">
        <w:trPr>
          <w:trHeight w:val="42"/>
          <w:jc w:val="center"/>
        </w:trPr>
        <w:tc>
          <w:tcPr>
            <w:tcW w:w="2249"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6E5D47D9"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r w:rsidRPr="006A7ED5">
              <w:rPr>
                <w:rFonts w:ascii="Arial" w:eastAsia="Calibri" w:hAnsi="Arial" w:cs="Arial"/>
                <w:b/>
                <w:szCs w:val="24"/>
                <w:lang w:eastAsia="en-CA" w:bidi="en-US"/>
              </w:rPr>
              <w:t xml:space="preserve"> </w:t>
            </w:r>
          </w:p>
          <w:p w14:paraId="0B9A4AA5" w14:textId="77777777" w:rsidR="006A7ED5" w:rsidRPr="006A7ED5" w:rsidRDefault="006A7ED5" w:rsidP="006A7ED5">
            <w:pPr>
              <w:spacing w:before="60" w:after="60" w:line="42" w:lineRule="atLeast"/>
              <w:rPr>
                <w:rFonts w:ascii="Arial" w:eastAsia="Calibri" w:hAnsi="Arial" w:cs="Arial"/>
                <w:b/>
                <w:szCs w:val="24"/>
                <w:lang w:eastAsia="en-CA" w:bidi="en-US"/>
              </w:rPr>
            </w:pPr>
          </w:p>
        </w:tc>
        <w:tc>
          <w:tcPr>
            <w:tcW w:w="7861"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392E4454" w14:textId="77777777" w:rsidR="006A7ED5" w:rsidRPr="006A7ED5" w:rsidRDefault="006A7ED5" w:rsidP="006A7ED5">
            <w:pPr>
              <w:spacing w:before="60" w:after="60" w:line="42" w:lineRule="atLeast"/>
              <w:rPr>
                <w:rFonts w:ascii="Arial" w:eastAsia="Calibri" w:hAnsi="Arial" w:cs="Arial"/>
                <w:bCs/>
                <w:szCs w:val="24"/>
                <w:lang w:eastAsia="en-CA" w:bidi="en-US"/>
              </w:rPr>
            </w:pPr>
            <w:r w:rsidRPr="006A7ED5">
              <w:rPr>
                <w:rFonts w:ascii="Arial" w:eastAsia="Calibri" w:hAnsi="Arial" w:cs="Arial"/>
                <w:bCs/>
                <w:szCs w:val="24"/>
                <w:lang w:eastAsia="en-CA" w:bidi="en-US"/>
              </w:rPr>
              <w:t>Cannabis</w:t>
            </w:r>
          </w:p>
        </w:tc>
      </w:tr>
      <w:tr w:rsidR="006A7ED5" w:rsidRPr="0068240F" w14:paraId="46FAAF72" w14:textId="77777777" w:rsidTr="000017AC">
        <w:trPr>
          <w:trHeight w:val="42"/>
          <w:jc w:val="center"/>
        </w:trPr>
        <w:tc>
          <w:tcPr>
            <w:tcW w:w="2249"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02F2AF12"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Sous-</w:t>
            </w: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p>
        </w:tc>
        <w:tc>
          <w:tcPr>
            <w:tcW w:w="7861" w:type="dxa"/>
            <w:gridSpan w:val="2"/>
            <w:tcBorders>
              <w:top w:val="nil"/>
              <w:left w:val="nil"/>
              <w:bottom w:val="single" w:sz="8" w:space="0" w:color="C0C0C0"/>
              <w:right w:val="nil"/>
            </w:tcBorders>
            <w:tcMar>
              <w:top w:w="14" w:type="dxa"/>
              <w:left w:w="86" w:type="dxa"/>
              <w:bottom w:w="14" w:type="dxa"/>
              <w:right w:w="86" w:type="dxa"/>
            </w:tcMar>
            <w:vAlign w:val="center"/>
            <w:hideMark/>
          </w:tcPr>
          <w:p w14:paraId="333302AF" w14:textId="77777777" w:rsidR="006A7ED5" w:rsidRPr="006A7ED5" w:rsidRDefault="006A7ED5" w:rsidP="006A7ED5">
            <w:pPr>
              <w:rPr>
                <w:rFonts w:ascii="Arial" w:eastAsia="Calibri" w:hAnsi="Arial" w:cs="Arial"/>
                <w:bCs/>
                <w:szCs w:val="24"/>
                <w:lang w:val="fr-CA" w:eastAsia="en-CA" w:bidi="en-US"/>
              </w:rPr>
            </w:pPr>
            <w:r w:rsidRPr="006A7ED5">
              <w:rPr>
                <w:rFonts w:ascii="Arial" w:eastAsia="Calibri" w:hAnsi="Arial" w:cs="Arial"/>
                <w:bCs/>
                <w:szCs w:val="24"/>
                <w:lang w:val="fr-CA" w:eastAsia="en-CA" w:bidi="en-US"/>
              </w:rPr>
              <w:t>Cannabis; Services de commerce de gros, y compris à forfait ou sous contrat; Services de commerce de détail, y compris à forfait ou sous contrat; Tous les autres services relatifs au cannabis qui ne sont pas visés par B, C, D et E</w:t>
            </w:r>
          </w:p>
        </w:tc>
      </w:tr>
      <w:tr w:rsidR="006A7ED5" w:rsidRPr="006A7ED5" w14:paraId="672F52E3" w14:textId="77777777" w:rsidTr="000017AC">
        <w:trPr>
          <w:trHeight w:val="42"/>
          <w:jc w:val="center"/>
        </w:trPr>
        <w:tc>
          <w:tcPr>
            <w:tcW w:w="2249"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1A2977EA"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 xml:space="preserve">Classification de </w:t>
            </w:r>
            <w:proofErr w:type="spellStart"/>
            <w:proofErr w:type="gramStart"/>
            <w:r w:rsidRPr="006A7ED5">
              <w:rPr>
                <w:rFonts w:ascii="Arial" w:eastAsia="Calibri" w:hAnsi="Arial" w:cs="Arial"/>
                <w:b/>
                <w:szCs w:val="24"/>
                <w:lang w:eastAsia="en-CA" w:bidi="en-US"/>
              </w:rPr>
              <w:t>l’industrie</w:t>
            </w:r>
            <w:proofErr w:type="spellEnd"/>
            <w:r w:rsidRPr="006A7ED5">
              <w:rPr>
                <w:rFonts w:ascii="Arial" w:eastAsia="Calibri" w:hAnsi="Arial" w:cs="Arial"/>
                <w:b/>
                <w:szCs w:val="24"/>
                <w:lang w:eastAsia="en-CA" w:bidi="en-US"/>
              </w:rPr>
              <w:t> :</w:t>
            </w:r>
            <w:proofErr w:type="gramEnd"/>
          </w:p>
        </w:tc>
        <w:tc>
          <w:tcPr>
            <w:tcW w:w="7471" w:type="dxa"/>
            <w:tcBorders>
              <w:top w:val="nil"/>
              <w:left w:val="nil"/>
              <w:bottom w:val="single" w:sz="8" w:space="0" w:color="C0C0C0"/>
              <w:right w:val="nil"/>
            </w:tcBorders>
            <w:tcMar>
              <w:top w:w="14" w:type="dxa"/>
              <w:left w:w="86" w:type="dxa"/>
              <w:bottom w:w="14" w:type="dxa"/>
              <w:right w:w="86" w:type="dxa"/>
            </w:tcMar>
            <w:vAlign w:val="center"/>
          </w:tcPr>
          <w:p w14:paraId="43EA1B22"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A, D, E, F</w:t>
            </w:r>
          </w:p>
        </w:tc>
        <w:tc>
          <w:tcPr>
            <w:tcW w:w="390" w:type="dxa"/>
            <w:tcBorders>
              <w:top w:val="nil"/>
              <w:left w:val="nil"/>
              <w:bottom w:val="single" w:sz="8" w:space="0" w:color="C0C0C0"/>
              <w:right w:val="nil"/>
            </w:tcBorders>
            <w:vAlign w:val="center"/>
            <w:hideMark/>
          </w:tcPr>
          <w:p w14:paraId="071FBA00"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 </w:t>
            </w:r>
          </w:p>
        </w:tc>
      </w:tr>
      <w:tr w:rsidR="006A7ED5" w:rsidRPr="0068240F" w14:paraId="6196B459" w14:textId="77777777" w:rsidTr="000017AC">
        <w:trPr>
          <w:trHeight w:val="42"/>
          <w:jc w:val="center"/>
        </w:trPr>
        <w:tc>
          <w:tcPr>
            <w:tcW w:w="2249" w:type="dxa"/>
            <w:tcBorders>
              <w:top w:val="nil"/>
              <w:left w:val="nil"/>
              <w:bottom w:val="single" w:sz="8" w:space="0" w:color="C0C0C0"/>
              <w:right w:val="nil"/>
            </w:tcBorders>
            <w:tcMar>
              <w:top w:w="14" w:type="dxa"/>
              <w:left w:w="86" w:type="dxa"/>
              <w:bottom w:w="14" w:type="dxa"/>
              <w:right w:w="86" w:type="dxa"/>
            </w:tcMar>
            <w:hideMark/>
          </w:tcPr>
          <w:p w14:paraId="1D8BB3D8"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Type</w:t>
            </w:r>
          </w:p>
          <w:p w14:paraId="137F3618"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d’exception</w:t>
            </w:r>
            <w:proofErr w:type="spellEnd"/>
            <w:r w:rsidRPr="006A7ED5">
              <w:rPr>
                <w:rFonts w:ascii="Arial" w:eastAsia="Calibri" w:hAnsi="Arial" w:cs="Arial"/>
                <w:b/>
                <w:szCs w:val="24"/>
                <w:lang w:eastAsia="en-CA" w:bidi="en-US"/>
              </w:rPr>
              <w:t> :</w:t>
            </w:r>
            <w:proofErr w:type="gramEnd"/>
          </w:p>
        </w:tc>
        <w:tc>
          <w:tcPr>
            <w:tcW w:w="7861" w:type="dxa"/>
            <w:gridSpan w:val="2"/>
            <w:tcBorders>
              <w:top w:val="nil"/>
              <w:left w:val="nil"/>
              <w:bottom w:val="single" w:sz="8" w:space="0" w:color="C0C0C0"/>
              <w:right w:val="nil"/>
            </w:tcBorders>
            <w:tcMar>
              <w:top w:w="14" w:type="dxa"/>
              <w:left w:w="86" w:type="dxa"/>
              <w:bottom w:w="14" w:type="dxa"/>
              <w:right w:w="86" w:type="dxa"/>
            </w:tcMar>
            <w:hideMark/>
          </w:tcPr>
          <w:p w14:paraId="124AFB48"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Article 307 (Accès aux marchés – Services), article 312 (Accès aux marchés – Investissement)</w:t>
            </w:r>
          </w:p>
        </w:tc>
      </w:tr>
      <w:tr w:rsidR="006A7ED5" w:rsidRPr="006A7ED5" w14:paraId="07C84CD0" w14:textId="77777777" w:rsidTr="000017AC">
        <w:trPr>
          <w:trHeight w:val="42"/>
          <w:jc w:val="center"/>
        </w:trPr>
        <w:tc>
          <w:tcPr>
            <w:tcW w:w="10110"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6D91A733" w14:textId="77777777" w:rsidR="006A7ED5" w:rsidRPr="006A7ED5" w:rsidRDefault="006A7ED5" w:rsidP="006A7ED5">
            <w:pPr>
              <w:spacing w:before="60" w:after="60"/>
              <w:rPr>
                <w:rFonts w:ascii="Arial" w:eastAsia="Calibri" w:hAnsi="Arial" w:cs="Arial"/>
                <w:b/>
                <w:szCs w:val="24"/>
                <w:lang w:eastAsia="en-CA" w:bidi="en-US"/>
              </w:rPr>
            </w:pPr>
            <w:proofErr w:type="gramStart"/>
            <w:r w:rsidRPr="006A7ED5">
              <w:rPr>
                <w:rFonts w:ascii="Arial" w:eastAsia="Calibri" w:hAnsi="Arial" w:cs="Arial"/>
                <w:b/>
                <w:szCs w:val="24"/>
                <w:lang w:eastAsia="en-CA" w:bidi="en-US"/>
              </w:rPr>
              <w:t>Description :</w:t>
            </w:r>
            <w:proofErr w:type="gramEnd"/>
            <w:r w:rsidRPr="006A7ED5">
              <w:rPr>
                <w:rFonts w:ascii="Arial" w:eastAsia="Calibri" w:hAnsi="Arial" w:cs="Arial"/>
                <w:b/>
                <w:szCs w:val="24"/>
                <w:lang w:eastAsia="en-CA" w:bidi="en-US"/>
              </w:rPr>
              <w:t xml:space="preserve"> </w:t>
            </w:r>
          </w:p>
        </w:tc>
      </w:tr>
      <w:tr w:rsidR="006A7ED5" w:rsidRPr="0068240F" w14:paraId="2BC313F7" w14:textId="77777777" w:rsidTr="000017AC">
        <w:trPr>
          <w:trHeight w:val="120"/>
          <w:jc w:val="center"/>
        </w:trPr>
        <w:tc>
          <w:tcPr>
            <w:tcW w:w="10110"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2A376FA7"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 xml:space="preserve">La </w:t>
            </w:r>
            <w:r w:rsidRPr="006A7ED5">
              <w:rPr>
                <w:rFonts w:ascii="Arial" w:eastAsia="Calibri" w:hAnsi="Arial" w:cs="Arial"/>
                <w:bCs/>
                <w:i/>
                <w:iCs/>
                <w:szCs w:val="24"/>
                <w:lang w:val="fr-CA" w:eastAsia="en-CA" w:bidi="en-US"/>
              </w:rPr>
              <w:t>Loi sur le cannabis</w:t>
            </w:r>
            <w:r w:rsidRPr="006A7ED5">
              <w:rPr>
                <w:rFonts w:ascii="Arial" w:eastAsia="Calibri" w:hAnsi="Arial" w:cs="Arial"/>
                <w:bCs/>
                <w:szCs w:val="24"/>
                <w:lang w:val="fr-CA" w:eastAsia="en-CA" w:bidi="en-US"/>
              </w:rPr>
              <w:t xml:space="preserve"> du gouvernement fédéral accorde au gouvernement provincial la capacité de réglementer la distribution et la vente du cannabis et des produits à base de cannabis dans la province. La </w:t>
            </w:r>
            <w:r w:rsidRPr="006A7ED5">
              <w:rPr>
                <w:rFonts w:ascii="Arial" w:eastAsia="Calibri" w:hAnsi="Arial" w:cs="Arial"/>
                <w:bCs/>
                <w:i/>
                <w:iCs/>
                <w:szCs w:val="24"/>
                <w:lang w:val="fr-CA" w:eastAsia="en-CA" w:bidi="en-US"/>
              </w:rPr>
              <w:t xml:space="preserve">Cannabis Control </w:t>
            </w:r>
            <w:proofErr w:type="spellStart"/>
            <w:r w:rsidRPr="006A7ED5">
              <w:rPr>
                <w:rFonts w:ascii="Arial" w:eastAsia="Calibri" w:hAnsi="Arial" w:cs="Arial"/>
                <w:bCs/>
                <w:i/>
                <w:iCs/>
                <w:szCs w:val="24"/>
                <w:lang w:val="fr-CA" w:eastAsia="en-CA" w:bidi="en-US"/>
              </w:rPr>
              <w:t>Act</w:t>
            </w:r>
            <w:proofErr w:type="spellEnd"/>
            <w:r w:rsidRPr="006A7ED5">
              <w:rPr>
                <w:rFonts w:ascii="Arial" w:eastAsia="Calibri" w:hAnsi="Arial" w:cs="Arial"/>
                <w:bCs/>
                <w:szCs w:val="24"/>
                <w:lang w:val="fr-CA" w:eastAsia="en-CA" w:bidi="en-US"/>
              </w:rPr>
              <w:t xml:space="preserve"> établit le cadre légal pour la distribution et la vente du cannabis et des produits à base de cannabis dans la province. La </w:t>
            </w:r>
            <w:proofErr w:type="spellStart"/>
            <w:r w:rsidRPr="006A7ED5">
              <w:rPr>
                <w:rFonts w:ascii="Arial" w:eastAsia="Calibri" w:hAnsi="Arial" w:cs="Arial"/>
                <w:bCs/>
                <w:i/>
                <w:iCs/>
                <w:szCs w:val="24"/>
                <w:lang w:val="fr-CA" w:eastAsia="en-CA" w:bidi="en-US"/>
              </w:rPr>
              <w:t>Liquor</w:t>
            </w:r>
            <w:proofErr w:type="spellEnd"/>
            <w:r w:rsidRPr="006A7ED5">
              <w:rPr>
                <w:rFonts w:ascii="Arial" w:eastAsia="Calibri" w:hAnsi="Arial" w:cs="Arial"/>
                <w:bCs/>
                <w:i/>
                <w:iCs/>
                <w:szCs w:val="24"/>
                <w:lang w:val="fr-CA" w:eastAsia="en-CA" w:bidi="en-US"/>
              </w:rPr>
              <w:t xml:space="preserve"> Corporation </w:t>
            </w:r>
            <w:proofErr w:type="spellStart"/>
            <w:r w:rsidRPr="006A7ED5">
              <w:rPr>
                <w:rFonts w:ascii="Arial" w:eastAsia="Calibri" w:hAnsi="Arial" w:cs="Arial"/>
                <w:bCs/>
                <w:i/>
                <w:iCs/>
                <w:szCs w:val="24"/>
                <w:lang w:val="fr-CA" w:eastAsia="en-CA" w:bidi="en-US"/>
              </w:rPr>
              <w:t>Act</w:t>
            </w:r>
            <w:proofErr w:type="spellEnd"/>
            <w:r w:rsidRPr="006A7ED5">
              <w:rPr>
                <w:rFonts w:ascii="Arial" w:eastAsia="Calibri" w:hAnsi="Arial" w:cs="Arial"/>
                <w:bCs/>
                <w:szCs w:val="24"/>
                <w:lang w:val="fr-CA" w:eastAsia="en-CA" w:bidi="en-US"/>
              </w:rPr>
              <w:t xml:space="preserve"> donne à la Newfoundland and Labrador </w:t>
            </w:r>
            <w:proofErr w:type="spellStart"/>
            <w:r w:rsidRPr="006A7ED5">
              <w:rPr>
                <w:rFonts w:ascii="Arial" w:eastAsia="Calibri" w:hAnsi="Arial" w:cs="Arial"/>
                <w:bCs/>
                <w:szCs w:val="24"/>
                <w:lang w:val="fr-CA" w:eastAsia="en-CA" w:bidi="en-US"/>
              </w:rPr>
              <w:t>Liquor</w:t>
            </w:r>
            <w:proofErr w:type="spellEnd"/>
            <w:r w:rsidRPr="006A7ED5">
              <w:rPr>
                <w:rFonts w:ascii="Arial" w:eastAsia="Calibri" w:hAnsi="Arial" w:cs="Arial"/>
                <w:bCs/>
                <w:szCs w:val="24"/>
                <w:lang w:val="fr-CA" w:eastAsia="en-CA" w:bidi="en-US"/>
              </w:rPr>
              <w:t xml:space="preserve"> Corporation le pouvoir d’acheter, d’importer et de vendre du cannabis; de contrôler la possession, la vente et la livraison de cannabis; d’établir, de </w:t>
            </w:r>
            <w:r w:rsidRPr="006A7ED5">
              <w:rPr>
                <w:rFonts w:ascii="Arial" w:eastAsia="Calibri" w:hAnsi="Arial" w:cs="Arial"/>
                <w:bCs/>
                <w:szCs w:val="24"/>
                <w:lang w:val="fr-CA" w:eastAsia="en-CA" w:bidi="en-US"/>
              </w:rPr>
              <w:lastRenderedPageBreak/>
              <w:t>maintenir et d’exploiter des magasins de cannabis; et d’émettre des licences pour la possession, la vente et la livraison de cannabis.</w:t>
            </w:r>
          </w:p>
        </w:tc>
      </w:tr>
      <w:tr w:rsidR="006A7ED5" w:rsidRPr="0068240F" w14:paraId="6D50D3F9" w14:textId="77777777" w:rsidTr="000017AC">
        <w:trPr>
          <w:trHeight w:val="42"/>
          <w:jc w:val="center"/>
        </w:trPr>
        <w:tc>
          <w:tcPr>
            <w:tcW w:w="10110"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75E1AA57"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
                <w:szCs w:val="24"/>
                <w:lang w:val="fr-CA" w:eastAsia="en-CA" w:bidi="en-US"/>
              </w:rPr>
              <w:lastRenderedPageBreak/>
              <w:t>Toute mesure existante :</w:t>
            </w:r>
            <w:r w:rsidRPr="006A7ED5">
              <w:rPr>
                <w:rFonts w:ascii="Arial" w:eastAsia="Calibri" w:hAnsi="Arial" w:cs="Arial"/>
                <w:bCs/>
                <w:szCs w:val="24"/>
                <w:lang w:val="fr-CA" w:eastAsia="en-CA" w:bidi="en-US"/>
              </w:rPr>
              <w:t xml:space="preserve"> (À titre d’exemple seulement)</w:t>
            </w:r>
          </w:p>
        </w:tc>
      </w:tr>
      <w:tr w:rsidR="006A7ED5" w:rsidRPr="006A7ED5" w14:paraId="2F18F49E" w14:textId="77777777" w:rsidTr="000017AC">
        <w:trPr>
          <w:trHeight w:val="174"/>
          <w:jc w:val="center"/>
        </w:trPr>
        <w:tc>
          <w:tcPr>
            <w:tcW w:w="10110"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50E0E7C6" w14:textId="77777777" w:rsidR="006A7ED5" w:rsidRPr="006A7ED5" w:rsidRDefault="006A7ED5" w:rsidP="006A7ED5">
            <w:pPr>
              <w:spacing w:before="60" w:after="60"/>
              <w:rPr>
                <w:rFonts w:ascii="Arial" w:eastAsia="Calibri" w:hAnsi="Arial" w:cs="Arial"/>
                <w:bCs/>
                <w:szCs w:val="24"/>
                <w:lang w:eastAsia="en-CA" w:bidi="en-US"/>
              </w:rPr>
            </w:pPr>
            <w:r w:rsidRPr="006A7ED5">
              <w:rPr>
                <w:rFonts w:ascii="Arial" w:eastAsia="Calibri" w:hAnsi="Arial" w:cs="Arial"/>
                <w:bCs/>
                <w:i/>
                <w:iCs/>
                <w:szCs w:val="24"/>
                <w:lang w:eastAsia="en-CA" w:bidi="en-US"/>
              </w:rPr>
              <w:t>Cannabis Control Act</w:t>
            </w:r>
            <w:r w:rsidRPr="006A7ED5">
              <w:rPr>
                <w:rFonts w:ascii="Arial" w:eastAsia="Calibri" w:hAnsi="Arial" w:cs="Arial"/>
                <w:bCs/>
                <w:szCs w:val="24"/>
                <w:lang w:eastAsia="en-CA" w:bidi="en-US"/>
              </w:rPr>
              <w:t xml:space="preserve">, SNL 2018, </w:t>
            </w:r>
            <w:proofErr w:type="spellStart"/>
            <w:r w:rsidRPr="006A7ED5">
              <w:rPr>
                <w:rFonts w:ascii="Arial" w:eastAsia="Calibri" w:hAnsi="Arial" w:cs="Arial"/>
                <w:bCs/>
                <w:szCs w:val="24"/>
                <w:lang w:eastAsia="en-CA" w:bidi="en-US"/>
              </w:rPr>
              <w:t>ch.</w:t>
            </w:r>
            <w:proofErr w:type="spellEnd"/>
            <w:r w:rsidRPr="006A7ED5">
              <w:rPr>
                <w:rFonts w:ascii="Arial" w:eastAsia="Calibri" w:hAnsi="Arial" w:cs="Arial"/>
                <w:bCs/>
                <w:szCs w:val="24"/>
                <w:lang w:eastAsia="en-CA" w:bidi="en-US"/>
              </w:rPr>
              <w:t> C-4.1</w:t>
            </w:r>
          </w:p>
          <w:p w14:paraId="5F287B8F" w14:textId="77777777" w:rsidR="006A7ED5" w:rsidRPr="006A7ED5" w:rsidRDefault="006A7ED5" w:rsidP="006A7ED5">
            <w:pPr>
              <w:spacing w:before="60" w:after="60"/>
              <w:rPr>
                <w:rFonts w:ascii="Arial" w:eastAsia="Calibri" w:hAnsi="Arial" w:cs="Arial"/>
                <w:bCs/>
                <w:szCs w:val="24"/>
                <w:lang w:eastAsia="en-CA" w:bidi="en-US"/>
              </w:rPr>
            </w:pPr>
            <w:r w:rsidRPr="006A7ED5">
              <w:rPr>
                <w:rFonts w:ascii="Arial" w:eastAsia="Calibri" w:hAnsi="Arial" w:cs="Arial"/>
                <w:bCs/>
                <w:i/>
                <w:iCs/>
                <w:szCs w:val="24"/>
                <w:lang w:eastAsia="en-CA" w:bidi="en-US"/>
              </w:rPr>
              <w:t>Liquor Corporation Act</w:t>
            </w:r>
            <w:r w:rsidRPr="006A7ED5">
              <w:rPr>
                <w:rFonts w:ascii="Arial" w:eastAsia="Calibri" w:hAnsi="Arial" w:cs="Arial"/>
                <w:bCs/>
                <w:szCs w:val="24"/>
                <w:lang w:eastAsia="en-CA" w:bidi="en-US"/>
              </w:rPr>
              <w:t xml:space="preserve">, RSNL 1990, </w:t>
            </w:r>
            <w:proofErr w:type="spellStart"/>
            <w:r w:rsidRPr="006A7ED5">
              <w:rPr>
                <w:rFonts w:ascii="Arial" w:eastAsia="Calibri" w:hAnsi="Arial" w:cs="Arial"/>
                <w:bCs/>
                <w:szCs w:val="24"/>
                <w:lang w:eastAsia="en-CA" w:bidi="en-US"/>
              </w:rPr>
              <w:t>ch.</w:t>
            </w:r>
            <w:proofErr w:type="spellEnd"/>
            <w:r w:rsidRPr="006A7ED5">
              <w:rPr>
                <w:rFonts w:ascii="Arial" w:eastAsia="Calibri" w:hAnsi="Arial" w:cs="Arial"/>
                <w:bCs/>
                <w:szCs w:val="24"/>
                <w:lang w:eastAsia="en-CA" w:bidi="en-US"/>
              </w:rPr>
              <w:t xml:space="preserve"> L-19</w:t>
            </w:r>
          </w:p>
        </w:tc>
      </w:tr>
    </w:tbl>
    <w:p w14:paraId="1E8E0F5A" w14:textId="31ED5B16" w:rsidR="00B8348C" w:rsidRPr="00B04E29" w:rsidRDefault="00B8348C" w:rsidP="000C25A3">
      <w:pPr>
        <w:rPr>
          <w:rFonts w:eastAsia="Times New Roman" w:cstheme="minorHAnsi"/>
          <w:szCs w:val="23"/>
        </w:rPr>
      </w:pPr>
      <w:r w:rsidRPr="00B04E29">
        <w:rPr>
          <w:rFonts w:eastAsia="Times New Roman" w:cstheme="minorHAnsi"/>
          <w:szCs w:val="23"/>
        </w:rPr>
        <w:br w:type="page"/>
      </w:r>
    </w:p>
    <w:p w14:paraId="4AEFA019" w14:textId="77777777" w:rsidR="00B8348C" w:rsidRPr="00F52884" w:rsidRDefault="00B8348C" w:rsidP="00F52884">
      <w:pPr>
        <w:pStyle w:val="Heading3"/>
        <w:jc w:val="center"/>
        <w:rPr>
          <w:rFonts w:asciiTheme="minorHAnsi" w:hAnsiTheme="minorHAnsi" w:cstheme="minorHAnsi"/>
          <w:sz w:val="24"/>
          <w:szCs w:val="24"/>
          <w:lang w:val="fr-CA"/>
        </w:rPr>
      </w:pPr>
      <w:bookmarkStart w:id="324" w:name="_Toc476566360"/>
      <w:bookmarkStart w:id="325" w:name="_Toc156311813"/>
      <w:r w:rsidRPr="00F52884">
        <w:rPr>
          <w:rFonts w:asciiTheme="minorHAnsi" w:hAnsiTheme="minorHAnsi" w:cstheme="minorHAnsi"/>
          <w:sz w:val="24"/>
          <w:szCs w:val="24"/>
          <w:lang w:val="fr-CA"/>
        </w:rPr>
        <w:lastRenderedPageBreak/>
        <w:t>Liste du Yukon</w:t>
      </w:r>
      <w:bookmarkEnd w:id="324"/>
      <w:bookmarkEnd w:id="325"/>
    </w:p>
    <w:p w14:paraId="65DDC5F5" w14:textId="77777777" w:rsidR="00B8348C" w:rsidRPr="00F52884" w:rsidRDefault="00B8348C" w:rsidP="000C25A3">
      <w:pPr>
        <w:contextualSpacing/>
        <w:jc w:val="center"/>
        <w:outlineLvl w:val="2"/>
        <w:rPr>
          <w:rFonts w:eastAsia="Times New Roman" w:cstheme="minorHAnsi"/>
          <w:b/>
          <w:sz w:val="24"/>
          <w:szCs w:val="24"/>
          <w:lang w:val="fr-CA"/>
        </w:rPr>
      </w:pPr>
    </w:p>
    <w:p w14:paraId="080030E8" w14:textId="77777777" w:rsidR="00B8348C" w:rsidRPr="00F52884" w:rsidRDefault="00B8348C" w:rsidP="000C25A3">
      <w:pPr>
        <w:jc w:val="center"/>
        <w:rPr>
          <w:rFonts w:cstheme="minorHAnsi"/>
          <w:b/>
          <w:sz w:val="24"/>
          <w:szCs w:val="24"/>
          <w:lang w:val="fr-CA"/>
        </w:rPr>
      </w:pPr>
      <w:r w:rsidRPr="00F52884">
        <w:rPr>
          <w:rFonts w:cstheme="minorHAnsi"/>
          <w:b/>
          <w:bCs/>
          <w:sz w:val="24"/>
          <w:szCs w:val="24"/>
          <w:lang w:val="fr-CA"/>
        </w:rPr>
        <w:t>Annexe II</w:t>
      </w:r>
    </w:p>
    <w:p w14:paraId="0A60F326" w14:textId="77777777" w:rsidR="00B8348C" w:rsidRPr="00F52884" w:rsidRDefault="00B8348C" w:rsidP="000C25A3">
      <w:pPr>
        <w:jc w:val="center"/>
        <w:rPr>
          <w:rFonts w:cstheme="minorHAnsi"/>
          <w:b/>
          <w:szCs w:val="23"/>
          <w:lang w:val="fr-CA"/>
        </w:rPr>
      </w:pPr>
    </w:p>
    <w:p w14:paraId="445CBB7E" w14:textId="4F77F348" w:rsidR="00B8348C" w:rsidRPr="00F52884" w:rsidRDefault="00B8348C" w:rsidP="004E1EFC">
      <w:pPr>
        <w:spacing w:before="60" w:after="60"/>
        <w:ind w:left="-360"/>
        <w:rPr>
          <w:rFonts w:cstheme="minorHAnsi"/>
          <w:b/>
          <w:caps/>
          <w:szCs w:val="23"/>
          <w:lang w:val="fr-CA"/>
        </w:rPr>
      </w:pPr>
      <w:r w:rsidRPr="00F52884">
        <w:rPr>
          <w:rFonts w:cstheme="minorHAnsi"/>
          <w:b/>
          <w:bCs/>
          <w:caps/>
          <w:szCs w:val="23"/>
          <w:lang w:val="fr-CA"/>
        </w:rPr>
        <w:t>1.</w:t>
      </w:r>
      <w:r w:rsidRPr="00F52884">
        <w:rPr>
          <w:rFonts w:cstheme="minorHAnsi"/>
          <w:caps/>
          <w:szCs w:val="23"/>
          <w:lang w:val="fr-CA"/>
        </w:rPr>
        <w:t xml:space="preserve"> </w:t>
      </w:r>
      <w:r w:rsidR="004E1EFC" w:rsidRPr="00F52884">
        <w:rPr>
          <w:rFonts w:cstheme="minorHAnsi"/>
          <w:caps/>
          <w:szCs w:val="23"/>
          <w:lang w:val="fr-CA"/>
        </w:rPr>
        <w:t xml:space="preserve"> </w:t>
      </w:r>
      <w:r w:rsidRPr="00F52884">
        <w:rPr>
          <w:rFonts w:cstheme="minorHAnsi"/>
          <w:b/>
          <w:bCs/>
          <w:caps/>
          <w:szCs w:val="23"/>
          <w:lang w:val="fr-CA"/>
        </w:rPr>
        <w:t>Yukon</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0F70722C"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34919D93"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156F135" w14:textId="77777777" w:rsidR="00B8348C" w:rsidRPr="00F52884" w:rsidRDefault="00B8348C" w:rsidP="000C25A3">
            <w:pPr>
              <w:spacing w:before="60" w:after="60"/>
              <w:rPr>
                <w:rFonts w:cstheme="minorHAnsi"/>
                <w:szCs w:val="23"/>
                <w:lang w:val="fr-CA"/>
              </w:rPr>
            </w:pPr>
            <w:r w:rsidRPr="00F52884">
              <w:rPr>
                <w:rFonts w:cstheme="minorHAnsi"/>
                <w:szCs w:val="23"/>
                <w:lang w:val="fr-CA"/>
              </w:rPr>
              <w:t>Boissons alcoolisées</w:t>
            </w:r>
          </w:p>
        </w:tc>
      </w:tr>
      <w:tr w:rsidR="00B8348C" w:rsidRPr="0068240F" w14:paraId="1FB6BAA2"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67D8B562" w14:textId="77777777" w:rsidR="00B8348C" w:rsidRPr="00F52884" w:rsidRDefault="00B8348C" w:rsidP="000C25A3">
            <w:pPr>
              <w:spacing w:before="60" w:after="60"/>
              <w:rPr>
                <w:rFonts w:cstheme="minorHAnsi"/>
                <w:b/>
                <w:szCs w:val="23"/>
                <w:lang w:val="fr-CA"/>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7FB361AA"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commerce de gros de boissons, commerce de détail de boissons non consommées sur place, ventes à forfait ou sous contrat de produits alimentaires, boissons et tabacs</w:t>
            </w:r>
          </w:p>
        </w:tc>
      </w:tr>
      <w:tr w:rsidR="00B8348C" w:rsidRPr="00F52884" w14:paraId="2A0C5858"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4022A6B4"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0C6216AB"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241, 242, 243, 62112, 62226, 63107, 8841, 7123 (sauf 71231, 71232, 71233, 71234)</w:t>
            </w:r>
          </w:p>
        </w:tc>
      </w:tr>
      <w:tr w:rsidR="00B8348C" w:rsidRPr="0068240F" w14:paraId="5E198DD6" w14:textId="77777777" w:rsidTr="004E1EFC">
        <w:trPr>
          <w:trHeight w:val="42"/>
          <w:jc w:val="center"/>
        </w:trPr>
        <w:tc>
          <w:tcPr>
            <w:tcW w:w="2514" w:type="dxa"/>
            <w:tcBorders>
              <w:top w:val="single" w:sz="4" w:space="0" w:color="C0C0C0"/>
              <w:left w:val="nil"/>
              <w:bottom w:val="single" w:sz="4" w:space="0" w:color="C0C0C0"/>
            </w:tcBorders>
          </w:tcPr>
          <w:p w14:paraId="36A5E09E" w14:textId="2FBB267B"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 xml:space="preserve">Type d’exception : </w:t>
            </w:r>
          </w:p>
        </w:tc>
        <w:tc>
          <w:tcPr>
            <w:tcW w:w="7782" w:type="dxa"/>
            <w:gridSpan w:val="2"/>
            <w:tcBorders>
              <w:top w:val="single" w:sz="4" w:space="0" w:color="C0C0C0"/>
              <w:left w:val="nil"/>
              <w:bottom w:val="single" w:sz="4" w:space="0" w:color="C0C0C0"/>
            </w:tcBorders>
          </w:tcPr>
          <w:p w14:paraId="14A6CD2A" w14:textId="77777777" w:rsidR="00B8348C" w:rsidRPr="00F52884" w:rsidRDefault="00B8348C" w:rsidP="000C25A3">
            <w:pPr>
              <w:pStyle w:val="Text"/>
              <w:spacing w:before="60" w:after="60" w:line="240" w:lineRule="auto"/>
              <w:ind w:firstLine="6"/>
              <w:rPr>
                <w:rFonts w:asciiTheme="minorHAnsi" w:hAnsiTheme="minorHAnsi" w:cstheme="minorHAnsi"/>
                <w:sz w:val="23"/>
                <w:szCs w:val="23"/>
                <w:lang w:val="fr-FR"/>
              </w:rPr>
            </w:pPr>
            <w:r w:rsidRPr="00F52884">
              <w:rPr>
                <w:rFonts w:asciiTheme="minorHAnsi" w:hAnsiTheme="minorHAnsi" w:cstheme="minorHAnsi"/>
                <w:sz w:val="23"/>
                <w:szCs w:val="23"/>
                <w:lang w:val="fr-CA"/>
              </w:rPr>
              <w:t>Article 201 (Droit d’entrée et de sortie), article 307 (Accès aux marchés – Services) et article 312 (Accès aux marchés – Investissement)</w:t>
            </w:r>
          </w:p>
        </w:tc>
      </w:tr>
      <w:tr w:rsidR="00B8348C" w:rsidRPr="00F52884" w14:paraId="19A1613B"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56332D2"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3A7CF774"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F1BDE16" w14:textId="39C00ECE" w:rsidR="00B8348C" w:rsidRPr="00F52884" w:rsidRDefault="00B8348C" w:rsidP="000C25A3">
            <w:pPr>
              <w:spacing w:before="60" w:after="60"/>
              <w:rPr>
                <w:rFonts w:cstheme="minorHAnsi"/>
                <w:szCs w:val="23"/>
                <w:lang w:val="fr-FR"/>
              </w:rPr>
            </w:pPr>
            <w:r w:rsidRPr="00F52884">
              <w:rPr>
                <w:rFonts w:cstheme="minorHAnsi"/>
                <w:szCs w:val="23"/>
                <w:lang w:val="fr-CA"/>
              </w:rPr>
              <w:t>Le Yukon se réserve le droit d’adopter ou de maintenir toute mesure limitant l’accès aux marchés se rapportant à la commercialisation, au stockage, à la fabrication, à la distribution, au transport, à la vente et au commerce des boissons alcoolisées.</w:t>
            </w:r>
          </w:p>
          <w:p w14:paraId="4B23E109" w14:textId="77777777" w:rsidR="00B8348C" w:rsidRPr="00F52884" w:rsidRDefault="00B8348C" w:rsidP="000C25A3">
            <w:pPr>
              <w:pStyle w:val="NoSpacing"/>
              <w:spacing w:before="60" w:after="60"/>
              <w:rPr>
                <w:rFonts w:cstheme="minorHAnsi"/>
                <w:sz w:val="23"/>
                <w:szCs w:val="23"/>
                <w:lang w:val="fr-FR"/>
              </w:rPr>
            </w:pPr>
            <w:r w:rsidRPr="00F52884">
              <w:rPr>
                <w:rFonts w:cstheme="minorHAnsi"/>
                <w:sz w:val="23"/>
                <w:szCs w:val="23"/>
                <w:lang w:val="fr-CA"/>
              </w:rPr>
              <w:t>La Société des alcools du Yukon est l’unique importateur commercial de boissons alcoolisées au Yukon. Les fabricants de boissons alcoolisées situés dans le territoire sont autorisés à exploiter un point de vente au détail dans l’établissement de fabrication à titre d’agents de la Société des alcools du Yukon.</w:t>
            </w:r>
          </w:p>
        </w:tc>
      </w:tr>
      <w:tr w:rsidR="00B8348C" w:rsidRPr="0068240F" w14:paraId="670A4824"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72DE72B" w14:textId="1804D1AD" w:rsidR="00B8348C" w:rsidRPr="00F52884" w:rsidRDefault="00B8348C" w:rsidP="00B8348C">
            <w:pPr>
              <w:spacing w:before="60" w:after="60"/>
              <w:rPr>
                <w:rFonts w:cstheme="minorHAnsi"/>
                <w:b/>
                <w:caps/>
                <w:szCs w:val="23"/>
                <w:lang w:val="fr-FR"/>
              </w:rPr>
            </w:pPr>
            <w:r w:rsidRPr="00F52884">
              <w:rPr>
                <w:rFonts w:cstheme="minorHAnsi"/>
                <w:b/>
                <w:bCs/>
                <w:szCs w:val="23"/>
                <w:lang w:val="fr-CA"/>
              </w:rPr>
              <w:t>Toute mesure existante :</w:t>
            </w:r>
            <w:r w:rsidRPr="00F52884">
              <w:rPr>
                <w:rFonts w:cstheme="minorHAnsi"/>
                <w:caps/>
                <w:szCs w:val="23"/>
                <w:lang w:val="fr-CA"/>
              </w:rPr>
              <w:t xml:space="preserve"> </w:t>
            </w:r>
            <w:proofErr w:type="gramStart"/>
            <w:r w:rsidRPr="00F52884">
              <w:rPr>
                <w:rFonts w:cstheme="minorHAnsi"/>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cstheme="minorHAnsi"/>
                <w:szCs w:val="23"/>
                <w:lang w:val="fr-CA"/>
              </w:rPr>
              <w:t>)</w:t>
            </w:r>
          </w:p>
        </w:tc>
      </w:tr>
      <w:tr w:rsidR="00F52884" w:rsidRPr="0068240F" w14:paraId="119ACA1F"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107E8005" w14:textId="48882F0A" w:rsidR="00B8348C" w:rsidRPr="00F52884" w:rsidRDefault="00B8348C" w:rsidP="000C25A3">
            <w:pPr>
              <w:spacing w:before="60" w:after="60"/>
              <w:rPr>
                <w:rFonts w:cstheme="minorHAnsi"/>
                <w:szCs w:val="23"/>
                <w:lang w:val="fr-CA"/>
              </w:rPr>
            </w:pPr>
            <w:r w:rsidRPr="00F52884">
              <w:rPr>
                <w:rFonts w:cstheme="minorHAnsi"/>
                <w:i/>
                <w:iCs/>
                <w:szCs w:val="23"/>
                <w:lang w:val="fr-CA"/>
              </w:rPr>
              <w:t>Loi sur les boissons alcoolisées</w:t>
            </w:r>
            <w:r w:rsidRPr="00F52884">
              <w:rPr>
                <w:rFonts w:cstheme="minorHAnsi"/>
                <w:szCs w:val="23"/>
                <w:lang w:val="fr-CA"/>
              </w:rPr>
              <w:t>, LRY 2002, c 140, art 8</w:t>
            </w:r>
            <w:r w:rsidRPr="00B04E29">
              <w:rPr>
                <w:rFonts w:ascii="Arial" w:hAnsi="Arial" w:cs="Arial"/>
                <w:szCs w:val="23"/>
                <w:lang w:val="fr-CA"/>
              </w:rPr>
              <w:t>–</w:t>
            </w:r>
            <w:r w:rsidRPr="00F52884">
              <w:rPr>
                <w:rFonts w:cstheme="minorHAnsi"/>
                <w:szCs w:val="23"/>
                <w:lang w:val="fr-CA"/>
              </w:rPr>
              <w:t>9, 37, 73, 119</w:t>
            </w:r>
          </w:p>
          <w:p w14:paraId="60020BB8" w14:textId="1F678CEA" w:rsidR="00B8348C" w:rsidRPr="00F52884" w:rsidRDefault="00B8348C" w:rsidP="000C25A3">
            <w:pPr>
              <w:spacing w:before="60" w:after="60"/>
              <w:rPr>
                <w:rFonts w:cstheme="minorHAnsi"/>
                <w:szCs w:val="23"/>
                <w:lang w:val="fr-CA"/>
              </w:rPr>
            </w:pPr>
            <w:r w:rsidRPr="00F52884">
              <w:rPr>
                <w:rFonts w:cstheme="minorHAnsi"/>
                <w:i/>
                <w:iCs/>
                <w:szCs w:val="23"/>
                <w:lang w:val="fr-CA"/>
              </w:rPr>
              <w:t>Règlement sur les boissons alcoolisées</w:t>
            </w:r>
            <w:r w:rsidRPr="00F52884">
              <w:rPr>
                <w:rFonts w:cstheme="minorHAnsi"/>
                <w:szCs w:val="23"/>
                <w:lang w:val="fr-CA"/>
              </w:rPr>
              <w:t>, YD 1977/37</w:t>
            </w:r>
          </w:p>
          <w:p w14:paraId="49886BC2" w14:textId="6674373B" w:rsidR="00B8348C" w:rsidRPr="00F52884" w:rsidRDefault="00B8348C" w:rsidP="00B8348C">
            <w:pPr>
              <w:spacing w:before="60" w:after="60"/>
              <w:rPr>
                <w:rFonts w:cstheme="minorHAnsi"/>
                <w:szCs w:val="23"/>
                <w:lang w:val="fr-CA"/>
              </w:rPr>
            </w:pPr>
            <w:r w:rsidRPr="00F52884">
              <w:rPr>
                <w:rFonts w:cstheme="minorHAnsi"/>
                <w:i/>
                <w:iCs/>
                <w:szCs w:val="23"/>
                <w:lang w:val="fr-CA"/>
              </w:rPr>
              <w:t>Règlement modifiant le Règlement sur les boissons alcoolisées</w:t>
            </w:r>
            <w:r w:rsidRPr="00F52884">
              <w:rPr>
                <w:rFonts w:cstheme="minorHAnsi"/>
                <w:szCs w:val="23"/>
                <w:lang w:val="fr-CA"/>
              </w:rPr>
              <w:t>, YD 2010/157, 2012/96</w:t>
            </w:r>
          </w:p>
        </w:tc>
      </w:tr>
    </w:tbl>
    <w:p w14:paraId="7A48B62A" w14:textId="77777777" w:rsidR="00B8348C" w:rsidRPr="00F52884" w:rsidRDefault="00B8348C" w:rsidP="000C25A3">
      <w:pPr>
        <w:rPr>
          <w:rFonts w:cstheme="minorHAnsi"/>
          <w:b/>
          <w:szCs w:val="23"/>
          <w:lang w:val="fr-CA"/>
        </w:rPr>
      </w:pPr>
    </w:p>
    <w:p w14:paraId="52815E38" w14:textId="77777777" w:rsidR="00B8348C" w:rsidRPr="00F52884" w:rsidRDefault="00B8348C" w:rsidP="000C25A3">
      <w:pPr>
        <w:rPr>
          <w:rFonts w:cstheme="minorHAnsi"/>
          <w:b/>
          <w:szCs w:val="23"/>
          <w:lang w:val="fr-CA"/>
        </w:rPr>
      </w:pPr>
    </w:p>
    <w:p w14:paraId="48087903" w14:textId="088C3E2F"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2. </w:t>
      </w:r>
      <w:r w:rsidR="004E1EFC" w:rsidRPr="00F52884">
        <w:rPr>
          <w:rFonts w:cstheme="minorHAnsi"/>
          <w:b/>
          <w:bCs/>
          <w:caps/>
          <w:szCs w:val="23"/>
          <w:lang w:val="fr-CA"/>
        </w:rPr>
        <w:t xml:space="preserve"> </w:t>
      </w:r>
      <w:r w:rsidRPr="00F52884">
        <w:rPr>
          <w:rFonts w:cstheme="minorHAnsi"/>
          <w:b/>
          <w:bCs/>
          <w:caps/>
          <w:szCs w:val="23"/>
          <w:lang w:val="fr-CA"/>
        </w:rPr>
        <w:t>Yukon</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283800E4"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08174CCC"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00E9E662"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30B7E7ED"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0786E2A8"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5CB1EC02" w14:textId="77777777" w:rsidR="00B8348C" w:rsidRPr="00F52884" w:rsidRDefault="00B8348C" w:rsidP="000C25A3">
            <w:pPr>
              <w:spacing w:before="60" w:after="60"/>
              <w:rPr>
                <w:rFonts w:cstheme="minorHAnsi"/>
                <w:szCs w:val="23"/>
                <w:lang w:val="fr-FR"/>
              </w:rPr>
            </w:pPr>
            <w:r w:rsidRPr="00F52884">
              <w:rPr>
                <w:rFonts w:cstheme="minorHAnsi"/>
                <w:szCs w:val="23"/>
                <w:lang w:val="fr-CA"/>
              </w:rPr>
              <w:t>Pétrole brut et gaz naturel; services de transports par conduites; services annexes à la distribution d’énergie</w:t>
            </w:r>
          </w:p>
        </w:tc>
      </w:tr>
      <w:tr w:rsidR="00B8348C" w:rsidRPr="00F52884" w14:paraId="5F3C8BE0"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1A492D24"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045580D8"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120, 713, 887</w:t>
            </w:r>
          </w:p>
        </w:tc>
      </w:tr>
      <w:tr w:rsidR="00B8348C" w:rsidRPr="0068240F" w14:paraId="1BB1C4E8" w14:textId="77777777" w:rsidTr="004E1EFC">
        <w:trPr>
          <w:trHeight w:val="42"/>
          <w:jc w:val="center"/>
        </w:trPr>
        <w:tc>
          <w:tcPr>
            <w:tcW w:w="2514" w:type="dxa"/>
            <w:tcBorders>
              <w:top w:val="single" w:sz="4" w:space="0" w:color="C0C0C0"/>
              <w:left w:val="nil"/>
              <w:bottom w:val="single" w:sz="4" w:space="0" w:color="C0C0C0"/>
            </w:tcBorders>
          </w:tcPr>
          <w:p w14:paraId="30CEED10" w14:textId="1377BA10"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82" w:type="dxa"/>
            <w:gridSpan w:val="2"/>
            <w:tcBorders>
              <w:top w:val="single" w:sz="4" w:space="0" w:color="C0C0C0"/>
              <w:left w:val="nil"/>
              <w:bottom w:val="single" w:sz="4" w:space="0" w:color="C0C0C0"/>
            </w:tcBorders>
          </w:tcPr>
          <w:p w14:paraId="0D694CBE"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3FBD9E9F"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DDBAE62"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440407FF"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687B1C5D"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Yukon se réserve le droit d’adopter ou de maintenir une mesure limitant l’accès aux marchés de l’exploration, de la production, de l’extraction et de la mise en valeur du pétrole et du gaz.</w:t>
            </w:r>
          </w:p>
          <w:p w14:paraId="55FC1D7C" w14:textId="77777777" w:rsidR="00B8348C" w:rsidRPr="00F52884" w:rsidRDefault="00B8348C" w:rsidP="000C25A3">
            <w:pPr>
              <w:pStyle w:val="NoSpacing"/>
              <w:spacing w:before="120" w:after="120"/>
              <w:rPr>
                <w:rFonts w:cstheme="minorHAnsi"/>
                <w:sz w:val="23"/>
                <w:szCs w:val="23"/>
                <w:lang w:val="fr-FR"/>
              </w:rPr>
            </w:pPr>
            <w:r w:rsidRPr="00F52884">
              <w:rPr>
                <w:rFonts w:cstheme="minorHAnsi"/>
                <w:sz w:val="23"/>
                <w:szCs w:val="23"/>
                <w:lang w:val="fr-CA"/>
              </w:rPr>
              <w:lastRenderedPageBreak/>
              <w:t>Le Yukon se réserve le droit d’adopter ou de maintenir toute mesure accordant des droits exclusifs d’exploitation d’un système de distribution ou de transport de gaz naturel ou de pétrole, y compris les activités liées aux conduites de gaz naturel et de pétrole, aux services de distribution par voie maritime et aux services de transports.</w:t>
            </w:r>
          </w:p>
        </w:tc>
      </w:tr>
      <w:tr w:rsidR="00B8348C" w:rsidRPr="00F52884" w14:paraId="2974B399"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9B39554" w14:textId="77777777" w:rsidR="00B8348C" w:rsidRPr="00F52884" w:rsidRDefault="00B8348C" w:rsidP="000C25A3">
            <w:pPr>
              <w:spacing w:before="60" w:after="60"/>
              <w:rPr>
                <w:rFonts w:cstheme="minorHAnsi"/>
                <w:b/>
                <w:caps/>
                <w:szCs w:val="23"/>
              </w:rPr>
            </w:pPr>
            <w:r w:rsidRPr="00F52884">
              <w:rPr>
                <w:rFonts w:cstheme="minorHAnsi"/>
                <w:b/>
                <w:bCs/>
                <w:szCs w:val="23"/>
                <w:lang w:val="fr-CA"/>
              </w:rPr>
              <w:lastRenderedPageBreak/>
              <w:t>Toute mesure existante :</w:t>
            </w:r>
            <w:r w:rsidRPr="00F52884">
              <w:rPr>
                <w:rFonts w:cstheme="minorHAnsi"/>
                <w:b/>
                <w:bCs/>
                <w:caps/>
                <w:szCs w:val="23"/>
                <w:lang w:val="fr-CA"/>
              </w:rPr>
              <w:t xml:space="preserve"> </w:t>
            </w:r>
          </w:p>
        </w:tc>
      </w:tr>
      <w:tr w:rsidR="00B8348C" w:rsidRPr="00F52884" w14:paraId="0742E45C"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7D1AC6A0" w14:textId="77777777" w:rsidR="00B8348C" w:rsidRPr="00F52884" w:rsidRDefault="00B8348C" w:rsidP="000C25A3">
            <w:pPr>
              <w:spacing w:before="60" w:after="60"/>
              <w:rPr>
                <w:rFonts w:cstheme="minorHAnsi"/>
                <w:szCs w:val="23"/>
              </w:rPr>
            </w:pPr>
          </w:p>
        </w:tc>
      </w:tr>
    </w:tbl>
    <w:p w14:paraId="2C3F5731" w14:textId="77777777" w:rsidR="00B8348C" w:rsidRPr="00F52884" w:rsidRDefault="00B8348C" w:rsidP="000C25A3">
      <w:pPr>
        <w:rPr>
          <w:rFonts w:cstheme="minorHAnsi"/>
          <w:b/>
          <w:szCs w:val="23"/>
        </w:rPr>
      </w:pPr>
    </w:p>
    <w:p w14:paraId="1500CE5E" w14:textId="77777777" w:rsidR="00B8348C" w:rsidRPr="00F52884" w:rsidRDefault="00B8348C" w:rsidP="000C25A3">
      <w:pPr>
        <w:rPr>
          <w:rFonts w:cstheme="minorHAnsi"/>
          <w:b/>
          <w:szCs w:val="23"/>
        </w:rPr>
      </w:pPr>
    </w:p>
    <w:p w14:paraId="5AF99E46" w14:textId="1D7084DD"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3. </w:t>
      </w:r>
      <w:r w:rsidR="004E1EFC" w:rsidRPr="00F52884">
        <w:rPr>
          <w:rFonts w:cstheme="minorHAnsi"/>
          <w:b/>
          <w:bCs/>
          <w:caps/>
          <w:szCs w:val="23"/>
          <w:lang w:val="fr-CA"/>
        </w:rPr>
        <w:t xml:space="preserve"> </w:t>
      </w:r>
      <w:r w:rsidRPr="00F52884">
        <w:rPr>
          <w:rFonts w:cstheme="minorHAnsi"/>
          <w:b/>
          <w:bCs/>
          <w:caps/>
          <w:szCs w:val="23"/>
          <w:lang w:val="fr-CA"/>
        </w:rPr>
        <w:t>Yukon</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7744B613"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3539D120"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06188F79" w14:textId="77777777" w:rsidR="00B8348C" w:rsidRPr="00F52884" w:rsidRDefault="00B8348C" w:rsidP="000C25A3">
            <w:pPr>
              <w:spacing w:before="60" w:after="60"/>
              <w:rPr>
                <w:rFonts w:cstheme="minorHAnsi"/>
                <w:szCs w:val="23"/>
              </w:rPr>
            </w:pPr>
            <w:r w:rsidRPr="00F52884">
              <w:rPr>
                <w:rFonts w:cstheme="minorHAnsi"/>
                <w:szCs w:val="23"/>
                <w:lang w:val="fr-CA"/>
              </w:rPr>
              <w:t>Énergie</w:t>
            </w:r>
          </w:p>
        </w:tc>
      </w:tr>
      <w:tr w:rsidR="00B8348C" w:rsidRPr="0068240F" w14:paraId="2692FBF6" w14:textId="77777777" w:rsidTr="004E1EFC">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2209DBAF"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6F3D87E3" w14:textId="77777777" w:rsidR="00B8348C" w:rsidRPr="00F52884" w:rsidRDefault="00B8348C" w:rsidP="000C25A3">
            <w:pPr>
              <w:spacing w:before="60" w:after="60"/>
              <w:rPr>
                <w:rFonts w:cstheme="minorHAnsi"/>
                <w:szCs w:val="23"/>
                <w:lang w:val="fr-FR"/>
              </w:rPr>
            </w:pPr>
            <w:r w:rsidRPr="00F52884">
              <w:rPr>
                <w:rFonts w:cstheme="minorHAnsi"/>
                <w:szCs w:val="23"/>
                <w:lang w:val="fr-CA"/>
              </w:rPr>
              <w:t>Production, transport et distribution de l’électricité, gaz, vapeur et eau chaude, électricité, et services connexes</w:t>
            </w:r>
          </w:p>
        </w:tc>
      </w:tr>
      <w:tr w:rsidR="00B8348C" w:rsidRPr="00F52884" w14:paraId="05D4BCC4" w14:textId="77777777" w:rsidTr="004E1EFC">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6FD8E6CE"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6F1B4FE3" w14:textId="7329B34E" w:rsidR="00B8348C" w:rsidRPr="00F52884" w:rsidRDefault="00B8348C" w:rsidP="000C25A3">
            <w:pPr>
              <w:spacing w:before="60" w:after="60"/>
              <w:ind w:left="28" w:hanging="28"/>
              <w:rPr>
                <w:rFonts w:cstheme="minorHAnsi"/>
                <w:szCs w:val="23"/>
              </w:rPr>
            </w:pPr>
            <w:r w:rsidRPr="00F52884">
              <w:rPr>
                <w:rFonts w:cstheme="minorHAnsi"/>
                <w:szCs w:val="23"/>
                <w:lang w:val="fr-CA"/>
              </w:rPr>
              <w:t>CPC 17, 887</w:t>
            </w:r>
          </w:p>
        </w:tc>
      </w:tr>
      <w:tr w:rsidR="00B8348C" w:rsidRPr="0068240F" w14:paraId="574F219E" w14:textId="77777777" w:rsidTr="004E1EFC">
        <w:trPr>
          <w:trHeight w:val="42"/>
          <w:jc w:val="center"/>
        </w:trPr>
        <w:tc>
          <w:tcPr>
            <w:tcW w:w="2514" w:type="dxa"/>
            <w:tcBorders>
              <w:top w:val="single" w:sz="4" w:space="0" w:color="C0C0C0"/>
              <w:left w:val="nil"/>
              <w:bottom w:val="single" w:sz="4" w:space="0" w:color="C0C0C0"/>
            </w:tcBorders>
          </w:tcPr>
          <w:p w14:paraId="4D5A6413" w14:textId="21D099B8"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82" w:type="dxa"/>
            <w:gridSpan w:val="2"/>
            <w:tcBorders>
              <w:top w:val="single" w:sz="4" w:space="0" w:color="C0C0C0"/>
              <w:left w:val="nil"/>
              <w:bottom w:val="single" w:sz="4" w:space="0" w:color="C0C0C0"/>
            </w:tcBorders>
          </w:tcPr>
          <w:p w14:paraId="1FBE0193" w14:textId="77777777" w:rsidR="00B8348C" w:rsidRPr="00F52884" w:rsidRDefault="00B8348C" w:rsidP="000C25A3">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7D302F51"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1C9939A"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14BFF129" w14:textId="77777777" w:rsidTr="004E1EFC">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3C94355B"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Le Yukon se réserve le droit d’adopter ou de maintenir toute mesure limitant l’accès aux marchés suivants :</w:t>
            </w:r>
          </w:p>
          <w:p w14:paraId="1CCFB283" w14:textId="77777777" w:rsidR="00B8348C" w:rsidRPr="00F52884" w:rsidRDefault="00B8348C" w:rsidP="00B8348C">
            <w:pPr>
              <w:numPr>
                <w:ilvl w:val="0"/>
                <w:numId w:val="149"/>
              </w:numPr>
              <w:tabs>
                <w:tab w:val="clear" w:pos="720"/>
              </w:tabs>
              <w:spacing w:before="120" w:after="120"/>
              <w:ind w:left="906" w:hanging="540"/>
              <w:rPr>
                <w:rFonts w:cstheme="minorHAnsi"/>
                <w:szCs w:val="23"/>
              </w:rPr>
            </w:pPr>
            <w:proofErr w:type="gramStart"/>
            <w:r w:rsidRPr="00F52884">
              <w:rPr>
                <w:rFonts w:cstheme="minorHAnsi"/>
                <w:szCs w:val="23"/>
                <w:lang w:val="fr-CA"/>
              </w:rPr>
              <w:t>la</w:t>
            </w:r>
            <w:proofErr w:type="gramEnd"/>
            <w:r w:rsidRPr="00F52884">
              <w:rPr>
                <w:rFonts w:cstheme="minorHAnsi"/>
                <w:szCs w:val="23"/>
                <w:lang w:val="fr-CA"/>
              </w:rPr>
              <w:t xml:space="preserve"> production d’hydroélectricité;</w:t>
            </w:r>
          </w:p>
          <w:p w14:paraId="670005E2" w14:textId="77777777" w:rsidR="00B8348C" w:rsidRPr="00F52884" w:rsidRDefault="00B8348C" w:rsidP="00B8348C">
            <w:pPr>
              <w:numPr>
                <w:ilvl w:val="0"/>
                <w:numId w:val="149"/>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la</w:t>
            </w:r>
            <w:proofErr w:type="gramEnd"/>
            <w:r w:rsidRPr="00F52884">
              <w:rPr>
                <w:rFonts w:cstheme="minorHAnsi"/>
                <w:szCs w:val="23"/>
                <w:lang w:val="fr-CA"/>
              </w:rPr>
              <w:t xml:space="preserve"> production, le transport, la distribution, l’approvisionnement et l’exportation de l’électricité;</w:t>
            </w:r>
          </w:p>
          <w:p w14:paraId="06EE9515" w14:textId="77777777" w:rsidR="00B8348C" w:rsidRPr="00F52884" w:rsidRDefault="00B8348C" w:rsidP="00B8348C">
            <w:pPr>
              <w:numPr>
                <w:ilvl w:val="0"/>
                <w:numId w:val="149"/>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les</w:t>
            </w:r>
            <w:proofErr w:type="gramEnd"/>
            <w:r w:rsidRPr="00F52884">
              <w:rPr>
                <w:rFonts w:cstheme="minorHAnsi"/>
                <w:szCs w:val="23"/>
                <w:lang w:val="fr-CA"/>
              </w:rPr>
              <w:t xml:space="preserve"> usages commerciaux et industriels de l’eau;</w:t>
            </w:r>
          </w:p>
          <w:p w14:paraId="09DA0247" w14:textId="77777777" w:rsidR="00B8348C" w:rsidRPr="00F52884" w:rsidRDefault="00B8348C" w:rsidP="00B8348C">
            <w:pPr>
              <w:numPr>
                <w:ilvl w:val="0"/>
                <w:numId w:val="149"/>
              </w:numPr>
              <w:tabs>
                <w:tab w:val="clear" w:pos="720"/>
              </w:tabs>
              <w:spacing w:before="120" w:after="120"/>
              <w:ind w:left="906" w:hanging="540"/>
              <w:rPr>
                <w:rFonts w:cstheme="minorHAnsi"/>
                <w:szCs w:val="23"/>
                <w:lang w:val="fr-FR"/>
              </w:rPr>
            </w:pPr>
            <w:proofErr w:type="gramStart"/>
            <w:r w:rsidRPr="00F52884">
              <w:rPr>
                <w:rFonts w:cstheme="minorHAnsi"/>
                <w:szCs w:val="23"/>
                <w:lang w:val="fr-CA"/>
              </w:rPr>
              <w:t>les</w:t>
            </w:r>
            <w:proofErr w:type="gramEnd"/>
            <w:r w:rsidRPr="00F52884">
              <w:rPr>
                <w:rFonts w:cstheme="minorHAnsi"/>
                <w:szCs w:val="23"/>
                <w:lang w:val="fr-CA"/>
              </w:rPr>
              <w:t xml:space="preserve"> services annexes à la distribution d’énergie.</w:t>
            </w:r>
          </w:p>
          <w:p w14:paraId="0B960163" w14:textId="77777777" w:rsidR="00B8348C" w:rsidRPr="00F52884" w:rsidRDefault="00B8348C" w:rsidP="000C25A3">
            <w:pPr>
              <w:pStyle w:val="NoSpacing"/>
              <w:spacing w:before="120" w:after="120"/>
              <w:rPr>
                <w:rFonts w:cstheme="minorHAnsi"/>
                <w:sz w:val="23"/>
                <w:szCs w:val="23"/>
                <w:lang w:val="fr-FR"/>
              </w:rPr>
            </w:pPr>
            <w:r w:rsidRPr="00F52884">
              <w:rPr>
                <w:rFonts w:cstheme="minorHAnsi"/>
                <w:sz w:val="23"/>
                <w:szCs w:val="23"/>
                <w:lang w:val="fr-CA"/>
              </w:rPr>
              <w:t>Le Yukon peut mettre à la disposition de la Société de développement du Yukon (ou de toute filiale ou société la remplaçant), à des fins opérationnelles, des installations hydroélectriques ou autres appartenant au Yukon ou se trouvant sous son contrôle.</w:t>
            </w:r>
          </w:p>
        </w:tc>
      </w:tr>
      <w:tr w:rsidR="00B8348C" w:rsidRPr="0068240F" w14:paraId="0A460EF7"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2935C3B" w14:textId="5AA5EE5A" w:rsidR="00B8348C" w:rsidRPr="00F52884" w:rsidRDefault="00B8348C" w:rsidP="00B8348C">
            <w:pPr>
              <w:spacing w:before="60" w:after="60"/>
              <w:rPr>
                <w:rFonts w:cstheme="minorHAnsi"/>
                <w:b/>
                <w:caps/>
                <w:szCs w:val="23"/>
                <w:lang w:val="fr-FR"/>
              </w:rPr>
            </w:pPr>
            <w:r w:rsidRPr="00F52884">
              <w:rPr>
                <w:rFonts w:cstheme="minorHAnsi"/>
                <w:b/>
                <w:bCs/>
                <w:szCs w:val="23"/>
                <w:lang w:val="fr-CA"/>
              </w:rPr>
              <w:t>Toute mesure existante :</w:t>
            </w:r>
            <w:r w:rsidRPr="00F52884">
              <w:rPr>
                <w:rFonts w:cstheme="minorHAnsi"/>
                <w:caps/>
                <w:szCs w:val="23"/>
                <w:lang w:val="fr-CA"/>
              </w:rPr>
              <w:t xml:space="preserve"> </w:t>
            </w:r>
            <w:proofErr w:type="gramStart"/>
            <w:r w:rsidRPr="00F52884">
              <w:rPr>
                <w:rFonts w:cstheme="minorHAnsi"/>
                <w:szCs w:val="23"/>
                <w:lang w:val="fr-CA"/>
              </w:rPr>
              <w:t>(</w:t>
            </w:r>
            <w:r w:rsidRPr="00F52884">
              <w:rPr>
                <w:rFonts w:eastAsia="Arial" w:cstheme="minorHAnsi"/>
                <w:szCs w:val="23"/>
                <w:lang w:val="fr-CA"/>
              </w:rPr>
              <w:t xml:space="preserve"> Fourni</w:t>
            </w:r>
            <w:proofErr w:type="gramEnd"/>
            <w:r w:rsidRPr="00F52884">
              <w:rPr>
                <w:rFonts w:eastAsia="Arial" w:cstheme="minorHAnsi"/>
                <w:szCs w:val="23"/>
                <w:lang w:val="fr-CA"/>
              </w:rPr>
              <w:t xml:space="preserve"> à des fins illustratives</w:t>
            </w:r>
            <w:r w:rsidRPr="00F52884">
              <w:rPr>
                <w:rFonts w:cstheme="minorHAnsi"/>
                <w:szCs w:val="23"/>
                <w:lang w:val="fr-CA"/>
              </w:rPr>
              <w:t>)</w:t>
            </w:r>
          </w:p>
        </w:tc>
      </w:tr>
      <w:tr w:rsidR="00F52884" w:rsidRPr="0068240F" w14:paraId="192F35B9" w14:textId="77777777" w:rsidTr="004E1EFC">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3CB8D0CE" w14:textId="2B6DFC79" w:rsidR="00B8348C" w:rsidRPr="00F52884" w:rsidRDefault="00B8348C" w:rsidP="000C25A3">
            <w:pPr>
              <w:spacing w:before="60" w:after="60"/>
              <w:rPr>
                <w:rFonts w:cstheme="minorHAnsi"/>
                <w:szCs w:val="23"/>
                <w:lang w:val="fr-CA"/>
              </w:rPr>
            </w:pPr>
            <w:r w:rsidRPr="00F52884">
              <w:rPr>
                <w:rFonts w:cstheme="minorHAnsi"/>
                <w:i/>
                <w:iCs/>
                <w:szCs w:val="23"/>
                <w:lang w:val="fr-CA"/>
              </w:rPr>
              <w:t>Loi sur les entreprises de service public,</w:t>
            </w:r>
            <w:r w:rsidRPr="00F52884">
              <w:rPr>
                <w:rFonts w:cstheme="minorHAnsi"/>
                <w:szCs w:val="23"/>
                <w:lang w:val="fr-CA"/>
              </w:rPr>
              <w:t xml:space="preserve"> LRY 2002, c 186, art 17, 21</w:t>
            </w:r>
            <w:r w:rsidRPr="00B04E29">
              <w:rPr>
                <w:rFonts w:ascii="Arial" w:hAnsi="Arial" w:cs="Arial"/>
                <w:szCs w:val="23"/>
                <w:lang w:val="fr-CA"/>
              </w:rPr>
              <w:t>–</w:t>
            </w:r>
            <w:r w:rsidRPr="00F52884">
              <w:rPr>
                <w:rFonts w:cstheme="minorHAnsi"/>
                <w:szCs w:val="23"/>
                <w:lang w:val="fr-CA"/>
              </w:rPr>
              <w:t>22, 35, 42</w:t>
            </w:r>
            <w:r w:rsidRPr="00B04E29">
              <w:rPr>
                <w:rFonts w:ascii="Arial" w:hAnsi="Arial" w:cs="Arial"/>
                <w:szCs w:val="23"/>
                <w:lang w:val="fr-CA"/>
              </w:rPr>
              <w:t>–</w:t>
            </w:r>
            <w:r w:rsidRPr="00F52884">
              <w:rPr>
                <w:rFonts w:cstheme="minorHAnsi"/>
                <w:szCs w:val="23"/>
                <w:lang w:val="fr-CA"/>
              </w:rPr>
              <w:t>43, 51, 77</w:t>
            </w:r>
          </w:p>
        </w:tc>
      </w:tr>
    </w:tbl>
    <w:p w14:paraId="432CA73D" w14:textId="77777777" w:rsidR="00B8348C" w:rsidRPr="00F52884" w:rsidRDefault="00B8348C" w:rsidP="000C25A3">
      <w:pPr>
        <w:rPr>
          <w:rFonts w:cstheme="minorHAnsi"/>
          <w:b/>
          <w:szCs w:val="23"/>
          <w:lang w:val="fr-CA"/>
        </w:rPr>
      </w:pPr>
    </w:p>
    <w:p w14:paraId="2318AF5F" w14:textId="77777777" w:rsidR="00B8348C" w:rsidRPr="00F52884" w:rsidRDefault="00B8348C" w:rsidP="000C25A3">
      <w:pPr>
        <w:rPr>
          <w:rFonts w:cstheme="minorHAnsi"/>
          <w:b/>
          <w:szCs w:val="23"/>
          <w:lang w:val="fr-CA"/>
        </w:rPr>
      </w:pPr>
    </w:p>
    <w:p w14:paraId="050C8BAF" w14:textId="27D0B1E8" w:rsidR="00B8348C" w:rsidRPr="00F52884" w:rsidRDefault="00B8348C" w:rsidP="004E1EFC">
      <w:pPr>
        <w:spacing w:before="60" w:after="60"/>
        <w:ind w:left="-360"/>
        <w:rPr>
          <w:rFonts w:cstheme="minorHAnsi"/>
          <w:b/>
          <w:caps/>
          <w:szCs w:val="23"/>
        </w:rPr>
      </w:pPr>
      <w:r w:rsidRPr="00F52884">
        <w:rPr>
          <w:rFonts w:cstheme="minorHAnsi"/>
          <w:b/>
          <w:bCs/>
          <w:caps/>
          <w:szCs w:val="23"/>
          <w:lang w:val="fr-CA"/>
        </w:rPr>
        <w:t xml:space="preserve">4. </w:t>
      </w:r>
      <w:r w:rsidR="004E1EFC" w:rsidRPr="00F52884">
        <w:rPr>
          <w:rFonts w:cstheme="minorHAnsi"/>
          <w:b/>
          <w:bCs/>
          <w:caps/>
          <w:szCs w:val="23"/>
          <w:lang w:val="fr-CA"/>
        </w:rPr>
        <w:t xml:space="preserve"> </w:t>
      </w:r>
      <w:r w:rsidRPr="00F52884">
        <w:rPr>
          <w:rFonts w:cstheme="minorHAnsi"/>
          <w:b/>
          <w:bCs/>
          <w:caps/>
          <w:szCs w:val="23"/>
          <w:lang w:val="fr-CA"/>
        </w:rPr>
        <w:t>Yukon</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06DCCA11"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4D576694"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2D0729D6" w14:textId="77777777" w:rsidR="00B8348C" w:rsidRPr="00F52884" w:rsidRDefault="00B8348C" w:rsidP="000C25A3">
            <w:pPr>
              <w:spacing w:before="60" w:after="60"/>
              <w:rPr>
                <w:rFonts w:cstheme="minorHAnsi"/>
                <w:szCs w:val="23"/>
              </w:rPr>
            </w:pPr>
            <w:r w:rsidRPr="00F52884">
              <w:rPr>
                <w:rFonts w:cstheme="minorHAnsi"/>
                <w:szCs w:val="23"/>
                <w:lang w:val="fr-CA"/>
              </w:rPr>
              <w:t>Sylviculture</w:t>
            </w:r>
          </w:p>
        </w:tc>
      </w:tr>
      <w:tr w:rsidR="00B8348C" w:rsidRPr="0068240F" w14:paraId="435174DF"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5F40A10D"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4D6F5660" w14:textId="77777777" w:rsidR="00B8348C" w:rsidRPr="00F52884" w:rsidRDefault="00B8348C" w:rsidP="000C25A3">
            <w:pPr>
              <w:spacing w:before="60" w:after="60"/>
              <w:rPr>
                <w:rFonts w:cstheme="minorHAnsi"/>
                <w:szCs w:val="23"/>
                <w:lang w:val="fr-FR"/>
              </w:rPr>
            </w:pPr>
            <w:r w:rsidRPr="00F52884">
              <w:rPr>
                <w:rFonts w:cstheme="minorHAnsi"/>
                <w:szCs w:val="23"/>
                <w:lang w:val="fr-CA"/>
              </w:rPr>
              <w:t>Sylviculture et produits de l’exploitation forestière</w:t>
            </w:r>
          </w:p>
        </w:tc>
      </w:tr>
      <w:tr w:rsidR="00B8348C" w:rsidRPr="00F52884" w14:paraId="0638295D" w14:textId="77777777" w:rsidTr="001B12BD">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26FD5A3E"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607BBE16"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03, 531</w:t>
            </w:r>
          </w:p>
        </w:tc>
      </w:tr>
      <w:tr w:rsidR="00B8348C" w:rsidRPr="0068240F" w14:paraId="073D2813" w14:textId="77777777" w:rsidTr="001B12BD">
        <w:trPr>
          <w:trHeight w:val="42"/>
          <w:jc w:val="center"/>
        </w:trPr>
        <w:tc>
          <w:tcPr>
            <w:tcW w:w="2514" w:type="dxa"/>
            <w:tcBorders>
              <w:top w:val="single" w:sz="4" w:space="0" w:color="C0C0C0"/>
              <w:left w:val="nil"/>
              <w:bottom w:val="single" w:sz="4" w:space="0" w:color="C0C0C0"/>
            </w:tcBorders>
          </w:tcPr>
          <w:p w14:paraId="33978052" w14:textId="357B6508"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lastRenderedPageBreak/>
              <w:t>Type d’exception :</w:t>
            </w:r>
            <w:r w:rsidRPr="00F52884">
              <w:rPr>
                <w:rFonts w:asciiTheme="minorHAnsi" w:hAnsiTheme="minorHAnsi" w:cstheme="minorHAnsi"/>
                <w:sz w:val="23"/>
                <w:szCs w:val="23"/>
                <w:lang w:val="fr-CA"/>
              </w:rPr>
              <w:t xml:space="preserve"> </w:t>
            </w:r>
          </w:p>
        </w:tc>
        <w:tc>
          <w:tcPr>
            <w:tcW w:w="7782" w:type="dxa"/>
            <w:gridSpan w:val="2"/>
            <w:tcBorders>
              <w:top w:val="single" w:sz="4" w:space="0" w:color="C0C0C0"/>
              <w:left w:val="nil"/>
              <w:bottom w:val="single" w:sz="4" w:space="0" w:color="C0C0C0"/>
            </w:tcBorders>
          </w:tcPr>
          <w:p w14:paraId="562291B8" w14:textId="77777777" w:rsidR="00B8348C" w:rsidRPr="00F52884" w:rsidRDefault="00B8348C" w:rsidP="000C25A3">
            <w:pPr>
              <w:pStyle w:val="Text"/>
              <w:spacing w:before="60" w:after="60" w:line="240" w:lineRule="auto"/>
              <w:ind w:left="432" w:hanging="432"/>
              <w:rPr>
                <w:rFonts w:asciiTheme="minorHAnsi" w:hAnsiTheme="minorHAnsi" w:cstheme="minorHAnsi"/>
                <w:sz w:val="23"/>
                <w:szCs w:val="23"/>
                <w:lang w:val="fr-FR"/>
              </w:rPr>
            </w:pPr>
            <w:r w:rsidRPr="00F52884">
              <w:rPr>
                <w:rFonts w:asciiTheme="minorHAnsi" w:hAnsiTheme="minorHAnsi" w:cstheme="minorHAnsi"/>
                <w:sz w:val="23"/>
                <w:szCs w:val="23"/>
                <w:lang w:val="fr-CA"/>
              </w:rPr>
              <w:t>Article 312 (Accès aux marchés – Services)</w:t>
            </w:r>
          </w:p>
        </w:tc>
      </w:tr>
      <w:tr w:rsidR="00B8348C" w:rsidRPr="00F52884" w14:paraId="6A245548"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037076A"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0C8D366B"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0EE89AF4" w14:textId="59DFAACA" w:rsidR="00B8348C" w:rsidRPr="00F52884" w:rsidRDefault="00B8348C" w:rsidP="00B8348C">
            <w:pPr>
              <w:pStyle w:val="NoSpacing"/>
              <w:spacing w:before="60" w:after="60"/>
              <w:rPr>
                <w:rFonts w:cstheme="minorHAnsi"/>
                <w:sz w:val="23"/>
                <w:szCs w:val="23"/>
                <w:lang w:val="fr-FR"/>
              </w:rPr>
            </w:pPr>
            <w:r w:rsidRPr="00F52884">
              <w:rPr>
                <w:rFonts w:cstheme="minorHAnsi"/>
                <w:sz w:val="23"/>
                <w:szCs w:val="23"/>
                <w:lang w:val="fr-CA"/>
              </w:rPr>
              <w:t>Le Yukon se réserve le droit d’adopter ou de maintenir toute mesure limitant l’accès aux marchés de la sylviculture (à l’exception de la transformation du bois) et des produits de l’exploitation forestière.</w:t>
            </w:r>
          </w:p>
        </w:tc>
      </w:tr>
      <w:tr w:rsidR="00B8348C" w:rsidRPr="00F52884" w14:paraId="2123D7FE"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06D6E0E"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6DA6ECAA"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7721FAFE" w14:textId="77777777" w:rsidR="00B8348C" w:rsidRPr="00F52884" w:rsidRDefault="00B8348C" w:rsidP="000C25A3">
            <w:pPr>
              <w:spacing w:before="60" w:after="60"/>
              <w:rPr>
                <w:rFonts w:cstheme="minorHAnsi"/>
                <w:szCs w:val="23"/>
              </w:rPr>
            </w:pPr>
          </w:p>
        </w:tc>
      </w:tr>
    </w:tbl>
    <w:p w14:paraId="37D2227B" w14:textId="77777777" w:rsidR="00B8348C" w:rsidRPr="00F52884" w:rsidRDefault="00B8348C" w:rsidP="000C25A3">
      <w:pPr>
        <w:rPr>
          <w:rFonts w:cstheme="minorHAnsi"/>
          <w:b/>
          <w:szCs w:val="23"/>
        </w:rPr>
      </w:pPr>
    </w:p>
    <w:p w14:paraId="138191BE" w14:textId="77777777" w:rsidR="00B8348C" w:rsidRPr="00F52884" w:rsidRDefault="00B8348C" w:rsidP="000C25A3">
      <w:pPr>
        <w:rPr>
          <w:rFonts w:cstheme="minorHAnsi"/>
          <w:b/>
          <w:szCs w:val="23"/>
        </w:rPr>
      </w:pPr>
    </w:p>
    <w:p w14:paraId="6CC0DD51" w14:textId="702F088F" w:rsidR="00B8348C" w:rsidRPr="00F52884" w:rsidRDefault="00B8348C" w:rsidP="001B12BD">
      <w:pPr>
        <w:spacing w:before="60" w:after="60"/>
        <w:ind w:left="-360"/>
        <w:rPr>
          <w:rFonts w:cstheme="minorHAnsi"/>
          <w:b/>
          <w:caps/>
          <w:szCs w:val="23"/>
        </w:rPr>
      </w:pPr>
      <w:r w:rsidRPr="00F52884">
        <w:rPr>
          <w:rFonts w:cstheme="minorHAnsi"/>
          <w:b/>
          <w:bCs/>
          <w:caps/>
          <w:szCs w:val="23"/>
          <w:lang w:val="fr-CA"/>
        </w:rPr>
        <w:t xml:space="preserve">5. </w:t>
      </w:r>
      <w:r w:rsidR="001B12BD" w:rsidRPr="00F52884">
        <w:rPr>
          <w:rFonts w:cstheme="minorHAnsi"/>
          <w:b/>
          <w:bCs/>
          <w:caps/>
          <w:szCs w:val="23"/>
          <w:lang w:val="fr-CA"/>
        </w:rPr>
        <w:t xml:space="preserve"> </w:t>
      </w:r>
      <w:r w:rsidRPr="00F52884">
        <w:rPr>
          <w:rFonts w:cstheme="minorHAnsi"/>
          <w:b/>
          <w:bCs/>
          <w:caps/>
          <w:szCs w:val="23"/>
          <w:lang w:val="fr-CA"/>
        </w:rPr>
        <w:t>Yukon</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0C945551"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3DF76E94"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859EADF" w14:textId="77777777" w:rsidR="00B8348C" w:rsidRPr="00F52884" w:rsidRDefault="00B8348C" w:rsidP="000C25A3">
            <w:pPr>
              <w:spacing w:before="60" w:after="60"/>
              <w:rPr>
                <w:rFonts w:cstheme="minorHAnsi"/>
                <w:szCs w:val="23"/>
              </w:rPr>
            </w:pPr>
            <w:r w:rsidRPr="00F52884">
              <w:rPr>
                <w:rFonts w:cstheme="minorHAnsi"/>
                <w:szCs w:val="23"/>
                <w:lang w:val="fr-CA"/>
              </w:rPr>
              <w:t>Sylviculture, agriculture</w:t>
            </w:r>
          </w:p>
        </w:tc>
      </w:tr>
      <w:tr w:rsidR="00B8348C" w:rsidRPr="0068240F" w14:paraId="45663AF7"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3199B1E9"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704AF4EF"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annexes à l’agriculture; services annexes à l’élevage; terres agricoles, forêts et autres superficies boisées; location et permis d’utilisation des terres domaniales; sylviculture et produits de l’exploitation forestière</w:t>
            </w:r>
          </w:p>
          <w:p w14:paraId="06A364FF" w14:textId="77777777" w:rsidR="00B8348C" w:rsidRPr="00F52884" w:rsidRDefault="00B8348C" w:rsidP="000C25A3">
            <w:pPr>
              <w:spacing w:before="60" w:after="60"/>
              <w:rPr>
                <w:rFonts w:cstheme="minorHAnsi"/>
                <w:szCs w:val="23"/>
                <w:lang w:val="fr-FR"/>
              </w:rPr>
            </w:pPr>
          </w:p>
        </w:tc>
      </w:tr>
      <w:tr w:rsidR="00B8348C" w:rsidRPr="0068240F" w14:paraId="1514F1BA" w14:textId="77777777" w:rsidTr="001B12BD">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7DF0F5A3"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200C5B3D" w14:textId="74A7DAC6" w:rsidR="00B8348C" w:rsidRPr="00F52884" w:rsidRDefault="00B8348C" w:rsidP="000C25A3">
            <w:pPr>
              <w:spacing w:before="60" w:after="60"/>
              <w:ind w:left="28" w:hanging="28"/>
              <w:rPr>
                <w:rFonts w:cstheme="minorHAnsi"/>
                <w:szCs w:val="23"/>
                <w:lang w:val="fr-FR"/>
              </w:rPr>
            </w:pPr>
            <w:r w:rsidRPr="00F52884">
              <w:rPr>
                <w:rFonts w:cstheme="minorHAnsi"/>
                <w:szCs w:val="23"/>
                <w:lang w:val="fr-CA"/>
              </w:rPr>
              <w:t>CPC 8811 (sauf la location d’équipement agricole, avec opérateur), 8812, 531, 03</w:t>
            </w:r>
          </w:p>
        </w:tc>
      </w:tr>
      <w:tr w:rsidR="00B8348C" w:rsidRPr="0068240F" w14:paraId="383C72CB" w14:textId="77777777" w:rsidTr="001B12BD">
        <w:trPr>
          <w:trHeight w:val="42"/>
          <w:jc w:val="center"/>
        </w:trPr>
        <w:tc>
          <w:tcPr>
            <w:tcW w:w="2514" w:type="dxa"/>
            <w:tcBorders>
              <w:top w:val="single" w:sz="4" w:space="0" w:color="C0C0C0"/>
              <w:left w:val="nil"/>
              <w:bottom w:val="single" w:sz="4" w:space="0" w:color="C0C0C0"/>
            </w:tcBorders>
          </w:tcPr>
          <w:p w14:paraId="5F8A39BF" w14:textId="6680E480"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82" w:type="dxa"/>
            <w:gridSpan w:val="2"/>
            <w:tcBorders>
              <w:top w:val="single" w:sz="4" w:space="0" w:color="C0C0C0"/>
              <w:left w:val="nil"/>
              <w:bottom w:val="single" w:sz="4" w:space="0" w:color="C0C0C0"/>
            </w:tcBorders>
          </w:tcPr>
          <w:p w14:paraId="54D631AC" w14:textId="77777777" w:rsidR="00B8348C" w:rsidRPr="00F52884" w:rsidRDefault="00B8348C" w:rsidP="000C25A3">
            <w:pPr>
              <w:pStyle w:val="Text"/>
              <w:spacing w:before="60" w:after="60" w:line="240" w:lineRule="auto"/>
              <w:ind w:left="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3BFDDC10"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0CB163"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59637566"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14F01507" w14:textId="79CAE507" w:rsidR="00B8348C" w:rsidRPr="00F52884" w:rsidRDefault="00B8348C" w:rsidP="00B8348C">
            <w:pPr>
              <w:spacing w:before="60" w:after="60"/>
              <w:rPr>
                <w:rFonts w:cstheme="minorHAnsi"/>
                <w:szCs w:val="23"/>
                <w:lang w:val="fr-FR"/>
              </w:rPr>
            </w:pPr>
            <w:r w:rsidRPr="00F52884">
              <w:rPr>
                <w:rFonts w:cstheme="minorHAnsi"/>
                <w:szCs w:val="23"/>
                <w:lang w:val="fr-CA"/>
              </w:rPr>
              <w:t>Le Yukon se réserve le droit d’adopter ou de maintenir toute mesure limitant l’accès aux marchés se rapportant aux terres agricoles, aux ressources forestières et aux accords de pâturage.</w:t>
            </w:r>
          </w:p>
        </w:tc>
      </w:tr>
      <w:tr w:rsidR="00B8348C" w:rsidRPr="00F52884" w14:paraId="0A07ED10"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79BAB4F"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3C845B26"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D1E3FD9" w14:textId="77777777" w:rsidR="00B8348C" w:rsidRPr="00F52884" w:rsidRDefault="00B8348C" w:rsidP="000C25A3">
            <w:pPr>
              <w:spacing w:before="60" w:after="60"/>
              <w:rPr>
                <w:rFonts w:cstheme="minorHAnsi"/>
                <w:szCs w:val="23"/>
              </w:rPr>
            </w:pPr>
          </w:p>
        </w:tc>
      </w:tr>
    </w:tbl>
    <w:p w14:paraId="3CA98943" w14:textId="77777777" w:rsidR="00B8348C" w:rsidRPr="00F52884" w:rsidRDefault="00B8348C" w:rsidP="000C25A3">
      <w:pPr>
        <w:rPr>
          <w:rFonts w:cstheme="minorHAnsi"/>
          <w:b/>
          <w:szCs w:val="23"/>
        </w:rPr>
      </w:pPr>
    </w:p>
    <w:p w14:paraId="4F039B9E" w14:textId="77777777" w:rsidR="00B8348C" w:rsidRPr="00F52884" w:rsidRDefault="00B8348C" w:rsidP="000C25A3">
      <w:pPr>
        <w:rPr>
          <w:rFonts w:cstheme="minorHAnsi"/>
          <w:b/>
          <w:szCs w:val="23"/>
        </w:rPr>
      </w:pPr>
    </w:p>
    <w:p w14:paraId="5875D2CA" w14:textId="228FE2B4" w:rsidR="00B8348C" w:rsidRPr="00F52884" w:rsidRDefault="00B8348C" w:rsidP="001B12BD">
      <w:pPr>
        <w:spacing w:before="60" w:after="60"/>
        <w:ind w:left="-360"/>
        <w:rPr>
          <w:rFonts w:cstheme="minorHAnsi"/>
          <w:b/>
          <w:caps/>
          <w:szCs w:val="23"/>
        </w:rPr>
      </w:pPr>
      <w:r w:rsidRPr="00F52884">
        <w:rPr>
          <w:rFonts w:cstheme="minorHAnsi"/>
          <w:b/>
          <w:bCs/>
          <w:caps/>
          <w:szCs w:val="23"/>
          <w:lang w:val="fr-CA"/>
        </w:rPr>
        <w:t xml:space="preserve">6. </w:t>
      </w:r>
      <w:r w:rsidR="001B12BD" w:rsidRPr="00F52884">
        <w:rPr>
          <w:rFonts w:cstheme="minorHAnsi"/>
          <w:b/>
          <w:bCs/>
          <w:caps/>
          <w:szCs w:val="23"/>
          <w:lang w:val="fr-CA"/>
        </w:rPr>
        <w:t xml:space="preserve"> </w:t>
      </w:r>
      <w:r w:rsidRPr="00F52884">
        <w:rPr>
          <w:rFonts w:cstheme="minorHAnsi"/>
          <w:b/>
          <w:bCs/>
          <w:caps/>
          <w:szCs w:val="23"/>
          <w:lang w:val="fr-CA"/>
        </w:rPr>
        <w:t>Yukon</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786AA976"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3B2479C8"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0160C4CD" w14:textId="77777777" w:rsidR="00B8348C" w:rsidRPr="00F52884" w:rsidRDefault="00B8348C" w:rsidP="000C25A3">
            <w:pPr>
              <w:spacing w:before="60" w:after="60"/>
              <w:rPr>
                <w:rFonts w:cstheme="minorHAnsi"/>
                <w:szCs w:val="23"/>
              </w:rPr>
            </w:pPr>
            <w:r w:rsidRPr="00F52884">
              <w:rPr>
                <w:rFonts w:cstheme="minorHAnsi"/>
                <w:szCs w:val="23"/>
                <w:lang w:val="fr-CA"/>
              </w:rPr>
              <w:t>Pêches</w:t>
            </w:r>
          </w:p>
        </w:tc>
      </w:tr>
      <w:tr w:rsidR="00B8348C" w:rsidRPr="0068240F" w14:paraId="5B1A890D"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2EF40E87"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63DE1D65" w14:textId="77777777" w:rsidR="00B8348C" w:rsidRPr="00F52884" w:rsidRDefault="00B8348C" w:rsidP="000C25A3">
            <w:pPr>
              <w:spacing w:before="60" w:after="60"/>
              <w:rPr>
                <w:rFonts w:cstheme="minorHAnsi"/>
                <w:szCs w:val="23"/>
                <w:lang w:val="fr-FR"/>
              </w:rPr>
            </w:pPr>
            <w:r w:rsidRPr="00F52884">
              <w:rPr>
                <w:rFonts w:cstheme="minorHAnsi"/>
                <w:szCs w:val="23"/>
                <w:lang w:val="fr-CA"/>
              </w:rPr>
              <w:t>Poisson et autres produits de la pêche, services annexes à la pêche</w:t>
            </w:r>
          </w:p>
        </w:tc>
      </w:tr>
      <w:tr w:rsidR="00B8348C" w:rsidRPr="00F52884" w14:paraId="601ED0C9" w14:textId="77777777" w:rsidTr="001B12BD">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24089E00"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79A23D83" w14:textId="77777777" w:rsidR="00B8348C" w:rsidRPr="00F52884" w:rsidRDefault="00B8348C" w:rsidP="000C25A3">
            <w:pPr>
              <w:spacing w:before="60" w:after="60"/>
              <w:ind w:left="28" w:hanging="28"/>
              <w:rPr>
                <w:rFonts w:cstheme="minorHAnsi"/>
                <w:szCs w:val="23"/>
              </w:rPr>
            </w:pPr>
            <w:r w:rsidRPr="00F52884">
              <w:rPr>
                <w:rFonts w:cstheme="minorHAnsi"/>
                <w:szCs w:val="23"/>
                <w:lang w:val="fr-CA"/>
              </w:rPr>
              <w:t>CPC 04, 882</w:t>
            </w:r>
          </w:p>
        </w:tc>
      </w:tr>
      <w:tr w:rsidR="00B8348C" w:rsidRPr="0068240F" w14:paraId="64A643AD" w14:textId="77777777" w:rsidTr="001B12BD">
        <w:trPr>
          <w:trHeight w:val="42"/>
          <w:jc w:val="center"/>
        </w:trPr>
        <w:tc>
          <w:tcPr>
            <w:tcW w:w="2514" w:type="dxa"/>
            <w:tcBorders>
              <w:top w:val="single" w:sz="4" w:space="0" w:color="C0C0C0"/>
              <w:left w:val="nil"/>
              <w:bottom w:val="single" w:sz="4" w:space="0" w:color="C0C0C0"/>
            </w:tcBorders>
          </w:tcPr>
          <w:p w14:paraId="193C9526" w14:textId="77C13846"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82" w:type="dxa"/>
            <w:gridSpan w:val="2"/>
            <w:tcBorders>
              <w:top w:val="single" w:sz="4" w:space="0" w:color="C0C0C0"/>
              <w:left w:val="nil"/>
              <w:bottom w:val="single" w:sz="4" w:space="0" w:color="C0C0C0"/>
            </w:tcBorders>
          </w:tcPr>
          <w:p w14:paraId="44329C62" w14:textId="77777777" w:rsidR="00B8348C" w:rsidRPr="00F52884" w:rsidRDefault="00B8348C" w:rsidP="000C25A3">
            <w:pPr>
              <w:pStyle w:val="Text"/>
              <w:spacing w:before="60" w:after="60" w:line="240" w:lineRule="auto"/>
              <w:ind w:left="6"/>
              <w:rPr>
                <w:rFonts w:asciiTheme="minorHAnsi" w:hAnsiTheme="minorHAnsi" w:cstheme="minorHAnsi"/>
                <w:sz w:val="23"/>
                <w:szCs w:val="23"/>
                <w:lang w:val="fr-FR"/>
              </w:rPr>
            </w:pPr>
            <w:r w:rsidRPr="00F52884">
              <w:rPr>
                <w:rFonts w:asciiTheme="minorHAnsi" w:hAnsiTheme="minorHAnsi" w:cstheme="minorHAnsi"/>
                <w:sz w:val="23"/>
                <w:szCs w:val="23"/>
                <w:lang w:val="fr-CA"/>
              </w:rPr>
              <w:t>Article 307 (Accès aux marchés – Services), article 312 (Accès aux marchés – Investissement)</w:t>
            </w:r>
          </w:p>
        </w:tc>
      </w:tr>
      <w:tr w:rsidR="00B8348C" w:rsidRPr="00F52884" w14:paraId="7E5A86D2"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97F2926"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15863F37"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71F31555" w14:textId="77777777" w:rsidR="00B8348C" w:rsidRPr="00F52884" w:rsidRDefault="00B8348C" w:rsidP="000C25A3">
            <w:pPr>
              <w:spacing w:before="60" w:after="60"/>
              <w:rPr>
                <w:rFonts w:cstheme="minorHAnsi"/>
                <w:szCs w:val="23"/>
                <w:lang w:val="fr-FR"/>
              </w:rPr>
            </w:pPr>
            <w:r w:rsidRPr="00F52884">
              <w:rPr>
                <w:rFonts w:cstheme="minorHAnsi"/>
                <w:szCs w:val="23"/>
                <w:lang w:val="fr-CA"/>
              </w:rPr>
              <w:lastRenderedPageBreak/>
              <w:t>Le Yukon se réserve le droit d’adopter ou de maintenir une mesure limitant l’accès aux marchés de la pêche.</w:t>
            </w:r>
          </w:p>
        </w:tc>
      </w:tr>
      <w:tr w:rsidR="00B8348C" w:rsidRPr="00F52884" w14:paraId="11256148"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A33D2A8"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60734504"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211D05C" w14:textId="77777777" w:rsidR="00B8348C" w:rsidRPr="00F52884" w:rsidRDefault="00B8348C" w:rsidP="000C25A3">
            <w:pPr>
              <w:spacing w:before="60" w:after="60"/>
              <w:rPr>
                <w:rFonts w:cstheme="minorHAnsi"/>
                <w:szCs w:val="23"/>
              </w:rPr>
            </w:pPr>
          </w:p>
        </w:tc>
      </w:tr>
    </w:tbl>
    <w:p w14:paraId="2B440B56" w14:textId="77777777" w:rsidR="00B8348C" w:rsidRPr="00F52884" w:rsidRDefault="00B8348C" w:rsidP="000C25A3">
      <w:pPr>
        <w:spacing w:before="60" w:after="60"/>
        <w:rPr>
          <w:rFonts w:cstheme="minorHAnsi"/>
          <w:b/>
          <w:szCs w:val="23"/>
        </w:rPr>
      </w:pPr>
    </w:p>
    <w:p w14:paraId="6C739BEF" w14:textId="77777777" w:rsidR="00B8348C" w:rsidRPr="00F52884" w:rsidRDefault="00B8348C" w:rsidP="000C25A3">
      <w:pPr>
        <w:rPr>
          <w:rFonts w:cstheme="minorHAnsi"/>
          <w:b/>
          <w:szCs w:val="23"/>
        </w:rPr>
      </w:pPr>
    </w:p>
    <w:p w14:paraId="2A321AC9" w14:textId="1545C521" w:rsidR="00B8348C" w:rsidRPr="00F52884" w:rsidRDefault="00D0721F" w:rsidP="001B12BD">
      <w:pPr>
        <w:spacing w:before="60" w:after="60"/>
        <w:ind w:left="-360"/>
        <w:rPr>
          <w:rFonts w:cstheme="minorHAnsi"/>
          <w:caps/>
          <w:szCs w:val="23"/>
        </w:rPr>
      </w:pPr>
      <w:r>
        <w:rPr>
          <w:rFonts w:cstheme="minorHAnsi"/>
          <w:b/>
          <w:bCs/>
          <w:caps/>
          <w:szCs w:val="23"/>
          <w:lang w:val="fr-CA"/>
        </w:rPr>
        <w:t>7</w:t>
      </w:r>
      <w:r w:rsidR="00B8348C" w:rsidRPr="00F52884">
        <w:rPr>
          <w:rFonts w:cstheme="minorHAnsi"/>
          <w:b/>
          <w:bCs/>
          <w:caps/>
          <w:szCs w:val="23"/>
          <w:lang w:val="fr-CA"/>
        </w:rPr>
        <w:t xml:space="preserve">. </w:t>
      </w:r>
      <w:r w:rsidR="001B12BD" w:rsidRPr="00F52884">
        <w:rPr>
          <w:rFonts w:cstheme="minorHAnsi"/>
          <w:b/>
          <w:bCs/>
          <w:caps/>
          <w:szCs w:val="23"/>
          <w:lang w:val="fr-CA"/>
        </w:rPr>
        <w:t xml:space="preserve"> </w:t>
      </w:r>
      <w:r w:rsidR="00B8348C" w:rsidRPr="00F52884">
        <w:rPr>
          <w:rFonts w:cstheme="minorHAnsi"/>
          <w:b/>
          <w:bCs/>
          <w:caps/>
          <w:szCs w:val="23"/>
          <w:lang w:val="fr-CA"/>
        </w:rPr>
        <w:t>Yukon</w:t>
      </w:r>
      <w:r w:rsidR="00B8348C" w:rsidRPr="00F52884">
        <w:rPr>
          <w:rFonts w:cstheme="minorHAnsi"/>
          <w:caps/>
          <w:szCs w:val="23"/>
          <w:lang w:val="fr-CA"/>
        </w:rPr>
        <w:tab/>
      </w:r>
    </w:p>
    <w:tbl>
      <w:tblPr>
        <w:tblW w:w="10296" w:type="dxa"/>
        <w:jc w:val="center"/>
        <w:tblCellMar>
          <w:top w:w="14" w:type="dxa"/>
          <w:left w:w="86" w:type="dxa"/>
          <w:bottom w:w="14" w:type="dxa"/>
          <w:right w:w="86" w:type="dxa"/>
        </w:tblCellMar>
        <w:tblLook w:val="0000" w:firstRow="0" w:lastRow="0" w:firstColumn="0" w:lastColumn="0" w:noHBand="0" w:noVBand="0"/>
      </w:tblPr>
      <w:tblGrid>
        <w:gridCol w:w="2514"/>
        <w:gridCol w:w="7357"/>
        <w:gridCol w:w="425"/>
      </w:tblGrid>
      <w:tr w:rsidR="00B8348C" w:rsidRPr="00F52884" w14:paraId="135ACF70"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5F3A4757" w14:textId="77777777" w:rsidR="00B8348C" w:rsidRPr="00F52884" w:rsidRDefault="00B8348C" w:rsidP="000C25A3">
            <w:pPr>
              <w:spacing w:before="60" w:after="60"/>
              <w:rPr>
                <w:rFonts w:cstheme="minorHAnsi"/>
                <w:b/>
                <w:szCs w:val="23"/>
              </w:rPr>
            </w:pPr>
            <w:r w:rsidRPr="00F52884">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tcPr>
          <w:p w14:paraId="59CFC8E5" w14:textId="77777777" w:rsidR="00B8348C" w:rsidRPr="00F52884" w:rsidRDefault="00B8348C" w:rsidP="000C25A3">
            <w:pPr>
              <w:spacing w:before="60" w:after="60"/>
              <w:rPr>
                <w:rFonts w:cstheme="minorHAnsi"/>
                <w:szCs w:val="23"/>
              </w:rPr>
            </w:pPr>
            <w:r w:rsidRPr="00F52884">
              <w:rPr>
                <w:rFonts w:cstheme="minorHAnsi"/>
                <w:szCs w:val="23"/>
                <w:lang w:val="fr-CA"/>
              </w:rPr>
              <w:t>Tous les secteurs</w:t>
            </w:r>
          </w:p>
        </w:tc>
      </w:tr>
      <w:tr w:rsidR="00B8348C" w:rsidRPr="00F52884" w14:paraId="5D1A9106" w14:textId="77777777" w:rsidTr="001B12BD">
        <w:trPr>
          <w:trHeight w:val="42"/>
          <w:jc w:val="center"/>
        </w:trPr>
        <w:tc>
          <w:tcPr>
            <w:tcW w:w="2514" w:type="dxa"/>
            <w:tcBorders>
              <w:top w:val="single" w:sz="4" w:space="0" w:color="C0C0C0"/>
              <w:left w:val="nil"/>
              <w:bottom w:val="single" w:sz="4" w:space="0" w:color="C0C0C0"/>
              <w:right w:val="single" w:sz="4" w:space="0" w:color="FFFFFF"/>
            </w:tcBorders>
            <w:vAlign w:val="center"/>
          </w:tcPr>
          <w:p w14:paraId="1DD4B1CA" w14:textId="77777777" w:rsidR="00B8348C" w:rsidRPr="00F52884" w:rsidRDefault="00B8348C" w:rsidP="000C25A3">
            <w:pPr>
              <w:spacing w:before="60" w:after="60"/>
              <w:rPr>
                <w:rFonts w:cstheme="minorHAnsi"/>
                <w:b/>
                <w:szCs w:val="23"/>
              </w:rPr>
            </w:pPr>
            <w:r w:rsidRPr="00F52884">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tcPr>
          <w:p w14:paraId="03B54B68" w14:textId="77777777" w:rsidR="00B8348C" w:rsidRPr="00F52884" w:rsidRDefault="00B8348C" w:rsidP="000C25A3">
            <w:pPr>
              <w:spacing w:before="60" w:after="60"/>
              <w:rPr>
                <w:rFonts w:cstheme="minorHAnsi"/>
                <w:szCs w:val="23"/>
              </w:rPr>
            </w:pPr>
            <w:r w:rsidRPr="00F52884">
              <w:rPr>
                <w:rFonts w:cstheme="minorHAnsi"/>
                <w:szCs w:val="23"/>
                <w:lang w:val="fr-CA"/>
              </w:rPr>
              <w:t>Tous les sous-secteurs</w:t>
            </w:r>
          </w:p>
        </w:tc>
      </w:tr>
      <w:tr w:rsidR="00B8348C" w:rsidRPr="00F52884" w14:paraId="4A6C1C9D" w14:textId="77777777" w:rsidTr="001B12BD">
        <w:trPr>
          <w:gridAfter w:val="1"/>
          <w:wAfter w:w="425" w:type="dxa"/>
          <w:trHeight w:val="42"/>
          <w:jc w:val="center"/>
        </w:trPr>
        <w:tc>
          <w:tcPr>
            <w:tcW w:w="2514" w:type="dxa"/>
            <w:tcBorders>
              <w:top w:val="single" w:sz="4" w:space="0" w:color="C0C0C0"/>
              <w:left w:val="nil"/>
              <w:bottom w:val="single" w:sz="4" w:space="0" w:color="C0C0C0"/>
              <w:right w:val="single" w:sz="4" w:space="0" w:color="FFFFFF"/>
            </w:tcBorders>
            <w:vAlign w:val="center"/>
          </w:tcPr>
          <w:p w14:paraId="5F3A6E84" w14:textId="77777777" w:rsidR="00B8348C" w:rsidRPr="00F52884" w:rsidRDefault="00B8348C" w:rsidP="000C25A3">
            <w:pPr>
              <w:spacing w:before="60" w:after="60"/>
              <w:ind w:right="-110"/>
              <w:rPr>
                <w:rFonts w:cstheme="minorHAnsi"/>
                <w:b/>
                <w:szCs w:val="23"/>
              </w:rPr>
            </w:pPr>
            <w:r w:rsidRPr="00F52884">
              <w:rPr>
                <w:rFonts w:cstheme="minorHAnsi"/>
                <w:b/>
                <w:bCs/>
                <w:szCs w:val="23"/>
                <w:lang w:val="fr-CA"/>
              </w:rPr>
              <w:t>Classification de l’industrie :</w:t>
            </w:r>
          </w:p>
        </w:tc>
        <w:tc>
          <w:tcPr>
            <w:tcW w:w="7357" w:type="dxa"/>
            <w:tcBorders>
              <w:top w:val="single" w:sz="4" w:space="0" w:color="C0C0C0"/>
              <w:left w:val="single" w:sz="4" w:space="0" w:color="FFFFFF"/>
              <w:bottom w:val="single" w:sz="4" w:space="0" w:color="C0C0C0"/>
              <w:right w:val="nil"/>
            </w:tcBorders>
            <w:vAlign w:val="center"/>
          </w:tcPr>
          <w:p w14:paraId="5FAEA7E6" w14:textId="77777777" w:rsidR="00B8348C" w:rsidRPr="00F52884" w:rsidRDefault="00B8348C" w:rsidP="000C25A3">
            <w:pPr>
              <w:spacing w:before="60" w:after="60"/>
              <w:ind w:left="28" w:hanging="28"/>
              <w:rPr>
                <w:rFonts w:cstheme="minorHAnsi"/>
                <w:szCs w:val="23"/>
              </w:rPr>
            </w:pPr>
          </w:p>
        </w:tc>
      </w:tr>
      <w:tr w:rsidR="00B8348C" w:rsidRPr="0068240F" w14:paraId="74E5C8C2" w14:textId="77777777" w:rsidTr="001B12BD">
        <w:trPr>
          <w:trHeight w:val="42"/>
          <w:jc w:val="center"/>
        </w:trPr>
        <w:tc>
          <w:tcPr>
            <w:tcW w:w="2514" w:type="dxa"/>
            <w:tcBorders>
              <w:top w:val="single" w:sz="4" w:space="0" w:color="C0C0C0"/>
              <w:left w:val="nil"/>
              <w:bottom w:val="single" w:sz="4" w:space="0" w:color="C0C0C0"/>
            </w:tcBorders>
          </w:tcPr>
          <w:p w14:paraId="309288C1" w14:textId="696A7D2E" w:rsidR="00B8348C" w:rsidRPr="00F52884" w:rsidRDefault="00B8348C" w:rsidP="000C25A3">
            <w:pPr>
              <w:pStyle w:val="Text"/>
              <w:spacing w:before="60" w:after="60" w:line="240" w:lineRule="auto"/>
              <w:ind w:left="432" w:hanging="432"/>
              <w:rPr>
                <w:rFonts w:asciiTheme="minorHAnsi" w:hAnsiTheme="minorHAnsi" w:cstheme="minorHAnsi"/>
                <w:sz w:val="23"/>
                <w:szCs w:val="23"/>
              </w:rPr>
            </w:pPr>
            <w:r w:rsidRPr="00F52884">
              <w:rPr>
                <w:rFonts w:asciiTheme="minorHAnsi" w:hAnsiTheme="minorHAnsi" w:cstheme="minorHAnsi"/>
                <w:b/>
                <w:bCs/>
                <w:sz w:val="23"/>
                <w:szCs w:val="23"/>
                <w:lang w:val="fr-CA"/>
              </w:rPr>
              <w:t>Type d’exception :</w:t>
            </w:r>
            <w:r w:rsidRPr="00F52884">
              <w:rPr>
                <w:rFonts w:asciiTheme="minorHAnsi" w:hAnsiTheme="minorHAnsi" w:cstheme="minorHAnsi"/>
                <w:sz w:val="23"/>
                <w:szCs w:val="23"/>
                <w:lang w:val="fr-CA"/>
              </w:rPr>
              <w:t xml:space="preserve"> </w:t>
            </w:r>
          </w:p>
        </w:tc>
        <w:tc>
          <w:tcPr>
            <w:tcW w:w="7782" w:type="dxa"/>
            <w:gridSpan w:val="2"/>
            <w:tcBorders>
              <w:top w:val="single" w:sz="4" w:space="0" w:color="C0C0C0"/>
              <w:left w:val="nil"/>
              <w:bottom w:val="single" w:sz="4" w:space="0" w:color="C0C0C0"/>
            </w:tcBorders>
          </w:tcPr>
          <w:p w14:paraId="0095262A" w14:textId="23B40CC1" w:rsidR="00B8348C" w:rsidRPr="00F52884" w:rsidRDefault="00B8348C" w:rsidP="00B8348C">
            <w:pPr>
              <w:pStyle w:val="Text"/>
              <w:spacing w:before="60" w:after="60" w:line="240" w:lineRule="auto"/>
              <w:ind w:left="6" w:hanging="6"/>
              <w:rPr>
                <w:rFonts w:asciiTheme="minorHAnsi" w:hAnsiTheme="minorHAnsi" w:cstheme="minorHAnsi"/>
                <w:sz w:val="23"/>
                <w:szCs w:val="23"/>
                <w:lang w:val="fr-FR"/>
              </w:rPr>
            </w:pPr>
            <w:r w:rsidRPr="00F52884">
              <w:rPr>
                <w:rFonts w:asciiTheme="minorHAnsi" w:hAnsiTheme="minorHAnsi" w:cstheme="minorHAnsi"/>
                <w:sz w:val="23"/>
                <w:szCs w:val="23"/>
                <w:lang w:val="fr-CA"/>
              </w:rPr>
              <w:t xml:space="preserve">Article 201 (Traitement non discriminatoire), article </w:t>
            </w:r>
            <w:r w:rsidR="00DB4893" w:rsidRPr="00F52884">
              <w:rPr>
                <w:rFonts w:asciiTheme="minorHAnsi" w:hAnsiTheme="minorHAnsi" w:cstheme="minorHAnsi"/>
                <w:sz w:val="23"/>
                <w:szCs w:val="23"/>
                <w:lang w:val="fr-CA"/>
              </w:rPr>
              <w:t>3</w:t>
            </w:r>
            <w:r w:rsidRPr="00F52884">
              <w:rPr>
                <w:rFonts w:asciiTheme="minorHAnsi" w:hAnsiTheme="minorHAnsi" w:cstheme="minorHAnsi"/>
                <w:sz w:val="23"/>
                <w:szCs w:val="23"/>
                <w:lang w:val="fr-CA"/>
              </w:rPr>
              <w:t>13 (Prescriptions de résultats) et toutes</w:t>
            </w:r>
            <w:r w:rsidRPr="00F52884">
              <w:rPr>
                <w:rStyle w:val="CheckBoxChar"/>
                <w:rFonts w:asciiTheme="minorHAnsi" w:hAnsiTheme="minorHAnsi" w:cstheme="minorHAnsi"/>
                <w:color w:val="auto"/>
                <w:sz w:val="23"/>
                <w:szCs w:val="23"/>
                <w:lang w:val="fr-CA"/>
              </w:rPr>
              <w:t xml:space="preserve"> les autres règles </w:t>
            </w:r>
            <w:r w:rsidRPr="00F52884">
              <w:rPr>
                <w:rFonts w:asciiTheme="minorHAnsi" w:hAnsiTheme="minorHAnsi" w:cstheme="minorHAnsi"/>
                <w:sz w:val="23"/>
                <w:szCs w:val="23"/>
                <w:lang w:val="fr-CA"/>
              </w:rPr>
              <w:t>sauf l’article 203 (Transparence), l’article 320 (Stimulants interdits), l’article 307 (Accès aux marchés – Services), l’article 308 (Prescriptions et procédures relatives à l’octroi de licences et aux qualifications), l’article 312 (Accès aux marchés – Investissement), le chapitre Cinq (Marchés publics), le chapitre Six (Protection de l’environnement), l’alinéa 704(1)b) (Exigences en matière de résidence), l’article 705 (Reconnaissance professionnelle des travailleurs)</w:t>
            </w:r>
          </w:p>
        </w:tc>
      </w:tr>
      <w:tr w:rsidR="00B8348C" w:rsidRPr="00F52884" w14:paraId="5E1937E4"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E53C0D3" w14:textId="77777777" w:rsidR="00B8348C" w:rsidRPr="00F52884" w:rsidRDefault="00B8348C" w:rsidP="000C25A3">
            <w:pPr>
              <w:spacing w:before="60" w:after="60"/>
              <w:rPr>
                <w:rFonts w:cstheme="minorHAnsi"/>
                <w:b/>
                <w:szCs w:val="23"/>
              </w:rPr>
            </w:pPr>
            <w:r w:rsidRPr="00F52884">
              <w:rPr>
                <w:rFonts w:cstheme="minorHAnsi"/>
                <w:b/>
                <w:bCs/>
                <w:szCs w:val="23"/>
                <w:lang w:val="fr-CA"/>
              </w:rPr>
              <w:t xml:space="preserve">Description : </w:t>
            </w:r>
          </w:p>
        </w:tc>
      </w:tr>
      <w:tr w:rsidR="00B8348C" w:rsidRPr="0068240F" w14:paraId="20A3C0CA"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08820C7C" w14:textId="77777777" w:rsidR="00B8348C" w:rsidRPr="00F52884" w:rsidRDefault="00B8348C" w:rsidP="000C25A3">
            <w:pPr>
              <w:autoSpaceDE w:val="0"/>
              <w:autoSpaceDN w:val="0"/>
              <w:adjustRightInd w:val="0"/>
              <w:spacing w:before="120" w:after="120"/>
              <w:ind w:left="366" w:hanging="360"/>
              <w:rPr>
                <w:rFonts w:cstheme="minorHAnsi"/>
                <w:szCs w:val="23"/>
                <w:lang w:val="fr-FR"/>
              </w:rPr>
            </w:pPr>
            <w:r w:rsidRPr="00F52884">
              <w:rPr>
                <w:rFonts w:cstheme="minorHAnsi"/>
                <w:szCs w:val="23"/>
                <w:lang w:val="fr-CA"/>
              </w:rPr>
              <w:t xml:space="preserve">1. </w:t>
            </w:r>
            <w:r w:rsidRPr="00F52884">
              <w:rPr>
                <w:rFonts w:cstheme="minorHAnsi"/>
                <w:szCs w:val="23"/>
                <w:lang w:val="fr-CA"/>
              </w:rPr>
              <w:tab/>
              <w:t>Le Yukon est un territoire relativement petit ayant des populations éloignées, de courtes saisons de construction, des conditions météorologiques extrêmes, une infrastructure minimale et un coût élevé de la vie. Les mesures adoptées par le Yukon qui s’inscrivent dans un cadre général de développement économique et régional sont propices, à long terme, à la création d’emplois, à la croissance économique, à la compétitivité industrielle ou à la réduction des disparités économiques avec les autres régions du Canada.</w:t>
            </w:r>
          </w:p>
          <w:p w14:paraId="00259EAF" w14:textId="0CA8FCDD" w:rsidR="00B8348C" w:rsidRPr="00F52884" w:rsidRDefault="00B8348C" w:rsidP="000C25A3">
            <w:pPr>
              <w:autoSpaceDE w:val="0"/>
              <w:autoSpaceDN w:val="0"/>
              <w:adjustRightInd w:val="0"/>
              <w:spacing w:before="120" w:after="120"/>
              <w:ind w:left="366" w:hanging="360"/>
              <w:rPr>
                <w:rFonts w:cstheme="minorHAnsi"/>
                <w:szCs w:val="23"/>
                <w:lang w:val="fr-FR"/>
              </w:rPr>
            </w:pPr>
            <w:r w:rsidRPr="00F52884">
              <w:rPr>
                <w:rFonts w:cstheme="minorHAnsi"/>
                <w:szCs w:val="23"/>
                <w:lang w:val="fr-CA"/>
              </w:rPr>
              <w:t xml:space="preserve">2. </w:t>
            </w:r>
            <w:r w:rsidRPr="00F52884">
              <w:rPr>
                <w:rFonts w:cstheme="minorHAnsi"/>
                <w:szCs w:val="23"/>
                <w:lang w:val="fr-CA"/>
              </w:rPr>
              <w:tab/>
              <w:t>Le traitement non discriminatoire, les prescriptions de résultats et toutes autres règles, sauf celles indiquées ci-dessus, ne s’appliquent pas à une mesure adoptée ou maintenue par le Yukon qui s’inscrit dans un cadre général de développement économique et régional si les conditions suivantes sont réunies :</w:t>
            </w:r>
          </w:p>
          <w:p w14:paraId="3E454470" w14:textId="77777777" w:rsidR="00B8348C" w:rsidRPr="00F52884" w:rsidRDefault="00B8348C" w:rsidP="00B8348C">
            <w:pPr>
              <w:pStyle w:val="ListParagraph"/>
              <w:numPr>
                <w:ilvl w:val="0"/>
                <w:numId w:val="150"/>
              </w:numPr>
              <w:autoSpaceDE w:val="0"/>
              <w:autoSpaceDN w:val="0"/>
              <w:adjustRightInd w:val="0"/>
              <w:spacing w:before="120" w:after="120"/>
              <w:ind w:left="906" w:hanging="540"/>
              <w:contextualSpacing w:val="0"/>
              <w:rPr>
                <w:rFonts w:cstheme="minorHAnsi"/>
                <w:szCs w:val="23"/>
                <w:lang w:val="fr-FR"/>
              </w:rPr>
            </w:pPr>
            <w:proofErr w:type="gramStart"/>
            <w:r w:rsidRPr="00F52884">
              <w:rPr>
                <w:rFonts w:cstheme="minorHAnsi"/>
                <w:szCs w:val="23"/>
                <w:lang w:val="fr-CA"/>
              </w:rPr>
              <w:t>la</w:t>
            </w:r>
            <w:proofErr w:type="gramEnd"/>
            <w:r w:rsidRPr="00F52884">
              <w:rPr>
                <w:rFonts w:cstheme="minorHAnsi"/>
                <w:szCs w:val="23"/>
                <w:lang w:val="fr-CA"/>
              </w:rPr>
              <w:t xml:space="preserve"> mesure n’a pas pour effet d’entraver indûment l’accès des personnes, des produits, des services ou des investissements d’une autre Partie;</w:t>
            </w:r>
          </w:p>
          <w:p w14:paraId="025F649E" w14:textId="77777777" w:rsidR="00B8348C" w:rsidRPr="00F52884" w:rsidRDefault="00B8348C" w:rsidP="00B8348C">
            <w:pPr>
              <w:pStyle w:val="ListParagraph"/>
              <w:numPr>
                <w:ilvl w:val="0"/>
                <w:numId w:val="150"/>
              </w:numPr>
              <w:autoSpaceDE w:val="0"/>
              <w:autoSpaceDN w:val="0"/>
              <w:adjustRightInd w:val="0"/>
              <w:spacing w:before="120" w:after="120"/>
              <w:ind w:left="906" w:hanging="540"/>
              <w:contextualSpacing w:val="0"/>
              <w:rPr>
                <w:rFonts w:cstheme="minorHAnsi"/>
                <w:szCs w:val="23"/>
                <w:lang w:val="fr-FR"/>
              </w:rPr>
            </w:pPr>
            <w:proofErr w:type="gramStart"/>
            <w:r w:rsidRPr="00F52884">
              <w:rPr>
                <w:rFonts w:cstheme="minorHAnsi"/>
                <w:szCs w:val="23"/>
                <w:lang w:val="fr-CA"/>
              </w:rPr>
              <w:t>la</w:t>
            </w:r>
            <w:proofErr w:type="gramEnd"/>
            <w:r w:rsidRPr="00F52884">
              <w:rPr>
                <w:rFonts w:cstheme="minorHAnsi"/>
                <w:szCs w:val="23"/>
                <w:lang w:val="fr-CA"/>
              </w:rPr>
              <w:t xml:space="preserve"> mesure ne restreint pas le commerce plus qu’il n’est nécessaire pour la réalisation de son objectif particulier.</w:t>
            </w:r>
          </w:p>
        </w:tc>
      </w:tr>
      <w:tr w:rsidR="00B8348C" w:rsidRPr="00F52884" w14:paraId="23C2CC5F"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527D27D" w14:textId="77777777" w:rsidR="00B8348C" w:rsidRPr="00F52884" w:rsidRDefault="00B8348C" w:rsidP="000C25A3">
            <w:pPr>
              <w:spacing w:before="60" w:after="60"/>
              <w:rPr>
                <w:rFonts w:cstheme="minorHAnsi"/>
                <w:b/>
                <w:caps/>
                <w:szCs w:val="23"/>
              </w:rPr>
            </w:pPr>
            <w:r w:rsidRPr="00F52884">
              <w:rPr>
                <w:rFonts w:cstheme="minorHAnsi"/>
                <w:b/>
                <w:bCs/>
                <w:szCs w:val="23"/>
                <w:lang w:val="fr-CA"/>
              </w:rPr>
              <w:t>Toute mesure existante :</w:t>
            </w:r>
            <w:r w:rsidRPr="00F52884">
              <w:rPr>
                <w:rFonts w:cstheme="minorHAnsi"/>
                <w:b/>
                <w:bCs/>
                <w:caps/>
                <w:szCs w:val="23"/>
                <w:lang w:val="fr-CA"/>
              </w:rPr>
              <w:t xml:space="preserve"> </w:t>
            </w:r>
          </w:p>
        </w:tc>
      </w:tr>
      <w:tr w:rsidR="00B8348C" w:rsidRPr="00F52884" w14:paraId="0C17D9AE"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03270C84" w14:textId="77777777" w:rsidR="00B8348C" w:rsidRPr="00F52884" w:rsidRDefault="00B8348C" w:rsidP="000C25A3">
            <w:pPr>
              <w:spacing w:before="60" w:after="60"/>
              <w:rPr>
                <w:rFonts w:cstheme="minorHAnsi"/>
                <w:szCs w:val="23"/>
              </w:rPr>
            </w:pPr>
          </w:p>
        </w:tc>
      </w:tr>
    </w:tbl>
    <w:p w14:paraId="0A06A4C2" w14:textId="6774D02E" w:rsidR="00B8348C" w:rsidRDefault="00B8348C" w:rsidP="000C25A3">
      <w:pPr>
        <w:rPr>
          <w:rFonts w:cstheme="minorHAnsi"/>
          <w:szCs w:val="23"/>
        </w:rPr>
      </w:pPr>
    </w:p>
    <w:p w14:paraId="0763731E" w14:textId="77777777" w:rsidR="002F11DF" w:rsidRPr="002F11DF" w:rsidRDefault="002F11DF" w:rsidP="000C25A3">
      <w:pPr>
        <w:rPr>
          <w:rFonts w:cstheme="minorHAnsi"/>
          <w:szCs w:val="23"/>
        </w:rPr>
      </w:pPr>
    </w:p>
    <w:p w14:paraId="0FC9CA81" w14:textId="65B8AB90" w:rsidR="002F11DF" w:rsidRPr="002F11DF" w:rsidRDefault="00D0721F" w:rsidP="002F11DF">
      <w:pPr>
        <w:ind w:left="-284"/>
        <w:rPr>
          <w:rFonts w:cstheme="minorHAnsi"/>
          <w:b/>
          <w:bCs/>
          <w:szCs w:val="23"/>
        </w:rPr>
      </w:pPr>
      <w:r>
        <w:rPr>
          <w:rFonts w:cstheme="minorHAnsi"/>
          <w:b/>
          <w:bCs/>
          <w:szCs w:val="23"/>
          <w:lang w:val="fr-CA"/>
        </w:rPr>
        <w:lastRenderedPageBreak/>
        <w:t>8</w:t>
      </w:r>
      <w:r w:rsidR="002F11DF" w:rsidRPr="002F11DF">
        <w:rPr>
          <w:rFonts w:cstheme="minorHAnsi"/>
          <w:b/>
          <w:bCs/>
          <w:szCs w:val="23"/>
          <w:lang w:val="fr-CA"/>
        </w:rPr>
        <w:t xml:space="preserve">. </w:t>
      </w:r>
      <w:r w:rsidR="002F11DF">
        <w:rPr>
          <w:rFonts w:cstheme="minorHAnsi"/>
          <w:b/>
          <w:bCs/>
          <w:szCs w:val="23"/>
          <w:lang w:val="fr-CA"/>
        </w:rPr>
        <w:t xml:space="preserve"> </w:t>
      </w:r>
      <w:r w:rsidR="002F11DF" w:rsidRPr="002F11DF">
        <w:rPr>
          <w:rFonts w:cstheme="minorHAnsi"/>
          <w:b/>
          <w:bCs/>
          <w:szCs w:val="23"/>
          <w:lang w:val="fr-CA"/>
        </w:rPr>
        <w:t>YUKON</w:t>
      </w:r>
    </w:p>
    <w:tbl>
      <w:tblPr>
        <w:tblW w:w="10116" w:type="dxa"/>
        <w:jc w:val="center"/>
        <w:tblCellMar>
          <w:top w:w="14" w:type="dxa"/>
          <w:left w:w="86" w:type="dxa"/>
          <w:bottom w:w="14" w:type="dxa"/>
          <w:right w:w="86" w:type="dxa"/>
        </w:tblCellMar>
        <w:tblLook w:val="04A0" w:firstRow="1" w:lastRow="0" w:firstColumn="1" w:lastColumn="0" w:noHBand="0" w:noVBand="1"/>
      </w:tblPr>
      <w:tblGrid>
        <w:gridCol w:w="2334"/>
        <w:gridCol w:w="7649"/>
        <w:gridCol w:w="133"/>
      </w:tblGrid>
      <w:tr w:rsidR="002F11DF" w:rsidRPr="002F11DF" w14:paraId="6755C6FD" w14:textId="77777777" w:rsidTr="002F11DF">
        <w:trPr>
          <w:trHeight w:val="42"/>
          <w:jc w:val="center"/>
        </w:trPr>
        <w:tc>
          <w:tcPr>
            <w:tcW w:w="2334" w:type="dxa"/>
            <w:tcBorders>
              <w:top w:val="single" w:sz="4" w:space="0" w:color="C0C0C0"/>
              <w:left w:val="nil"/>
              <w:bottom w:val="single" w:sz="4" w:space="0" w:color="C0C0C0"/>
              <w:right w:val="single" w:sz="4" w:space="0" w:color="FFFFFF"/>
            </w:tcBorders>
            <w:vAlign w:val="center"/>
            <w:hideMark/>
          </w:tcPr>
          <w:p w14:paraId="4B6A63E5" w14:textId="77777777" w:rsidR="002F11DF" w:rsidRPr="002F11DF" w:rsidRDefault="002F11DF" w:rsidP="002F11DF">
            <w:pPr>
              <w:tabs>
                <w:tab w:val="left" w:pos="1989"/>
              </w:tabs>
              <w:spacing w:before="120" w:after="120"/>
              <w:rPr>
                <w:rFonts w:cstheme="minorHAnsi"/>
                <w:b/>
                <w:szCs w:val="23"/>
              </w:rPr>
            </w:pPr>
            <w:r w:rsidRPr="002F11DF">
              <w:rPr>
                <w:rFonts w:cstheme="minorHAnsi"/>
                <w:b/>
                <w:bCs/>
                <w:szCs w:val="23"/>
                <w:lang w:val="fr-CA"/>
              </w:rPr>
              <w:t>Secteur :</w:t>
            </w:r>
          </w:p>
        </w:tc>
        <w:tc>
          <w:tcPr>
            <w:tcW w:w="7782" w:type="dxa"/>
            <w:gridSpan w:val="2"/>
            <w:tcBorders>
              <w:top w:val="single" w:sz="4" w:space="0" w:color="C0C0C0"/>
              <w:left w:val="single" w:sz="4" w:space="0" w:color="FFFFFF"/>
              <w:bottom w:val="single" w:sz="4" w:space="0" w:color="C0C0C0"/>
              <w:right w:val="nil"/>
            </w:tcBorders>
            <w:vAlign w:val="center"/>
            <w:hideMark/>
          </w:tcPr>
          <w:tbl>
            <w:tblPr>
              <w:tblW w:w="0" w:type="auto"/>
              <w:tblLook w:val="04A0" w:firstRow="1" w:lastRow="0" w:firstColumn="1" w:lastColumn="0" w:noHBand="0" w:noVBand="1"/>
            </w:tblPr>
            <w:tblGrid>
              <w:gridCol w:w="1009"/>
            </w:tblGrid>
            <w:tr w:rsidR="002F11DF" w:rsidRPr="002F11DF" w14:paraId="1B25B397" w14:textId="77777777">
              <w:trPr>
                <w:trHeight w:val="108"/>
              </w:trPr>
              <w:tc>
                <w:tcPr>
                  <w:tcW w:w="0" w:type="auto"/>
                  <w:tcBorders>
                    <w:top w:val="nil"/>
                    <w:left w:val="nil"/>
                    <w:bottom w:val="nil"/>
                    <w:right w:val="nil"/>
                  </w:tcBorders>
                  <w:hideMark/>
                </w:tcPr>
                <w:p w14:paraId="4B872866" w14:textId="77777777" w:rsidR="002F11DF" w:rsidRPr="002F11DF" w:rsidRDefault="002F11DF" w:rsidP="002F11DF">
                  <w:pPr>
                    <w:pStyle w:val="Default"/>
                    <w:spacing w:before="120" w:after="120"/>
                    <w:rPr>
                      <w:rFonts w:asciiTheme="minorHAnsi" w:hAnsiTheme="minorHAnsi" w:cstheme="minorHAnsi"/>
                      <w:sz w:val="23"/>
                      <w:szCs w:val="23"/>
                    </w:rPr>
                  </w:pPr>
                  <w:r w:rsidRPr="002F11DF">
                    <w:rPr>
                      <w:rFonts w:asciiTheme="minorHAnsi" w:hAnsiTheme="minorHAnsi" w:cstheme="minorHAnsi"/>
                      <w:sz w:val="23"/>
                      <w:szCs w:val="23"/>
                      <w:lang w:val="fr-CA"/>
                    </w:rPr>
                    <w:t xml:space="preserve">Énergie </w:t>
                  </w:r>
                </w:p>
              </w:tc>
            </w:tr>
          </w:tbl>
          <w:p w14:paraId="106755DD" w14:textId="77777777" w:rsidR="002F11DF" w:rsidRPr="002F11DF" w:rsidRDefault="002F11DF" w:rsidP="002F11DF">
            <w:pPr>
              <w:spacing w:before="120" w:after="120"/>
              <w:rPr>
                <w:rFonts w:eastAsia="Times New Roman" w:cstheme="minorHAnsi"/>
                <w:szCs w:val="23"/>
                <w:lang w:val="en-GB"/>
              </w:rPr>
            </w:pPr>
          </w:p>
        </w:tc>
      </w:tr>
      <w:tr w:rsidR="002F11DF" w:rsidRPr="0068240F" w14:paraId="565E3845" w14:textId="77777777" w:rsidTr="002F11DF">
        <w:trPr>
          <w:trHeight w:val="42"/>
          <w:jc w:val="center"/>
        </w:trPr>
        <w:tc>
          <w:tcPr>
            <w:tcW w:w="2334" w:type="dxa"/>
            <w:tcBorders>
              <w:top w:val="single" w:sz="4" w:space="0" w:color="C0C0C0"/>
              <w:left w:val="nil"/>
              <w:bottom w:val="single" w:sz="4" w:space="0" w:color="C0C0C0"/>
              <w:right w:val="single" w:sz="4" w:space="0" w:color="FFFFFF"/>
            </w:tcBorders>
            <w:vAlign w:val="center"/>
            <w:hideMark/>
          </w:tcPr>
          <w:p w14:paraId="60BFD198" w14:textId="77777777" w:rsidR="002F11DF" w:rsidRPr="002F11DF" w:rsidRDefault="002F11DF" w:rsidP="002F11DF">
            <w:pPr>
              <w:spacing w:before="120" w:after="120"/>
              <w:rPr>
                <w:rFonts w:cstheme="minorHAnsi"/>
                <w:b/>
                <w:szCs w:val="23"/>
              </w:rPr>
            </w:pPr>
            <w:r w:rsidRPr="002F11DF">
              <w:rPr>
                <w:rFonts w:cstheme="minorHAnsi"/>
                <w:b/>
                <w:bCs/>
                <w:szCs w:val="23"/>
                <w:lang w:val="fr-CA"/>
              </w:rPr>
              <w:t>Sous-secteur :</w:t>
            </w:r>
          </w:p>
        </w:tc>
        <w:tc>
          <w:tcPr>
            <w:tcW w:w="7782" w:type="dxa"/>
            <w:gridSpan w:val="2"/>
            <w:tcBorders>
              <w:top w:val="single" w:sz="4" w:space="0" w:color="C0C0C0"/>
              <w:left w:val="single" w:sz="4" w:space="0" w:color="FFFFFF"/>
              <w:bottom w:val="single" w:sz="4" w:space="0" w:color="C0C0C0"/>
              <w:right w:val="nil"/>
            </w:tcBorders>
            <w:vAlign w:val="center"/>
            <w:hideMark/>
          </w:tcPr>
          <w:tbl>
            <w:tblPr>
              <w:tblW w:w="0" w:type="auto"/>
              <w:tblLook w:val="04A0" w:firstRow="1" w:lastRow="0" w:firstColumn="1" w:lastColumn="0" w:noHBand="0" w:noVBand="1"/>
            </w:tblPr>
            <w:tblGrid>
              <w:gridCol w:w="7599"/>
            </w:tblGrid>
            <w:tr w:rsidR="002F11DF" w:rsidRPr="0068240F" w14:paraId="43B7A828" w14:textId="77777777">
              <w:trPr>
                <w:trHeight w:val="157"/>
              </w:trPr>
              <w:tc>
                <w:tcPr>
                  <w:tcW w:w="7599" w:type="dxa"/>
                  <w:tcBorders>
                    <w:top w:val="nil"/>
                    <w:left w:val="nil"/>
                    <w:bottom w:val="nil"/>
                    <w:right w:val="nil"/>
                  </w:tcBorders>
                  <w:hideMark/>
                </w:tcPr>
                <w:p w14:paraId="39D88D76" w14:textId="77777777" w:rsidR="002F11DF" w:rsidRPr="002F11DF" w:rsidRDefault="002F11DF" w:rsidP="002F11DF">
                  <w:pPr>
                    <w:pStyle w:val="Default"/>
                    <w:spacing w:before="120" w:after="120"/>
                    <w:rPr>
                      <w:rFonts w:asciiTheme="minorHAnsi" w:hAnsiTheme="minorHAnsi" w:cstheme="minorHAnsi"/>
                      <w:sz w:val="23"/>
                      <w:szCs w:val="23"/>
                      <w:lang w:val="fr-CA"/>
                    </w:rPr>
                  </w:pPr>
                  <w:r w:rsidRPr="002F11DF">
                    <w:rPr>
                      <w:rFonts w:asciiTheme="minorHAnsi" w:hAnsiTheme="minorHAnsi" w:cstheme="minorHAnsi"/>
                      <w:sz w:val="23"/>
                      <w:szCs w:val="23"/>
                      <w:lang w:val="fr-CA"/>
                    </w:rPr>
                    <w:t>Transport et distribution de l’électricité et services connexes</w:t>
                  </w:r>
                </w:p>
              </w:tc>
            </w:tr>
          </w:tbl>
          <w:p w14:paraId="77BADA86" w14:textId="77777777" w:rsidR="002F11DF" w:rsidRPr="002F11DF" w:rsidRDefault="002F11DF" w:rsidP="002F11DF">
            <w:pPr>
              <w:spacing w:before="120" w:after="120"/>
              <w:rPr>
                <w:rFonts w:eastAsia="Times New Roman" w:cstheme="minorHAnsi"/>
                <w:szCs w:val="23"/>
                <w:lang w:val="fr-CA"/>
              </w:rPr>
            </w:pPr>
          </w:p>
        </w:tc>
      </w:tr>
      <w:tr w:rsidR="002F11DF" w:rsidRPr="002F11DF" w14:paraId="54F56941" w14:textId="77777777" w:rsidTr="002F11DF">
        <w:trPr>
          <w:gridAfter w:val="1"/>
          <w:wAfter w:w="133" w:type="dxa"/>
          <w:trHeight w:val="42"/>
          <w:jc w:val="center"/>
        </w:trPr>
        <w:tc>
          <w:tcPr>
            <w:tcW w:w="2334" w:type="dxa"/>
            <w:tcBorders>
              <w:top w:val="single" w:sz="4" w:space="0" w:color="C0C0C0"/>
              <w:left w:val="nil"/>
              <w:bottom w:val="single" w:sz="4" w:space="0" w:color="C0C0C0"/>
              <w:right w:val="single" w:sz="4" w:space="0" w:color="FFFFFF"/>
            </w:tcBorders>
            <w:vAlign w:val="center"/>
            <w:hideMark/>
          </w:tcPr>
          <w:p w14:paraId="77A196FD" w14:textId="77777777" w:rsidR="002F11DF" w:rsidRPr="002F11DF" w:rsidRDefault="002F11DF" w:rsidP="002F11DF">
            <w:pPr>
              <w:spacing w:before="120" w:after="120"/>
              <w:rPr>
                <w:rFonts w:cstheme="minorHAnsi"/>
                <w:b/>
                <w:szCs w:val="23"/>
                <w:lang w:val="en-GB"/>
              </w:rPr>
            </w:pPr>
            <w:r w:rsidRPr="002F11DF">
              <w:rPr>
                <w:rFonts w:cstheme="minorHAnsi"/>
                <w:b/>
                <w:bCs/>
                <w:szCs w:val="23"/>
                <w:lang w:val="fr-CA"/>
              </w:rPr>
              <w:t>Classification de l’industrie :</w:t>
            </w:r>
          </w:p>
        </w:tc>
        <w:tc>
          <w:tcPr>
            <w:tcW w:w="7649" w:type="dxa"/>
            <w:tcBorders>
              <w:top w:val="single" w:sz="4" w:space="0" w:color="C0C0C0"/>
              <w:left w:val="single" w:sz="4" w:space="0" w:color="FFFFFF"/>
              <w:bottom w:val="single" w:sz="4" w:space="0" w:color="C0C0C0"/>
              <w:right w:val="nil"/>
            </w:tcBorders>
            <w:vAlign w:val="center"/>
            <w:hideMark/>
          </w:tcPr>
          <w:tbl>
            <w:tblPr>
              <w:tblW w:w="0" w:type="auto"/>
              <w:tblLook w:val="04A0" w:firstRow="1" w:lastRow="0" w:firstColumn="1" w:lastColumn="0" w:noHBand="0" w:noVBand="1"/>
            </w:tblPr>
            <w:tblGrid>
              <w:gridCol w:w="1899"/>
            </w:tblGrid>
            <w:tr w:rsidR="002F11DF" w:rsidRPr="002F11DF" w14:paraId="2E8A16A0" w14:textId="77777777">
              <w:trPr>
                <w:trHeight w:val="108"/>
              </w:trPr>
              <w:tc>
                <w:tcPr>
                  <w:tcW w:w="0" w:type="auto"/>
                  <w:tcBorders>
                    <w:top w:val="nil"/>
                    <w:left w:val="nil"/>
                    <w:bottom w:val="nil"/>
                    <w:right w:val="nil"/>
                  </w:tcBorders>
                  <w:hideMark/>
                </w:tcPr>
                <w:p w14:paraId="0D2A65A5" w14:textId="77777777" w:rsidR="002F11DF" w:rsidRPr="002F11DF" w:rsidRDefault="002F11DF" w:rsidP="002F11DF">
                  <w:pPr>
                    <w:autoSpaceDE w:val="0"/>
                    <w:autoSpaceDN w:val="0"/>
                    <w:adjustRightInd w:val="0"/>
                    <w:spacing w:before="120" w:after="120"/>
                    <w:ind w:left="-21"/>
                    <w:rPr>
                      <w:rFonts w:cstheme="minorHAnsi"/>
                      <w:color w:val="000000"/>
                      <w:szCs w:val="23"/>
                    </w:rPr>
                  </w:pPr>
                  <w:r w:rsidRPr="002F11DF">
                    <w:rPr>
                      <w:rFonts w:cstheme="minorHAnsi"/>
                      <w:color w:val="000000"/>
                      <w:sz w:val="24"/>
                      <w:szCs w:val="24"/>
                      <w:lang w:val="fr-CA"/>
                    </w:rPr>
                    <w:t xml:space="preserve"> </w:t>
                  </w:r>
                  <w:r w:rsidRPr="002F11DF">
                    <w:rPr>
                      <w:rFonts w:cstheme="minorHAnsi"/>
                      <w:color w:val="000000"/>
                      <w:szCs w:val="23"/>
                      <w:lang w:val="fr-CA"/>
                    </w:rPr>
                    <w:t xml:space="preserve">CPC : 17, 887 </w:t>
                  </w:r>
                </w:p>
              </w:tc>
            </w:tr>
          </w:tbl>
          <w:p w14:paraId="0292CDFF" w14:textId="77777777" w:rsidR="002F11DF" w:rsidRPr="002F11DF" w:rsidRDefault="002F11DF" w:rsidP="002F11DF">
            <w:pPr>
              <w:spacing w:before="120" w:after="120"/>
              <w:ind w:left="28" w:hanging="28"/>
              <w:rPr>
                <w:rFonts w:eastAsia="Times New Roman" w:cstheme="minorHAnsi"/>
                <w:szCs w:val="23"/>
                <w:lang w:val="en-GB"/>
              </w:rPr>
            </w:pPr>
          </w:p>
        </w:tc>
      </w:tr>
      <w:tr w:rsidR="002F11DF" w:rsidRPr="0068240F" w14:paraId="194D9F6F" w14:textId="77777777" w:rsidTr="002F11DF">
        <w:trPr>
          <w:trHeight w:val="42"/>
          <w:jc w:val="center"/>
        </w:trPr>
        <w:tc>
          <w:tcPr>
            <w:tcW w:w="10116" w:type="dxa"/>
            <w:gridSpan w:val="3"/>
            <w:tcBorders>
              <w:top w:val="single" w:sz="4" w:space="0" w:color="C0C0C0"/>
              <w:left w:val="nil"/>
              <w:bottom w:val="single" w:sz="4" w:space="0" w:color="C0C0C0"/>
              <w:right w:val="nil"/>
            </w:tcBorders>
            <w:hideMark/>
          </w:tcPr>
          <w:p w14:paraId="65D3D69A" w14:textId="77777777" w:rsidR="002F11DF" w:rsidRPr="002F11DF" w:rsidRDefault="002F11DF" w:rsidP="002F11DF">
            <w:pPr>
              <w:pStyle w:val="Default"/>
              <w:tabs>
                <w:tab w:val="left" w:pos="2452"/>
                <w:tab w:val="left" w:pos="2542"/>
              </w:tabs>
              <w:spacing w:before="120" w:after="120"/>
              <w:rPr>
                <w:rFonts w:asciiTheme="minorHAnsi" w:hAnsiTheme="minorHAnsi" w:cstheme="minorHAnsi"/>
                <w:bCs/>
                <w:lang w:val="fr-CA"/>
              </w:rPr>
            </w:pPr>
            <w:r w:rsidRPr="002F11DF">
              <w:rPr>
                <w:rFonts w:asciiTheme="minorHAnsi" w:hAnsiTheme="minorHAnsi" w:cstheme="minorHAnsi"/>
                <w:b/>
                <w:bCs/>
                <w:sz w:val="23"/>
                <w:szCs w:val="23"/>
                <w:lang w:val="fr-CA"/>
              </w:rPr>
              <w:t xml:space="preserve">Type d’exception :             </w:t>
            </w:r>
            <w:r w:rsidRPr="002F11DF">
              <w:rPr>
                <w:rFonts w:asciiTheme="minorHAnsi" w:hAnsiTheme="minorHAnsi" w:cstheme="minorHAnsi"/>
                <w:sz w:val="23"/>
                <w:szCs w:val="23"/>
                <w:lang w:val="fr-CA"/>
              </w:rPr>
              <w:t xml:space="preserve">Article 201 (Traitement non discriminatoire), article 307 (Accès aux marchés – Services), article 312 (Accès aux marchés – Investissement), annexe 309 (Fournisseurs de services de transport d’électricité et commerce des services de transport d’électricité) </w:t>
            </w:r>
          </w:p>
          <w:tbl>
            <w:tblPr>
              <w:tblW w:w="0" w:type="auto"/>
              <w:tblLook w:val="04A0" w:firstRow="1" w:lastRow="0" w:firstColumn="1" w:lastColumn="0" w:noHBand="0" w:noVBand="1"/>
            </w:tblPr>
            <w:tblGrid>
              <w:gridCol w:w="9944"/>
            </w:tblGrid>
            <w:tr w:rsidR="002F11DF" w:rsidRPr="0068240F" w14:paraId="5331FC17" w14:textId="77777777">
              <w:trPr>
                <w:trHeight w:val="1"/>
              </w:trPr>
              <w:tc>
                <w:tcPr>
                  <w:tcW w:w="0" w:type="auto"/>
                  <w:tcBorders>
                    <w:top w:val="nil"/>
                    <w:left w:val="nil"/>
                    <w:bottom w:val="nil"/>
                    <w:right w:val="nil"/>
                  </w:tcBorders>
                  <w:hideMark/>
                </w:tcPr>
                <w:p w14:paraId="0ADCC9AF" w14:textId="77777777" w:rsidR="002F11DF" w:rsidRPr="002F11DF" w:rsidRDefault="002F11DF" w:rsidP="002F11DF">
                  <w:pPr>
                    <w:autoSpaceDE w:val="0"/>
                    <w:autoSpaceDN w:val="0"/>
                    <w:adjustRightInd w:val="0"/>
                    <w:spacing w:before="120" w:after="120"/>
                    <w:rPr>
                      <w:rFonts w:cstheme="minorHAnsi"/>
                      <w:color w:val="000000"/>
                      <w:szCs w:val="23"/>
                      <w:lang w:val="fr-CA"/>
                    </w:rPr>
                  </w:pPr>
                  <w:r w:rsidRPr="002F11DF">
                    <w:rPr>
                      <w:rFonts w:cstheme="minorHAnsi"/>
                      <w:color w:val="000000"/>
                      <w:sz w:val="24"/>
                      <w:szCs w:val="24"/>
                      <w:lang w:val="fr-CA"/>
                    </w:rPr>
                    <w:t xml:space="preserve"> </w:t>
                  </w:r>
                  <w:r w:rsidRPr="002F11DF">
                    <w:rPr>
                      <w:rFonts w:cstheme="minorHAnsi"/>
                      <w:color w:val="000000"/>
                      <w:szCs w:val="23"/>
                      <w:lang w:val="fr-CA"/>
                    </w:rPr>
                    <w:t>Article 201 (Traitement non discriminatoire), article 307 (Accès aux marchés – Services), article 312 (Accès aux marchés – Investissement), annexe 309 (Services de transport d’électricité)</w:t>
                  </w:r>
                </w:p>
              </w:tc>
            </w:tr>
          </w:tbl>
          <w:p w14:paraId="3FA0DD11" w14:textId="77777777" w:rsidR="002F11DF" w:rsidRPr="002F11DF" w:rsidRDefault="002F11DF" w:rsidP="002F11DF">
            <w:pPr>
              <w:pStyle w:val="Text"/>
              <w:spacing w:before="120" w:after="120" w:line="240" w:lineRule="auto"/>
              <w:ind w:left="432" w:hanging="432"/>
              <w:rPr>
                <w:rFonts w:asciiTheme="minorHAnsi" w:hAnsiTheme="minorHAnsi" w:cstheme="minorHAnsi"/>
                <w:sz w:val="23"/>
                <w:szCs w:val="23"/>
                <w:lang w:val="fr-CA"/>
              </w:rPr>
            </w:pPr>
          </w:p>
        </w:tc>
      </w:tr>
      <w:tr w:rsidR="002F11DF" w:rsidRPr="002F11DF" w14:paraId="1CCEE1C2" w14:textId="77777777" w:rsidTr="002F11DF">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51EA1906" w14:textId="77777777" w:rsidR="002F11DF" w:rsidRPr="002F11DF" w:rsidRDefault="002F11DF" w:rsidP="002F11DF">
            <w:pPr>
              <w:pStyle w:val="RequirementsList"/>
              <w:numPr>
                <w:ilvl w:val="0"/>
                <w:numId w:val="0"/>
              </w:numPr>
              <w:tabs>
                <w:tab w:val="left" w:pos="720"/>
              </w:tabs>
              <w:spacing w:before="120" w:after="120" w:line="240" w:lineRule="auto"/>
              <w:ind w:left="288" w:hanging="288"/>
              <w:rPr>
                <w:rFonts w:asciiTheme="minorHAnsi" w:hAnsiTheme="minorHAnsi" w:cstheme="minorHAnsi"/>
                <w:sz w:val="23"/>
                <w:szCs w:val="23"/>
              </w:rPr>
            </w:pPr>
            <w:r w:rsidRPr="002F11DF">
              <w:rPr>
                <w:rFonts w:asciiTheme="minorHAnsi" w:hAnsiTheme="minorHAnsi" w:cstheme="minorHAnsi"/>
                <w:b/>
                <w:bCs/>
                <w:sz w:val="23"/>
                <w:szCs w:val="23"/>
                <w:lang w:val="fr-CA"/>
              </w:rPr>
              <w:t xml:space="preserve">Description : </w:t>
            </w:r>
          </w:p>
        </w:tc>
      </w:tr>
      <w:tr w:rsidR="002F11DF" w:rsidRPr="0068240F" w14:paraId="5ED43F82" w14:textId="77777777" w:rsidTr="002F11DF">
        <w:trPr>
          <w:trHeight w:val="120"/>
          <w:jc w:val="center"/>
        </w:trPr>
        <w:tc>
          <w:tcPr>
            <w:tcW w:w="10116" w:type="dxa"/>
            <w:gridSpan w:val="3"/>
            <w:tcBorders>
              <w:top w:val="single" w:sz="4" w:space="0" w:color="C0C0C0"/>
              <w:left w:val="single" w:sz="4" w:space="0" w:color="C0C0C0"/>
              <w:bottom w:val="single" w:sz="4" w:space="0" w:color="C0C0C0"/>
              <w:right w:val="single" w:sz="4" w:space="0" w:color="C0C0C0"/>
            </w:tcBorders>
            <w:hideMark/>
          </w:tcPr>
          <w:tbl>
            <w:tblPr>
              <w:tblW w:w="0" w:type="auto"/>
              <w:tblLook w:val="04A0" w:firstRow="1" w:lastRow="0" w:firstColumn="1" w:lastColumn="0" w:noHBand="0" w:noVBand="1"/>
            </w:tblPr>
            <w:tblGrid>
              <w:gridCol w:w="9944"/>
            </w:tblGrid>
            <w:tr w:rsidR="002F11DF" w:rsidRPr="0068240F" w14:paraId="69FBD036" w14:textId="77777777">
              <w:trPr>
                <w:trHeight w:val="710"/>
              </w:trPr>
              <w:tc>
                <w:tcPr>
                  <w:tcW w:w="0" w:type="auto"/>
                  <w:tcBorders>
                    <w:top w:val="nil"/>
                    <w:left w:val="nil"/>
                    <w:bottom w:val="nil"/>
                    <w:right w:val="nil"/>
                  </w:tcBorders>
                  <w:hideMark/>
                </w:tcPr>
                <w:p w14:paraId="47B79C81" w14:textId="77777777" w:rsidR="002F11DF" w:rsidRPr="002F11DF" w:rsidRDefault="002F11DF" w:rsidP="002F11DF">
                  <w:pPr>
                    <w:autoSpaceDE w:val="0"/>
                    <w:autoSpaceDN w:val="0"/>
                    <w:adjustRightInd w:val="0"/>
                    <w:spacing w:before="120" w:after="120"/>
                    <w:rPr>
                      <w:rFonts w:cstheme="minorHAnsi"/>
                      <w:color w:val="000000"/>
                      <w:szCs w:val="23"/>
                      <w:lang w:val="fr-CA"/>
                    </w:rPr>
                  </w:pPr>
                  <w:r w:rsidRPr="002F11DF">
                    <w:rPr>
                      <w:rFonts w:cstheme="minorHAnsi"/>
                      <w:color w:val="000000"/>
                      <w:szCs w:val="23"/>
                      <w:lang w:val="fr-CA"/>
                    </w:rPr>
                    <w:t>Le Yukon se réserve le droit d’adopter ou de maintenir toute mesure limitant l’accès aux marchés ou d’exercer de la discrimination à l’égard des services de transport d’électricité. Pendant les deux ans suivant la date à laquelle le Yukon dispose d’une infrastructure physique raccordée à un réseau de production-transport d’électricité situé en dehors de son territoire, le Yukon examinera cette exception conformément aux principes énoncés à l’article 102.</w:t>
                  </w:r>
                </w:p>
              </w:tc>
            </w:tr>
          </w:tbl>
          <w:p w14:paraId="7C6F8F2A" w14:textId="77777777" w:rsidR="002F11DF" w:rsidRPr="002F11DF" w:rsidRDefault="002F11DF" w:rsidP="002F11DF">
            <w:pPr>
              <w:pStyle w:val="NoSpacing"/>
              <w:spacing w:before="120" w:after="120"/>
              <w:rPr>
                <w:rFonts w:cstheme="minorHAnsi"/>
                <w:sz w:val="23"/>
                <w:szCs w:val="23"/>
                <w:lang w:val="fr-CA"/>
              </w:rPr>
            </w:pPr>
          </w:p>
        </w:tc>
      </w:tr>
      <w:tr w:rsidR="002F11DF" w14:paraId="6C7D5FDC" w14:textId="77777777" w:rsidTr="002F11DF">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0F9544CF" w14:textId="77777777" w:rsidR="002F11DF" w:rsidRDefault="002F11DF" w:rsidP="002F11DF">
            <w:pPr>
              <w:pStyle w:val="NoSpacing"/>
              <w:spacing w:before="120" w:after="120"/>
              <w:rPr>
                <w:rFonts w:ascii="Calibri" w:hAnsi="Calibri" w:cs="Calibri"/>
                <w:caps/>
                <w:sz w:val="23"/>
                <w:szCs w:val="23"/>
              </w:rPr>
            </w:pPr>
            <w:r>
              <w:rPr>
                <w:rFonts w:ascii="Calibri" w:hAnsi="Calibri" w:cs="Calibri"/>
                <w:b/>
                <w:bCs/>
                <w:sz w:val="23"/>
                <w:szCs w:val="23"/>
                <w:lang w:val="fr-CA"/>
              </w:rPr>
              <w:t>Toute mesure existante :</w:t>
            </w:r>
            <w:r>
              <w:rPr>
                <w:rFonts w:ascii="Calibri" w:hAnsi="Calibri" w:cs="Calibri"/>
                <w:caps/>
                <w:sz w:val="23"/>
                <w:szCs w:val="23"/>
                <w:lang w:val="fr-CA"/>
              </w:rPr>
              <w:t xml:space="preserve"> </w:t>
            </w:r>
          </w:p>
        </w:tc>
      </w:tr>
      <w:tr w:rsidR="002F11DF" w14:paraId="6A94DE7A" w14:textId="77777777" w:rsidTr="002F11DF">
        <w:trPr>
          <w:trHeight w:val="42"/>
          <w:jc w:val="center"/>
        </w:trPr>
        <w:tc>
          <w:tcPr>
            <w:tcW w:w="10116" w:type="dxa"/>
            <w:gridSpan w:val="3"/>
            <w:tcBorders>
              <w:top w:val="single" w:sz="4" w:space="0" w:color="C0C0C0"/>
              <w:left w:val="single" w:sz="4" w:space="0" w:color="C0C0C0"/>
              <w:bottom w:val="single" w:sz="4" w:space="0" w:color="C0C0C0"/>
              <w:right w:val="single" w:sz="4" w:space="0" w:color="C0C0C0"/>
            </w:tcBorders>
          </w:tcPr>
          <w:p w14:paraId="20D370A3" w14:textId="77777777" w:rsidR="002F11DF" w:rsidRDefault="002F11DF" w:rsidP="002F11DF">
            <w:pPr>
              <w:pStyle w:val="NoSpacing"/>
              <w:spacing w:before="120" w:after="120"/>
              <w:rPr>
                <w:rFonts w:ascii="Calibri" w:hAnsi="Calibri" w:cs="Calibri"/>
                <w:b/>
                <w:sz w:val="23"/>
                <w:szCs w:val="23"/>
              </w:rPr>
            </w:pPr>
          </w:p>
        </w:tc>
      </w:tr>
    </w:tbl>
    <w:p w14:paraId="23940D01" w14:textId="77777777" w:rsid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bookmarkStart w:id="326" w:name="_Toc476566361"/>
    </w:p>
    <w:p w14:paraId="578CA6EF" w14:textId="77777777" w:rsid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p>
    <w:p w14:paraId="33ED07F1" w14:textId="00A86739" w:rsidR="006A7ED5" w:rsidRP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6A7ED5">
        <w:rPr>
          <w:rFonts w:ascii="Arial" w:eastAsia="Times New Roman" w:hAnsi="Arial" w:cs="Arial"/>
          <w:b/>
          <w:bCs/>
          <w:caps/>
          <w:szCs w:val="23"/>
          <w:lang w:val="fr-CA"/>
        </w:rPr>
        <w:t>9. YUKON</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6A7ED5" w:rsidRPr="006A7ED5" w14:paraId="4C96DEA6"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27568504"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r w:rsidRPr="006A7ED5">
              <w:rPr>
                <w:rFonts w:ascii="Arial" w:eastAsia="Calibri" w:hAnsi="Arial" w:cs="Arial"/>
                <w:b/>
                <w:szCs w:val="24"/>
                <w:lang w:eastAsia="en-CA" w:bidi="en-US"/>
              </w:rPr>
              <w:t xml:space="preserve"> </w:t>
            </w:r>
          </w:p>
          <w:p w14:paraId="3D39A379" w14:textId="77777777" w:rsidR="006A7ED5" w:rsidRPr="006A7ED5" w:rsidRDefault="006A7ED5" w:rsidP="006A7ED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67413B90" w14:textId="77777777" w:rsidR="006A7ED5" w:rsidRPr="006A7ED5" w:rsidRDefault="006A7ED5" w:rsidP="006A7ED5">
            <w:pPr>
              <w:spacing w:before="60" w:after="60" w:line="42" w:lineRule="atLeast"/>
              <w:rPr>
                <w:rFonts w:ascii="Arial" w:eastAsia="Calibri" w:hAnsi="Arial" w:cs="Arial"/>
                <w:bCs/>
                <w:szCs w:val="24"/>
                <w:lang w:eastAsia="en-CA" w:bidi="en-US"/>
              </w:rPr>
            </w:pPr>
            <w:r w:rsidRPr="006A7ED5">
              <w:rPr>
                <w:rFonts w:ascii="Arial" w:eastAsia="Calibri" w:hAnsi="Arial" w:cs="Arial"/>
                <w:bCs/>
                <w:szCs w:val="24"/>
                <w:lang w:eastAsia="en-CA" w:bidi="en-US"/>
              </w:rPr>
              <w:t>Cannabis</w:t>
            </w:r>
          </w:p>
        </w:tc>
      </w:tr>
      <w:tr w:rsidR="006A7ED5" w:rsidRPr="0068240F" w14:paraId="0F01496C"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52E87041"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Sous-</w:t>
            </w: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3A27414F" w14:textId="77777777" w:rsidR="006A7ED5" w:rsidRPr="006A7ED5" w:rsidRDefault="006A7ED5" w:rsidP="006A7ED5">
            <w:pPr>
              <w:rPr>
                <w:rFonts w:ascii="Arial" w:eastAsia="Calibri" w:hAnsi="Arial" w:cs="Arial"/>
                <w:bCs/>
                <w:szCs w:val="24"/>
                <w:lang w:val="fr-CA" w:eastAsia="en-CA" w:bidi="en-US"/>
              </w:rPr>
            </w:pPr>
            <w:r w:rsidRPr="006A7ED5">
              <w:rPr>
                <w:rFonts w:ascii="Arial" w:eastAsia="Calibri" w:hAnsi="Arial" w:cs="Arial"/>
                <w:bCs/>
                <w:szCs w:val="24"/>
                <w:lang w:val="fr-CA" w:eastAsia="en-CA" w:bidi="en-US"/>
              </w:rPr>
              <w:t>Cannabis; Services auxiliaires à la production de plantes de cannabis; Fabrication du cannabis; Services de commerce de gros, y compris à forfait ou sous contrat; Services de commerce de détail, y compris à forfait ou sous contrat; Tous les autres services relatifs au cannabis qui ne sont pas visés par B, C, D et E</w:t>
            </w:r>
          </w:p>
        </w:tc>
      </w:tr>
      <w:tr w:rsidR="006A7ED5" w:rsidRPr="006A7ED5" w14:paraId="6048DD24"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F6A5FEB"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 xml:space="preserve">Classification de </w:t>
            </w:r>
            <w:proofErr w:type="spellStart"/>
            <w:proofErr w:type="gramStart"/>
            <w:r w:rsidRPr="006A7ED5">
              <w:rPr>
                <w:rFonts w:ascii="Arial" w:eastAsia="Calibri" w:hAnsi="Arial" w:cs="Arial"/>
                <w:b/>
                <w:szCs w:val="24"/>
                <w:lang w:eastAsia="en-CA" w:bidi="en-US"/>
              </w:rPr>
              <w:t>l’industrie</w:t>
            </w:r>
            <w:proofErr w:type="spellEnd"/>
            <w:r w:rsidRPr="006A7ED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6EEE903D"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A, B, C, D, E, F</w:t>
            </w:r>
          </w:p>
        </w:tc>
        <w:tc>
          <w:tcPr>
            <w:tcW w:w="390" w:type="dxa"/>
            <w:tcBorders>
              <w:top w:val="nil"/>
              <w:left w:val="nil"/>
              <w:bottom w:val="single" w:sz="8" w:space="0" w:color="C0C0C0"/>
              <w:right w:val="nil"/>
            </w:tcBorders>
            <w:vAlign w:val="center"/>
            <w:hideMark/>
          </w:tcPr>
          <w:p w14:paraId="51205425"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 </w:t>
            </w:r>
          </w:p>
        </w:tc>
      </w:tr>
      <w:tr w:rsidR="006A7ED5" w:rsidRPr="0068240F" w14:paraId="6CEE70D9"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665895C7"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Type</w:t>
            </w:r>
          </w:p>
          <w:p w14:paraId="6F76DC1D"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d’exception</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3DE74929"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Article 201 (Traitement non discriminatoire), article 301 (Droit d’entrée et de sortie), article 307 (Accès aux marchés – Services), article 312 (Accès aux marchés – Investissement)</w:t>
            </w:r>
          </w:p>
        </w:tc>
      </w:tr>
      <w:tr w:rsidR="006A7ED5" w:rsidRPr="006A7ED5" w14:paraId="5C4F8B2F"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126C3590" w14:textId="77777777" w:rsidR="006A7ED5" w:rsidRPr="006A7ED5" w:rsidRDefault="006A7ED5" w:rsidP="006A7ED5">
            <w:pPr>
              <w:spacing w:before="60" w:after="60"/>
              <w:rPr>
                <w:rFonts w:ascii="Arial" w:eastAsia="Calibri" w:hAnsi="Arial" w:cs="Arial"/>
                <w:b/>
                <w:szCs w:val="24"/>
                <w:lang w:eastAsia="en-CA" w:bidi="en-US"/>
              </w:rPr>
            </w:pPr>
            <w:proofErr w:type="gramStart"/>
            <w:r w:rsidRPr="006A7ED5">
              <w:rPr>
                <w:rFonts w:ascii="Arial" w:eastAsia="Calibri" w:hAnsi="Arial" w:cs="Arial"/>
                <w:b/>
                <w:szCs w:val="24"/>
                <w:lang w:eastAsia="en-CA" w:bidi="en-US"/>
              </w:rPr>
              <w:t>Description :</w:t>
            </w:r>
            <w:proofErr w:type="gramEnd"/>
            <w:r w:rsidRPr="006A7ED5">
              <w:rPr>
                <w:rFonts w:ascii="Arial" w:eastAsia="Calibri" w:hAnsi="Arial" w:cs="Arial"/>
                <w:b/>
                <w:szCs w:val="24"/>
                <w:lang w:eastAsia="en-CA" w:bidi="en-US"/>
              </w:rPr>
              <w:t xml:space="preserve"> </w:t>
            </w:r>
          </w:p>
        </w:tc>
      </w:tr>
      <w:tr w:rsidR="006A7ED5" w:rsidRPr="0068240F" w14:paraId="79CCB6E8"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729B7AEA"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lastRenderedPageBreak/>
              <w:t xml:space="preserve">La Société des alcools du Yukon a le pouvoir et la compétence exclusifs d’acheter et d’importer du cannabis au Yukon, au sens de la </w:t>
            </w:r>
            <w:r w:rsidRPr="006A7ED5">
              <w:rPr>
                <w:rFonts w:ascii="Arial" w:eastAsia="Calibri" w:hAnsi="Arial" w:cs="Arial"/>
                <w:bCs/>
                <w:i/>
                <w:iCs/>
                <w:szCs w:val="24"/>
                <w:lang w:val="fr-CA" w:eastAsia="en-CA" w:bidi="en-US"/>
              </w:rPr>
              <w:t xml:space="preserve">Loi sur le cannabis </w:t>
            </w:r>
            <w:r w:rsidRPr="006A7ED5">
              <w:rPr>
                <w:rFonts w:ascii="Arial" w:eastAsia="Calibri" w:hAnsi="Arial" w:cs="Arial"/>
                <w:bCs/>
                <w:szCs w:val="24"/>
                <w:lang w:val="fr-CA" w:eastAsia="en-CA" w:bidi="en-US"/>
              </w:rPr>
              <w:t xml:space="preserve">du gouvernement fédéral, et elle est autorisée à tous égards à le faire en vertu de la </w:t>
            </w:r>
            <w:r w:rsidRPr="006A7ED5">
              <w:rPr>
                <w:rFonts w:ascii="Arial" w:eastAsia="Calibri" w:hAnsi="Arial" w:cs="Arial"/>
                <w:bCs/>
                <w:i/>
                <w:iCs/>
                <w:szCs w:val="24"/>
                <w:lang w:val="fr-CA" w:eastAsia="en-CA" w:bidi="en-US"/>
              </w:rPr>
              <w:t>Loi sur la gestion des finances publiques</w:t>
            </w:r>
            <w:r w:rsidRPr="006A7ED5">
              <w:rPr>
                <w:rFonts w:ascii="Arial" w:eastAsia="Calibri" w:hAnsi="Arial" w:cs="Arial"/>
                <w:bCs/>
                <w:szCs w:val="24"/>
                <w:lang w:val="fr-CA" w:eastAsia="en-CA" w:bidi="en-US"/>
              </w:rPr>
              <w:t>.</w:t>
            </w:r>
          </w:p>
          <w:p w14:paraId="51C751FA"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Cela comprend le pouvoir exclusif : a) d’établir des magasins pour la vente au détail de cannabis et des entrepôts; b) d’accorder des licences pour la vente de cannabis selon les modalités qu’elle juge appropriées; c) de déterminer les classes, les variétés et les marques de cannabis à vendre au détail; d) de conclure des contrats pour la prestation des services que la Société des alcools du Yukon juge nécessaires à l’exercice de ses fonctions.</w:t>
            </w:r>
          </w:p>
          <w:p w14:paraId="66A0BE1B"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Le Yukon se réserve le droit d’adopter ou de maintenir des mesures comportant une discrimination en faveur des producteurs de cannabis du Yukon et de leur production, dans les sous-secteurs susmentionnés.</w:t>
            </w:r>
          </w:p>
          <w:p w14:paraId="3FAA0D4A"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Le Yukon se réserve le droit d’adopter ou de maintenir une mesure limitant l’accès aux marchés et le droit d’entrée et de sortie dans les sous-secteurs susmentionnés.</w:t>
            </w:r>
          </w:p>
        </w:tc>
      </w:tr>
      <w:tr w:rsidR="006A7ED5" w:rsidRPr="0068240F" w14:paraId="1F433109"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3D91D91E"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
                <w:szCs w:val="24"/>
                <w:lang w:val="fr-CA" w:eastAsia="en-CA" w:bidi="en-US"/>
              </w:rPr>
              <w:t>Toute mesure existante :</w:t>
            </w:r>
            <w:r w:rsidRPr="006A7ED5">
              <w:rPr>
                <w:rFonts w:ascii="Arial" w:eastAsia="Calibri" w:hAnsi="Arial" w:cs="Arial"/>
                <w:bCs/>
                <w:szCs w:val="24"/>
                <w:lang w:val="fr-CA" w:eastAsia="en-CA" w:bidi="en-US"/>
              </w:rPr>
              <w:t xml:space="preserve"> (À titre d’exemple seulement)</w:t>
            </w:r>
          </w:p>
        </w:tc>
      </w:tr>
      <w:tr w:rsidR="006A7ED5" w:rsidRPr="0068240F" w14:paraId="589A66B3"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6FBCF7A4"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Loi sur le contrôle et la réglementation du cannabis</w:t>
            </w:r>
            <w:r w:rsidRPr="006A7ED5">
              <w:rPr>
                <w:rFonts w:ascii="Arial" w:eastAsia="Calibri" w:hAnsi="Arial" w:cs="Arial"/>
                <w:bCs/>
                <w:szCs w:val="24"/>
                <w:lang w:val="fr-CA" w:eastAsia="en-CA" w:bidi="en-US"/>
              </w:rPr>
              <w:t>, L.Y. 2018, ch. 4, art. 6, 9, 25 et 80</w:t>
            </w:r>
          </w:p>
          <w:p w14:paraId="3F753275"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Règlement sur les licences en matière de cannabis</w:t>
            </w:r>
            <w:r w:rsidRPr="006A7ED5">
              <w:rPr>
                <w:rFonts w:ascii="Arial" w:eastAsia="Calibri" w:hAnsi="Arial" w:cs="Arial"/>
                <w:bCs/>
                <w:szCs w:val="24"/>
                <w:lang w:val="fr-CA" w:eastAsia="en-CA" w:bidi="en-US"/>
              </w:rPr>
              <w:t>, YD 2018/107</w:t>
            </w:r>
          </w:p>
          <w:p w14:paraId="0E1D914B"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Règlement sur les licences en matière de cannabis</w:t>
            </w:r>
            <w:r w:rsidRPr="006A7ED5">
              <w:rPr>
                <w:rFonts w:ascii="Arial" w:eastAsia="Calibri" w:hAnsi="Arial" w:cs="Arial"/>
                <w:bCs/>
                <w:szCs w:val="24"/>
                <w:lang w:val="fr-CA" w:eastAsia="en-CA" w:bidi="en-US"/>
              </w:rPr>
              <w:t>, YD 2018/184, art 1 et 5</w:t>
            </w:r>
          </w:p>
          <w:p w14:paraId="1F5B951B"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Règlement sur les licences en matière de cannabis</w:t>
            </w:r>
            <w:r w:rsidRPr="006A7ED5">
              <w:rPr>
                <w:rFonts w:ascii="Arial" w:eastAsia="Calibri" w:hAnsi="Arial" w:cs="Arial"/>
                <w:bCs/>
                <w:szCs w:val="24"/>
                <w:lang w:val="fr-CA" w:eastAsia="en-CA" w:bidi="en-US"/>
              </w:rPr>
              <w:t>, YD 2019/43, art. 14</w:t>
            </w:r>
          </w:p>
          <w:p w14:paraId="177402C1"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Loi sur la gestion des finances publiques</w:t>
            </w:r>
            <w:r w:rsidRPr="006A7ED5">
              <w:rPr>
                <w:rFonts w:ascii="Arial" w:eastAsia="Calibri" w:hAnsi="Arial" w:cs="Arial"/>
                <w:bCs/>
                <w:szCs w:val="24"/>
                <w:lang w:val="fr-CA" w:eastAsia="en-CA" w:bidi="en-US"/>
              </w:rPr>
              <w:t>, LRY 2002, ch. 87</w:t>
            </w:r>
          </w:p>
        </w:tc>
      </w:tr>
    </w:tbl>
    <w:p w14:paraId="37261F3B" w14:textId="77777777" w:rsidR="006A7ED5" w:rsidRDefault="006A7ED5" w:rsidP="00F52884">
      <w:pPr>
        <w:pStyle w:val="Heading3"/>
        <w:jc w:val="center"/>
        <w:rPr>
          <w:rFonts w:asciiTheme="minorHAnsi" w:hAnsiTheme="minorHAnsi" w:cstheme="minorHAnsi"/>
          <w:sz w:val="24"/>
          <w:szCs w:val="24"/>
          <w:lang w:val="fr-CA"/>
        </w:rPr>
      </w:pPr>
    </w:p>
    <w:p w14:paraId="6AB75BAF" w14:textId="77777777" w:rsidR="006A7ED5" w:rsidRDefault="006A7ED5" w:rsidP="00F52884">
      <w:pPr>
        <w:pStyle w:val="Heading3"/>
        <w:jc w:val="center"/>
        <w:rPr>
          <w:rFonts w:asciiTheme="minorHAnsi" w:hAnsiTheme="minorHAnsi" w:cstheme="minorHAnsi"/>
          <w:sz w:val="24"/>
          <w:szCs w:val="24"/>
          <w:lang w:val="fr-CA"/>
        </w:rPr>
      </w:pPr>
    </w:p>
    <w:p w14:paraId="40FDD188" w14:textId="77777777" w:rsidR="006A7ED5" w:rsidRDefault="006A7ED5" w:rsidP="00F52884">
      <w:pPr>
        <w:pStyle w:val="Heading3"/>
        <w:jc w:val="center"/>
        <w:rPr>
          <w:rFonts w:asciiTheme="minorHAnsi" w:hAnsiTheme="minorHAnsi" w:cstheme="minorHAnsi"/>
          <w:sz w:val="24"/>
          <w:szCs w:val="24"/>
          <w:lang w:val="fr-CA"/>
        </w:rPr>
      </w:pPr>
    </w:p>
    <w:p w14:paraId="6D15EA9A" w14:textId="77777777" w:rsidR="006A7ED5" w:rsidRDefault="006A7ED5" w:rsidP="00F52884">
      <w:pPr>
        <w:pStyle w:val="Heading3"/>
        <w:jc w:val="center"/>
        <w:rPr>
          <w:rFonts w:asciiTheme="minorHAnsi" w:hAnsiTheme="minorHAnsi" w:cstheme="minorHAnsi"/>
          <w:sz w:val="24"/>
          <w:szCs w:val="24"/>
          <w:lang w:val="fr-CA"/>
        </w:rPr>
      </w:pPr>
    </w:p>
    <w:p w14:paraId="47A68A02" w14:textId="77777777" w:rsidR="006A7ED5" w:rsidRDefault="006A7ED5" w:rsidP="00F52884">
      <w:pPr>
        <w:pStyle w:val="Heading3"/>
        <w:jc w:val="center"/>
        <w:rPr>
          <w:rFonts w:asciiTheme="minorHAnsi" w:hAnsiTheme="minorHAnsi" w:cstheme="minorHAnsi"/>
          <w:sz w:val="24"/>
          <w:szCs w:val="24"/>
          <w:lang w:val="fr-CA"/>
        </w:rPr>
      </w:pPr>
    </w:p>
    <w:p w14:paraId="5E32D022" w14:textId="77777777" w:rsidR="006A7ED5" w:rsidRDefault="006A7ED5" w:rsidP="00F52884">
      <w:pPr>
        <w:pStyle w:val="Heading3"/>
        <w:jc w:val="center"/>
        <w:rPr>
          <w:rFonts w:asciiTheme="minorHAnsi" w:hAnsiTheme="minorHAnsi" w:cstheme="minorHAnsi"/>
          <w:sz w:val="24"/>
          <w:szCs w:val="24"/>
          <w:lang w:val="fr-CA"/>
        </w:rPr>
      </w:pPr>
    </w:p>
    <w:p w14:paraId="7271199D" w14:textId="77777777" w:rsidR="006A7ED5" w:rsidRDefault="006A7ED5" w:rsidP="00F52884">
      <w:pPr>
        <w:pStyle w:val="Heading3"/>
        <w:jc w:val="center"/>
        <w:rPr>
          <w:rFonts w:asciiTheme="minorHAnsi" w:hAnsiTheme="minorHAnsi" w:cstheme="minorHAnsi"/>
          <w:sz w:val="24"/>
          <w:szCs w:val="24"/>
          <w:lang w:val="fr-CA"/>
        </w:rPr>
      </w:pPr>
    </w:p>
    <w:p w14:paraId="02BB5A43" w14:textId="77777777" w:rsidR="006A7ED5" w:rsidRDefault="006A7ED5" w:rsidP="00F52884">
      <w:pPr>
        <w:pStyle w:val="Heading3"/>
        <w:jc w:val="center"/>
        <w:rPr>
          <w:rFonts w:asciiTheme="minorHAnsi" w:hAnsiTheme="minorHAnsi" w:cstheme="minorHAnsi"/>
          <w:sz w:val="24"/>
          <w:szCs w:val="24"/>
          <w:lang w:val="fr-CA"/>
        </w:rPr>
      </w:pPr>
    </w:p>
    <w:p w14:paraId="28FF134B" w14:textId="77777777" w:rsidR="006A7ED5" w:rsidRDefault="006A7ED5" w:rsidP="00F52884">
      <w:pPr>
        <w:pStyle w:val="Heading3"/>
        <w:jc w:val="center"/>
        <w:rPr>
          <w:rFonts w:asciiTheme="minorHAnsi" w:hAnsiTheme="minorHAnsi" w:cstheme="minorHAnsi"/>
          <w:sz w:val="24"/>
          <w:szCs w:val="24"/>
          <w:lang w:val="fr-CA"/>
        </w:rPr>
      </w:pPr>
    </w:p>
    <w:p w14:paraId="02D222D1" w14:textId="77777777" w:rsidR="006A7ED5" w:rsidRDefault="006A7ED5" w:rsidP="00F52884">
      <w:pPr>
        <w:pStyle w:val="Heading3"/>
        <w:jc w:val="center"/>
        <w:rPr>
          <w:rFonts w:asciiTheme="minorHAnsi" w:hAnsiTheme="minorHAnsi" w:cstheme="minorHAnsi"/>
          <w:sz w:val="24"/>
          <w:szCs w:val="24"/>
          <w:lang w:val="fr-CA"/>
        </w:rPr>
      </w:pPr>
    </w:p>
    <w:p w14:paraId="5879E5F4" w14:textId="77777777" w:rsidR="006A7ED5" w:rsidRDefault="006A7ED5" w:rsidP="00F52884">
      <w:pPr>
        <w:pStyle w:val="Heading3"/>
        <w:jc w:val="center"/>
        <w:rPr>
          <w:rFonts w:asciiTheme="minorHAnsi" w:hAnsiTheme="minorHAnsi" w:cstheme="minorHAnsi"/>
          <w:sz w:val="24"/>
          <w:szCs w:val="24"/>
          <w:lang w:val="fr-CA"/>
        </w:rPr>
      </w:pPr>
    </w:p>
    <w:p w14:paraId="2916AB3E" w14:textId="77777777" w:rsidR="006A7ED5" w:rsidRDefault="006A7ED5" w:rsidP="00F52884">
      <w:pPr>
        <w:pStyle w:val="Heading3"/>
        <w:jc w:val="center"/>
        <w:rPr>
          <w:rFonts w:asciiTheme="minorHAnsi" w:hAnsiTheme="minorHAnsi" w:cstheme="minorHAnsi"/>
          <w:sz w:val="24"/>
          <w:szCs w:val="24"/>
          <w:lang w:val="fr-CA"/>
        </w:rPr>
      </w:pPr>
    </w:p>
    <w:p w14:paraId="6F9C9A4D" w14:textId="77777777" w:rsidR="006A7ED5" w:rsidRDefault="006A7ED5" w:rsidP="00F52884">
      <w:pPr>
        <w:pStyle w:val="Heading3"/>
        <w:jc w:val="center"/>
        <w:rPr>
          <w:rFonts w:asciiTheme="minorHAnsi" w:hAnsiTheme="minorHAnsi" w:cstheme="minorHAnsi"/>
          <w:sz w:val="24"/>
          <w:szCs w:val="24"/>
          <w:lang w:val="fr-CA"/>
        </w:rPr>
      </w:pPr>
    </w:p>
    <w:p w14:paraId="50FFE325" w14:textId="5C16BEA5" w:rsidR="00B8348C" w:rsidRPr="00F52884" w:rsidRDefault="00B8348C" w:rsidP="00F52884">
      <w:pPr>
        <w:pStyle w:val="Heading3"/>
        <w:jc w:val="center"/>
        <w:rPr>
          <w:rFonts w:asciiTheme="minorHAnsi" w:hAnsiTheme="minorHAnsi" w:cstheme="minorHAnsi"/>
          <w:sz w:val="24"/>
          <w:szCs w:val="24"/>
          <w:lang w:val="fr-FR"/>
        </w:rPr>
      </w:pPr>
      <w:bookmarkStart w:id="327" w:name="_Toc156311814"/>
      <w:r w:rsidRPr="00F52884">
        <w:rPr>
          <w:rFonts w:asciiTheme="minorHAnsi" w:hAnsiTheme="minorHAnsi" w:cstheme="minorHAnsi"/>
          <w:sz w:val="24"/>
          <w:szCs w:val="24"/>
          <w:lang w:val="fr-CA"/>
        </w:rPr>
        <w:lastRenderedPageBreak/>
        <w:t>Liste des Territoires du Nord-Ouest</w:t>
      </w:r>
      <w:bookmarkEnd w:id="326"/>
      <w:bookmarkEnd w:id="327"/>
    </w:p>
    <w:p w14:paraId="03B9DDC8" w14:textId="77777777" w:rsidR="00B8348C" w:rsidRPr="00F52884" w:rsidRDefault="00B8348C" w:rsidP="00F856A2">
      <w:pPr>
        <w:contextualSpacing/>
        <w:jc w:val="center"/>
        <w:rPr>
          <w:rFonts w:eastAsia="Times New Roman" w:cstheme="minorHAnsi"/>
          <w:sz w:val="24"/>
          <w:szCs w:val="24"/>
          <w:lang w:val="fr-FR"/>
        </w:rPr>
      </w:pPr>
    </w:p>
    <w:p w14:paraId="0C7E053F" w14:textId="77777777" w:rsidR="00B8348C" w:rsidRPr="00F52884" w:rsidRDefault="00B8348C" w:rsidP="00F856A2">
      <w:pPr>
        <w:contextualSpacing/>
        <w:jc w:val="center"/>
        <w:rPr>
          <w:rFonts w:eastAsia="Times New Roman" w:cstheme="minorHAnsi"/>
          <w:b/>
          <w:sz w:val="24"/>
          <w:szCs w:val="24"/>
          <w:lang w:val="fr-FR"/>
        </w:rPr>
      </w:pPr>
      <w:r w:rsidRPr="00F52884">
        <w:rPr>
          <w:rFonts w:eastAsia="Times New Roman" w:cstheme="minorHAnsi"/>
          <w:b/>
          <w:bCs/>
          <w:sz w:val="24"/>
          <w:szCs w:val="24"/>
          <w:lang w:val="fr-CA"/>
        </w:rPr>
        <w:t>Annexe II</w:t>
      </w:r>
    </w:p>
    <w:p w14:paraId="599BEF38" w14:textId="77777777" w:rsidR="00B8348C" w:rsidRPr="00F52884" w:rsidRDefault="00B8348C" w:rsidP="00F856A2">
      <w:pPr>
        <w:contextualSpacing/>
        <w:jc w:val="center"/>
        <w:rPr>
          <w:rFonts w:eastAsia="Times New Roman" w:cstheme="minorHAnsi"/>
          <w:szCs w:val="23"/>
          <w:lang w:val="fr-FR"/>
        </w:rPr>
      </w:pPr>
    </w:p>
    <w:p w14:paraId="4E350D10" w14:textId="0C655912" w:rsidR="00B8348C" w:rsidRPr="00F52884" w:rsidRDefault="00B8348C" w:rsidP="001B12BD">
      <w:pPr>
        <w:spacing w:before="60" w:after="60"/>
        <w:ind w:left="-360"/>
        <w:rPr>
          <w:rFonts w:eastAsia="Times New Roman" w:cstheme="minorHAnsi"/>
          <w:b/>
          <w:szCs w:val="23"/>
          <w:lang w:val="fr-FR"/>
        </w:rPr>
      </w:pPr>
      <w:r w:rsidRPr="00F52884">
        <w:rPr>
          <w:rFonts w:eastAsia="Times New Roman" w:cstheme="minorHAnsi"/>
          <w:b/>
          <w:bCs/>
          <w:szCs w:val="23"/>
          <w:lang w:val="fr-CA"/>
        </w:rPr>
        <w:t xml:space="preserve">1.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206" w:type="dxa"/>
        <w:jc w:val="center"/>
        <w:tblCellMar>
          <w:top w:w="14" w:type="dxa"/>
          <w:left w:w="86" w:type="dxa"/>
          <w:bottom w:w="14" w:type="dxa"/>
          <w:right w:w="86" w:type="dxa"/>
        </w:tblCellMar>
        <w:tblLook w:val="04A0" w:firstRow="1" w:lastRow="0" w:firstColumn="1" w:lastColumn="0" w:noHBand="0" w:noVBand="1"/>
      </w:tblPr>
      <w:tblGrid>
        <w:gridCol w:w="2430"/>
        <w:gridCol w:w="7351"/>
        <w:gridCol w:w="425"/>
      </w:tblGrid>
      <w:tr w:rsidR="00B8348C" w:rsidRPr="00F52884" w14:paraId="7AFB0E5D" w14:textId="77777777" w:rsidTr="001B12BD">
        <w:trPr>
          <w:trHeight w:val="42"/>
          <w:jc w:val="center"/>
        </w:trPr>
        <w:tc>
          <w:tcPr>
            <w:tcW w:w="2430" w:type="dxa"/>
            <w:tcBorders>
              <w:top w:val="single" w:sz="4" w:space="0" w:color="C0C0C0"/>
              <w:left w:val="nil"/>
              <w:bottom w:val="single" w:sz="4" w:space="0" w:color="C0C0C0"/>
              <w:right w:val="single" w:sz="4" w:space="0" w:color="FFFFFF"/>
            </w:tcBorders>
            <w:vAlign w:val="center"/>
            <w:hideMark/>
          </w:tcPr>
          <w:p w14:paraId="6442F0DB"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771EFDC9"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Services fournis aux entreprises</w:t>
            </w:r>
          </w:p>
        </w:tc>
      </w:tr>
      <w:tr w:rsidR="00B8348C" w:rsidRPr="0068240F" w14:paraId="4B36E71A" w14:textId="77777777" w:rsidTr="001B12BD">
        <w:trPr>
          <w:trHeight w:val="42"/>
          <w:jc w:val="center"/>
        </w:trPr>
        <w:tc>
          <w:tcPr>
            <w:tcW w:w="2430" w:type="dxa"/>
            <w:tcBorders>
              <w:top w:val="single" w:sz="4" w:space="0" w:color="C0C0C0"/>
              <w:left w:val="nil"/>
              <w:bottom w:val="single" w:sz="4" w:space="0" w:color="C0C0C0"/>
              <w:right w:val="single" w:sz="4" w:space="0" w:color="FFFFFF"/>
            </w:tcBorders>
            <w:vAlign w:val="center"/>
            <w:hideMark/>
          </w:tcPr>
          <w:p w14:paraId="0C62F9DA" w14:textId="77777777" w:rsidR="00B8348C" w:rsidRPr="00F52884" w:rsidRDefault="00B8348C" w:rsidP="000C25A3">
            <w:pPr>
              <w:spacing w:before="60" w:after="60"/>
              <w:rPr>
                <w:rFonts w:cstheme="minorHAnsi"/>
                <w:szCs w:val="23"/>
              </w:rPr>
            </w:pPr>
            <w:r w:rsidRPr="00F52884">
              <w:rPr>
                <w:rFonts w:eastAsia="Times New Roman"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4C17E19B"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Services annexes à l’élevage; services annexes à la chasse</w:t>
            </w:r>
          </w:p>
        </w:tc>
      </w:tr>
      <w:tr w:rsidR="00B8348C" w:rsidRPr="00F52884" w14:paraId="124ECCC2" w14:textId="77777777" w:rsidTr="001B12BD">
        <w:trPr>
          <w:gridAfter w:val="1"/>
          <w:wAfter w:w="425" w:type="dxa"/>
          <w:trHeight w:val="42"/>
          <w:jc w:val="center"/>
        </w:trPr>
        <w:tc>
          <w:tcPr>
            <w:tcW w:w="2430" w:type="dxa"/>
            <w:tcBorders>
              <w:top w:val="single" w:sz="4" w:space="0" w:color="C0C0C0"/>
              <w:left w:val="nil"/>
              <w:bottom w:val="single" w:sz="4" w:space="0" w:color="C0C0C0"/>
              <w:right w:val="single" w:sz="4" w:space="0" w:color="FFFFFF"/>
            </w:tcBorders>
            <w:vAlign w:val="center"/>
            <w:hideMark/>
          </w:tcPr>
          <w:p w14:paraId="144CAA96"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5C3903AC"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szCs w:val="23"/>
                <w:lang w:val="fr-CA"/>
              </w:rPr>
              <w:t>CPC 8812, 8813</w:t>
            </w:r>
          </w:p>
        </w:tc>
      </w:tr>
      <w:tr w:rsidR="00B8348C" w:rsidRPr="0068240F" w14:paraId="5D9A4249" w14:textId="77777777" w:rsidTr="001B12BD">
        <w:trPr>
          <w:trHeight w:val="42"/>
          <w:jc w:val="center"/>
        </w:trPr>
        <w:tc>
          <w:tcPr>
            <w:tcW w:w="2430" w:type="dxa"/>
            <w:tcBorders>
              <w:top w:val="single" w:sz="4" w:space="0" w:color="C0C0C0"/>
              <w:left w:val="nil"/>
              <w:bottom w:val="single" w:sz="4" w:space="0" w:color="C0C0C0"/>
              <w:right w:val="nil"/>
            </w:tcBorders>
            <w:hideMark/>
          </w:tcPr>
          <w:p w14:paraId="7411D7D6" w14:textId="49F957B1"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6B9210C5" w14:textId="77777777" w:rsidR="00B8348C" w:rsidRPr="00F52884" w:rsidRDefault="00B8348C" w:rsidP="000C25A3">
            <w:pPr>
              <w:spacing w:before="60" w:after="60"/>
              <w:rPr>
                <w:rFonts w:eastAsia="Times New Roman"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1CCEA9DA" w14:textId="77777777" w:rsidTr="001B12BD">
        <w:trPr>
          <w:trHeight w:val="42"/>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01EDD9F1"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7EE842CB" w14:textId="77777777" w:rsidTr="001B12BD">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tcPr>
          <w:p w14:paraId="3F56C59F" w14:textId="77777777" w:rsidR="00B8348C" w:rsidRPr="00F52884" w:rsidRDefault="00B8348C" w:rsidP="000C25A3">
            <w:pPr>
              <w:spacing w:before="60" w:after="60"/>
              <w:rPr>
                <w:rFonts w:eastAsia="Arial" w:cstheme="minorHAnsi"/>
                <w:szCs w:val="23"/>
                <w:lang w:val="fr-FR"/>
              </w:rPr>
            </w:pPr>
            <w:r w:rsidRPr="00F52884">
              <w:rPr>
                <w:rFonts w:eastAsia="Times New Roman" w:cstheme="minorHAnsi"/>
                <w:szCs w:val="23"/>
                <w:lang w:val="fr-CA"/>
              </w:rPr>
              <w:t>Les Territoires du Nord-Ouest se réservent le droit d’adopter ou de maintenir toute mesure limitant l’accès aux marchés et le droit d’entrée et de sortie dans les sous-secteurs susmentionnés.</w:t>
            </w:r>
          </w:p>
        </w:tc>
      </w:tr>
      <w:tr w:rsidR="00B8348C" w:rsidRPr="00F52884" w14:paraId="46B28FD1" w14:textId="77777777" w:rsidTr="001B12BD">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F576460" w14:textId="77777777" w:rsidR="00B8348C" w:rsidRPr="00F52884" w:rsidRDefault="00B8348C" w:rsidP="000C25A3">
            <w:pPr>
              <w:spacing w:before="60" w:after="6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0D1B50DF" w14:textId="77777777" w:rsidTr="001B12BD">
        <w:trPr>
          <w:trHeight w:val="120"/>
          <w:jc w:val="center"/>
        </w:trPr>
        <w:tc>
          <w:tcPr>
            <w:tcW w:w="10206" w:type="dxa"/>
            <w:gridSpan w:val="3"/>
            <w:tcBorders>
              <w:top w:val="single" w:sz="4" w:space="0" w:color="C0C0C0"/>
              <w:left w:val="single" w:sz="4" w:space="0" w:color="C0C0C0"/>
              <w:bottom w:val="single" w:sz="4" w:space="0" w:color="C0C0C0"/>
              <w:right w:val="single" w:sz="4" w:space="0" w:color="C0C0C0"/>
            </w:tcBorders>
            <w:shd w:val="clear" w:color="auto" w:fill="auto"/>
          </w:tcPr>
          <w:p w14:paraId="4B440FB4" w14:textId="77777777" w:rsidR="00B8348C" w:rsidRPr="00F52884" w:rsidRDefault="00B8348C" w:rsidP="000C25A3">
            <w:pPr>
              <w:spacing w:before="60" w:after="60"/>
              <w:rPr>
                <w:rFonts w:eastAsia="Times New Roman" w:cstheme="minorHAnsi"/>
                <w:szCs w:val="23"/>
              </w:rPr>
            </w:pPr>
          </w:p>
        </w:tc>
      </w:tr>
    </w:tbl>
    <w:p w14:paraId="6BFA44BD" w14:textId="77777777" w:rsidR="00B8348C" w:rsidRPr="00F52884" w:rsidRDefault="00B8348C" w:rsidP="000C25A3">
      <w:pPr>
        <w:rPr>
          <w:rFonts w:eastAsia="Times New Roman" w:cstheme="minorHAnsi"/>
          <w:b/>
          <w:szCs w:val="23"/>
        </w:rPr>
      </w:pPr>
    </w:p>
    <w:p w14:paraId="7B2BFCAB" w14:textId="77777777" w:rsidR="00B8348C" w:rsidRPr="00F52884" w:rsidRDefault="00B8348C" w:rsidP="000C25A3">
      <w:pPr>
        <w:rPr>
          <w:rFonts w:eastAsia="Times New Roman" w:cstheme="minorHAnsi"/>
          <w:b/>
          <w:szCs w:val="23"/>
        </w:rPr>
      </w:pPr>
    </w:p>
    <w:p w14:paraId="61892F9E" w14:textId="0D5ED9E8"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2.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54492408"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66F4B835"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554BB41A"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Boissons alcoolisées</w:t>
            </w:r>
          </w:p>
        </w:tc>
      </w:tr>
      <w:tr w:rsidR="00B8348C" w:rsidRPr="0068240F" w14:paraId="4152160E"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14F837E7" w14:textId="77777777" w:rsidR="00B8348C" w:rsidRPr="00F52884" w:rsidRDefault="00B8348C" w:rsidP="000C25A3">
            <w:pPr>
              <w:spacing w:before="60" w:after="60"/>
              <w:rPr>
                <w:rFonts w:cstheme="minorHAnsi"/>
                <w:szCs w:val="23"/>
              </w:rPr>
            </w:pPr>
            <w:r w:rsidRPr="00F52884">
              <w:rPr>
                <w:rFonts w:eastAsia="Times New Roman"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1185491A"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Services de courtage; services de commerce de gros; services de commerce de détail (spiritueux, vin et bière; magasins de bière, de vin et de spiritueux); fabrication de boissons alcoolisées</w:t>
            </w:r>
          </w:p>
        </w:tc>
      </w:tr>
      <w:tr w:rsidR="00B8348C" w:rsidRPr="00F52884" w14:paraId="235F4BEC" w14:textId="77777777" w:rsidTr="001B12BD">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0524E5FD"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7397D8A6"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szCs w:val="23"/>
                <w:lang w:val="fr-CA"/>
              </w:rPr>
              <w:t>CPC24 (autre que 244), 62112, 62226, 63107</w:t>
            </w:r>
          </w:p>
        </w:tc>
      </w:tr>
      <w:tr w:rsidR="00B8348C" w:rsidRPr="0068240F" w14:paraId="53874DF7" w14:textId="77777777" w:rsidTr="001B12BD">
        <w:trPr>
          <w:trHeight w:val="42"/>
          <w:jc w:val="center"/>
        </w:trPr>
        <w:tc>
          <w:tcPr>
            <w:tcW w:w="2520" w:type="dxa"/>
            <w:tcBorders>
              <w:top w:val="single" w:sz="4" w:space="0" w:color="C0C0C0"/>
              <w:left w:val="nil"/>
              <w:bottom w:val="single" w:sz="4" w:space="0" w:color="C0C0C0"/>
              <w:right w:val="nil"/>
            </w:tcBorders>
            <w:hideMark/>
          </w:tcPr>
          <w:p w14:paraId="19F05AB4" w14:textId="7DA5FDFC" w:rsidR="00B8348C" w:rsidRPr="00F52884" w:rsidDel="001C7578" w:rsidRDefault="00B8348C" w:rsidP="000C25A3">
            <w:pPr>
              <w:spacing w:before="60" w:after="60"/>
              <w:ind w:left="2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34D4672F" w14:textId="77777777" w:rsidR="00B8348C" w:rsidRPr="00F52884" w:rsidRDefault="00B8348C" w:rsidP="000C25A3">
            <w:pPr>
              <w:spacing w:before="60" w:after="60"/>
              <w:ind w:left="6" w:hanging="6"/>
              <w:rPr>
                <w:rFonts w:eastAsia="Times New Roman" w:cstheme="minorHAnsi"/>
                <w:szCs w:val="23"/>
                <w:lang w:val="fr-FR"/>
              </w:rPr>
            </w:pPr>
            <w:r w:rsidRPr="00F52884">
              <w:rPr>
                <w:rFonts w:cstheme="minorHAnsi"/>
                <w:szCs w:val="23"/>
                <w:lang w:val="fr-CA"/>
              </w:rPr>
              <w:t xml:space="preserve">Article 301 (Droit d’entrée et de sortie), article 307 (Accès aux marchés – Services), article 312 (Accès aux marchés – Investissement) </w:t>
            </w:r>
          </w:p>
        </w:tc>
      </w:tr>
      <w:tr w:rsidR="00B8348C" w:rsidRPr="00F52884" w14:paraId="4F814C71"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08C6D90C"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78DDD324"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E5E75E6" w14:textId="77777777" w:rsidR="00B8348C" w:rsidRPr="00F52884" w:rsidRDefault="00B8348C" w:rsidP="000C25A3">
            <w:pPr>
              <w:spacing w:before="60" w:after="60"/>
              <w:rPr>
                <w:rFonts w:eastAsia="Arial" w:cstheme="minorHAnsi"/>
                <w:szCs w:val="23"/>
                <w:lang w:val="fr-FR"/>
              </w:rPr>
            </w:pPr>
            <w:r w:rsidRPr="00F52884">
              <w:rPr>
                <w:rFonts w:eastAsia="Times New Roman" w:cstheme="minorHAnsi"/>
                <w:szCs w:val="23"/>
                <w:lang w:val="fr-CA"/>
              </w:rPr>
              <w:t>Les Territoires du Nord-Ouest se réservent le droit d’adopter ou de maintenir toute mesure limitant l’accès aux marchés et le droit d’entrée et de sortie dans les sous-secteurs susmentionnés.</w:t>
            </w:r>
          </w:p>
        </w:tc>
      </w:tr>
      <w:tr w:rsidR="00B8348C" w:rsidRPr="00F52884" w14:paraId="416E7215"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0F9FD11" w14:textId="77777777" w:rsidR="00B8348C" w:rsidRPr="00F52884" w:rsidRDefault="00B8348C" w:rsidP="000C25A3">
            <w:pPr>
              <w:spacing w:before="60" w:after="6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467EFFB7"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451B61AD" w14:textId="77777777" w:rsidR="00B8348C" w:rsidRPr="00F52884" w:rsidRDefault="00B8348C" w:rsidP="000C25A3">
            <w:pPr>
              <w:spacing w:before="60" w:after="60"/>
              <w:rPr>
                <w:rFonts w:eastAsia="Times New Roman" w:cstheme="minorHAnsi"/>
                <w:szCs w:val="23"/>
              </w:rPr>
            </w:pPr>
          </w:p>
        </w:tc>
      </w:tr>
    </w:tbl>
    <w:p w14:paraId="1124EF77" w14:textId="77777777" w:rsidR="00B8348C" w:rsidRPr="00F52884" w:rsidRDefault="00B8348C" w:rsidP="000C25A3">
      <w:pPr>
        <w:rPr>
          <w:rFonts w:eastAsia="Times New Roman" w:cstheme="minorHAnsi"/>
          <w:b/>
          <w:szCs w:val="23"/>
        </w:rPr>
      </w:pPr>
    </w:p>
    <w:p w14:paraId="510375DB" w14:textId="77777777" w:rsidR="00B8348C" w:rsidRPr="00F52884" w:rsidRDefault="00B8348C" w:rsidP="000C25A3">
      <w:pPr>
        <w:rPr>
          <w:rFonts w:eastAsia="Times New Roman" w:cstheme="minorHAnsi"/>
          <w:b/>
          <w:szCs w:val="23"/>
        </w:rPr>
      </w:pPr>
    </w:p>
    <w:p w14:paraId="0CCD334B" w14:textId="32980B4D"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3.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705D9C3F"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7358AD4"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1C1BC4E7"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Énergie</w:t>
            </w:r>
          </w:p>
        </w:tc>
      </w:tr>
      <w:tr w:rsidR="00B8348C" w:rsidRPr="0068240F" w14:paraId="34652C4A"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523FFDEB" w14:textId="77777777" w:rsidR="00B8348C" w:rsidRPr="00F52884" w:rsidRDefault="00B8348C" w:rsidP="000C25A3">
            <w:pPr>
              <w:spacing w:before="60" w:after="60"/>
              <w:rPr>
                <w:rFonts w:cstheme="minorHAnsi"/>
                <w:szCs w:val="23"/>
              </w:rPr>
            </w:pPr>
            <w:r w:rsidRPr="00F52884">
              <w:rPr>
                <w:rFonts w:eastAsia="Times New Roman" w:cstheme="minorHAnsi"/>
                <w:b/>
                <w:bCs/>
                <w:szCs w:val="23"/>
                <w:lang w:val="fr-CA"/>
              </w:rPr>
              <w:lastRenderedPageBreak/>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7BFD02E6"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Énergie électrique; services de transports par conduites; services annexes à la distribution d’énergie</w:t>
            </w:r>
          </w:p>
        </w:tc>
      </w:tr>
      <w:tr w:rsidR="00B8348C" w:rsidRPr="00F52884" w14:paraId="71B6B95E" w14:textId="77777777" w:rsidTr="001B12BD">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860DABE"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26B465EB"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szCs w:val="23"/>
                <w:lang w:val="fr-CA"/>
              </w:rPr>
              <w:t>CPC 171, 713, 887</w:t>
            </w:r>
          </w:p>
        </w:tc>
      </w:tr>
      <w:tr w:rsidR="00B8348C" w:rsidRPr="0068240F" w14:paraId="6BCE3EBA" w14:textId="77777777" w:rsidTr="001B12BD">
        <w:trPr>
          <w:trHeight w:val="42"/>
          <w:jc w:val="center"/>
        </w:trPr>
        <w:tc>
          <w:tcPr>
            <w:tcW w:w="2520" w:type="dxa"/>
            <w:tcBorders>
              <w:top w:val="single" w:sz="4" w:space="0" w:color="C0C0C0"/>
              <w:left w:val="nil"/>
              <w:bottom w:val="single" w:sz="4" w:space="0" w:color="C0C0C0"/>
              <w:right w:val="nil"/>
            </w:tcBorders>
            <w:hideMark/>
          </w:tcPr>
          <w:p w14:paraId="09F2328E" w14:textId="640DA0D5" w:rsidR="00B8348C" w:rsidRPr="00F52884" w:rsidDel="000E59A2" w:rsidRDefault="00B8348C" w:rsidP="000C25A3">
            <w:pPr>
              <w:spacing w:before="60" w:after="60"/>
              <w:ind w:left="2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2B8A182D" w14:textId="77777777" w:rsidR="00B8348C" w:rsidRPr="00F52884" w:rsidRDefault="00B8348C" w:rsidP="000C25A3">
            <w:pPr>
              <w:spacing w:before="60" w:after="60"/>
              <w:ind w:left="22"/>
              <w:rPr>
                <w:rFonts w:eastAsia="Times New Roman" w:cstheme="minorHAnsi"/>
                <w:szCs w:val="23"/>
                <w:lang w:val="fr-FR"/>
              </w:rPr>
            </w:pPr>
            <w:r w:rsidRPr="00F52884">
              <w:rPr>
                <w:rFonts w:cstheme="minorHAnsi"/>
                <w:szCs w:val="23"/>
                <w:lang w:val="fr-CA"/>
              </w:rPr>
              <w:t xml:space="preserve">Article 301 (Droit d’entrée et de sortie), article 307 (Accès aux marchés – Services), article 312 (Accès aux marchés – Investissement) </w:t>
            </w:r>
          </w:p>
        </w:tc>
      </w:tr>
      <w:tr w:rsidR="00B8348C" w:rsidRPr="00F52884" w14:paraId="31BE921D"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6249513E"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29E97ACD"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76F82D29" w14:textId="77777777" w:rsidR="00B8348C" w:rsidRPr="00F52884" w:rsidRDefault="00B8348C" w:rsidP="000C25A3">
            <w:pPr>
              <w:spacing w:before="60" w:after="60"/>
              <w:rPr>
                <w:rFonts w:eastAsia="Arial" w:cstheme="minorHAnsi"/>
                <w:szCs w:val="23"/>
                <w:lang w:val="fr-FR"/>
              </w:rPr>
            </w:pPr>
            <w:r w:rsidRPr="00F52884">
              <w:rPr>
                <w:rFonts w:eastAsia="Times New Roman" w:cstheme="minorHAnsi"/>
                <w:szCs w:val="23"/>
                <w:lang w:val="fr-CA"/>
              </w:rPr>
              <w:t>Les Territoires du Nord-Ouest se réservent le droit d’adopter ou de maintenir toute mesure limitant l’accès aux marchés et le droit d’entrée et de sortie dans les sous-secteurs susmentionnés.</w:t>
            </w:r>
          </w:p>
        </w:tc>
      </w:tr>
      <w:tr w:rsidR="00B8348C" w:rsidRPr="00F52884" w14:paraId="3DD0B02F"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D18DC84" w14:textId="77777777" w:rsidR="00B8348C" w:rsidRPr="00F52884" w:rsidRDefault="00B8348C" w:rsidP="000C25A3">
            <w:pPr>
              <w:spacing w:before="60" w:after="6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50FD5BD1"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0A03DB36" w14:textId="77777777" w:rsidR="00B8348C" w:rsidRPr="00F52884" w:rsidRDefault="00B8348C" w:rsidP="000C25A3">
            <w:pPr>
              <w:spacing w:before="60" w:after="60"/>
              <w:rPr>
                <w:rFonts w:eastAsia="Times New Roman" w:cstheme="minorHAnsi"/>
                <w:szCs w:val="23"/>
              </w:rPr>
            </w:pPr>
          </w:p>
        </w:tc>
      </w:tr>
    </w:tbl>
    <w:p w14:paraId="22B8396B" w14:textId="77777777" w:rsidR="00B8348C" w:rsidRPr="00F52884" w:rsidRDefault="00B8348C" w:rsidP="000C25A3">
      <w:pPr>
        <w:rPr>
          <w:rFonts w:eastAsia="Times New Roman" w:cstheme="minorHAnsi"/>
          <w:b/>
          <w:szCs w:val="23"/>
        </w:rPr>
      </w:pPr>
    </w:p>
    <w:p w14:paraId="107F8535" w14:textId="77777777" w:rsidR="00B8348C" w:rsidRPr="00F52884" w:rsidRDefault="00B8348C" w:rsidP="000C25A3">
      <w:pPr>
        <w:rPr>
          <w:rFonts w:eastAsia="Times New Roman" w:cstheme="minorHAnsi"/>
          <w:b/>
          <w:szCs w:val="23"/>
        </w:rPr>
      </w:pPr>
    </w:p>
    <w:p w14:paraId="0725F2BC" w14:textId="54B764D3"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4.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6B199824"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55DDDDC7"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3B920012"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Énergie</w:t>
            </w:r>
          </w:p>
        </w:tc>
      </w:tr>
      <w:tr w:rsidR="00B8348C" w:rsidRPr="0068240F" w14:paraId="291BD134"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4FEE829B" w14:textId="77777777" w:rsidR="00B8348C" w:rsidRPr="00F52884" w:rsidRDefault="00B8348C" w:rsidP="000C25A3">
            <w:pPr>
              <w:spacing w:before="60" w:after="60"/>
              <w:rPr>
                <w:rFonts w:cstheme="minorHAnsi"/>
                <w:szCs w:val="23"/>
              </w:rPr>
            </w:pPr>
            <w:r w:rsidRPr="00F52884">
              <w:rPr>
                <w:rFonts w:eastAsia="Times New Roman"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0C1552F2"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Pétrole brut et gaz naturel; transports par conduites; services annexes à la distribution d’énergie</w:t>
            </w:r>
          </w:p>
        </w:tc>
      </w:tr>
      <w:tr w:rsidR="00B8348C" w:rsidRPr="00F52884" w14:paraId="20203D57" w14:textId="77777777" w:rsidTr="001B12BD">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B356FB7"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3C0B7F52"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szCs w:val="23"/>
                <w:lang w:val="fr-CA"/>
              </w:rPr>
              <w:t>CPC 120</w:t>
            </w:r>
          </w:p>
        </w:tc>
      </w:tr>
      <w:tr w:rsidR="00B8348C" w:rsidRPr="0068240F" w14:paraId="57B88B9A" w14:textId="77777777" w:rsidTr="001B12BD">
        <w:trPr>
          <w:trHeight w:val="42"/>
          <w:jc w:val="center"/>
        </w:trPr>
        <w:tc>
          <w:tcPr>
            <w:tcW w:w="2520" w:type="dxa"/>
            <w:tcBorders>
              <w:top w:val="single" w:sz="4" w:space="0" w:color="C0C0C0"/>
              <w:left w:val="nil"/>
              <w:bottom w:val="single" w:sz="4" w:space="0" w:color="C0C0C0"/>
              <w:right w:val="nil"/>
            </w:tcBorders>
            <w:hideMark/>
          </w:tcPr>
          <w:p w14:paraId="0FDDF033" w14:textId="79E007FB" w:rsidR="00B8348C" w:rsidRPr="00F52884" w:rsidDel="000E59A2" w:rsidRDefault="00B8348C" w:rsidP="000C25A3">
            <w:pPr>
              <w:spacing w:before="60" w:after="60"/>
              <w:ind w:left="2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505493D7" w14:textId="77777777" w:rsidR="00B8348C" w:rsidRPr="00F52884" w:rsidRDefault="00B8348C" w:rsidP="000C25A3">
            <w:pPr>
              <w:spacing w:before="60" w:after="60"/>
              <w:ind w:left="22"/>
              <w:rPr>
                <w:rFonts w:eastAsia="Times New Roman" w:cstheme="minorHAnsi"/>
                <w:szCs w:val="23"/>
                <w:lang w:val="fr-FR"/>
              </w:rPr>
            </w:pPr>
            <w:r w:rsidRPr="00F52884">
              <w:rPr>
                <w:rFonts w:cstheme="minorHAnsi"/>
                <w:szCs w:val="23"/>
                <w:lang w:val="fr-CA"/>
              </w:rPr>
              <w:t xml:space="preserve">Article 301 (Droit d’entrée et de sortie), article 307 (Accès aux marchés – Services), article 312 (Accès aux marchés – Investissement) </w:t>
            </w:r>
          </w:p>
        </w:tc>
      </w:tr>
      <w:tr w:rsidR="00B8348C" w:rsidRPr="00F52884" w14:paraId="20012BA9"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5DD06D62"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04045E58"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67F4AAD0" w14:textId="77777777" w:rsidR="00B8348C" w:rsidRPr="00F52884" w:rsidRDefault="00B8348C" w:rsidP="000C25A3">
            <w:pPr>
              <w:spacing w:before="120" w:after="120"/>
              <w:rPr>
                <w:rFonts w:eastAsia="Times New Roman" w:cstheme="minorHAnsi"/>
                <w:szCs w:val="23"/>
                <w:lang w:val="fr-FR"/>
              </w:rPr>
            </w:pPr>
            <w:r w:rsidRPr="00F52884">
              <w:rPr>
                <w:rFonts w:eastAsia="Times New Roman" w:cstheme="minorHAnsi"/>
                <w:szCs w:val="23"/>
                <w:lang w:val="fr-CA"/>
              </w:rPr>
              <w:t>Les Territoires du Nord-Ouest se réservent le droit d’adopter ou de maintenir toute mesure limitant l’accès aux marchés de l’exploration, de la production, de l’extraction et de la mise en valeur du pétrole brut et du gaz naturel.</w:t>
            </w:r>
          </w:p>
          <w:p w14:paraId="3049E526" w14:textId="229F2B03" w:rsidR="00B8348C" w:rsidRPr="00F52884" w:rsidRDefault="00B8348C" w:rsidP="000C25A3">
            <w:pPr>
              <w:spacing w:before="120" w:after="120"/>
              <w:rPr>
                <w:rFonts w:eastAsia="Times New Roman" w:cstheme="minorHAnsi"/>
                <w:szCs w:val="23"/>
                <w:lang w:val="fr-FR"/>
              </w:rPr>
            </w:pPr>
            <w:r w:rsidRPr="00F52884">
              <w:rPr>
                <w:rFonts w:eastAsia="Times New Roman" w:cstheme="minorHAnsi"/>
                <w:szCs w:val="23"/>
                <w:lang w:val="fr-CA"/>
              </w:rPr>
              <w:t>Les Territoires du Nord-Ouest se réservent le droit d’adopter ou de maintenir toute mesure accordant des droits exclusifs d’exploitation d’un système de distribution ou de transport, y compris les services connexes de distribution et de transports par conduites ou par voie maritime.</w:t>
            </w:r>
          </w:p>
          <w:p w14:paraId="1DE8B8C0" w14:textId="4F41CB42" w:rsidR="00B8348C" w:rsidRPr="00F52884" w:rsidRDefault="00B8348C" w:rsidP="000C25A3">
            <w:pPr>
              <w:spacing w:before="120" w:after="120"/>
              <w:rPr>
                <w:rFonts w:eastAsia="Times New Roman" w:cstheme="minorHAnsi"/>
                <w:szCs w:val="23"/>
                <w:lang w:val="fr-FR"/>
              </w:rPr>
            </w:pPr>
            <w:r w:rsidRPr="00F52884">
              <w:rPr>
                <w:rFonts w:eastAsia="Times New Roman" w:cstheme="minorHAnsi"/>
                <w:szCs w:val="23"/>
                <w:lang w:val="fr-CA"/>
              </w:rPr>
              <w:t xml:space="preserve">Les Territoires du Nord-Ouest se réservent le droit d’adopter ou de maintenir </w:t>
            </w:r>
            <w:r w:rsidR="008F4D3B" w:rsidRPr="00F52884">
              <w:rPr>
                <w:rFonts w:eastAsia="Times New Roman" w:cstheme="minorHAnsi"/>
                <w:szCs w:val="23"/>
                <w:lang w:val="fr-CA"/>
              </w:rPr>
              <w:t xml:space="preserve">toute </w:t>
            </w:r>
            <w:r w:rsidRPr="00F52884">
              <w:rPr>
                <w:rFonts w:eastAsia="Times New Roman" w:cstheme="minorHAnsi"/>
                <w:szCs w:val="23"/>
                <w:lang w:val="fr-CA"/>
              </w:rPr>
              <w:t>mesure limitant le droit d’entrée et de sortie dans les sous-secteurs susmentionnés.</w:t>
            </w:r>
          </w:p>
        </w:tc>
      </w:tr>
      <w:tr w:rsidR="00B8348C" w:rsidRPr="00F52884" w14:paraId="4B988847"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6A3F91C" w14:textId="77777777" w:rsidR="00B8348C" w:rsidRPr="00F52884" w:rsidRDefault="00B8348C" w:rsidP="000C25A3">
            <w:pPr>
              <w:spacing w:before="120" w:after="12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60BC2E9F"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35B0F538" w14:textId="77777777" w:rsidR="00B8348C" w:rsidRPr="00F52884" w:rsidRDefault="00B8348C" w:rsidP="000C25A3">
            <w:pPr>
              <w:spacing w:before="120" w:after="120"/>
              <w:rPr>
                <w:rFonts w:eastAsia="Times New Roman" w:cstheme="minorHAnsi"/>
                <w:szCs w:val="23"/>
              </w:rPr>
            </w:pPr>
          </w:p>
        </w:tc>
      </w:tr>
    </w:tbl>
    <w:p w14:paraId="2E557C54" w14:textId="77777777" w:rsidR="00B8348C" w:rsidRPr="00F52884" w:rsidRDefault="00B8348C" w:rsidP="000C25A3">
      <w:pPr>
        <w:rPr>
          <w:rFonts w:eastAsia="Times New Roman" w:cstheme="minorHAnsi"/>
          <w:b/>
          <w:szCs w:val="23"/>
        </w:rPr>
      </w:pPr>
    </w:p>
    <w:p w14:paraId="208F71F1" w14:textId="77777777" w:rsidR="00B8348C" w:rsidRPr="00F52884" w:rsidRDefault="00B8348C" w:rsidP="000C25A3">
      <w:pPr>
        <w:rPr>
          <w:rFonts w:eastAsia="Times New Roman" w:cstheme="minorHAnsi"/>
          <w:b/>
          <w:szCs w:val="23"/>
        </w:rPr>
      </w:pPr>
    </w:p>
    <w:p w14:paraId="3A12F2B5" w14:textId="1FF31FD7"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5.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180C81B4"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03F5E086"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0AB33532"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Pêches</w:t>
            </w:r>
          </w:p>
        </w:tc>
      </w:tr>
      <w:tr w:rsidR="00B8348C" w:rsidRPr="0068240F" w14:paraId="4C12918F"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2D89542" w14:textId="77777777" w:rsidR="00B8348C" w:rsidRPr="00F52884" w:rsidRDefault="00B8348C" w:rsidP="000C25A3">
            <w:pPr>
              <w:spacing w:before="60" w:after="60"/>
              <w:rPr>
                <w:rFonts w:cstheme="minorHAnsi"/>
                <w:szCs w:val="23"/>
              </w:rPr>
            </w:pPr>
            <w:r w:rsidRPr="00F52884">
              <w:rPr>
                <w:rFonts w:eastAsia="Times New Roman" w:cstheme="minorHAnsi"/>
                <w:b/>
                <w:bCs/>
                <w:szCs w:val="23"/>
                <w:lang w:val="fr-CA"/>
              </w:rPr>
              <w:lastRenderedPageBreak/>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39E2C7AA"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Poissons et autres produits de la pêche; services de commerce de gros de produits de la pêche; services annexes à la pêche</w:t>
            </w:r>
          </w:p>
        </w:tc>
      </w:tr>
      <w:tr w:rsidR="00B8348C" w:rsidRPr="00F52884" w14:paraId="04AE5963" w14:textId="77777777" w:rsidTr="001B12BD">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7F66FBC1"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2CD50F07"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szCs w:val="23"/>
                <w:lang w:val="fr-CA"/>
              </w:rPr>
              <w:t>CPC 04, 62224, 882</w:t>
            </w:r>
          </w:p>
        </w:tc>
      </w:tr>
      <w:tr w:rsidR="00B8348C" w:rsidRPr="0068240F" w14:paraId="672F8A83" w14:textId="77777777" w:rsidTr="001B12BD">
        <w:trPr>
          <w:trHeight w:val="42"/>
          <w:jc w:val="center"/>
        </w:trPr>
        <w:tc>
          <w:tcPr>
            <w:tcW w:w="2520" w:type="dxa"/>
            <w:tcBorders>
              <w:top w:val="single" w:sz="4" w:space="0" w:color="C0C0C0"/>
              <w:left w:val="nil"/>
              <w:bottom w:val="single" w:sz="4" w:space="0" w:color="C0C0C0"/>
              <w:right w:val="nil"/>
            </w:tcBorders>
            <w:hideMark/>
          </w:tcPr>
          <w:p w14:paraId="2FA7D646" w14:textId="2A1F9385" w:rsidR="00B8348C" w:rsidRPr="00F52884" w:rsidDel="000E59A2" w:rsidRDefault="00B8348C" w:rsidP="000C25A3">
            <w:pPr>
              <w:spacing w:before="60" w:after="60"/>
              <w:ind w:firstLine="2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54D414D1" w14:textId="77777777" w:rsidR="00B8348C" w:rsidRPr="00F52884" w:rsidRDefault="00B8348C" w:rsidP="000C25A3">
            <w:pPr>
              <w:spacing w:before="60" w:after="60"/>
              <w:ind w:firstLine="22"/>
              <w:rPr>
                <w:rFonts w:eastAsia="Times New Roman" w:cstheme="minorHAnsi"/>
                <w:szCs w:val="23"/>
                <w:lang w:val="fr-FR"/>
              </w:rPr>
            </w:pPr>
            <w:r w:rsidRPr="00F52884">
              <w:rPr>
                <w:rFonts w:cstheme="minorHAnsi"/>
                <w:szCs w:val="23"/>
                <w:lang w:val="fr-CA"/>
              </w:rPr>
              <w:t xml:space="preserve">Article 301 (Droit d’entrée et de sortie), article 307 (Accès aux marchés – Services), article 312 (Accès aux marchés – Investissement) </w:t>
            </w:r>
          </w:p>
        </w:tc>
      </w:tr>
      <w:tr w:rsidR="00B8348C" w:rsidRPr="00F52884" w14:paraId="5F04ACBB"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25E1B5B5"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6CD2C071"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16362D1" w14:textId="77777777" w:rsidR="00B8348C" w:rsidRPr="00F52884" w:rsidRDefault="00B8348C" w:rsidP="000C25A3">
            <w:pPr>
              <w:spacing w:before="60" w:after="60"/>
              <w:rPr>
                <w:rFonts w:eastAsia="Arial" w:cstheme="minorHAnsi"/>
                <w:szCs w:val="23"/>
                <w:lang w:val="fr-FR"/>
              </w:rPr>
            </w:pPr>
            <w:r w:rsidRPr="00F52884">
              <w:rPr>
                <w:rFonts w:eastAsia="Times New Roman" w:cstheme="minorHAnsi"/>
                <w:szCs w:val="23"/>
                <w:lang w:val="fr-CA"/>
              </w:rPr>
              <w:t>Les Territoires du Nord-Ouest se réservent le droit d’adopter ou de maintenir toute mesure limitant l’accès aux marchés et le droit d’entrée et de sortie dans les sous-secteurs susmentionnés.</w:t>
            </w:r>
          </w:p>
        </w:tc>
      </w:tr>
      <w:tr w:rsidR="00B8348C" w:rsidRPr="00F52884" w14:paraId="2F08299B"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C2DAB0E" w14:textId="77777777" w:rsidR="00B8348C" w:rsidRPr="00F52884" w:rsidRDefault="00B8348C" w:rsidP="000C25A3">
            <w:pPr>
              <w:spacing w:before="60" w:after="6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58272E46"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6730D9FA" w14:textId="77777777" w:rsidR="00B8348C" w:rsidRPr="00F52884" w:rsidRDefault="00B8348C" w:rsidP="000C25A3">
            <w:pPr>
              <w:spacing w:before="60" w:after="60"/>
              <w:rPr>
                <w:rFonts w:eastAsia="Times New Roman" w:cstheme="minorHAnsi"/>
                <w:szCs w:val="23"/>
              </w:rPr>
            </w:pPr>
          </w:p>
        </w:tc>
      </w:tr>
    </w:tbl>
    <w:p w14:paraId="72272731" w14:textId="77777777" w:rsidR="00B8348C" w:rsidRPr="00F52884" w:rsidRDefault="00B8348C" w:rsidP="000C25A3">
      <w:pPr>
        <w:rPr>
          <w:rFonts w:eastAsia="Times New Roman" w:cstheme="minorHAnsi"/>
          <w:b/>
          <w:szCs w:val="23"/>
        </w:rPr>
      </w:pPr>
    </w:p>
    <w:p w14:paraId="631774FD" w14:textId="77777777" w:rsidR="00B8348C" w:rsidRPr="00F52884" w:rsidRDefault="00B8348C" w:rsidP="000C25A3">
      <w:pPr>
        <w:rPr>
          <w:rFonts w:eastAsia="Times New Roman" w:cstheme="minorHAnsi"/>
          <w:b/>
          <w:szCs w:val="23"/>
        </w:rPr>
      </w:pPr>
    </w:p>
    <w:p w14:paraId="15F00739" w14:textId="204690DF"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6.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1D5E5784"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451CC1B"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410FFCB4"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Sylviculture</w:t>
            </w:r>
          </w:p>
        </w:tc>
      </w:tr>
      <w:tr w:rsidR="00B8348C" w:rsidRPr="0068240F" w14:paraId="1157EADF"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4750196D" w14:textId="77777777" w:rsidR="00B8348C" w:rsidRPr="00F52884" w:rsidRDefault="00B8348C" w:rsidP="000C25A3">
            <w:pPr>
              <w:spacing w:before="60" w:after="60"/>
              <w:rPr>
                <w:rFonts w:cstheme="minorHAnsi"/>
                <w:szCs w:val="23"/>
              </w:rPr>
            </w:pPr>
            <w:r w:rsidRPr="00F52884">
              <w:rPr>
                <w:rFonts w:eastAsia="Times New Roman"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66EC4675" w14:textId="77777777" w:rsidR="00B8348C" w:rsidRPr="00F52884" w:rsidRDefault="00B8348C" w:rsidP="000C25A3">
            <w:pPr>
              <w:spacing w:before="60" w:after="60"/>
              <w:rPr>
                <w:rFonts w:cstheme="minorHAnsi"/>
                <w:szCs w:val="23"/>
                <w:lang w:val="fr-FR"/>
              </w:rPr>
            </w:pPr>
            <w:r w:rsidRPr="00F52884">
              <w:rPr>
                <w:rFonts w:eastAsia="Times New Roman" w:cstheme="minorHAnsi"/>
                <w:szCs w:val="23"/>
                <w:lang w:val="fr-CA"/>
              </w:rPr>
              <w:t>Sylviculture et produits de l’exploitation forestière; pâte à papier et carton; transformation des ressources forestières; services annexes à l’agriculture, à la chasse et à la sylviculture; fabrication de papier et de produits en papier, à forfait ou sous contrat</w:t>
            </w:r>
          </w:p>
        </w:tc>
      </w:tr>
      <w:tr w:rsidR="00B8348C" w:rsidRPr="0068240F" w14:paraId="2FB7F52D" w14:textId="77777777" w:rsidTr="001B12BD">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74DA23DB" w14:textId="77777777" w:rsidR="00B8348C" w:rsidRPr="00F52884" w:rsidRDefault="00B8348C" w:rsidP="000C25A3">
            <w:pPr>
              <w:spacing w:before="60" w:after="60"/>
              <w:ind w:right="-110"/>
              <w:rPr>
                <w:rFonts w:eastAsia="Times New Roman" w:cstheme="minorHAnsi"/>
                <w:szCs w:val="23"/>
              </w:rPr>
            </w:pPr>
            <w:r w:rsidRPr="00F52884">
              <w:rPr>
                <w:rFonts w:eastAsia="Times New Roman"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6F9E8742" w14:textId="77777777" w:rsidR="00B8348C" w:rsidRPr="00F52884" w:rsidRDefault="00B8348C" w:rsidP="000C25A3">
            <w:pPr>
              <w:spacing w:before="60" w:after="60"/>
              <w:ind w:right="-110"/>
              <w:rPr>
                <w:rFonts w:eastAsia="Times New Roman" w:cstheme="minorHAnsi"/>
                <w:szCs w:val="23"/>
                <w:lang w:val="fr-FR"/>
              </w:rPr>
            </w:pPr>
            <w:r w:rsidRPr="00F52884">
              <w:rPr>
                <w:rFonts w:eastAsia="Times New Roman" w:cstheme="minorHAnsi"/>
                <w:szCs w:val="23"/>
                <w:lang w:val="fr-CA"/>
              </w:rPr>
              <w:t>CPC 03, 321, 881 (sauf la location d’équipement agricole, avec opérateur, et 8814), 88430, 88441</w:t>
            </w:r>
          </w:p>
        </w:tc>
      </w:tr>
      <w:tr w:rsidR="00B8348C" w:rsidRPr="0068240F" w14:paraId="38AA519C" w14:textId="77777777" w:rsidTr="001B12BD">
        <w:trPr>
          <w:trHeight w:val="42"/>
          <w:jc w:val="center"/>
        </w:trPr>
        <w:tc>
          <w:tcPr>
            <w:tcW w:w="2520" w:type="dxa"/>
            <w:tcBorders>
              <w:top w:val="single" w:sz="4" w:space="0" w:color="C0C0C0"/>
              <w:left w:val="nil"/>
              <w:bottom w:val="single" w:sz="4" w:space="0" w:color="C0C0C0"/>
              <w:right w:val="nil"/>
            </w:tcBorders>
            <w:hideMark/>
          </w:tcPr>
          <w:p w14:paraId="3F457F1D" w14:textId="186B286A" w:rsidR="00B8348C" w:rsidRPr="00F52884" w:rsidDel="000E59A2" w:rsidRDefault="00B8348C" w:rsidP="000C25A3">
            <w:pPr>
              <w:spacing w:before="60" w:after="60"/>
              <w:ind w:left="2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682A451D" w14:textId="77777777" w:rsidR="00B8348C" w:rsidRPr="00F52884" w:rsidRDefault="00B8348C" w:rsidP="000C25A3">
            <w:pPr>
              <w:spacing w:before="60" w:after="60"/>
              <w:ind w:left="22"/>
              <w:rPr>
                <w:rFonts w:eastAsia="Times New Roman" w:cstheme="minorHAnsi"/>
                <w:szCs w:val="23"/>
                <w:lang w:val="fr-FR"/>
              </w:rPr>
            </w:pPr>
            <w:r w:rsidRPr="00F52884">
              <w:rPr>
                <w:rFonts w:cstheme="minorHAnsi"/>
                <w:szCs w:val="23"/>
                <w:lang w:val="fr-CA"/>
              </w:rPr>
              <w:t xml:space="preserve">Article 301 (Droit d’entrée et de sortie), article 307 (Accès aux marchés – Services), article 312 (Accès aux marchés – Investissement) </w:t>
            </w:r>
          </w:p>
        </w:tc>
      </w:tr>
      <w:tr w:rsidR="00B8348C" w:rsidRPr="00F52884" w14:paraId="0423EA7B"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7909B2F9"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6BD3A80D"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70E71313" w14:textId="77777777" w:rsidR="00B8348C" w:rsidRPr="00F52884" w:rsidRDefault="00B8348C" w:rsidP="000C25A3">
            <w:pPr>
              <w:spacing w:before="60" w:after="60"/>
              <w:rPr>
                <w:rFonts w:eastAsia="Arial" w:cstheme="minorHAnsi"/>
                <w:szCs w:val="23"/>
                <w:lang w:val="fr-FR"/>
              </w:rPr>
            </w:pPr>
            <w:r w:rsidRPr="00F52884">
              <w:rPr>
                <w:rFonts w:eastAsia="Times New Roman" w:cstheme="minorHAnsi"/>
                <w:szCs w:val="23"/>
                <w:lang w:val="fr-CA"/>
              </w:rPr>
              <w:t>Les Territoires du Nord-Ouest se réservent le droit d’adopter ou de maintenir toute mesure limitant l’accès aux marchés et le droit d’entrée et de sortie dans les sous-secteurs susmentionnés.</w:t>
            </w:r>
          </w:p>
        </w:tc>
      </w:tr>
      <w:tr w:rsidR="00B8348C" w:rsidRPr="00F52884" w14:paraId="68CA49FC"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1E2E725" w14:textId="77777777" w:rsidR="00B8348C" w:rsidRPr="00F52884" w:rsidRDefault="00B8348C" w:rsidP="000C25A3">
            <w:pPr>
              <w:spacing w:before="60" w:after="6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188FFE98"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338536B1" w14:textId="77777777" w:rsidR="00B8348C" w:rsidRPr="00F52884" w:rsidRDefault="00B8348C" w:rsidP="000C25A3">
            <w:pPr>
              <w:spacing w:before="60" w:after="60"/>
              <w:rPr>
                <w:rFonts w:eastAsia="Times New Roman" w:cstheme="minorHAnsi"/>
                <w:szCs w:val="23"/>
              </w:rPr>
            </w:pPr>
          </w:p>
        </w:tc>
      </w:tr>
    </w:tbl>
    <w:p w14:paraId="6726BBF9" w14:textId="77777777" w:rsidR="00B8348C" w:rsidRPr="00F52884" w:rsidRDefault="00B8348C" w:rsidP="000C25A3">
      <w:pPr>
        <w:rPr>
          <w:rFonts w:eastAsia="Times New Roman" w:cstheme="minorHAnsi"/>
          <w:b/>
          <w:szCs w:val="23"/>
        </w:rPr>
      </w:pPr>
    </w:p>
    <w:p w14:paraId="5406267C" w14:textId="77777777" w:rsidR="00B8348C" w:rsidRPr="00F52884" w:rsidRDefault="00B8348C" w:rsidP="000C25A3">
      <w:pPr>
        <w:rPr>
          <w:rFonts w:eastAsia="Times New Roman" w:cstheme="minorHAnsi"/>
          <w:b/>
          <w:szCs w:val="23"/>
        </w:rPr>
      </w:pPr>
    </w:p>
    <w:p w14:paraId="0AFF3386" w14:textId="4A749F40"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7.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386" w:type="dxa"/>
        <w:jc w:val="center"/>
        <w:tblCellMar>
          <w:top w:w="14" w:type="dxa"/>
          <w:left w:w="86" w:type="dxa"/>
          <w:bottom w:w="14" w:type="dxa"/>
          <w:right w:w="86" w:type="dxa"/>
        </w:tblCellMar>
        <w:tblLook w:val="04A0" w:firstRow="1" w:lastRow="0" w:firstColumn="1" w:lastColumn="0" w:noHBand="0" w:noVBand="1"/>
      </w:tblPr>
      <w:tblGrid>
        <w:gridCol w:w="2610"/>
        <w:gridCol w:w="7776"/>
      </w:tblGrid>
      <w:tr w:rsidR="00B8348C" w:rsidRPr="00F52884" w14:paraId="2B909AB1" w14:textId="77777777" w:rsidTr="001B12BD">
        <w:trPr>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7B68524D"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tcBorders>
              <w:top w:val="single" w:sz="4" w:space="0" w:color="C0C0C0"/>
              <w:left w:val="nil"/>
              <w:bottom w:val="single" w:sz="4" w:space="0" w:color="C0C0C0"/>
              <w:right w:val="single" w:sz="4" w:space="0" w:color="FFFFFF"/>
            </w:tcBorders>
            <w:vAlign w:val="center"/>
          </w:tcPr>
          <w:p w14:paraId="6C2A3DC5"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Tous les secteurs</w:t>
            </w:r>
          </w:p>
        </w:tc>
      </w:tr>
      <w:tr w:rsidR="00B8348C" w:rsidRPr="00F52884" w14:paraId="7B4C00FE" w14:textId="77777777" w:rsidTr="001B12BD">
        <w:trPr>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658B2FF8"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Sous-secteur : </w:t>
            </w:r>
          </w:p>
        </w:tc>
        <w:tc>
          <w:tcPr>
            <w:tcW w:w="7776" w:type="dxa"/>
            <w:tcBorders>
              <w:top w:val="single" w:sz="4" w:space="0" w:color="C0C0C0"/>
              <w:left w:val="nil"/>
              <w:bottom w:val="single" w:sz="4" w:space="0" w:color="C0C0C0"/>
              <w:right w:val="single" w:sz="4" w:space="0" w:color="FFFFFF"/>
            </w:tcBorders>
            <w:vAlign w:val="center"/>
          </w:tcPr>
          <w:p w14:paraId="27BC3BB9"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Tous les sous-secteurs</w:t>
            </w:r>
          </w:p>
        </w:tc>
      </w:tr>
      <w:tr w:rsidR="00B8348C" w:rsidRPr="0068240F" w14:paraId="31FA42FF" w14:textId="77777777" w:rsidTr="001B12BD">
        <w:trPr>
          <w:trHeight w:val="42"/>
          <w:jc w:val="center"/>
        </w:trPr>
        <w:tc>
          <w:tcPr>
            <w:tcW w:w="2610" w:type="dxa"/>
            <w:tcBorders>
              <w:top w:val="single" w:sz="4" w:space="0" w:color="C0C0C0"/>
              <w:left w:val="nil"/>
              <w:bottom w:val="single" w:sz="4" w:space="0" w:color="C0C0C0"/>
              <w:right w:val="nil"/>
            </w:tcBorders>
            <w:hideMark/>
          </w:tcPr>
          <w:p w14:paraId="2DCF19D8" w14:textId="61FA2ED7" w:rsidR="00B8348C" w:rsidRPr="00F52884" w:rsidRDefault="00B8348C" w:rsidP="000C25A3">
            <w:pPr>
              <w:spacing w:before="60" w:after="60"/>
              <w:ind w:left="432" w:hanging="43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tcBorders>
              <w:top w:val="single" w:sz="4" w:space="0" w:color="C0C0C0"/>
              <w:left w:val="nil"/>
              <w:bottom w:val="single" w:sz="4" w:space="0" w:color="C0C0C0"/>
              <w:right w:val="nil"/>
            </w:tcBorders>
          </w:tcPr>
          <w:p w14:paraId="7D1F39D3" w14:textId="77777777" w:rsidR="00B8348C" w:rsidRPr="00F52884" w:rsidRDefault="00B8348C" w:rsidP="001B12BD">
            <w:pPr>
              <w:spacing w:before="60" w:after="60"/>
              <w:rPr>
                <w:rFonts w:eastAsia="Times New Roman" w:cstheme="minorHAnsi"/>
                <w:szCs w:val="23"/>
                <w:lang w:val="fr-FR"/>
              </w:rPr>
            </w:pPr>
            <w:r w:rsidRPr="00F52884">
              <w:rPr>
                <w:rFonts w:eastAsia="Times New Roman" w:cstheme="minorHAnsi"/>
                <w:szCs w:val="23"/>
                <w:lang w:val="fr-CA"/>
              </w:rPr>
              <w:t>Toutes les obligations en vertu du présent accord, sauf l’article 203 (Transparence)</w:t>
            </w:r>
          </w:p>
        </w:tc>
      </w:tr>
      <w:tr w:rsidR="00B8348C" w:rsidRPr="00F52884" w14:paraId="4ED0C12A" w14:textId="77777777" w:rsidTr="001B12BD">
        <w:trPr>
          <w:trHeight w:val="42"/>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68E9077A"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45911700"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tcPr>
          <w:p w14:paraId="398F4D09" w14:textId="55E3E11F"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lastRenderedPageBreak/>
              <w:t xml:space="preserve">Nonobstant l’article 203 (Transparence), une mesure incompatible avec le présent accord peut être adoptée ou maintenue afin de faire face aux circonstances uniques causées par les conditions climatiques extrêmes, l’isolement géographique et les facteurs socioéconomiques touchant les collectivités les moins développées des Territoires du Nord-Ouest; </w:t>
            </w:r>
          </w:p>
          <w:p w14:paraId="498B37DF" w14:textId="77777777" w:rsidR="00B8348C" w:rsidRPr="00F52884" w:rsidRDefault="00B8348C" w:rsidP="000C25A3">
            <w:pPr>
              <w:spacing w:before="120" w:after="120"/>
              <w:rPr>
                <w:rFonts w:eastAsia="Arial" w:cstheme="minorHAnsi"/>
                <w:bCs/>
                <w:szCs w:val="23"/>
                <w:lang w:val="fr-FR"/>
              </w:rPr>
            </w:pPr>
            <w:r w:rsidRPr="00F52884">
              <w:rPr>
                <w:rFonts w:eastAsia="Arial" w:cstheme="minorHAnsi"/>
                <w:szCs w:val="23"/>
                <w:lang w:val="fr-CA"/>
              </w:rPr>
              <w:t>Une collectivité fait partie des « collectivités les moins développées » si :</w:t>
            </w:r>
          </w:p>
          <w:p w14:paraId="7CEB4B89" w14:textId="77777777" w:rsidR="00B8348C" w:rsidRPr="00F52884" w:rsidRDefault="00B8348C" w:rsidP="00B8348C">
            <w:pPr>
              <w:numPr>
                <w:ilvl w:val="0"/>
                <w:numId w:val="146"/>
              </w:numPr>
              <w:spacing w:before="120" w:after="120"/>
              <w:ind w:left="906" w:hanging="540"/>
              <w:rPr>
                <w:rFonts w:eastAsia="Calibri" w:cstheme="minorHAnsi"/>
                <w:bCs/>
                <w:szCs w:val="23"/>
                <w:lang w:val="fr-FR"/>
              </w:rPr>
            </w:pPr>
            <w:proofErr w:type="gramStart"/>
            <w:r w:rsidRPr="00F52884">
              <w:rPr>
                <w:rFonts w:eastAsia="Calibri" w:cstheme="minorHAnsi"/>
                <w:szCs w:val="23"/>
                <w:lang w:val="fr-CA"/>
              </w:rPr>
              <w:t>elle</w:t>
            </w:r>
            <w:proofErr w:type="gramEnd"/>
            <w:r w:rsidRPr="00F52884">
              <w:rPr>
                <w:rFonts w:eastAsia="Calibri" w:cstheme="minorHAnsi"/>
                <w:szCs w:val="23"/>
                <w:lang w:val="fr-CA"/>
              </w:rPr>
              <w:t xml:space="preserve"> se situe à plus de 500 km de la frontière d’une région métropolitaine de recensement et à plus de 50 km de la frontière d’une agglomération de recensement tels que ces termes sont définis par Statistique Canada;</w:t>
            </w:r>
          </w:p>
          <w:p w14:paraId="69BDCBB1" w14:textId="08C5DC13" w:rsidR="00B8348C" w:rsidRPr="00B04E29" w:rsidRDefault="00B8348C" w:rsidP="00B8348C">
            <w:pPr>
              <w:numPr>
                <w:ilvl w:val="0"/>
                <w:numId w:val="146"/>
              </w:numPr>
              <w:spacing w:before="120" w:after="120"/>
              <w:ind w:left="906" w:hanging="540"/>
              <w:rPr>
                <w:rFonts w:eastAsia="Calibri" w:cstheme="minorHAnsi"/>
                <w:bCs/>
                <w:szCs w:val="23"/>
                <w:lang w:val="fr-CA"/>
              </w:rPr>
            </w:pPr>
            <w:proofErr w:type="gramStart"/>
            <w:r w:rsidRPr="00F52884">
              <w:rPr>
                <w:rFonts w:eastAsia="Calibri" w:cstheme="minorHAnsi"/>
                <w:szCs w:val="23"/>
                <w:lang w:val="fr-CA"/>
              </w:rPr>
              <w:t>elle</w:t>
            </w:r>
            <w:proofErr w:type="gramEnd"/>
            <w:r w:rsidRPr="00F52884">
              <w:rPr>
                <w:rFonts w:eastAsia="Calibri" w:cstheme="minorHAnsi"/>
                <w:szCs w:val="23"/>
                <w:lang w:val="fr-CA"/>
              </w:rPr>
              <w:t xml:space="preserve"> ne dispose pas</w:t>
            </w:r>
            <w:r w:rsidR="00D1446B" w:rsidRPr="00F52884">
              <w:rPr>
                <w:rFonts w:eastAsia="Calibri" w:cstheme="minorHAnsi"/>
                <w:szCs w:val="23"/>
                <w:lang w:val="fr-CA"/>
              </w:rPr>
              <w:t>, selon le cas</w:t>
            </w:r>
            <w:r w:rsidRPr="00F52884">
              <w:rPr>
                <w:rFonts w:eastAsia="Calibri" w:cstheme="minorHAnsi"/>
                <w:szCs w:val="23"/>
                <w:lang w:val="fr-CA"/>
              </w:rPr>
              <w:t> :</w:t>
            </w:r>
          </w:p>
          <w:p w14:paraId="313C2822" w14:textId="77777777" w:rsidR="00B8348C" w:rsidRPr="00F52884" w:rsidRDefault="00B8348C" w:rsidP="000C25A3">
            <w:pPr>
              <w:spacing w:before="120" w:after="120"/>
              <w:ind w:left="1446" w:hanging="540"/>
              <w:rPr>
                <w:rFonts w:eastAsia="Calibri" w:cstheme="minorHAnsi"/>
                <w:bCs/>
                <w:szCs w:val="23"/>
                <w:lang w:val="fr-FR"/>
              </w:rPr>
            </w:pPr>
            <w:r w:rsidRPr="00F52884">
              <w:rPr>
                <w:rFonts w:eastAsia="Calibri" w:cstheme="minorHAnsi"/>
                <w:szCs w:val="23"/>
                <w:lang w:val="fr-CA"/>
              </w:rPr>
              <w:t xml:space="preserve">(i) </w:t>
            </w:r>
            <w:r w:rsidRPr="00F52884">
              <w:rPr>
                <w:rFonts w:eastAsia="Calibri" w:cstheme="minorHAnsi"/>
                <w:szCs w:val="23"/>
                <w:lang w:val="fr-CA"/>
              </w:rPr>
              <w:tab/>
              <w:t>d’accès par route en asphalte et en béton pendant plus de six mois par année;</w:t>
            </w:r>
          </w:p>
          <w:p w14:paraId="6BDC6A3A" w14:textId="77777777" w:rsidR="00B8348C" w:rsidRPr="00F52884" w:rsidRDefault="00B8348C" w:rsidP="000C25A3">
            <w:pPr>
              <w:spacing w:before="120" w:after="120"/>
              <w:ind w:left="1446" w:hanging="540"/>
              <w:rPr>
                <w:rFonts w:eastAsia="Calibri" w:cstheme="minorHAnsi"/>
                <w:bCs/>
                <w:szCs w:val="23"/>
                <w:lang w:val="fr-FR"/>
              </w:rPr>
            </w:pPr>
            <w:r w:rsidRPr="00F52884">
              <w:rPr>
                <w:rFonts w:eastAsia="Calibri" w:cstheme="minorHAnsi"/>
                <w:szCs w:val="23"/>
                <w:lang w:val="fr-CA"/>
              </w:rPr>
              <w:t xml:space="preserve">(ii) </w:t>
            </w:r>
            <w:r w:rsidRPr="00F52884">
              <w:rPr>
                <w:rFonts w:eastAsia="Calibri" w:cstheme="minorHAnsi"/>
                <w:szCs w:val="23"/>
                <w:lang w:val="fr-CA"/>
              </w:rPr>
              <w:tab/>
              <w:t>de port en eau profonde;</w:t>
            </w:r>
          </w:p>
          <w:p w14:paraId="01E43706" w14:textId="77777777" w:rsidR="00B8348C" w:rsidRPr="00F52884" w:rsidRDefault="00B8348C" w:rsidP="000C25A3">
            <w:pPr>
              <w:spacing w:before="120" w:after="120"/>
              <w:ind w:left="1446" w:hanging="540"/>
              <w:rPr>
                <w:rFonts w:eastAsia="Calibri" w:cstheme="minorHAnsi"/>
                <w:bCs/>
                <w:szCs w:val="23"/>
              </w:rPr>
            </w:pPr>
            <w:r w:rsidRPr="00F52884">
              <w:rPr>
                <w:rFonts w:eastAsia="Calibri" w:cstheme="minorHAnsi"/>
                <w:szCs w:val="23"/>
                <w:lang w:val="fr-CA"/>
              </w:rPr>
              <w:t xml:space="preserve">(iii) </w:t>
            </w:r>
            <w:r w:rsidRPr="00F52884">
              <w:rPr>
                <w:rFonts w:eastAsia="Calibri" w:cstheme="minorHAnsi"/>
                <w:szCs w:val="23"/>
                <w:lang w:val="fr-CA"/>
              </w:rPr>
              <w:tab/>
              <w:t>d’accès ferroviaire;</w:t>
            </w:r>
          </w:p>
          <w:p w14:paraId="2B1F8FB6" w14:textId="77777777" w:rsidR="00B8348C" w:rsidRPr="00F52884" w:rsidRDefault="00B8348C" w:rsidP="00B8348C">
            <w:pPr>
              <w:numPr>
                <w:ilvl w:val="0"/>
                <w:numId w:val="146"/>
              </w:numPr>
              <w:spacing w:before="120" w:after="120"/>
              <w:ind w:left="906" w:hanging="540"/>
              <w:rPr>
                <w:rFonts w:eastAsia="Calibri" w:cstheme="minorHAnsi"/>
                <w:bCs/>
                <w:szCs w:val="23"/>
                <w:lang w:val="fr-FR"/>
              </w:rPr>
            </w:pPr>
            <w:proofErr w:type="gramStart"/>
            <w:r w:rsidRPr="00F52884">
              <w:rPr>
                <w:rFonts w:eastAsia="Calibri" w:cstheme="minorHAnsi"/>
                <w:szCs w:val="23"/>
                <w:lang w:val="fr-CA"/>
              </w:rPr>
              <w:t>sa</w:t>
            </w:r>
            <w:proofErr w:type="gramEnd"/>
            <w:r w:rsidRPr="00F52884">
              <w:rPr>
                <w:rFonts w:eastAsia="Calibri" w:cstheme="minorHAnsi"/>
                <w:szCs w:val="23"/>
                <w:lang w:val="fr-CA"/>
              </w:rPr>
              <w:t xml:space="preserve"> population est inférieure à 5 000 habitants;</w:t>
            </w:r>
          </w:p>
          <w:p w14:paraId="74D90B3D" w14:textId="22403522" w:rsidR="00B8348C" w:rsidRPr="00F52884" w:rsidRDefault="00B8348C" w:rsidP="00B8348C">
            <w:pPr>
              <w:numPr>
                <w:ilvl w:val="0"/>
                <w:numId w:val="146"/>
              </w:numPr>
              <w:spacing w:before="120" w:after="120"/>
              <w:ind w:left="906" w:hanging="540"/>
              <w:rPr>
                <w:rFonts w:eastAsia="Calibri" w:cstheme="minorHAnsi"/>
                <w:szCs w:val="23"/>
                <w:lang w:val="fr-FR"/>
              </w:rPr>
            </w:pPr>
            <w:proofErr w:type="gramStart"/>
            <w:r w:rsidRPr="00F52884">
              <w:rPr>
                <w:rFonts w:eastAsia="Calibri" w:cstheme="minorHAnsi"/>
                <w:szCs w:val="23"/>
                <w:lang w:val="fr-CA"/>
              </w:rPr>
              <w:t>son</w:t>
            </w:r>
            <w:proofErr w:type="gramEnd"/>
            <w:r w:rsidRPr="00F52884">
              <w:rPr>
                <w:rFonts w:eastAsia="Calibri" w:cstheme="minorHAnsi"/>
                <w:szCs w:val="23"/>
                <w:lang w:val="fr-CA"/>
              </w:rPr>
              <w:t xml:space="preserve"> taux de chômage est supérieur à 10 pour cent.</w:t>
            </w:r>
          </w:p>
        </w:tc>
      </w:tr>
      <w:tr w:rsidR="00B8348C" w:rsidRPr="00F52884" w14:paraId="3BEB79AD"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A2C2DF2" w14:textId="77777777" w:rsidR="00B8348C" w:rsidRPr="00F52884" w:rsidRDefault="00B8348C" w:rsidP="000C25A3">
            <w:pPr>
              <w:spacing w:before="120" w:after="120"/>
              <w:rPr>
                <w:rFonts w:eastAsia="Arial" w:cstheme="minorHAnsi"/>
                <w:b/>
                <w:szCs w:val="23"/>
              </w:rPr>
            </w:pPr>
            <w:r w:rsidRPr="00F52884">
              <w:rPr>
                <w:rFonts w:eastAsia="Arial" w:cstheme="minorHAnsi"/>
                <w:b/>
                <w:bCs/>
                <w:szCs w:val="23"/>
                <w:lang w:val="fr-CA"/>
              </w:rPr>
              <w:t xml:space="preserve">Toute mesure existante : </w:t>
            </w:r>
          </w:p>
        </w:tc>
      </w:tr>
      <w:tr w:rsidR="00B8348C" w:rsidRPr="00F52884" w14:paraId="641A6925"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auto"/>
          </w:tcPr>
          <w:p w14:paraId="53A7B6BE" w14:textId="77777777" w:rsidR="00B8348C" w:rsidRPr="00F52884" w:rsidRDefault="00B8348C" w:rsidP="000C25A3">
            <w:pPr>
              <w:spacing w:before="120" w:after="120"/>
              <w:rPr>
                <w:rFonts w:eastAsia="Arial" w:cstheme="minorHAnsi"/>
                <w:szCs w:val="23"/>
              </w:rPr>
            </w:pPr>
          </w:p>
        </w:tc>
      </w:tr>
    </w:tbl>
    <w:p w14:paraId="64408D47" w14:textId="77777777" w:rsidR="00B8348C" w:rsidRPr="00F52884" w:rsidRDefault="00B8348C" w:rsidP="000C25A3">
      <w:pPr>
        <w:rPr>
          <w:rFonts w:eastAsia="Times New Roman" w:cstheme="minorHAnsi"/>
          <w:b/>
          <w:szCs w:val="23"/>
        </w:rPr>
      </w:pPr>
    </w:p>
    <w:p w14:paraId="1B78B8A8" w14:textId="77777777" w:rsidR="00B8348C" w:rsidRPr="00F52884" w:rsidRDefault="00B8348C" w:rsidP="000C25A3">
      <w:pPr>
        <w:rPr>
          <w:rFonts w:eastAsia="Times New Roman" w:cstheme="minorHAnsi"/>
          <w:b/>
          <w:szCs w:val="23"/>
        </w:rPr>
      </w:pPr>
    </w:p>
    <w:p w14:paraId="0150D309" w14:textId="2FBAC687"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8.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386" w:type="dxa"/>
        <w:jc w:val="center"/>
        <w:tblCellMar>
          <w:top w:w="14" w:type="dxa"/>
          <w:left w:w="86" w:type="dxa"/>
          <w:bottom w:w="14" w:type="dxa"/>
          <w:right w:w="86" w:type="dxa"/>
        </w:tblCellMar>
        <w:tblLook w:val="04A0" w:firstRow="1" w:lastRow="0" w:firstColumn="1" w:lastColumn="0" w:noHBand="0" w:noVBand="1"/>
      </w:tblPr>
      <w:tblGrid>
        <w:gridCol w:w="2700"/>
        <w:gridCol w:w="7686"/>
      </w:tblGrid>
      <w:tr w:rsidR="00B8348C" w:rsidRPr="00F52884" w14:paraId="2793596C" w14:textId="77777777" w:rsidTr="001B12BD">
        <w:trPr>
          <w:trHeight w:val="42"/>
          <w:jc w:val="center"/>
        </w:trPr>
        <w:tc>
          <w:tcPr>
            <w:tcW w:w="2700" w:type="dxa"/>
            <w:tcBorders>
              <w:top w:val="single" w:sz="4" w:space="0" w:color="C0C0C0"/>
              <w:left w:val="nil"/>
              <w:bottom w:val="single" w:sz="4" w:space="0" w:color="C0C0C0"/>
              <w:right w:val="single" w:sz="4" w:space="0" w:color="FFFFFF"/>
            </w:tcBorders>
            <w:vAlign w:val="center"/>
            <w:hideMark/>
          </w:tcPr>
          <w:p w14:paraId="14BCB71F"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686" w:type="dxa"/>
            <w:tcBorders>
              <w:top w:val="single" w:sz="4" w:space="0" w:color="C0C0C0"/>
              <w:left w:val="nil"/>
              <w:bottom w:val="single" w:sz="4" w:space="0" w:color="C0C0C0"/>
              <w:right w:val="single" w:sz="4" w:space="0" w:color="FFFFFF"/>
            </w:tcBorders>
            <w:vAlign w:val="center"/>
          </w:tcPr>
          <w:p w14:paraId="26C9D23E"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Tous les secteurs</w:t>
            </w:r>
          </w:p>
        </w:tc>
      </w:tr>
      <w:tr w:rsidR="00B8348C" w:rsidRPr="00F52884" w14:paraId="431C7AB5" w14:textId="77777777" w:rsidTr="001B12BD">
        <w:trPr>
          <w:trHeight w:val="42"/>
          <w:jc w:val="center"/>
        </w:trPr>
        <w:tc>
          <w:tcPr>
            <w:tcW w:w="2700" w:type="dxa"/>
            <w:tcBorders>
              <w:top w:val="single" w:sz="4" w:space="0" w:color="C0C0C0"/>
              <w:left w:val="nil"/>
              <w:bottom w:val="single" w:sz="4" w:space="0" w:color="C0C0C0"/>
              <w:right w:val="single" w:sz="4" w:space="0" w:color="FFFFFF"/>
            </w:tcBorders>
            <w:vAlign w:val="center"/>
            <w:hideMark/>
          </w:tcPr>
          <w:p w14:paraId="5ADA4B9A"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Sous-secteur : </w:t>
            </w:r>
          </w:p>
        </w:tc>
        <w:tc>
          <w:tcPr>
            <w:tcW w:w="7686" w:type="dxa"/>
            <w:tcBorders>
              <w:top w:val="single" w:sz="4" w:space="0" w:color="C0C0C0"/>
              <w:left w:val="nil"/>
              <w:bottom w:val="single" w:sz="4" w:space="0" w:color="C0C0C0"/>
              <w:right w:val="single" w:sz="4" w:space="0" w:color="FFFFFF"/>
            </w:tcBorders>
            <w:vAlign w:val="center"/>
          </w:tcPr>
          <w:p w14:paraId="03934075"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Tous les sous-secteurs</w:t>
            </w:r>
          </w:p>
        </w:tc>
      </w:tr>
      <w:tr w:rsidR="00B8348C" w:rsidRPr="0068240F" w14:paraId="22676C0F" w14:textId="77777777" w:rsidTr="001B12BD">
        <w:trPr>
          <w:trHeight w:val="42"/>
          <w:jc w:val="center"/>
        </w:trPr>
        <w:tc>
          <w:tcPr>
            <w:tcW w:w="2700" w:type="dxa"/>
            <w:tcBorders>
              <w:top w:val="single" w:sz="4" w:space="0" w:color="C0C0C0"/>
              <w:left w:val="nil"/>
              <w:bottom w:val="single" w:sz="4" w:space="0" w:color="C0C0C0"/>
              <w:right w:val="nil"/>
            </w:tcBorders>
            <w:hideMark/>
          </w:tcPr>
          <w:p w14:paraId="369C400E" w14:textId="14432F26" w:rsidR="00B8348C" w:rsidRPr="00F52884" w:rsidRDefault="00B8348C" w:rsidP="000C25A3">
            <w:pPr>
              <w:spacing w:before="60" w:after="60"/>
              <w:ind w:firstLine="22"/>
              <w:rPr>
                <w:rFonts w:eastAsia="Times New Roman" w:cstheme="minorHAnsi"/>
                <w:szCs w:val="23"/>
              </w:rPr>
            </w:pPr>
            <w:r w:rsidRPr="00F52884">
              <w:rPr>
                <w:rFonts w:eastAsia="Times New Roman" w:cstheme="minorHAnsi"/>
                <w:b/>
                <w:bCs/>
                <w:szCs w:val="23"/>
                <w:lang w:val="fr-CA"/>
              </w:rPr>
              <w:t xml:space="preserve">Type d’exception : </w:t>
            </w:r>
          </w:p>
        </w:tc>
        <w:tc>
          <w:tcPr>
            <w:tcW w:w="7686" w:type="dxa"/>
            <w:tcBorders>
              <w:top w:val="single" w:sz="4" w:space="0" w:color="C0C0C0"/>
              <w:left w:val="nil"/>
              <w:bottom w:val="single" w:sz="4" w:space="0" w:color="C0C0C0"/>
              <w:right w:val="nil"/>
            </w:tcBorders>
          </w:tcPr>
          <w:p w14:paraId="23522BCF" w14:textId="3F179540" w:rsidR="00B8348C" w:rsidRPr="00F52884" w:rsidRDefault="00B8348C" w:rsidP="00B8348C">
            <w:pPr>
              <w:spacing w:before="60" w:after="60"/>
              <w:ind w:firstLine="22"/>
              <w:rPr>
                <w:rFonts w:eastAsia="Times New Roman" w:cstheme="minorHAnsi"/>
                <w:szCs w:val="23"/>
                <w:lang w:val="fr-FR"/>
              </w:rPr>
            </w:pPr>
            <w:r w:rsidRPr="00F52884">
              <w:rPr>
                <w:rFonts w:cstheme="minorHAnsi"/>
                <w:szCs w:val="23"/>
                <w:lang w:val="fr-CA"/>
              </w:rPr>
              <w:t>Toutes les obligations du présent accord, sauf l’article 203 (Transparence), l’article 307 (Accès aux marchés – Services), l’article 308 (Prescriptions et procédures relatives à l’octroi de licences et aux qualifications), l’article 312 (Accès aux marchés – Investissement), l’article 320 (Stimulants interdits), le chapitre Cinq (Marchés publics), le chapitre Six (Protection de l’environnement), l’alinéa 704(1)b) (Exigences en matière de résidence), l’article 705 (Reconnaissance professionnelle des travailleurs).</w:t>
            </w:r>
          </w:p>
        </w:tc>
      </w:tr>
      <w:tr w:rsidR="00B8348C" w:rsidRPr="00F52884" w14:paraId="1A969EF8" w14:textId="77777777" w:rsidTr="001B12BD">
        <w:trPr>
          <w:trHeight w:val="42"/>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74A93657"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12625F26"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tcPr>
          <w:p w14:paraId="1F5D5135" w14:textId="77777777" w:rsidR="00B8348C" w:rsidRPr="00F52884" w:rsidRDefault="00B8348C" w:rsidP="000C25A3">
            <w:pPr>
              <w:spacing w:before="120" w:after="120"/>
              <w:rPr>
                <w:rFonts w:eastAsia="Times New Roman" w:cstheme="minorHAnsi"/>
                <w:bCs/>
                <w:szCs w:val="23"/>
                <w:lang w:val="fr-FR"/>
              </w:rPr>
            </w:pPr>
            <w:r w:rsidRPr="00F52884">
              <w:rPr>
                <w:rFonts w:eastAsia="Times New Roman" w:cstheme="minorHAnsi"/>
                <w:szCs w:val="23"/>
                <w:lang w:val="fr-CA"/>
              </w:rPr>
              <w:t xml:space="preserve">Le présent accord ne s’applique pas aux mesures de développement économique et régional ayant pour but d’encourager la création d’emplois, la croissance économique ou la compétitivité industrielle ou de réduire les disparités économiques. </w:t>
            </w:r>
          </w:p>
          <w:p w14:paraId="5A01322C" w14:textId="77777777" w:rsidR="00B8348C" w:rsidRPr="00F52884" w:rsidRDefault="00B8348C" w:rsidP="000C25A3">
            <w:pPr>
              <w:spacing w:before="120" w:after="120"/>
              <w:rPr>
                <w:rFonts w:eastAsia="Times New Roman" w:cstheme="minorHAnsi"/>
                <w:bCs/>
                <w:szCs w:val="23"/>
                <w:lang w:val="fr-FR"/>
              </w:rPr>
            </w:pPr>
            <w:r w:rsidRPr="00F52884">
              <w:rPr>
                <w:rFonts w:eastAsia="Times New Roman" w:cstheme="minorHAnsi"/>
                <w:szCs w:val="23"/>
                <w:lang w:val="fr-CA"/>
              </w:rPr>
              <w:t>Les mesures de développement économique et régional qui procurent des avantages doivent :</w:t>
            </w:r>
          </w:p>
          <w:p w14:paraId="7AEEAC9B" w14:textId="77777777" w:rsidR="00B8348C" w:rsidRPr="00F52884" w:rsidRDefault="00B8348C" w:rsidP="00B8348C">
            <w:pPr>
              <w:numPr>
                <w:ilvl w:val="0"/>
                <w:numId w:val="147"/>
              </w:numPr>
              <w:spacing w:before="120" w:after="120"/>
              <w:ind w:left="906" w:hanging="540"/>
              <w:rPr>
                <w:rFonts w:eastAsia="Calibri" w:cstheme="minorHAnsi"/>
                <w:bCs/>
                <w:szCs w:val="23"/>
                <w:lang w:val="fr-FR"/>
              </w:rPr>
            </w:pPr>
            <w:proofErr w:type="gramStart"/>
            <w:r w:rsidRPr="00F52884">
              <w:rPr>
                <w:rFonts w:eastAsia="Calibri" w:cstheme="minorHAnsi"/>
                <w:szCs w:val="23"/>
                <w:lang w:val="fr-CA"/>
              </w:rPr>
              <w:t>être</w:t>
            </w:r>
            <w:proofErr w:type="gramEnd"/>
            <w:r w:rsidRPr="00F52884">
              <w:rPr>
                <w:rFonts w:eastAsia="Calibri" w:cstheme="minorHAnsi"/>
                <w:szCs w:val="23"/>
                <w:lang w:val="fr-CA"/>
              </w:rPr>
              <w:t xml:space="preserve"> désignées comme des programmes de développement économique et régional;</w:t>
            </w:r>
          </w:p>
          <w:p w14:paraId="3160A25B" w14:textId="77777777" w:rsidR="00B8348C" w:rsidRPr="00F52884" w:rsidRDefault="00B8348C" w:rsidP="00B8348C">
            <w:pPr>
              <w:numPr>
                <w:ilvl w:val="0"/>
                <w:numId w:val="147"/>
              </w:numPr>
              <w:spacing w:before="120" w:after="120"/>
              <w:ind w:left="906" w:hanging="540"/>
              <w:rPr>
                <w:rFonts w:eastAsia="Calibri" w:cstheme="minorHAnsi"/>
                <w:bCs/>
                <w:szCs w:val="23"/>
                <w:lang w:val="fr-FR"/>
              </w:rPr>
            </w:pPr>
            <w:proofErr w:type="gramStart"/>
            <w:r w:rsidRPr="00F52884">
              <w:rPr>
                <w:rFonts w:eastAsia="Calibri" w:cstheme="minorHAnsi"/>
                <w:szCs w:val="23"/>
                <w:lang w:val="fr-CA"/>
              </w:rPr>
              <w:lastRenderedPageBreak/>
              <w:t>comporter</w:t>
            </w:r>
            <w:proofErr w:type="gramEnd"/>
            <w:r w:rsidRPr="00F52884">
              <w:rPr>
                <w:rFonts w:eastAsia="Calibri" w:cstheme="minorHAnsi"/>
                <w:szCs w:val="23"/>
                <w:lang w:val="fr-CA"/>
              </w:rPr>
              <w:t xml:space="preserve"> des critères d’admissibilité ou des priorités en matière de développement fondés notamment sur des facteurs tels que la région géographique, le secteur industriel ou le groupe démographique; </w:t>
            </w:r>
          </w:p>
          <w:p w14:paraId="63415433" w14:textId="77777777" w:rsidR="00B8348C" w:rsidRPr="00F52884" w:rsidRDefault="00B8348C" w:rsidP="00B8348C">
            <w:pPr>
              <w:numPr>
                <w:ilvl w:val="0"/>
                <w:numId w:val="147"/>
              </w:numPr>
              <w:spacing w:before="120" w:after="120"/>
              <w:ind w:left="906" w:hanging="540"/>
              <w:rPr>
                <w:rFonts w:eastAsia="Calibri" w:cstheme="minorHAnsi"/>
                <w:bCs/>
                <w:szCs w:val="23"/>
                <w:lang w:val="fr-FR"/>
              </w:rPr>
            </w:pPr>
            <w:proofErr w:type="gramStart"/>
            <w:r w:rsidRPr="00F52884">
              <w:rPr>
                <w:rFonts w:eastAsia="Calibri" w:cstheme="minorHAnsi"/>
                <w:szCs w:val="23"/>
                <w:lang w:val="fr-CA"/>
              </w:rPr>
              <w:t>être</w:t>
            </w:r>
            <w:proofErr w:type="gramEnd"/>
            <w:r w:rsidRPr="00F52884">
              <w:rPr>
                <w:rFonts w:eastAsia="Calibri" w:cstheme="minorHAnsi"/>
                <w:szCs w:val="23"/>
                <w:lang w:val="fr-CA"/>
              </w:rPr>
              <w:t xml:space="preserve"> ouverts de façon générale aux bénéficiaires répondant aux critères d’admissibilité;</w:t>
            </w:r>
          </w:p>
          <w:p w14:paraId="5C480BE1" w14:textId="77777777" w:rsidR="00B8348C" w:rsidRPr="00F52884" w:rsidRDefault="00B8348C" w:rsidP="00B8348C">
            <w:pPr>
              <w:numPr>
                <w:ilvl w:val="0"/>
                <w:numId w:val="147"/>
              </w:numPr>
              <w:spacing w:before="120" w:after="120"/>
              <w:ind w:left="906" w:hanging="540"/>
              <w:rPr>
                <w:rFonts w:eastAsia="Calibri" w:cstheme="minorHAnsi"/>
                <w:bCs/>
                <w:szCs w:val="23"/>
                <w:lang w:val="fr-FR"/>
              </w:rPr>
            </w:pPr>
            <w:proofErr w:type="gramStart"/>
            <w:r w:rsidRPr="00F52884">
              <w:rPr>
                <w:rFonts w:eastAsia="Calibri" w:cstheme="minorHAnsi"/>
                <w:szCs w:val="23"/>
                <w:lang w:val="fr-CA"/>
              </w:rPr>
              <w:t>énoncer</w:t>
            </w:r>
            <w:proofErr w:type="gramEnd"/>
            <w:r w:rsidRPr="00F52884">
              <w:rPr>
                <w:rFonts w:eastAsia="Calibri" w:cstheme="minorHAnsi"/>
                <w:szCs w:val="23"/>
                <w:lang w:val="fr-CA"/>
              </w:rPr>
              <w:t xml:space="preserve"> des objectifs mesurables de rendement ou de développement économique.</w:t>
            </w:r>
          </w:p>
          <w:p w14:paraId="52FCB165" w14:textId="657F42A5" w:rsidR="00B8348C" w:rsidRPr="00F52884" w:rsidRDefault="00B8348C" w:rsidP="000C25A3">
            <w:pPr>
              <w:spacing w:before="120" w:after="120"/>
              <w:rPr>
                <w:rFonts w:eastAsia="Times New Roman" w:cstheme="minorHAnsi"/>
                <w:bCs/>
                <w:szCs w:val="23"/>
                <w:lang w:val="fr-FR"/>
              </w:rPr>
            </w:pPr>
            <w:r w:rsidRPr="00F52884">
              <w:rPr>
                <w:rFonts w:eastAsia="Times New Roman" w:cstheme="minorHAnsi"/>
                <w:szCs w:val="23"/>
                <w:lang w:val="fr-CA"/>
              </w:rPr>
              <w:t xml:space="preserve">Les mesures de développement économique et régional exigeant la conformité pour la réception ou le maintien d’un avantage </w:t>
            </w:r>
            <w:r w:rsidR="00DB4893" w:rsidRPr="00F52884">
              <w:rPr>
                <w:rFonts w:eastAsia="Times New Roman" w:cstheme="minorHAnsi"/>
                <w:szCs w:val="23"/>
                <w:lang w:val="fr-CA"/>
              </w:rPr>
              <w:t>peuvent </w:t>
            </w:r>
            <w:r w:rsidR="00DB4893" w:rsidRPr="00F52884">
              <w:rPr>
                <w:rFonts w:eastAsia="Calibri" w:cstheme="minorHAnsi"/>
                <w:szCs w:val="23"/>
                <w:lang w:val="fr-CA"/>
              </w:rPr>
              <w:t>être propres à un secteur industriel et à des personnes, à des investisseurs ou à des entreprises et doivent</w:t>
            </w:r>
            <w:r w:rsidRPr="00F52884">
              <w:rPr>
                <w:rFonts w:eastAsia="Times New Roman" w:cstheme="minorHAnsi"/>
                <w:szCs w:val="23"/>
                <w:lang w:val="fr-CA"/>
              </w:rPr>
              <w:t>:</w:t>
            </w:r>
          </w:p>
          <w:p w14:paraId="432E56CB" w14:textId="77777777" w:rsidR="00B8348C" w:rsidRPr="00F52884" w:rsidRDefault="00B8348C" w:rsidP="00B8348C">
            <w:pPr>
              <w:numPr>
                <w:ilvl w:val="0"/>
                <w:numId w:val="148"/>
              </w:numPr>
              <w:spacing w:before="120" w:after="120"/>
              <w:ind w:left="906" w:hanging="546"/>
              <w:rPr>
                <w:rFonts w:eastAsia="Calibri" w:cstheme="minorHAnsi"/>
                <w:bCs/>
                <w:szCs w:val="23"/>
                <w:lang w:val="fr-FR"/>
              </w:rPr>
            </w:pPr>
            <w:proofErr w:type="gramStart"/>
            <w:r w:rsidRPr="00F52884">
              <w:rPr>
                <w:rFonts w:eastAsia="Calibri" w:cstheme="minorHAnsi"/>
                <w:szCs w:val="23"/>
                <w:lang w:val="fr-CA"/>
              </w:rPr>
              <w:t>être</w:t>
            </w:r>
            <w:proofErr w:type="gramEnd"/>
            <w:r w:rsidRPr="00F52884">
              <w:rPr>
                <w:rFonts w:eastAsia="Calibri" w:cstheme="minorHAnsi"/>
                <w:szCs w:val="23"/>
                <w:lang w:val="fr-CA"/>
              </w:rPr>
              <w:t xml:space="preserve"> désignées comme un programme de développement économique et régional ou un accord de développement économique; </w:t>
            </w:r>
          </w:p>
          <w:p w14:paraId="049CE74E" w14:textId="5C754795" w:rsidR="00B8348C" w:rsidRPr="00F52884" w:rsidRDefault="00B8348C">
            <w:pPr>
              <w:numPr>
                <w:ilvl w:val="0"/>
                <w:numId w:val="148"/>
              </w:numPr>
              <w:spacing w:before="120" w:after="120"/>
              <w:ind w:left="906" w:hanging="546"/>
              <w:rPr>
                <w:rFonts w:eastAsia="Arial" w:cstheme="minorHAnsi"/>
                <w:szCs w:val="23"/>
                <w:lang w:val="fr-FR"/>
              </w:rPr>
            </w:pPr>
            <w:proofErr w:type="gramStart"/>
            <w:r w:rsidRPr="00F52884">
              <w:rPr>
                <w:rFonts w:eastAsia="Calibri" w:cstheme="minorHAnsi"/>
                <w:szCs w:val="23"/>
                <w:lang w:val="fr-CA"/>
              </w:rPr>
              <w:t>énoncer</w:t>
            </w:r>
            <w:proofErr w:type="gramEnd"/>
            <w:r w:rsidRPr="00F52884">
              <w:rPr>
                <w:rFonts w:eastAsia="Calibri" w:cstheme="minorHAnsi"/>
                <w:szCs w:val="23"/>
                <w:lang w:val="fr-CA"/>
              </w:rPr>
              <w:t xml:space="preserve"> les exigences de conformité mesurables devant être satisfaites pour la récepti</w:t>
            </w:r>
            <w:r w:rsidR="0032411B">
              <w:rPr>
                <w:rFonts w:eastAsia="Calibri" w:cstheme="minorHAnsi"/>
                <w:szCs w:val="23"/>
                <w:lang w:val="fr-CA"/>
              </w:rPr>
              <w:t>on ou le maintien d’un avantage.</w:t>
            </w:r>
          </w:p>
        </w:tc>
      </w:tr>
      <w:tr w:rsidR="00B8348C" w:rsidRPr="00F52884" w14:paraId="1E5A2A5A"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2E8F70A" w14:textId="77777777" w:rsidR="00B8348C" w:rsidRPr="00F52884" w:rsidRDefault="00B8348C" w:rsidP="000C25A3">
            <w:pPr>
              <w:spacing w:before="120" w:after="120"/>
              <w:rPr>
                <w:rFonts w:eastAsia="Times New Roman" w:cstheme="minorHAnsi"/>
                <w:b/>
                <w:bCs/>
                <w:szCs w:val="23"/>
              </w:rPr>
            </w:pPr>
            <w:r w:rsidRPr="00F52884">
              <w:rPr>
                <w:rFonts w:eastAsia="Times New Roman" w:cstheme="minorHAnsi"/>
                <w:b/>
                <w:bCs/>
                <w:szCs w:val="23"/>
                <w:lang w:val="fr-CA"/>
              </w:rPr>
              <w:lastRenderedPageBreak/>
              <w:t xml:space="preserve">Toute mesure existante : </w:t>
            </w:r>
          </w:p>
        </w:tc>
      </w:tr>
      <w:tr w:rsidR="00B8348C" w:rsidRPr="00F52884" w14:paraId="1743BCF4"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auto"/>
          </w:tcPr>
          <w:p w14:paraId="041791DF" w14:textId="77777777" w:rsidR="00B8348C" w:rsidRPr="00F52884" w:rsidRDefault="00B8348C" w:rsidP="000C25A3">
            <w:pPr>
              <w:spacing w:before="120" w:after="120"/>
              <w:rPr>
                <w:rFonts w:eastAsia="Times New Roman" w:cstheme="minorHAnsi"/>
                <w:bCs/>
                <w:szCs w:val="23"/>
              </w:rPr>
            </w:pPr>
          </w:p>
        </w:tc>
      </w:tr>
    </w:tbl>
    <w:p w14:paraId="1CB4A52C" w14:textId="77777777" w:rsidR="00B8348C" w:rsidRPr="00F52884" w:rsidRDefault="00B8348C" w:rsidP="000C25A3">
      <w:pPr>
        <w:rPr>
          <w:rFonts w:eastAsia="Times New Roman" w:cstheme="minorHAnsi"/>
          <w:b/>
          <w:szCs w:val="23"/>
        </w:rPr>
      </w:pPr>
    </w:p>
    <w:p w14:paraId="59315C3A" w14:textId="77777777" w:rsidR="00B8348C" w:rsidRPr="00F52884" w:rsidRDefault="00B8348C" w:rsidP="000C25A3">
      <w:pPr>
        <w:rPr>
          <w:rFonts w:eastAsia="Times New Roman" w:cstheme="minorHAnsi"/>
          <w:b/>
          <w:szCs w:val="23"/>
        </w:rPr>
      </w:pPr>
    </w:p>
    <w:p w14:paraId="55AC15B4" w14:textId="4DEB2B3C" w:rsidR="00B8348C" w:rsidRPr="00F52884" w:rsidRDefault="00B8348C" w:rsidP="001B12BD">
      <w:pPr>
        <w:spacing w:before="60" w:after="60"/>
        <w:ind w:left="-360"/>
        <w:rPr>
          <w:rFonts w:eastAsia="Times New Roman" w:cstheme="minorHAnsi"/>
          <w:b/>
          <w:szCs w:val="23"/>
        </w:rPr>
      </w:pPr>
      <w:r w:rsidRPr="00F52884">
        <w:rPr>
          <w:rFonts w:eastAsia="Times New Roman" w:cstheme="minorHAnsi"/>
          <w:b/>
          <w:bCs/>
          <w:szCs w:val="23"/>
          <w:lang w:val="fr-CA"/>
        </w:rPr>
        <w:t xml:space="preserve">9. </w:t>
      </w:r>
      <w:r w:rsidR="001B12BD" w:rsidRPr="00F52884">
        <w:rPr>
          <w:rFonts w:eastAsia="Times New Roman" w:cstheme="minorHAnsi"/>
          <w:b/>
          <w:bCs/>
          <w:szCs w:val="23"/>
          <w:lang w:val="fr-CA"/>
        </w:rPr>
        <w:t xml:space="preserve"> </w:t>
      </w:r>
      <w:r w:rsidRPr="00F52884">
        <w:rPr>
          <w:rFonts w:eastAsia="Times New Roman" w:cstheme="minorHAnsi"/>
          <w:b/>
          <w:bCs/>
          <w:szCs w:val="23"/>
          <w:lang w:val="fr-CA"/>
        </w:rPr>
        <w:t>TERRITOIRES DU NORD-OUEST</w:t>
      </w:r>
    </w:p>
    <w:tbl>
      <w:tblPr>
        <w:tblW w:w="10386" w:type="dxa"/>
        <w:jc w:val="center"/>
        <w:tblCellMar>
          <w:top w:w="14" w:type="dxa"/>
          <w:left w:w="86" w:type="dxa"/>
          <w:bottom w:w="14" w:type="dxa"/>
          <w:right w:w="86" w:type="dxa"/>
        </w:tblCellMar>
        <w:tblLook w:val="04A0" w:firstRow="1" w:lastRow="0" w:firstColumn="1" w:lastColumn="0" w:noHBand="0" w:noVBand="1"/>
      </w:tblPr>
      <w:tblGrid>
        <w:gridCol w:w="2610"/>
        <w:gridCol w:w="7776"/>
      </w:tblGrid>
      <w:tr w:rsidR="00B8348C" w:rsidRPr="00F52884" w14:paraId="14FED97E" w14:textId="77777777" w:rsidTr="001B12BD">
        <w:trPr>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45C9852A"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Secteur : </w:t>
            </w:r>
          </w:p>
        </w:tc>
        <w:tc>
          <w:tcPr>
            <w:tcW w:w="7776" w:type="dxa"/>
            <w:tcBorders>
              <w:top w:val="single" w:sz="4" w:space="0" w:color="C0C0C0"/>
              <w:left w:val="nil"/>
              <w:bottom w:val="single" w:sz="4" w:space="0" w:color="C0C0C0"/>
              <w:right w:val="single" w:sz="4" w:space="0" w:color="FFFFFF"/>
            </w:tcBorders>
            <w:vAlign w:val="center"/>
          </w:tcPr>
          <w:p w14:paraId="5F066FE0"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Tous les secteurs</w:t>
            </w:r>
          </w:p>
        </w:tc>
      </w:tr>
      <w:tr w:rsidR="00B8348C" w:rsidRPr="00F52884" w14:paraId="4F98F47B" w14:textId="77777777" w:rsidTr="001B12BD">
        <w:trPr>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0FEA6695" w14:textId="77777777"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Sous-secteur : </w:t>
            </w:r>
          </w:p>
        </w:tc>
        <w:tc>
          <w:tcPr>
            <w:tcW w:w="7776" w:type="dxa"/>
            <w:tcBorders>
              <w:top w:val="single" w:sz="4" w:space="0" w:color="C0C0C0"/>
              <w:left w:val="nil"/>
              <w:bottom w:val="single" w:sz="4" w:space="0" w:color="C0C0C0"/>
              <w:right w:val="single" w:sz="4" w:space="0" w:color="FFFFFF"/>
            </w:tcBorders>
            <w:vAlign w:val="center"/>
          </w:tcPr>
          <w:p w14:paraId="2E6E1143" w14:textId="77777777" w:rsidR="00B8348C" w:rsidRPr="00F52884" w:rsidRDefault="00B8348C" w:rsidP="000C25A3">
            <w:pPr>
              <w:spacing w:before="60" w:after="60"/>
              <w:rPr>
                <w:rFonts w:eastAsia="Times New Roman" w:cstheme="minorHAnsi"/>
                <w:szCs w:val="23"/>
              </w:rPr>
            </w:pPr>
            <w:r w:rsidRPr="00F52884">
              <w:rPr>
                <w:rFonts w:eastAsia="Times New Roman" w:cstheme="minorHAnsi"/>
                <w:szCs w:val="23"/>
                <w:lang w:val="fr-CA"/>
              </w:rPr>
              <w:t>Tous les sous-secteurs</w:t>
            </w:r>
          </w:p>
        </w:tc>
      </w:tr>
      <w:tr w:rsidR="00B8348C" w:rsidRPr="0068240F" w14:paraId="5B5483D6" w14:textId="77777777" w:rsidTr="001B12BD">
        <w:trPr>
          <w:trHeight w:val="42"/>
          <w:jc w:val="center"/>
        </w:trPr>
        <w:tc>
          <w:tcPr>
            <w:tcW w:w="2610" w:type="dxa"/>
            <w:tcBorders>
              <w:top w:val="single" w:sz="4" w:space="0" w:color="C0C0C0"/>
              <w:left w:val="nil"/>
              <w:bottom w:val="single" w:sz="4" w:space="0" w:color="C0C0C0"/>
              <w:right w:val="nil"/>
            </w:tcBorders>
            <w:hideMark/>
          </w:tcPr>
          <w:p w14:paraId="39E7F4EA" w14:textId="59C95B4D"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tcBorders>
              <w:top w:val="single" w:sz="4" w:space="0" w:color="C0C0C0"/>
              <w:left w:val="nil"/>
              <w:bottom w:val="single" w:sz="4" w:space="0" w:color="C0C0C0"/>
              <w:right w:val="nil"/>
            </w:tcBorders>
          </w:tcPr>
          <w:p w14:paraId="12AB93DF" w14:textId="1CC0731D" w:rsidR="00B8348C" w:rsidRPr="00F52884" w:rsidRDefault="00B8348C" w:rsidP="00B8348C">
            <w:pPr>
              <w:spacing w:before="60" w:after="60"/>
              <w:rPr>
                <w:rFonts w:eastAsia="Times New Roman" w:cstheme="minorHAnsi"/>
                <w:szCs w:val="23"/>
                <w:lang w:val="fr-FR"/>
              </w:rPr>
            </w:pPr>
            <w:r w:rsidRPr="00F52884">
              <w:rPr>
                <w:rFonts w:eastAsia="Times New Roman" w:cstheme="minorHAnsi"/>
                <w:szCs w:val="23"/>
                <w:lang w:val="fr-CA"/>
              </w:rPr>
              <w:t>Le chapitre Dix (Règlement des différends), sauf l’article 1000 (Coopération) et l’article 1003 (Consultations)</w:t>
            </w:r>
          </w:p>
        </w:tc>
      </w:tr>
      <w:tr w:rsidR="00B8348C" w:rsidRPr="00F52884" w14:paraId="00F48B6E" w14:textId="77777777" w:rsidTr="001B12BD">
        <w:trPr>
          <w:trHeight w:val="42"/>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D9D9D9"/>
            <w:vAlign w:val="center"/>
            <w:hideMark/>
          </w:tcPr>
          <w:p w14:paraId="5452A0ED"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465812A2"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tcPr>
          <w:p w14:paraId="40959A95" w14:textId="642717FC" w:rsidR="00B8348C" w:rsidRPr="00F52884" w:rsidRDefault="00D1446B" w:rsidP="00B8348C">
            <w:pPr>
              <w:spacing w:before="60" w:after="60"/>
              <w:rPr>
                <w:rFonts w:eastAsia="Arial" w:cstheme="minorHAnsi"/>
                <w:szCs w:val="23"/>
                <w:lang w:val="fr-FR"/>
              </w:rPr>
            </w:pPr>
            <w:r w:rsidRPr="00F52884">
              <w:rPr>
                <w:lang w:val="fr-CA"/>
              </w:rPr>
              <w:t xml:space="preserve">Nonobstant le </w:t>
            </w:r>
            <w:r w:rsidR="00B8348C" w:rsidRPr="00F52884">
              <w:rPr>
                <w:rFonts w:eastAsia="Times New Roman" w:cstheme="minorHAnsi"/>
                <w:szCs w:val="23"/>
                <w:lang w:val="fr-CA"/>
              </w:rPr>
              <w:t>chapitre Sept (Mobilité de la main-d’œuvre) et l’article 320 (Stimulants interdits), seuls l’article 1000 (Coopération) et l’article 1003 (Consultations) du chapitre Dix (Règlement des différends) s’appliquent aux Territoires du Nord-Ouest en cas de défaut d’un gouvernement régional, local, de district ou d’une autre forme d’administration municipale, d’un conseil ou d’une commission scolaire, d’une entité d’enseignement supérieur, de services de santé ou de services sociaux financés par l’État ou d’une entreprise ou d’un organisme non gouvernemental de se conformer à ses obligations en vertu du présent accord.</w:t>
            </w:r>
          </w:p>
        </w:tc>
      </w:tr>
      <w:tr w:rsidR="00B8348C" w:rsidRPr="00F52884" w14:paraId="2769EA45"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BCFA140" w14:textId="77777777" w:rsidR="00B8348C" w:rsidRPr="00F52884" w:rsidRDefault="00B8348C" w:rsidP="000C25A3">
            <w:pPr>
              <w:spacing w:before="60" w:after="60"/>
              <w:rPr>
                <w:rFonts w:eastAsia="Times New Roman" w:cstheme="minorHAnsi"/>
                <w:b/>
                <w:szCs w:val="23"/>
              </w:rPr>
            </w:pPr>
            <w:r w:rsidRPr="00F52884">
              <w:rPr>
                <w:rFonts w:eastAsia="Times New Roman" w:cstheme="minorHAnsi"/>
                <w:b/>
                <w:bCs/>
                <w:szCs w:val="23"/>
                <w:lang w:val="fr-CA"/>
              </w:rPr>
              <w:t xml:space="preserve">Toute mesure existante : </w:t>
            </w:r>
          </w:p>
        </w:tc>
      </w:tr>
      <w:tr w:rsidR="00B8348C" w:rsidRPr="00F52884" w14:paraId="1AE95F83" w14:textId="77777777" w:rsidTr="001B12BD">
        <w:trPr>
          <w:trHeight w:val="120"/>
          <w:jc w:val="center"/>
        </w:trPr>
        <w:tc>
          <w:tcPr>
            <w:tcW w:w="10386" w:type="dxa"/>
            <w:gridSpan w:val="2"/>
            <w:tcBorders>
              <w:top w:val="single" w:sz="4" w:space="0" w:color="C0C0C0"/>
              <w:left w:val="single" w:sz="4" w:space="0" w:color="C0C0C0"/>
              <w:bottom w:val="single" w:sz="4" w:space="0" w:color="C0C0C0"/>
              <w:right w:val="single" w:sz="4" w:space="0" w:color="C0C0C0"/>
            </w:tcBorders>
            <w:shd w:val="clear" w:color="auto" w:fill="auto"/>
          </w:tcPr>
          <w:p w14:paraId="254D20A0" w14:textId="77777777" w:rsidR="00B8348C" w:rsidRPr="00F52884" w:rsidRDefault="00B8348C" w:rsidP="000C25A3">
            <w:pPr>
              <w:spacing w:before="60" w:after="60"/>
              <w:rPr>
                <w:rFonts w:eastAsia="Times New Roman" w:cstheme="minorHAnsi"/>
                <w:szCs w:val="23"/>
              </w:rPr>
            </w:pPr>
          </w:p>
        </w:tc>
      </w:tr>
    </w:tbl>
    <w:p w14:paraId="0601DFB6" w14:textId="77777777" w:rsidR="00B8348C" w:rsidRPr="006B2C61" w:rsidRDefault="00B8348C" w:rsidP="000C25A3">
      <w:pPr>
        <w:rPr>
          <w:rFonts w:eastAsia="Times New Roman" w:cstheme="minorHAnsi"/>
          <w:b/>
          <w:szCs w:val="23"/>
        </w:rPr>
      </w:pPr>
    </w:p>
    <w:p w14:paraId="622916CC" w14:textId="0794F47C" w:rsidR="006B2C61" w:rsidRPr="006B2C61" w:rsidRDefault="006B2C61" w:rsidP="006B2C61">
      <w:pPr>
        <w:ind w:left="-284"/>
        <w:rPr>
          <w:rFonts w:cstheme="minorHAnsi"/>
          <w:szCs w:val="23"/>
          <w:lang w:val="fr-CA"/>
        </w:rPr>
      </w:pPr>
      <w:r w:rsidRPr="006B2C61">
        <w:rPr>
          <w:rFonts w:cstheme="minorHAnsi"/>
          <w:b/>
          <w:bCs/>
          <w:szCs w:val="23"/>
          <w:lang w:val="fr-CA"/>
        </w:rPr>
        <w:t>10.</w:t>
      </w:r>
      <w:r w:rsidRPr="006B2C61">
        <w:rPr>
          <w:rFonts w:cstheme="minorHAnsi"/>
          <w:szCs w:val="23"/>
          <w:lang w:val="fr-CA"/>
        </w:rPr>
        <w:t xml:space="preserve"> </w:t>
      </w:r>
      <w:r w:rsidRPr="006B2C61">
        <w:rPr>
          <w:rFonts w:cstheme="minorHAnsi"/>
          <w:b/>
          <w:bCs/>
          <w:szCs w:val="23"/>
          <w:lang w:val="fr-CA"/>
        </w:rPr>
        <w:t>TERRITOIRES DU NORD-OUEST</w:t>
      </w:r>
    </w:p>
    <w:tbl>
      <w:tblPr>
        <w:tblW w:w="10202" w:type="dxa"/>
        <w:jc w:val="center"/>
        <w:tblCellMar>
          <w:top w:w="14" w:type="dxa"/>
          <w:left w:w="86" w:type="dxa"/>
          <w:bottom w:w="14" w:type="dxa"/>
          <w:right w:w="86" w:type="dxa"/>
        </w:tblCellMar>
        <w:tblLook w:val="04A0" w:firstRow="1" w:lastRow="0" w:firstColumn="1" w:lastColumn="0" w:noHBand="0" w:noVBand="1"/>
      </w:tblPr>
      <w:tblGrid>
        <w:gridCol w:w="2384"/>
        <w:gridCol w:w="7818"/>
      </w:tblGrid>
      <w:tr w:rsidR="006B2C61" w:rsidRPr="0068240F" w14:paraId="458F9DBB" w14:textId="77777777" w:rsidTr="006B2C61">
        <w:trPr>
          <w:trHeight w:val="42"/>
          <w:jc w:val="center"/>
        </w:trPr>
        <w:tc>
          <w:tcPr>
            <w:tcW w:w="2384" w:type="dxa"/>
            <w:tcBorders>
              <w:top w:val="single" w:sz="4" w:space="0" w:color="C0C0C0"/>
              <w:left w:val="nil"/>
              <w:bottom w:val="single" w:sz="4" w:space="0" w:color="C0C0C0"/>
              <w:right w:val="single" w:sz="4" w:space="0" w:color="FFFFFF"/>
            </w:tcBorders>
            <w:vAlign w:val="center"/>
            <w:hideMark/>
          </w:tcPr>
          <w:p w14:paraId="5D5C8D8A" w14:textId="77777777" w:rsidR="006B2C61" w:rsidRPr="006B2C61" w:rsidRDefault="006B2C61">
            <w:pPr>
              <w:rPr>
                <w:rFonts w:cstheme="minorHAnsi"/>
                <w:b/>
                <w:szCs w:val="23"/>
                <w:lang w:val="en-GB"/>
              </w:rPr>
            </w:pPr>
            <w:r w:rsidRPr="006B2C61">
              <w:rPr>
                <w:rFonts w:cstheme="minorHAnsi"/>
                <w:b/>
                <w:bCs/>
                <w:szCs w:val="23"/>
                <w:lang w:val="fr-CA"/>
              </w:rPr>
              <w:t>Secteur :</w:t>
            </w:r>
          </w:p>
        </w:tc>
        <w:tc>
          <w:tcPr>
            <w:tcW w:w="7818" w:type="dxa"/>
            <w:tcBorders>
              <w:top w:val="single" w:sz="4" w:space="0" w:color="C0C0C0"/>
              <w:left w:val="single" w:sz="4" w:space="0" w:color="FFFFFF"/>
              <w:bottom w:val="single" w:sz="4" w:space="0" w:color="C0C0C0"/>
              <w:right w:val="nil"/>
            </w:tcBorders>
            <w:vAlign w:val="center"/>
            <w:hideMark/>
          </w:tcPr>
          <w:p w14:paraId="42AEC385" w14:textId="77777777" w:rsidR="006B2C61" w:rsidRPr="006B2C61" w:rsidRDefault="006B2C61">
            <w:pPr>
              <w:rPr>
                <w:rFonts w:cstheme="minorHAnsi"/>
                <w:szCs w:val="23"/>
                <w:lang w:val="fr-CA"/>
              </w:rPr>
            </w:pPr>
            <w:r w:rsidRPr="006B2C61">
              <w:rPr>
                <w:rFonts w:cstheme="minorHAnsi"/>
                <w:szCs w:val="23"/>
                <w:lang w:val="fr-CA"/>
              </w:rPr>
              <w:t>Fournisseurs de services de transport d’électricité et commerce des services de transport d’électricité</w:t>
            </w:r>
          </w:p>
        </w:tc>
      </w:tr>
      <w:tr w:rsidR="006B2C61" w:rsidRPr="006B2C61" w14:paraId="35A0A388" w14:textId="77777777" w:rsidTr="006B2C61">
        <w:trPr>
          <w:trHeight w:val="42"/>
          <w:jc w:val="center"/>
        </w:trPr>
        <w:tc>
          <w:tcPr>
            <w:tcW w:w="2384" w:type="dxa"/>
            <w:tcBorders>
              <w:top w:val="single" w:sz="4" w:space="0" w:color="C0C0C0"/>
              <w:left w:val="nil"/>
              <w:bottom w:val="single" w:sz="4" w:space="0" w:color="C0C0C0"/>
              <w:right w:val="single" w:sz="4" w:space="0" w:color="FFFFFF"/>
            </w:tcBorders>
            <w:vAlign w:val="center"/>
            <w:hideMark/>
          </w:tcPr>
          <w:p w14:paraId="31A2F5A9" w14:textId="77777777" w:rsidR="006B2C61" w:rsidRPr="006B2C61" w:rsidRDefault="006B2C61">
            <w:pPr>
              <w:rPr>
                <w:rFonts w:cstheme="minorHAnsi"/>
                <w:b/>
                <w:szCs w:val="23"/>
                <w:lang w:val="en-GB"/>
              </w:rPr>
            </w:pPr>
            <w:r w:rsidRPr="006B2C61">
              <w:rPr>
                <w:rFonts w:cstheme="minorHAnsi"/>
                <w:b/>
                <w:bCs/>
                <w:szCs w:val="23"/>
                <w:lang w:val="fr-CA"/>
              </w:rPr>
              <w:t>Sous-secteur :</w:t>
            </w:r>
          </w:p>
        </w:tc>
        <w:tc>
          <w:tcPr>
            <w:tcW w:w="7818" w:type="dxa"/>
            <w:tcBorders>
              <w:top w:val="single" w:sz="4" w:space="0" w:color="C0C0C0"/>
              <w:left w:val="single" w:sz="4" w:space="0" w:color="FFFFFF"/>
              <w:bottom w:val="single" w:sz="4" w:space="0" w:color="C0C0C0"/>
              <w:right w:val="nil"/>
            </w:tcBorders>
            <w:vAlign w:val="center"/>
            <w:hideMark/>
          </w:tcPr>
          <w:p w14:paraId="53B72F5B" w14:textId="77777777" w:rsidR="006B2C61" w:rsidRPr="006B2C61" w:rsidRDefault="006B2C61">
            <w:pPr>
              <w:rPr>
                <w:rFonts w:cstheme="minorHAnsi"/>
                <w:szCs w:val="23"/>
              </w:rPr>
            </w:pPr>
            <w:r w:rsidRPr="006B2C61">
              <w:rPr>
                <w:rFonts w:cstheme="minorHAnsi"/>
                <w:szCs w:val="23"/>
                <w:lang w:val="fr-CA"/>
              </w:rPr>
              <w:t>Tous les sous-secteurs</w:t>
            </w:r>
          </w:p>
        </w:tc>
      </w:tr>
      <w:tr w:rsidR="006B2C61" w:rsidRPr="006B2C61" w14:paraId="1567D04C" w14:textId="77777777" w:rsidTr="006B2C61">
        <w:trPr>
          <w:trHeight w:val="42"/>
          <w:jc w:val="center"/>
        </w:trPr>
        <w:tc>
          <w:tcPr>
            <w:tcW w:w="2384" w:type="dxa"/>
            <w:tcBorders>
              <w:top w:val="single" w:sz="4" w:space="0" w:color="C0C0C0"/>
              <w:left w:val="nil"/>
              <w:bottom w:val="single" w:sz="4" w:space="0" w:color="C0C0C0"/>
              <w:right w:val="single" w:sz="4" w:space="0" w:color="FFFFFF"/>
            </w:tcBorders>
            <w:vAlign w:val="center"/>
            <w:hideMark/>
          </w:tcPr>
          <w:p w14:paraId="6EAE5A57" w14:textId="77777777" w:rsidR="006B2C61" w:rsidRPr="006B2C61" w:rsidRDefault="006B2C61">
            <w:pPr>
              <w:rPr>
                <w:rFonts w:cstheme="minorHAnsi"/>
                <w:b/>
                <w:szCs w:val="23"/>
              </w:rPr>
            </w:pPr>
            <w:r w:rsidRPr="006B2C61">
              <w:rPr>
                <w:rFonts w:cstheme="minorHAnsi"/>
                <w:b/>
                <w:bCs/>
                <w:szCs w:val="23"/>
                <w:lang w:val="fr-CA"/>
              </w:rPr>
              <w:t>Classification de l’industrie :</w:t>
            </w:r>
          </w:p>
        </w:tc>
        <w:tc>
          <w:tcPr>
            <w:tcW w:w="7818" w:type="dxa"/>
            <w:tcBorders>
              <w:top w:val="single" w:sz="4" w:space="0" w:color="C0C0C0"/>
              <w:left w:val="single" w:sz="4" w:space="0" w:color="FFFFFF"/>
              <w:bottom w:val="single" w:sz="4" w:space="0" w:color="C0C0C0"/>
              <w:right w:val="nil"/>
            </w:tcBorders>
            <w:vAlign w:val="center"/>
          </w:tcPr>
          <w:p w14:paraId="31CCB5D1" w14:textId="77777777" w:rsidR="006B2C61" w:rsidRPr="006B2C61" w:rsidRDefault="006B2C61">
            <w:pPr>
              <w:ind w:left="-45"/>
              <w:rPr>
                <w:rFonts w:cstheme="minorHAnsi"/>
                <w:szCs w:val="23"/>
              </w:rPr>
            </w:pPr>
          </w:p>
        </w:tc>
      </w:tr>
      <w:tr w:rsidR="006B2C61" w:rsidRPr="0068240F" w14:paraId="27F0F850" w14:textId="77777777" w:rsidTr="006B2C61">
        <w:trPr>
          <w:trHeight w:val="42"/>
          <w:jc w:val="center"/>
        </w:trPr>
        <w:tc>
          <w:tcPr>
            <w:tcW w:w="10202" w:type="dxa"/>
            <w:gridSpan w:val="2"/>
            <w:tcBorders>
              <w:top w:val="single" w:sz="4" w:space="0" w:color="C0C0C0"/>
              <w:left w:val="nil"/>
              <w:bottom w:val="single" w:sz="4" w:space="0" w:color="C0C0C0"/>
              <w:right w:val="nil"/>
            </w:tcBorders>
            <w:hideMark/>
          </w:tcPr>
          <w:p w14:paraId="4AAE9E05" w14:textId="77777777" w:rsidR="006B2C61" w:rsidRPr="006B2C61" w:rsidRDefault="006B2C61">
            <w:pPr>
              <w:pStyle w:val="Text"/>
              <w:spacing w:before="0" w:after="0" w:line="240" w:lineRule="auto"/>
              <w:ind w:left="432" w:hanging="432"/>
              <w:rPr>
                <w:rFonts w:asciiTheme="minorHAnsi" w:hAnsiTheme="minorHAnsi" w:cstheme="minorHAnsi"/>
                <w:sz w:val="23"/>
                <w:szCs w:val="23"/>
                <w:lang w:val="fr-CA"/>
              </w:rPr>
            </w:pPr>
            <w:r w:rsidRPr="006B2C61">
              <w:rPr>
                <w:rFonts w:asciiTheme="minorHAnsi" w:hAnsiTheme="minorHAnsi" w:cstheme="minorHAnsi"/>
                <w:b/>
                <w:bCs/>
                <w:sz w:val="23"/>
                <w:szCs w:val="23"/>
                <w:lang w:val="fr-CA"/>
              </w:rPr>
              <w:lastRenderedPageBreak/>
              <w:t xml:space="preserve">Type d’exception :          </w:t>
            </w:r>
            <w:r w:rsidRPr="006B2C61">
              <w:rPr>
                <w:rFonts w:asciiTheme="minorHAnsi" w:hAnsiTheme="minorHAnsi" w:cstheme="minorHAnsi"/>
                <w:sz w:val="23"/>
                <w:szCs w:val="23"/>
                <w:lang w:val="fr-CA"/>
              </w:rPr>
              <w:t>Toutes les obligations</w:t>
            </w:r>
          </w:p>
        </w:tc>
      </w:tr>
      <w:tr w:rsidR="006B2C61" w:rsidRPr="006B2C61" w14:paraId="6E2FC67E" w14:textId="77777777" w:rsidTr="006B2C61">
        <w:trPr>
          <w:trHeight w:val="42"/>
          <w:jc w:val="center"/>
        </w:trPr>
        <w:tc>
          <w:tcPr>
            <w:tcW w:w="1020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6272EE60" w14:textId="77777777" w:rsidR="006B2C61" w:rsidRPr="006B2C61" w:rsidRDefault="006B2C61">
            <w:pPr>
              <w:pStyle w:val="RequirementsList"/>
              <w:numPr>
                <w:ilvl w:val="0"/>
                <w:numId w:val="0"/>
              </w:numPr>
              <w:tabs>
                <w:tab w:val="left" w:pos="720"/>
              </w:tabs>
              <w:spacing w:before="0" w:after="0"/>
              <w:ind w:left="288" w:hanging="288"/>
              <w:rPr>
                <w:rFonts w:asciiTheme="minorHAnsi" w:hAnsiTheme="minorHAnsi" w:cstheme="minorHAnsi"/>
                <w:sz w:val="23"/>
                <w:szCs w:val="23"/>
              </w:rPr>
            </w:pPr>
            <w:r w:rsidRPr="006B2C61">
              <w:rPr>
                <w:rFonts w:asciiTheme="minorHAnsi" w:hAnsiTheme="minorHAnsi" w:cstheme="minorHAnsi"/>
                <w:b/>
                <w:bCs/>
                <w:sz w:val="23"/>
                <w:szCs w:val="23"/>
                <w:lang w:val="fr-CA"/>
              </w:rPr>
              <w:t xml:space="preserve">Description : </w:t>
            </w:r>
          </w:p>
        </w:tc>
      </w:tr>
      <w:tr w:rsidR="006B2C61" w:rsidRPr="0068240F" w14:paraId="08482673" w14:textId="77777777" w:rsidTr="006B2C61">
        <w:trPr>
          <w:trHeight w:val="1493"/>
          <w:jc w:val="center"/>
        </w:trPr>
        <w:tc>
          <w:tcPr>
            <w:tcW w:w="10202" w:type="dxa"/>
            <w:gridSpan w:val="2"/>
            <w:tcBorders>
              <w:top w:val="single" w:sz="4" w:space="0" w:color="C0C0C0"/>
              <w:left w:val="single" w:sz="4" w:space="0" w:color="C0C0C0"/>
              <w:bottom w:val="single" w:sz="4" w:space="0" w:color="C0C0C0"/>
              <w:right w:val="single" w:sz="4" w:space="0" w:color="C0C0C0"/>
            </w:tcBorders>
          </w:tcPr>
          <w:p w14:paraId="39DEC603" w14:textId="77777777" w:rsidR="006B2C61" w:rsidRPr="006B2C61" w:rsidRDefault="006B2C61">
            <w:pPr>
              <w:pStyle w:val="NoSpacing"/>
              <w:rPr>
                <w:rFonts w:cstheme="minorHAnsi"/>
                <w:sz w:val="23"/>
                <w:szCs w:val="23"/>
                <w:lang w:val="fr-CA"/>
              </w:rPr>
            </w:pPr>
            <w:r w:rsidRPr="006B2C61">
              <w:rPr>
                <w:rFonts w:cstheme="minorHAnsi"/>
                <w:sz w:val="23"/>
                <w:szCs w:val="23"/>
                <w:lang w:val="fr-CA"/>
              </w:rPr>
              <w:t xml:space="preserve">Les Territoires du Nord-Ouest se réservent le droit de modifier les exceptions énoncées dans leurs annexes à la partie VII (annexes des Parties) en incluant des exceptions à l’article 2 de l’annexe 309, notamment des exceptions à la fourniture d’un accès libre et non discriminatoire aux services de transport de la part des fournisseurs de services de transport. Une telle modification entre en vigueur à la réception par le Secrétariat de l’avis écrit des Territoires du Nord-Ouest l’informant de cette modification. Cette réserve est en vigueur pendant les deux ans suivant la date à laquelle les Territoires du Nord-Ouest disposent d’une infrastructure physique raccordée à un réseau de production-transport d’électricité situé en dehors de leur territoire. </w:t>
            </w:r>
          </w:p>
          <w:p w14:paraId="325F2CD8" w14:textId="77777777" w:rsidR="006B2C61" w:rsidRPr="006B2C61" w:rsidRDefault="006B2C61">
            <w:pPr>
              <w:pStyle w:val="NoSpacing"/>
              <w:rPr>
                <w:rFonts w:cstheme="minorHAnsi"/>
                <w:sz w:val="23"/>
                <w:szCs w:val="23"/>
                <w:lang w:val="fr-CA"/>
              </w:rPr>
            </w:pPr>
          </w:p>
        </w:tc>
      </w:tr>
      <w:tr w:rsidR="006B2C61" w14:paraId="06326C22" w14:textId="77777777" w:rsidTr="006B2C61">
        <w:trPr>
          <w:trHeight w:val="42"/>
          <w:jc w:val="center"/>
        </w:trPr>
        <w:tc>
          <w:tcPr>
            <w:tcW w:w="1020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52F7C44C" w14:textId="77777777" w:rsidR="006B2C61" w:rsidRDefault="006B2C61">
            <w:pPr>
              <w:pStyle w:val="NoSpacing"/>
              <w:rPr>
                <w:rFonts w:cstheme="minorHAnsi"/>
                <w:caps/>
                <w:sz w:val="20"/>
                <w:szCs w:val="20"/>
              </w:rPr>
            </w:pPr>
            <w:r>
              <w:rPr>
                <w:rFonts w:cstheme="minorHAnsi"/>
                <w:b/>
                <w:bCs/>
                <w:sz w:val="20"/>
                <w:szCs w:val="20"/>
                <w:lang w:val="fr-CA"/>
              </w:rPr>
              <w:t>Toute mesure existante :</w:t>
            </w:r>
            <w:r>
              <w:rPr>
                <w:rFonts w:cstheme="minorHAnsi"/>
                <w:caps/>
                <w:sz w:val="20"/>
                <w:szCs w:val="20"/>
                <w:lang w:val="fr-CA"/>
              </w:rPr>
              <w:t xml:space="preserve"> </w:t>
            </w:r>
          </w:p>
        </w:tc>
      </w:tr>
      <w:tr w:rsidR="006B2C61" w14:paraId="3F7728EE" w14:textId="77777777" w:rsidTr="006B2C61">
        <w:trPr>
          <w:trHeight w:val="42"/>
          <w:jc w:val="center"/>
        </w:trPr>
        <w:tc>
          <w:tcPr>
            <w:tcW w:w="10202" w:type="dxa"/>
            <w:gridSpan w:val="2"/>
            <w:tcBorders>
              <w:top w:val="single" w:sz="4" w:space="0" w:color="C0C0C0"/>
              <w:left w:val="single" w:sz="4" w:space="0" w:color="C0C0C0"/>
              <w:bottom w:val="single" w:sz="4" w:space="0" w:color="C0C0C0"/>
              <w:right w:val="single" w:sz="4" w:space="0" w:color="C0C0C0"/>
            </w:tcBorders>
          </w:tcPr>
          <w:p w14:paraId="576B03A1" w14:textId="77777777" w:rsidR="006B2C61" w:rsidRDefault="006B2C61">
            <w:pPr>
              <w:pStyle w:val="NoSpacing"/>
              <w:rPr>
                <w:rFonts w:cstheme="minorHAnsi"/>
                <w:b/>
                <w:sz w:val="20"/>
                <w:szCs w:val="20"/>
              </w:rPr>
            </w:pPr>
          </w:p>
        </w:tc>
      </w:tr>
    </w:tbl>
    <w:p w14:paraId="10F008A9" w14:textId="77777777" w:rsidR="00B8348C" w:rsidRPr="00F52884" w:rsidRDefault="00B8348C" w:rsidP="000C25A3">
      <w:pPr>
        <w:rPr>
          <w:rFonts w:eastAsia="Times New Roman" w:cstheme="minorHAnsi"/>
          <w:b/>
          <w:szCs w:val="23"/>
        </w:rPr>
      </w:pPr>
    </w:p>
    <w:p w14:paraId="6388F011" w14:textId="77777777" w:rsidR="00B8348C" w:rsidRDefault="00B8348C" w:rsidP="000C25A3">
      <w:pPr>
        <w:rPr>
          <w:rFonts w:eastAsia="Times New Roman" w:cstheme="minorHAnsi"/>
          <w:b/>
          <w:szCs w:val="23"/>
        </w:rPr>
      </w:pPr>
    </w:p>
    <w:p w14:paraId="1CEA18E0" w14:textId="77777777" w:rsidR="006A7ED5" w:rsidRP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6A7ED5">
        <w:rPr>
          <w:rFonts w:ascii="Arial" w:eastAsia="Times New Roman" w:hAnsi="Arial" w:cs="Arial"/>
          <w:b/>
          <w:bCs/>
          <w:caps/>
          <w:szCs w:val="23"/>
          <w:lang w:val="fr-CA"/>
        </w:rPr>
        <w:t xml:space="preserve">11. </w:t>
      </w:r>
      <w:r w:rsidRPr="006A7ED5">
        <w:rPr>
          <w:rFonts w:ascii="Arial" w:eastAsia="Times New Roman" w:hAnsi="Arial" w:cs="Arial"/>
          <w:b/>
          <w:bCs/>
          <w:szCs w:val="23"/>
          <w:lang w:val="fr-CA"/>
        </w:rPr>
        <w:t>TERRITOIRES DU NORD-OUEST</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6A7ED5" w:rsidRPr="006A7ED5" w14:paraId="4265F3BF"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5BC8F9DA"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r w:rsidRPr="006A7ED5">
              <w:rPr>
                <w:rFonts w:ascii="Arial" w:eastAsia="Calibri" w:hAnsi="Arial" w:cs="Arial"/>
                <w:b/>
                <w:szCs w:val="24"/>
                <w:lang w:eastAsia="en-CA" w:bidi="en-US"/>
              </w:rPr>
              <w:t xml:space="preserve"> </w:t>
            </w:r>
          </w:p>
          <w:p w14:paraId="48260E0A" w14:textId="77777777" w:rsidR="006A7ED5" w:rsidRPr="006A7ED5" w:rsidRDefault="006A7ED5" w:rsidP="006A7ED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76F57A69" w14:textId="77777777" w:rsidR="006A7ED5" w:rsidRPr="006A7ED5" w:rsidRDefault="006A7ED5" w:rsidP="006A7ED5">
            <w:pPr>
              <w:spacing w:before="60" w:after="60" w:line="42" w:lineRule="atLeast"/>
              <w:rPr>
                <w:rFonts w:ascii="Arial" w:eastAsia="Calibri" w:hAnsi="Arial" w:cs="Arial"/>
                <w:bCs/>
                <w:szCs w:val="24"/>
                <w:lang w:eastAsia="en-CA" w:bidi="en-US"/>
              </w:rPr>
            </w:pPr>
            <w:r w:rsidRPr="006A7ED5">
              <w:rPr>
                <w:rFonts w:ascii="Arial" w:eastAsia="Calibri" w:hAnsi="Arial" w:cs="Arial"/>
                <w:bCs/>
                <w:szCs w:val="24"/>
                <w:lang w:eastAsia="en-CA" w:bidi="en-US"/>
              </w:rPr>
              <w:t>Cannabis</w:t>
            </w:r>
          </w:p>
        </w:tc>
      </w:tr>
      <w:tr w:rsidR="006A7ED5" w:rsidRPr="0068240F" w14:paraId="49E8D35B"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5C44CBEA"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Sous-</w:t>
            </w: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564FAE91" w14:textId="77777777" w:rsidR="006A7ED5" w:rsidRPr="006A7ED5" w:rsidRDefault="006A7ED5" w:rsidP="006A7ED5">
            <w:pPr>
              <w:rPr>
                <w:rFonts w:ascii="Arial" w:eastAsia="Calibri" w:hAnsi="Arial" w:cs="Arial"/>
                <w:bCs/>
                <w:szCs w:val="24"/>
                <w:lang w:val="fr-CA" w:eastAsia="en-CA" w:bidi="en-US"/>
              </w:rPr>
            </w:pPr>
            <w:r w:rsidRPr="006A7ED5">
              <w:rPr>
                <w:rFonts w:ascii="Arial" w:eastAsia="Calibri" w:hAnsi="Arial" w:cs="Arial"/>
                <w:bCs/>
                <w:szCs w:val="24"/>
                <w:lang w:val="fr-CA" w:eastAsia="en-CA" w:bidi="en-US"/>
              </w:rPr>
              <w:t>Cannabis; Services auxiliaires à la production de plantes de cannabis; Fabrication du cannabis; Services de commerce de gros, y compris à forfait ou sous contrat; Services de commerce de détail, y compris à forfait ou sous contrat; Tous les autres services relatifs au cannabis qui ne sont pas visés par B, C, D et E</w:t>
            </w:r>
          </w:p>
        </w:tc>
      </w:tr>
      <w:tr w:rsidR="006A7ED5" w:rsidRPr="006A7ED5" w14:paraId="21800602"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04012C5E"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 xml:space="preserve">Classification de </w:t>
            </w:r>
            <w:proofErr w:type="spellStart"/>
            <w:proofErr w:type="gramStart"/>
            <w:r w:rsidRPr="006A7ED5">
              <w:rPr>
                <w:rFonts w:ascii="Arial" w:eastAsia="Calibri" w:hAnsi="Arial" w:cs="Arial"/>
                <w:b/>
                <w:szCs w:val="24"/>
                <w:lang w:eastAsia="en-CA" w:bidi="en-US"/>
              </w:rPr>
              <w:t>l’industrie</w:t>
            </w:r>
            <w:proofErr w:type="spellEnd"/>
            <w:r w:rsidRPr="006A7ED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3C0FD19D"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A, B, C, D, E, F</w:t>
            </w:r>
          </w:p>
        </w:tc>
        <w:tc>
          <w:tcPr>
            <w:tcW w:w="390" w:type="dxa"/>
            <w:tcBorders>
              <w:top w:val="nil"/>
              <w:left w:val="nil"/>
              <w:bottom w:val="single" w:sz="8" w:space="0" w:color="C0C0C0"/>
              <w:right w:val="nil"/>
            </w:tcBorders>
            <w:vAlign w:val="center"/>
            <w:hideMark/>
          </w:tcPr>
          <w:p w14:paraId="45E9481B"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 </w:t>
            </w:r>
          </w:p>
        </w:tc>
      </w:tr>
      <w:tr w:rsidR="006A7ED5" w:rsidRPr="0068240F" w14:paraId="73076D95"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4773382B"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Type</w:t>
            </w:r>
          </w:p>
          <w:p w14:paraId="2A3EA15D"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d’exception</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3FC13B29"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Article 201 (Traitement non discriminatoire), article 301 (Droit d’entrée et de sortie), article 307 (Accès aux marchés – Services), article 312 (Accès aux marchés – Investissement)</w:t>
            </w:r>
          </w:p>
        </w:tc>
      </w:tr>
      <w:tr w:rsidR="006A7ED5" w:rsidRPr="006A7ED5" w14:paraId="5164ADB3"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7F03D739" w14:textId="77777777" w:rsidR="006A7ED5" w:rsidRPr="006A7ED5" w:rsidRDefault="006A7ED5" w:rsidP="006A7ED5">
            <w:pPr>
              <w:spacing w:before="60" w:after="60"/>
              <w:rPr>
                <w:rFonts w:ascii="Arial" w:eastAsia="Calibri" w:hAnsi="Arial" w:cs="Arial"/>
                <w:b/>
                <w:szCs w:val="24"/>
                <w:lang w:eastAsia="en-CA" w:bidi="en-US"/>
              </w:rPr>
            </w:pPr>
            <w:proofErr w:type="gramStart"/>
            <w:r w:rsidRPr="006A7ED5">
              <w:rPr>
                <w:rFonts w:ascii="Arial" w:eastAsia="Calibri" w:hAnsi="Arial" w:cs="Arial"/>
                <w:b/>
                <w:szCs w:val="24"/>
                <w:lang w:eastAsia="en-CA" w:bidi="en-US"/>
              </w:rPr>
              <w:t>Description :</w:t>
            </w:r>
            <w:proofErr w:type="gramEnd"/>
            <w:r w:rsidRPr="006A7ED5">
              <w:rPr>
                <w:rFonts w:ascii="Arial" w:eastAsia="Calibri" w:hAnsi="Arial" w:cs="Arial"/>
                <w:b/>
                <w:szCs w:val="24"/>
                <w:lang w:eastAsia="en-CA" w:bidi="en-US"/>
              </w:rPr>
              <w:t xml:space="preserve"> </w:t>
            </w:r>
          </w:p>
        </w:tc>
      </w:tr>
      <w:tr w:rsidR="006A7ED5" w:rsidRPr="0068240F" w14:paraId="50844F80"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E689FF2"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Les Territoires du Nord-Ouest se réservent le droit d’adopter ou de maintenir toute mesure limitant l’accès aux marchés et le droit d’entrée et de sortie dans les sous-secteurs susmentionnés.</w:t>
            </w:r>
          </w:p>
          <w:p w14:paraId="2ECCBA51"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Les Territoires du Nord-Ouest se réservent le droit d’adopter ou de maintenir toute mesure contraire à l’article 201, mais uniquement en faveur des producteurs de cannabis des Territoires du Nord-Ouest et de leur production, dans les sous-secteurs susmentionnés.</w:t>
            </w:r>
          </w:p>
          <w:p w14:paraId="7F148020" w14:textId="77777777" w:rsidR="006A7ED5" w:rsidRPr="006A7ED5" w:rsidRDefault="006A7ED5" w:rsidP="006A7ED5">
            <w:pPr>
              <w:spacing w:before="60" w:after="60"/>
              <w:rPr>
                <w:rFonts w:ascii="Arial" w:eastAsia="Calibri" w:hAnsi="Arial" w:cs="Arial"/>
                <w:bCs/>
                <w:szCs w:val="24"/>
                <w:lang w:val="fr-CA" w:eastAsia="en-CA" w:bidi="en-US"/>
              </w:rPr>
            </w:pPr>
          </w:p>
        </w:tc>
      </w:tr>
      <w:tr w:rsidR="006A7ED5" w:rsidRPr="0068240F" w14:paraId="0C55DEF9"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7EEAAF59"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
                <w:szCs w:val="24"/>
                <w:lang w:val="fr-CA" w:eastAsia="en-CA" w:bidi="en-US"/>
              </w:rPr>
              <w:t>Toute mesure existante :</w:t>
            </w:r>
            <w:r w:rsidRPr="006A7ED5">
              <w:rPr>
                <w:rFonts w:ascii="Arial" w:eastAsia="Calibri" w:hAnsi="Arial" w:cs="Arial"/>
                <w:bCs/>
                <w:szCs w:val="24"/>
                <w:lang w:val="fr-CA" w:eastAsia="en-CA" w:bidi="en-US"/>
              </w:rPr>
              <w:t xml:space="preserve"> (À titre d’exemple seulement)</w:t>
            </w:r>
          </w:p>
        </w:tc>
      </w:tr>
      <w:tr w:rsidR="006A7ED5" w:rsidRPr="0068240F" w14:paraId="20277B9A"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5557B0D3"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Loi sur les produits du cannabis</w:t>
            </w:r>
            <w:r w:rsidRPr="006A7ED5">
              <w:rPr>
                <w:rFonts w:ascii="Arial" w:eastAsia="Calibri" w:hAnsi="Arial" w:cs="Arial"/>
                <w:bCs/>
                <w:szCs w:val="24"/>
                <w:lang w:val="fr-CA" w:eastAsia="en-CA" w:bidi="en-US"/>
              </w:rPr>
              <w:t>, LTN-O 2018, ch. 6</w:t>
            </w:r>
          </w:p>
        </w:tc>
      </w:tr>
    </w:tbl>
    <w:p w14:paraId="1CBFED75" w14:textId="77777777" w:rsidR="006A7ED5" w:rsidRPr="0068240F" w:rsidRDefault="006A7ED5" w:rsidP="000C25A3">
      <w:pPr>
        <w:rPr>
          <w:rFonts w:eastAsia="Times New Roman" w:cstheme="minorHAnsi"/>
          <w:b/>
          <w:szCs w:val="23"/>
          <w:lang w:val="fr-FR"/>
        </w:rPr>
      </w:pPr>
    </w:p>
    <w:p w14:paraId="176EB09E" w14:textId="77777777" w:rsidR="00B8348C" w:rsidRPr="0068240F" w:rsidRDefault="00B8348C" w:rsidP="000C25A3">
      <w:pPr>
        <w:rPr>
          <w:rFonts w:eastAsia="Times New Roman" w:cstheme="minorHAnsi"/>
          <w:b/>
          <w:szCs w:val="23"/>
          <w:lang w:val="fr-FR"/>
        </w:rPr>
      </w:pPr>
    </w:p>
    <w:p w14:paraId="18A881AA" w14:textId="6C5D15CB" w:rsidR="00B8348C" w:rsidRPr="0068240F" w:rsidRDefault="00B8348C" w:rsidP="000C25A3">
      <w:pPr>
        <w:rPr>
          <w:rFonts w:eastAsia="Times New Roman" w:cstheme="minorHAnsi"/>
          <w:b/>
          <w:szCs w:val="23"/>
          <w:lang w:val="fr-FR"/>
        </w:rPr>
      </w:pPr>
    </w:p>
    <w:p w14:paraId="13830BF6" w14:textId="77777777" w:rsidR="00B8348C" w:rsidRPr="0068240F" w:rsidRDefault="00B8348C" w:rsidP="000C25A3">
      <w:pPr>
        <w:rPr>
          <w:rFonts w:eastAsia="Times New Roman" w:cstheme="minorHAnsi"/>
          <w:b/>
          <w:szCs w:val="23"/>
          <w:lang w:val="fr-FR"/>
        </w:rPr>
      </w:pPr>
    </w:p>
    <w:p w14:paraId="414520B1" w14:textId="77777777" w:rsidR="00DB4893" w:rsidRPr="00F52884" w:rsidRDefault="00DB4893">
      <w:pPr>
        <w:rPr>
          <w:rFonts w:eastAsiaTheme="majorEastAsia" w:cstheme="minorHAnsi"/>
          <w:b/>
          <w:bCs/>
          <w:sz w:val="24"/>
          <w:szCs w:val="24"/>
          <w:lang w:val="fr-CA"/>
        </w:rPr>
      </w:pPr>
      <w:bookmarkStart w:id="328" w:name="_Toc476566362"/>
      <w:r w:rsidRPr="00F52884">
        <w:rPr>
          <w:rFonts w:cstheme="minorHAnsi"/>
          <w:sz w:val="24"/>
          <w:szCs w:val="24"/>
          <w:lang w:val="fr-CA"/>
        </w:rPr>
        <w:br w:type="page"/>
      </w:r>
    </w:p>
    <w:p w14:paraId="5B288166" w14:textId="2C151EA3" w:rsidR="00B8348C" w:rsidRPr="009A780E" w:rsidRDefault="00B8348C" w:rsidP="00F52884">
      <w:pPr>
        <w:pStyle w:val="Heading3"/>
        <w:jc w:val="center"/>
        <w:rPr>
          <w:rFonts w:asciiTheme="minorHAnsi" w:hAnsiTheme="minorHAnsi" w:cstheme="minorHAnsi"/>
          <w:sz w:val="24"/>
          <w:szCs w:val="24"/>
          <w:lang w:val="fr-FR"/>
        </w:rPr>
      </w:pPr>
      <w:bookmarkStart w:id="329" w:name="_Toc156311815"/>
      <w:r w:rsidRPr="00F52884">
        <w:rPr>
          <w:rFonts w:asciiTheme="minorHAnsi" w:hAnsiTheme="minorHAnsi" w:cstheme="minorHAnsi"/>
          <w:sz w:val="24"/>
          <w:szCs w:val="24"/>
          <w:lang w:val="fr-CA"/>
        </w:rPr>
        <w:lastRenderedPageBreak/>
        <w:t>Liste du Nunavut</w:t>
      </w:r>
      <w:bookmarkEnd w:id="328"/>
      <w:bookmarkEnd w:id="329"/>
    </w:p>
    <w:p w14:paraId="3BF90BA8" w14:textId="77777777" w:rsidR="00B8348C" w:rsidRPr="009A780E" w:rsidRDefault="00B8348C" w:rsidP="00F856A2">
      <w:pPr>
        <w:contextualSpacing/>
        <w:jc w:val="center"/>
        <w:rPr>
          <w:rFonts w:eastAsia="Times New Roman" w:cstheme="minorHAnsi"/>
          <w:sz w:val="24"/>
          <w:szCs w:val="24"/>
          <w:lang w:val="fr-FR"/>
        </w:rPr>
      </w:pPr>
    </w:p>
    <w:p w14:paraId="5C41118F" w14:textId="77777777" w:rsidR="00B8348C" w:rsidRPr="009A780E" w:rsidRDefault="00B8348C" w:rsidP="00F856A2">
      <w:pPr>
        <w:contextualSpacing/>
        <w:jc w:val="center"/>
        <w:rPr>
          <w:rFonts w:eastAsia="Times New Roman" w:cstheme="minorHAnsi"/>
          <w:b/>
          <w:sz w:val="24"/>
          <w:szCs w:val="24"/>
          <w:lang w:val="fr-FR"/>
        </w:rPr>
      </w:pPr>
      <w:r w:rsidRPr="00F52884">
        <w:rPr>
          <w:rFonts w:eastAsia="Times New Roman" w:cstheme="minorHAnsi"/>
          <w:b/>
          <w:bCs/>
          <w:sz w:val="24"/>
          <w:szCs w:val="24"/>
          <w:lang w:val="fr-CA"/>
        </w:rPr>
        <w:t>Annexe II</w:t>
      </w:r>
    </w:p>
    <w:p w14:paraId="474B7982" w14:textId="77777777" w:rsidR="00B8348C" w:rsidRPr="009A780E" w:rsidRDefault="00B8348C" w:rsidP="000C25A3">
      <w:pPr>
        <w:contextualSpacing/>
        <w:rPr>
          <w:rFonts w:eastAsia="Times New Roman" w:cstheme="minorHAnsi"/>
          <w:szCs w:val="23"/>
          <w:lang w:val="fr-FR"/>
        </w:rPr>
      </w:pPr>
    </w:p>
    <w:p w14:paraId="358152E8" w14:textId="41ECF099" w:rsidR="00B8348C" w:rsidRPr="00F52884" w:rsidRDefault="00B8348C" w:rsidP="001B12BD">
      <w:pPr>
        <w:spacing w:before="60" w:after="60"/>
        <w:ind w:left="-360"/>
        <w:rPr>
          <w:rFonts w:eastAsia="Arial" w:cstheme="minorHAnsi"/>
          <w:b/>
          <w:szCs w:val="23"/>
        </w:rPr>
      </w:pPr>
      <w:r w:rsidRPr="00F52884">
        <w:rPr>
          <w:rFonts w:eastAsia="Arial" w:cstheme="minorHAnsi"/>
          <w:b/>
          <w:bCs/>
          <w:szCs w:val="23"/>
          <w:lang w:val="fr-CA"/>
        </w:rPr>
        <w:t>1.</w:t>
      </w:r>
      <w:r w:rsidR="001B12BD" w:rsidRPr="00F52884">
        <w:rPr>
          <w:rFonts w:eastAsia="Arial" w:cstheme="minorHAnsi"/>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000" w:firstRow="0" w:lastRow="0" w:firstColumn="0" w:lastColumn="0" w:noHBand="0" w:noVBand="0"/>
      </w:tblPr>
      <w:tblGrid>
        <w:gridCol w:w="2520"/>
        <w:gridCol w:w="7351"/>
        <w:gridCol w:w="425"/>
      </w:tblGrid>
      <w:tr w:rsidR="00B8348C" w:rsidRPr="00F52884" w14:paraId="40C0EDDC"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3D567096"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382A1052"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Tous les secteurs</w:t>
            </w:r>
          </w:p>
        </w:tc>
      </w:tr>
      <w:tr w:rsidR="00B8348C" w:rsidRPr="00F52884" w14:paraId="3406A622" w14:textId="77777777" w:rsidTr="001B12BD">
        <w:trPr>
          <w:trHeight w:val="42"/>
          <w:jc w:val="center"/>
        </w:trPr>
        <w:tc>
          <w:tcPr>
            <w:tcW w:w="2520" w:type="dxa"/>
            <w:tcBorders>
              <w:top w:val="single" w:sz="4" w:space="0" w:color="C0C0C0"/>
              <w:left w:val="nil"/>
              <w:bottom w:val="single" w:sz="4" w:space="0" w:color="C0C0C0"/>
              <w:right w:val="single" w:sz="4" w:space="0" w:color="FFFFFF"/>
            </w:tcBorders>
            <w:vAlign w:val="center"/>
          </w:tcPr>
          <w:p w14:paraId="4471E31E"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6022D9B4"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Tous les sous-secteurs</w:t>
            </w:r>
          </w:p>
        </w:tc>
      </w:tr>
      <w:tr w:rsidR="00B8348C" w:rsidRPr="00F52884" w14:paraId="1E04D727" w14:textId="77777777" w:rsidTr="001B12BD">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tcPr>
          <w:p w14:paraId="7E2034B9" w14:textId="77777777" w:rsidR="00B8348C" w:rsidRPr="00F52884" w:rsidRDefault="00B8348C" w:rsidP="000C25A3">
            <w:pPr>
              <w:spacing w:before="60" w:after="60"/>
              <w:ind w:left="28" w:hanging="28"/>
              <w:rPr>
                <w:rFonts w:eastAsia="Arial" w:cstheme="minorHAnsi"/>
                <w:szCs w:val="23"/>
              </w:rPr>
            </w:pPr>
            <w:r w:rsidRPr="00F52884">
              <w:rPr>
                <w:rFonts w:eastAsia="Arial" w:cstheme="minorHAnsi"/>
                <w:b/>
                <w:bCs/>
                <w:szCs w:val="23"/>
                <w:lang w:val="fr-CA"/>
              </w:rPr>
              <w:t>Classification de l’industrie :</w:t>
            </w:r>
          </w:p>
        </w:tc>
        <w:tc>
          <w:tcPr>
            <w:tcW w:w="7351" w:type="dxa"/>
            <w:tcBorders>
              <w:top w:val="single" w:sz="4" w:space="0" w:color="C0C0C0"/>
              <w:left w:val="nil"/>
              <w:bottom w:val="single" w:sz="4" w:space="0" w:color="C0C0C0"/>
              <w:right w:val="single" w:sz="4" w:space="0" w:color="FFFFFF"/>
            </w:tcBorders>
            <w:vAlign w:val="center"/>
          </w:tcPr>
          <w:p w14:paraId="34939D43" w14:textId="77777777" w:rsidR="00B8348C" w:rsidRPr="00F52884" w:rsidRDefault="00B8348C" w:rsidP="000C25A3">
            <w:pPr>
              <w:spacing w:before="60" w:after="60"/>
              <w:ind w:left="28" w:hanging="28"/>
              <w:rPr>
                <w:rFonts w:eastAsia="Arial" w:cstheme="minorHAnsi"/>
                <w:szCs w:val="23"/>
              </w:rPr>
            </w:pPr>
          </w:p>
        </w:tc>
      </w:tr>
      <w:tr w:rsidR="00B8348C" w:rsidRPr="0068240F" w14:paraId="20D7B1E3" w14:textId="77777777" w:rsidTr="001B12BD">
        <w:trPr>
          <w:trHeight w:val="42"/>
          <w:jc w:val="center"/>
        </w:trPr>
        <w:tc>
          <w:tcPr>
            <w:tcW w:w="2520" w:type="dxa"/>
            <w:tcBorders>
              <w:top w:val="single" w:sz="4" w:space="0" w:color="C0C0C0"/>
              <w:left w:val="nil"/>
              <w:bottom w:val="single" w:sz="4" w:space="0" w:color="C0C0C0"/>
            </w:tcBorders>
          </w:tcPr>
          <w:p w14:paraId="3ABEB568" w14:textId="4CDE160B" w:rsidR="00B8348C" w:rsidRPr="00F52884" w:rsidRDefault="00B8348C" w:rsidP="000C25A3">
            <w:pPr>
              <w:spacing w:before="60" w:after="60"/>
              <w:rPr>
                <w:rFonts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tcBorders>
          </w:tcPr>
          <w:p w14:paraId="41422023" w14:textId="52D0F66E" w:rsidR="00B8348C" w:rsidRPr="00F52884" w:rsidRDefault="00B8348C" w:rsidP="00B8348C">
            <w:pPr>
              <w:spacing w:before="60" w:after="60"/>
              <w:rPr>
                <w:rFonts w:cstheme="minorHAnsi"/>
                <w:szCs w:val="23"/>
                <w:lang w:val="fr-FR"/>
              </w:rPr>
            </w:pPr>
            <w:r w:rsidRPr="00F52884">
              <w:rPr>
                <w:rFonts w:cstheme="minorHAnsi"/>
                <w:szCs w:val="23"/>
                <w:lang w:val="fr-CA"/>
              </w:rPr>
              <w:t xml:space="preserve">Toutes les obligations </w:t>
            </w:r>
            <w:r w:rsidR="00DB4893" w:rsidRPr="00F52884">
              <w:rPr>
                <w:rFonts w:cstheme="minorHAnsi"/>
                <w:szCs w:val="23"/>
                <w:lang w:val="fr-CA"/>
              </w:rPr>
              <w:t xml:space="preserve">en vertu </w:t>
            </w:r>
            <w:r w:rsidRPr="00F52884">
              <w:rPr>
                <w:rFonts w:cstheme="minorHAnsi"/>
                <w:szCs w:val="23"/>
                <w:lang w:val="fr-CA"/>
              </w:rPr>
              <w:t>du présent accord, sauf l’article 203 (Transparence), l’article 307 (Accès aux marchés – Services), l’article 308 (Prescriptions et procédures relatives à l’octroi de licences et aux qualifications), l’article 312 (Accès aux marchés – Investissement), l’article 320 (Stimulants interdits), l’alinéa 704(1)b) (Exigences en matière de résidence), l’article 705 (Reconnaissance professionnelle des travailleurs), le chapitre Cinq (Marchés publics) et le chapitre Six (Protection de l’environnement)</w:t>
            </w:r>
          </w:p>
        </w:tc>
      </w:tr>
      <w:tr w:rsidR="00B8348C" w:rsidRPr="00F52884" w14:paraId="03EC7A1A"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DD01CC5" w14:textId="77777777" w:rsidR="00B8348C" w:rsidRPr="00F52884" w:rsidRDefault="00B8348C" w:rsidP="000C25A3">
            <w:pPr>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6BFB614B" w14:textId="77777777" w:rsidTr="001B12BD">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214E454" w14:textId="77777777"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t xml:space="preserve">Les Parties reconnaissent que le territoire du Nunavut est assujetti à des facteurs socioéconomiques uniques qui ont entraîné des disparités économiques entre le Nunavut et d’autres Parties. Le présent accord ne peut être interprété comme ayant pour but d’empêcher le gouvernement du Nunavut de mettre en œuvre des politiques de développement économique et régional qui encouragent, à long terme, la création d’emplois, la croissance économique, la compétitivité industrielle et la réduction des disparités économiques. </w:t>
            </w:r>
            <w:r w:rsidRPr="00F52884">
              <w:rPr>
                <w:rFonts w:eastAsia="Arial" w:cstheme="minorHAnsi"/>
                <w:szCs w:val="23"/>
                <w:lang w:val="fr-CA"/>
              </w:rPr>
              <w:tab/>
            </w:r>
          </w:p>
          <w:p w14:paraId="16883CCA" w14:textId="358AA950"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t>Les politiques de développement économique et régional qu’il s’agisse d’un programme ou d’un régime d’origine législative, qui procurent des avantages doivent :</w:t>
            </w:r>
          </w:p>
          <w:p w14:paraId="0390D5CC" w14:textId="238E2341" w:rsidR="00B8348C" w:rsidRPr="00F52884" w:rsidRDefault="00B8348C" w:rsidP="00AA05B4">
            <w:pPr>
              <w:numPr>
                <w:ilvl w:val="1"/>
                <w:numId w:val="120"/>
              </w:numPr>
              <w:tabs>
                <w:tab w:val="clear" w:pos="1440"/>
              </w:tabs>
              <w:spacing w:before="120" w:after="120"/>
              <w:ind w:left="906" w:hanging="540"/>
              <w:rPr>
                <w:rFonts w:eastAsia="Arial" w:cstheme="minorHAnsi"/>
                <w:szCs w:val="23"/>
                <w:lang w:val="fr-FR"/>
              </w:rPr>
            </w:pPr>
            <w:proofErr w:type="gramStart"/>
            <w:r w:rsidRPr="00F52884">
              <w:rPr>
                <w:rFonts w:eastAsia="Arial" w:cstheme="minorHAnsi"/>
                <w:szCs w:val="23"/>
                <w:lang w:val="fr-CA"/>
              </w:rPr>
              <w:t>être</w:t>
            </w:r>
            <w:proofErr w:type="gramEnd"/>
            <w:r w:rsidRPr="00F52884">
              <w:rPr>
                <w:rFonts w:eastAsia="Arial" w:cstheme="minorHAnsi"/>
                <w:szCs w:val="23"/>
                <w:lang w:val="fr-CA"/>
              </w:rPr>
              <w:t xml:space="preserve"> désignées comme un programme de développement économique régional;</w:t>
            </w:r>
          </w:p>
          <w:p w14:paraId="6666A05D" w14:textId="77777777" w:rsidR="00B8348C" w:rsidRPr="00F52884" w:rsidRDefault="00B8348C" w:rsidP="00AA05B4">
            <w:pPr>
              <w:numPr>
                <w:ilvl w:val="1"/>
                <w:numId w:val="120"/>
              </w:numPr>
              <w:tabs>
                <w:tab w:val="clear" w:pos="1440"/>
              </w:tabs>
              <w:spacing w:before="120" w:after="120"/>
              <w:ind w:left="906" w:hanging="540"/>
              <w:rPr>
                <w:rFonts w:eastAsia="Arial" w:cstheme="minorHAnsi"/>
                <w:szCs w:val="23"/>
                <w:lang w:val="fr-FR"/>
              </w:rPr>
            </w:pPr>
            <w:proofErr w:type="gramStart"/>
            <w:r w:rsidRPr="00F52884">
              <w:rPr>
                <w:rFonts w:eastAsia="Arial" w:cstheme="minorHAnsi"/>
                <w:szCs w:val="23"/>
                <w:lang w:val="fr-CA"/>
              </w:rPr>
              <w:t>comporter</w:t>
            </w:r>
            <w:proofErr w:type="gramEnd"/>
            <w:r w:rsidRPr="00F52884">
              <w:rPr>
                <w:rFonts w:eastAsia="Arial" w:cstheme="minorHAnsi"/>
                <w:szCs w:val="23"/>
                <w:lang w:val="fr-CA"/>
              </w:rPr>
              <w:t xml:space="preserve"> des critères d’admissibilité ou des priorités en matière de développement fondés notamment sur des facteurs tels que la région géographique, le secteur industriel ou le groupe démographique;</w:t>
            </w:r>
          </w:p>
          <w:p w14:paraId="0A2304E7" w14:textId="77777777" w:rsidR="00B8348C" w:rsidRPr="00F52884" w:rsidRDefault="00B8348C" w:rsidP="00AA05B4">
            <w:pPr>
              <w:numPr>
                <w:ilvl w:val="1"/>
                <w:numId w:val="120"/>
              </w:numPr>
              <w:tabs>
                <w:tab w:val="clear" w:pos="1440"/>
              </w:tabs>
              <w:spacing w:before="120" w:after="120"/>
              <w:ind w:left="906" w:hanging="540"/>
              <w:rPr>
                <w:rFonts w:eastAsia="Arial" w:cstheme="minorHAnsi"/>
                <w:szCs w:val="23"/>
                <w:lang w:val="fr-FR"/>
              </w:rPr>
            </w:pPr>
            <w:proofErr w:type="gramStart"/>
            <w:r w:rsidRPr="00F52884">
              <w:rPr>
                <w:rFonts w:eastAsia="Arial" w:cstheme="minorHAnsi"/>
                <w:szCs w:val="23"/>
                <w:lang w:val="fr-CA"/>
              </w:rPr>
              <w:t>être</w:t>
            </w:r>
            <w:proofErr w:type="gramEnd"/>
            <w:r w:rsidRPr="00F52884">
              <w:rPr>
                <w:rFonts w:eastAsia="Arial" w:cstheme="minorHAnsi"/>
                <w:szCs w:val="23"/>
                <w:lang w:val="fr-CA"/>
              </w:rPr>
              <w:t xml:space="preserve"> ouvertes de façon générale aux bénéficiaires répondant aux critères d’admissibilité;</w:t>
            </w:r>
          </w:p>
          <w:p w14:paraId="7C7FC1B8" w14:textId="1EEB2924" w:rsidR="00B8348C" w:rsidRPr="00F52884" w:rsidRDefault="00B8348C" w:rsidP="00AA05B4">
            <w:pPr>
              <w:numPr>
                <w:ilvl w:val="1"/>
                <w:numId w:val="120"/>
              </w:numPr>
              <w:tabs>
                <w:tab w:val="clear" w:pos="1440"/>
              </w:tabs>
              <w:spacing w:before="120" w:after="120"/>
              <w:ind w:left="906" w:hanging="540"/>
              <w:rPr>
                <w:rFonts w:eastAsia="Arial" w:cstheme="minorHAnsi"/>
                <w:szCs w:val="23"/>
                <w:lang w:val="fr-FR"/>
              </w:rPr>
            </w:pPr>
            <w:proofErr w:type="gramStart"/>
            <w:r w:rsidRPr="00F52884">
              <w:rPr>
                <w:rFonts w:eastAsia="Arial" w:cstheme="minorHAnsi"/>
                <w:szCs w:val="23"/>
                <w:lang w:val="fr-CA"/>
              </w:rPr>
              <w:t>satisfaire</w:t>
            </w:r>
            <w:proofErr w:type="gramEnd"/>
            <w:r w:rsidRPr="00F52884">
              <w:rPr>
                <w:rFonts w:eastAsia="Arial" w:cstheme="minorHAnsi"/>
                <w:szCs w:val="23"/>
                <w:lang w:val="fr-CA"/>
              </w:rPr>
              <w:t xml:space="preserve"> à des objectifs mesurables de développement économique.</w:t>
            </w:r>
          </w:p>
          <w:p w14:paraId="4C37ABB3" w14:textId="75385EE3"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t xml:space="preserve">Les politiques ou les accords de développement économique régional, qu’il s’agisse d’un programme ou d’un régime d’origine législative, exigeant la conformité pour la réception ou le maintien d’un avantage </w:t>
            </w:r>
            <w:r w:rsidR="002454AE" w:rsidRPr="00F52884">
              <w:rPr>
                <w:rFonts w:eastAsia="Arial" w:cstheme="minorHAnsi"/>
                <w:szCs w:val="23"/>
                <w:lang w:val="fr-CA"/>
              </w:rPr>
              <w:t>peuvent être propres à un secteur industriel et à des personnes, à des investisseurs ou à des entreprises et doivent</w:t>
            </w:r>
            <w:r w:rsidRPr="00F52884">
              <w:rPr>
                <w:rFonts w:eastAsia="Arial" w:cstheme="minorHAnsi"/>
                <w:szCs w:val="23"/>
                <w:lang w:val="fr-CA"/>
              </w:rPr>
              <w:t>:</w:t>
            </w:r>
          </w:p>
          <w:p w14:paraId="0EC2D59C" w14:textId="77777777" w:rsidR="00B8348C" w:rsidRPr="00F52884" w:rsidRDefault="00B8348C" w:rsidP="00FC4CF0">
            <w:pPr>
              <w:numPr>
                <w:ilvl w:val="0"/>
                <w:numId w:val="304"/>
              </w:numPr>
              <w:spacing w:before="120" w:after="120"/>
              <w:ind w:left="906" w:hanging="540"/>
              <w:rPr>
                <w:rFonts w:eastAsia="Arial" w:cstheme="minorHAnsi"/>
                <w:szCs w:val="23"/>
                <w:lang w:val="fr-FR"/>
              </w:rPr>
            </w:pPr>
            <w:proofErr w:type="gramStart"/>
            <w:r w:rsidRPr="00F52884">
              <w:rPr>
                <w:rFonts w:eastAsia="Arial" w:cstheme="minorHAnsi"/>
                <w:szCs w:val="23"/>
                <w:lang w:val="fr-CA"/>
              </w:rPr>
              <w:t>être</w:t>
            </w:r>
            <w:proofErr w:type="gramEnd"/>
            <w:r w:rsidRPr="00F52884">
              <w:rPr>
                <w:rFonts w:eastAsia="Arial" w:cstheme="minorHAnsi"/>
                <w:szCs w:val="23"/>
                <w:lang w:val="fr-CA"/>
              </w:rPr>
              <w:t xml:space="preserve"> désignés comme un programme de développement économique et régional ou un accord de partenariat;</w:t>
            </w:r>
          </w:p>
          <w:p w14:paraId="2DAD49F7" w14:textId="4CA195EE" w:rsidR="00B8348C" w:rsidRPr="00F52884" w:rsidRDefault="00B8348C" w:rsidP="00F52884">
            <w:pPr>
              <w:numPr>
                <w:ilvl w:val="0"/>
                <w:numId w:val="304"/>
              </w:numPr>
              <w:spacing w:before="120" w:after="120"/>
              <w:ind w:left="906" w:hanging="540"/>
              <w:rPr>
                <w:rFonts w:eastAsia="Arial" w:cstheme="minorHAnsi"/>
                <w:szCs w:val="23"/>
                <w:lang w:val="fr-FR"/>
              </w:rPr>
            </w:pPr>
            <w:proofErr w:type="gramStart"/>
            <w:r w:rsidRPr="00F52884">
              <w:rPr>
                <w:rFonts w:eastAsia="Arial" w:cstheme="minorHAnsi"/>
                <w:szCs w:val="23"/>
                <w:lang w:val="fr-CA"/>
              </w:rPr>
              <w:t>énoncer</w:t>
            </w:r>
            <w:proofErr w:type="gramEnd"/>
            <w:r w:rsidRPr="00F52884">
              <w:rPr>
                <w:rFonts w:eastAsia="Arial" w:cstheme="minorHAnsi"/>
                <w:szCs w:val="23"/>
                <w:lang w:val="fr-CA"/>
              </w:rPr>
              <w:t xml:space="preserve"> les exigences de conformité mesurables devant être satisfaites pour la réception ou le maintien d’un avantage;</w:t>
            </w:r>
          </w:p>
        </w:tc>
      </w:tr>
      <w:tr w:rsidR="00B8348C" w:rsidRPr="00F52884" w14:paraId="483BB371"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5D06EE9"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lastRenderedPageBreak/>
              <w:t>Toute mesure existante :</w:t>
            </w:r>
            <w:r w:rsidRPr="00F52884">
              <w:rPr>
                <w:rFonts w:eastAsia="Arial" w:cstheme="minorHAnsi"/>
                <w:caps/>
                <w:szCs w:val="23"/>
                <w:lang w:val="fr-CA"/>
              </w:rPr>
              <w:t xml:space="preserve"> </w:t>
            </w:r>
          </w:p>
        </w:tc>
      </w:tr>
      <w:tr w:rsidR="00B8348C" w:rsidRPr="00F52884" w14:paraId="3610A283" w14:textId="77777777" w:rsidTr="001B12BD">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auto"/>
          </w:tcPr>
          <w:p w14:paraId="355FC4E0" w14:textId="77777777" w:rsidR="00B8348C" w:rsidRPr="00F52884" w:rsidRDefault="00B8348C" w:rsidP="000C25A3">
            <w:pPr>
              <w:spacing w:before="60" w:after="60"/>
              <w:rPr>
                <w:rFonts w:eastAsia="Arial" w:cstheme="minorHAnsi"/>
                <w:b/>
                <w:szCs w:val="23"/>
              </w:rPr>
            </w:pPr>
          </w:p>
        </w:tc>
      </w:tr>
    </w:tbl>
    <w:p w14:paraId="37374CF6" w14:textId="77777777" w:rsidR="00B8348C" w:rsidRPr="00F52884" w:rsidRDefault="00B8348C" w:rsidP="000C25A3">
      <w:pPr>
        <w:rPr>
          <w:rFonts w:eastAsia="Arial" w:cstheme="minorHAnsi"/>
          <w:b/>
          <w:szCs w:val="23"/>
        </w:rPr>
      </w:pPr>
    </w:p>
    <w:p w14:paraId="5F905D3F" w14:textId="77777777" w:rsidR="00B8348C" w:rsidRPr="00F52884" w:rsidRDefault="00B8348C" w:rsidP="000C25A3">
      <w:pPr>
        <w:ind w:left="-360"/>
        <w:rPr>
          <w:rFonts w:eastAsia="Arial" w:cstheme="minorHAnsi"/>
          <w:szCs w:val="23"/>
        </w:rPr>
      </w:pPr>
    </w:p>
    <w:p w14:paraId="40561899" w14:textId="2AB74469"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2.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9871"/>
        <w:gridCol w:w="425"/>
      </w:tblGrid>
      <w:tr w:rsidR="00B8348C" w:rsidRPr="00F52884" w14:paraId="3FA13ECE" w14:textId="77777777" w:rsidTr="00FC4CF0">
        <w:trPr>
          <w:trHeight w:val="42"/>
          <w:jc w:val="center"/>
        </w:trPr>
        <w:tc>
          <w:tcPr>
            <w:tcW w:w="10296" w:type="dxa"/>
            <w:gridSpan w:val="2"/>
            <w:tcBorders>
              <w:top w:val="single" w:sz="4" w:space="0" w:color="C0C0C0"/>
              <w:left w:val="nil"/>
              <w:bottom w:val="single" w:sz="4" w:space="0" w:color="C0C0C0"/>
              <w:right w:val="single" w:sz="4" w:space="0" w:color="FFFFFF"/>
            </w:tcBorders>
            <w:vAlign w:val="center"/>
            <w:hideMark/>
          </w:tcPr>
          <w:p w14:paraId="41FA6FD6"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r w:rsidRPr="00F52884">
              <w:rPr>
                <w:rFonts w:eastAsia="Arial" w:cstheme="minorHAnsi"/>
                <w:szCs w:val="23"/>
                <w:lang w:val="fr-CA"/>
              </w:rPr>
              <w:t>Tous les secteurs</w:t>
            </w:r>
          </w:p>
        </w:tc>
      </w:tr>
      <w:tr w:rsidR="00B8348C" w:rsidRPr="0068240F" w14:paraId="3BA0EE89" w14:textId="77777777" w:rsidTr="00FC4CF0">
        <w:trPr>
          <w:trHeight w:val="42"/>
          <w:jc w:val="center"/>
        </w:trPr>
        <w:tc>
          <w:tcPr>
            <w:tcW w:w="10296" w:type="dxa"/>
            <w:gridSpan w:val="2"/>
            <w:tcBorders>
              <w:top w:val="single" w:sz="4" w:space="0" w:color="C0C0C0"/>
              <w:left w:val="nil"/>
              <w:bottom w:val="single" w:sz="4" w:space="0" w:color="C0C0C0"/>
              <w:right w:val="single" w:sz="4" w:space="0" w:color="FFFFFF"/>
            </w:tcBorders>
            <w:vAlign w:val="center"/>
            <w:hideMark/>
          </w:tcPr>
          <w:p w14:paraId="27F34B6A" w14:textId="77777777" w:rsidR="00B8348C" w:rsidRPr="00F52884" w:rsidRDefault="00B8348C" w:rsidP="000C25A3">
            <w:pPr>
              <w:spacing w:before="60" w:after="60"/>
              <w:rPr>
                <w:rFonts w:eastAsia="Arial" w:cstheme="minorHAnsi"/>
                <w:szCs w:val="23"/>
                <w:lang w:val="fr-FR"/>
              </w:rPr>
            </w:pPr>
            <w:r w:rsidRPr="00F52884">
              <w:rPr>
                <w:rFonts w:eastAsia="Arial" w:cstheme="minorHAnsi"/>
                <w:b/>
                <w:bCs/>
                <w:szCs w:val="23"/>
                <w:lang w:val="fr-CA"/>
              </w:rPr>
              <w:t xml:space="preserve">Sous-secteur : </w:t>
            </w:r>
            <w:r w:rsidRPr="00F52884">
              <w:rPr>
                <w:rFonts w:eastAsia="Arial" w:cstheme="minorHAnsi"/>
                <w:szCs w:val="23"/>
                <w:lang w:val="fr-CA"/>
              </w:rPr>
              <w:t>Tous les sous-secteurs</w:t>
            </w:r>
          </w:p>
        </w:tc>
      </w:tr>
      <w:tr w:rsidR="00B8348C" w:rsidRPr="00F52884" w14:paraId="1C28DF74" w14:textId="77777777" w:rsidTr="00FC4CF0">
        <w:trPr>
          <w:gridAfter w:val="1"/>
          <w:wAfter w:w="425" w:type="dxa"/>
          <w:trHeight w:val="42"/>
          <w:jc w:val="center"/>
        </w:trPr>
        <w:tc>
          <w:tcPr>
            <w:tcW w:w="9871" w:type="dxa"/>
            <w:tcBorders>
              <w:top w:val="single" w:sz="4" w:space="0" w:color="C0C0C0"/>
              <w:left w:val="nil"/>
              <w:bottom w:val="single" w:sz="4" w:space="0" w:color="C0C0C0"/>
              <w:right w:val="single" w:sz="4" w:space="0" w:color="FFFFFF"/>
            </w:tcBorders>
            <w:vAlign w:val="center"/>
            <w:hideMark/>
          </w:tcPr>
          <w:p w14:paraId="27EBCD1F" w14:textId="77777777" w:rsidR="00B8348C" w:rsidRPr="00F52884" w:rsidRDefault="00B8348C" w:rsidP="000C25A3">
            <w:pPr>
              <w:spacing w:before="60" w:after="60"/>
              <w:ind w:left="28" w:hanging="28"/>
              <w:rPr>
                <w:rFonts w:eastAsia="Arial" w:cstheme="minorHAnsi"/>
                <w:szCs w:val="23"/>
              </w:rPr>
            </w:pPr>
            <w:r w:rsidRPr="00F52884">
              <w:rPr>
                <w:rFonts w:eastAsia="Arial" w:cstheme="minorHAnsi"/>
                <w:b/>
                <w:bCs/>
                <w:szCs w:val="23"/>
                <w:lang w:val="fr-CA"/>
              </w:rPr>
              <w:t>Classification de l’industrie :</w:t>
            </w:r>
          </w:p>
        </w:tc>
      </w:tr>
      <w:tr w:rsidR="00B8348C" w:rsidRPr="0068240F" w14:paraId="16127543" w14:textId="77777777" w:rsidTr="00FC4CF0">
        <w:trPr>
          <w:trHeight w:val="42"/>
          <w:jc w:val="center"/>
        </w:trPr>
        <w:tc>
          <w:tcPr>
            <w:tcW w:w="10296" w:type="dxa"/>
            <w:gridSpan w:val="2"/>
            <w:tcBorders>
              <w:top w:val="single" w:sz="4" w:space="0" w:color="C0C0C0"/>
              <w:left w:val="nil"/>
              <w:bottom w:val="single" w:sz="4" w:space="0" w:color="C0C0C0"/>
              <w:right w:val="nil"/>
            </w:tcBorders>
            <w:hideMark/>
          </w:tcPr>
          <w:p w14:paraId="671119AA" w14:textId="6E01B243" w:rsidR="00B8348C" w:rsidRPr="00F52884" w:rsidRDefault="00B8348C" w:rsidP="000C25A3">
            <w:pPr>
              <w:spacing w:before="60" w:after="60"/>
              <w:ind w:left="432" w:hanging="432"/>
              <w:rPr>
                <w:rFonts w:eastAsia="Times New Roman" w:cstheme="minorHAnsi"/>
                <w:szCs w:val="23"/>
                <w:lang w:val="fr-FR"/>
              </w:rPr>
            </w:pPr>
            <w:r w:rsidRPr="00F52884">
              <w:rPr>
                <w:rFonts w:eastAsia="Times New Roman" w:cstheme="minorHAnsi"/>
                <w:b/>
                <w:bCs/>
                <w:szCs w:val="23"/>
                <w:lang w:val="fr-CA"/>
              </w:rPr>
              <w:t xml:space="preserve">Type d’exception : </w:t>
            </w:r>
            <w:r w:rsidRPr="00F52884">
              <w:rPr>
                <w:rFonts w:eastAsia="Times New Roman" w:cstheme="minorHAnsi"/>
                <w:szCs w:val="23"/>
                <w:lang w:val="fr-CA"/>
              </w:rPr>
              <w:t>Toutes les obligations en vertu du présent accord</w:t>
            </w:r>
          </w:p>
        </w:tc>
      </w:tr>
      <w:tr w:rsidR="00B8348C" w:rsidRPr="00F52884" w14:paraId="15248987" w14:textId="77777777" w:rsidTr="00FC4CF0">
        <w:trPr>
          <w:trHeight w:val="42"/>
          <w:jc w:val="center"/>
        </w:trPr>
        <w:tc>
          <w:tcPr>
            <w:tcW w:w="10296"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5D295165"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5164587B" w14:textId="77777777" w:rsidTr="00FC4CF0">
        <w:trPr>
          <w:trHeight w:val="120"/>
          <w:jc w:val="center"/>
        </w:trPr>
        <w:tc>
          <w:tcPr>
            <w:tcW w:w="10296" w:type="dxa"/>
            <w:gridSpan w:val="2"/>
            <w:tcBorders>
              <w:top w:val="single" w:sz="4" w:space="0" w:color="C0C0C0"/>
              <w:left w:val="single" w:sz="4" w:space="0" w:color="C0C0C0"/>
              <w:bottom w:val="single" w:sz="4" w:space="0" w:color="C0C0C0"/>
              <w:right w:val="single" w:sz="4" w:space="0" w:color="C0C0C0"/>
            </w:tcBorders>
          </w:tcPr>
          <w:p w14:paraId="35BCC0DB"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 xml:space="preserve">Les Parties reconnaissent que le territoire du Nunavut est assujetti à des facteurs géographiques et climatiques extrêmes qui limitent la viabilité commerciale de solutions axées sur les marchés pour certains secteurs et certaines industries et régions géographiques. Ces facteurs peuvent aussi entraîner une hausse de coûts pour la prestation de services, la logistique liée aux transports ou l’atténuation des répercussions sociales ou environnementales négatives de l’activité économique. </w:t>
            </w:r>
          </w:p>
          <w:p w14:paraId="253F6FF8" w14:textId="77777777" w:rsidR="00B8348C" w:rsidRPr="00F52884" w:rsidRDefault="00B8348C" w:rsidP="000C25A3">
            <w:pPr>
              <w:spacing w:before="120" w:after="120"/>
              <w:rPr>
                <w:rFonts w:cstheme="minorHAnsi"/>
                <w:szCs w:val="23"/>
                <w:lang w:val="fr-FR"/>
              </w:rPr>
            </w:pPr>
            <w:r w:rsidRPr="00F52884">
              <w:rPr>
                <w:rFonts w:cstheme="minorHAnsi"/>
                <w:szCs w:val="23"/>
                <w:lang w:val="fr-CA"/>
              </w:rPr>
              <w:t>Lorsqu’il est établi qu’une mesure adoptée afin de faire face aux questions liées aux facteurs géographiques ou climatiques extrêmes est incompatible avec le présent accord, cette mesure demeure permise si les conditions suivantes sont réunies :</w:t>
            </w:r>
          </w:p>
          <w:p w14:paraId="0DB751D7" w14:textId="53D510C1" w:rsidR="00B8348C" w:rsidRPr="00F52884" w:rsidRDefault="00B8348C" w:rsidP="000C25A3">
            <w:pPr>
              <w:spacing w:before="120" w:after="120"/>
              <w:ind w:left="906" w:hanging="540"/>
              <w:rPr>
                <w:rFonts w:eastAsia="Arial" w:cstheme="minorHAnsi"/>
                <w:szCs w:val="23"/>
                <w:lang w:val="fr-FR"/>
              </w:rPr>
            </w:pPr>
            <w:r w:rsidRPr="00F52884">
              <w:rPr>
                <w:rFonts w:eastAsia="Arial" w:cstheme="minorHAnsi"/>
                <w:szCs w:val="23"/>
                <w:lang w:val="fr-CA"/>
              </w:rPr>
              <w:t xml:space="preserve">a)   </w:t>
            </w:r>
            <w:r w:rsidR="00FC4CF0" w:rsidRPr="00F52884">
              <w:rPr>
                <w:rFonts w:eastAsia="Arial" w:cstheme="minorHAnsi"/>
                <w:szCs w:val="23"/>
                <w:lang w:val="fr-CA"/>
              </w:rPr>
              <w:tab/>
            </w:r>
            <w:r w:rsidRPr="00F52884">
              <w:rPr>
                <w:rFonts w:eastAsia="Arial" w:cstheme="minorHAnsi"/>
                <w:szCs w:val="23"/>
                <w:lang w:val="fr-CA"/>
              </w:rPr>
              <w:t>la mesure a pour objet de surmonter des conditions géographiques ou climatiques extrêmes;</w:t>
            </w:r>
          </w:p>
          <w:p w14:paraId="4CCB694A" w14:textId="73574C2B" w:rsidR="00B8348C" w:rsidRPr="00F52884" w:rsidRDefault="00B8348C" w:rsidP="000C25A3">
            <w:pPr>
              <w:spacing w:before="120" w:after="120"/>
              <w:ind w:left="906" w:hanging="540"/>
              <w:rPr>
                <w:rFonts w:eastAsia="Arial" w:cstheme="minorHAnsi"/>
                <w:szCs w:val="23"/>
                <w:lang w:val="fr-FR"/>
              </w:rPr>
            </w:pPr>
            <w:r w:rsidRPr="00F52884">
              <w:rPr>
                <w:rFonts w:eastAsia="Arial" w:cstheme="minorHAnsi"/>
                <w:szCs w:val="23"/>
                <w:lang w:val="fr-CA"/>
              </w:rPr>
              <w:t>b)</w:t>
            </w:r>
            <w:r w:rsidRPr="00F52884">
              <w:rPr>
                <w:rFonts w:eastAsia="Arial" w:cstheme="minorHAnsi"/>
                <w:szCs w:val="23"/>
                <w:lang w:val="fr-CA"/>
              </w:rPr>
              <w:tab/>
              <w:t>la mesure n’est pas appliquée d’une manière qui constituerait une discrimination arbitraire ou injustifiée entre les Parties;</w:t>
            </w:r>
          </w:p>
          <w:p w14:paraId="329320F6" w14:textId="2AEE2949" w:rsidR="00B8348C" w:rsidRPr="00F52884" w:rsidRDefault="00B8348C" w:rsidP="000C25A3">
            <w:pPr>
              <w:spacing w:before="120" w:after="120"/>
              <w:ind w:left="906" w:hanging="540"/>
              <w:rPr>
                <w:rFonts w:eastAsia="Arial" w:cstheme="minorHAnsi"/>
                <w:szCs w:val="23"/>
                <w:lang w:val="fr-FR"/>
              </w:rPr>
            </w:pPr>
            <w:r w:rsidRPr="00F52884">
              <w:rPr>
                <w:rFonts w:eastAsia="Arial" w:cstheme="minorHAnsi"/>
                <w:szCs w:val="23"/>
                <w:lang w:val="fr-CA"/>
              </w:rPr>
              <w:t xml:space="preserve">c)   </w:t>
            </w:r>
            <w:r w:rsidR="00FC4CF0" w:rsidRPr="00F52884">
              <w:rPr>
                <w:rFonts w:eastAsia="Arial" w:cstheme="minorHAnsi"/>
                <w:szCs w:val="23"/>
                <w:lang w:val="fr-CA"/>
              </w:rPr>
              <w:tab/>
            </w:r>
            <w:r w:rsidRPr="00F52884">
              <w:rPr>
                <w:rFonts w:eastAsia="Arial" w:cstheme="minorHAnsi"/>
                <w:szCs w:val="23"/>
                <w:lang w:val="fr-CA"/>
              </w:rPr>
              <w:t>la mesure n’est pas appliquée d’une manière qui crée une restriction déguisée du commerce.</w:t>
            </w:r>
          </w:p>
        </w:tc>
      </w:tr>
      <w:tr w:rsidR="00B8348C" w:rsidRPr="00F52884" w14:paraId="3E372EA1" w14:textId="77777777" w:rsidTr="00FC4CF0">
        <w:trPr>
          <w:trHeight w:val="42"/>
          <w:jc w:val="center"/>
        </w:trPr>
        <w:tc>
          <w:tcPr>
            <w:tcW w:w="10296"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11A33BBB"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5C24213D" w14:textId="77777777" w:rsidTr="00FC4CF0">
        <w:trPr>
          <w:trHeight w:val="42"/>
          <w:jc w:val="center"/>
        </w:trPr>
        <w:tc>
          <w:tcPr>
            <w:tcW w:w="10296" w:type="dxa"/>
            <w:gridSpan w:val="2"/>
            <w:tcBorders>
              <w:top w:val="single" w:sz="4" w:space="0" w:color="C0C0C0"/>
              <w:left w:val="single" w:sz="4" w:space="0" w:color="C0C0C0"/>
              <w:bottom w:val="single" w:sz="4" w:space="0" w:color="C0C0C0"/>
              <w:right w:val="single" w:sz="4" w:space="0" w:color="C0C0C0"/>
            </w:tcBorders>
          </w:tcPr>
          <w:p w14:paraId="6604AB15" w14:textId="77777777" w:rsidR="00B8348C" w:rsidRPr="00F52884" w:rsidRDefault="00B8348C" w:rsidP="000C25A3">
            <w:pPr>
              <w:rPr>
                <w:rFonts w:eastAsia="Arial" w:cstheme="minorHAnsi"/>
                <w:b/>
                <w:szCs w:val="23"/>
              </w:rPr>
            </w:pPr>
          </w:p>
        </w:tc>
      </w:tr>
    </w:tbl>
    <w:p w14:paraId="711C0E7A" w14:textId="77777777" w:rsidR="00B8348C" w:rsidRPr="00F52884" w:rsidRDefault="00B8348C" w:rsidP="000C25A3">
      <w:pPr>
        <w:rPr>
          <w:rFonts w:eastAsia="Arial" w:cstheme="minorHAnsi"/>
          <w:b/>
          <w:szCs w:val="23"/>
        </w:rPr>
      </w:pPr>
    </w:p>
    <w:p w14:paraId="5C645F0C" w14:textId="77777777" w:rsidR="00B8348C" w:rsidRPr="00F52884" w:rsidRDefault="00B8348C" w:rsidP="000C25A3">
      <w:pPr>
        <w:ind w:left="-360"/>
        <w:rPr>
          <w:rFonts w:eastAsia="Arial" w:cstheme="minorHAnsi"/>
          <w:szCs w:val="23"/>
        </w:rPr>
      </w:pPr>
    </w:p>
    <w:p w14:paraId="119F2B99" w14:textId="4BADB5AA"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3.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490BE816"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258571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3210C96B"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Élevage ou chasse</w:t>
            </w:r>
          </w:p>
        </w:tc>
      </w:tr>
      <w:tr w:rsidR="00B8348C" w:rsidRPr="00F52884" w14:paraId="23EE832C"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68D36224"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1068EA3B"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Tous les sous-secteurs</w:t>
            </w:r>
          </w:p>
        </w:tc>
      </w:tr>
      <w:tr w:rsidR="00B8348C" w:rsidRPr="00F52884" w14:paraId="4B3649CA" w14:textId="77777777" w:rsidTr="00FC4CF0">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102AE922" w14:textId="77777777" w:rsidR="00B8348C" w:rsidRPr="00F52884" w:rsidRDefault="00B8348C" w:rsidP="000C25A3">
            <w:pPr>
              <w:spacing w:before="60" w:after="60"/>
              <w:ind w:left="28" w:hanging="28"/>
              <w:rPr>
                <w:rFonts w:eastAsia="Arial" w:cstheme="minorHAnsi"/>
                <w:szCs w:val="23"/>
              </w:rPr>
            </w:pPr>
            <w:r w:rsidRPr="00F52884">
              <w:rPr>
                <w:rFonts w:eastAsia="Arial"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593E6F07" w14:textId="77777777" w:rsidR="00B8348C" w:rsidRPr="00F52884" w:rsidRDefault="00B8348C" w:rsidP="000C25A3">
            <w:pPr>
              <w:spacing w:before="60" w:after="60"/>
              <w:ind w:left="28" w:hanging="28"/>
              <w:rPr>
                <w:rFonts w:eastAsia="Arial" w:cstheme="minorHAnsi"/>
                <w:szCs w:val="23"/>
              </w:rPr>
            </w:pPr>
            <w:r w:rsidRPr="00F52884">
              <w:rPr>
                <w:rFonts w:eastAsia="Arial" w:cstheme="minorHAnsi"/>
                <w:szCs w:val="23"/>
                <w:lang w:val="fr-CA"/>
              </w:rPr>
              <w:t>CPC 8812, 8813</w:t>
            </w:r>
          </w:p>
        </w:tc>
      </w:tr>
      <w:tr w:rsidR="00B8348C" w:rsidRPr="0068240F" w14:paraId="611F86EB" w14:textId="77777777" w:rsidTr="00FC4CF0">
        <w:trPr>
          <w:trHeight w:val="42"/>
          <w:jc w:val="center"/>
        </w:trPr>
        <w:tc>
          <w:tcPr>
            <w:tcW w:w="2520" w:type="dxa"/>
            <w:tcBorders>
              <w:top w:val="single" w:sz="4" w:space="0" w:color="C0C0C0"/>
              <w:left w:val="nil"/>
              <w:bottom w:val="single" w:sz="4" w:space="0" w:color="C0C0C0"/>
              <w:right w:val="nil"/>
            </w:tcBorders>
            <w:hideMark/>
          </w:tcPr>
          <w:p w14:paraId="7CB9B9F3" w14:textId="52209645" w:rsidR="00B8348C" w:rsidRPr="00F52884" w:rsidDel="007E35B3"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7C1F8ADF"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22CD291D"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1187D398"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5DCD5ECE" w14:textId="77777777" w:rsidTr="00FC4CF0">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33AF0E89"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lastRenderedPageBreak/>
              <w:t>Le Nunavut se réserve le droit d’adopter ou de maintenir une mesure limitant l’accès aux marchés et le droit d’entrée et de sortie dans les sous-secteurs susmentionnés.</w:t>
            </w:r>
          </w:p>
        </w:tc>
      </w:tr>
      <w:tr w:rsidR="00B8348C" w:rsidRPr="00F52884" w14:paraId="61CEB88C"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2ABAF827"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2FBC41EC"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28ABE88" w14:textId="77777777" w:rsidR="00B8348C" w:rsidRPr="00F52884" w:rsidRDefault="00B8348C" w:rsidP="000C25A3">
            <w:pPr>
              <w:spacing w:before="60" w:after="60"/>
              <w:rPr>
                <w:rFonts w:eastAsia="Arial" w:cstheme="minorHAnsi"/>
                <w:b/>
                <w:szCs w:val="23"/>
              </w:rPr>
            </w:pPr>
          </w:p>
        </w:tc>
      </w:tr>
    </w:tbl>
    <w:p w14:paraId="6439BE65" w14:textId="77777777" w:rsidR="00B8348C" w:rsidRPr="00F52884" w:rsidRDefault="00B8348C" w:rsidP="000C25A3">
      <w:pPr>
        <w:rPr>
          <w:rFonts w:eastAsia="Arial" w:cstheme="minorHAnsi"/>
          <w:b/>
          <w:szCs w:val="23"/>
        </w:rPr>
      </w:pPr>
    </w:p>
    <w:p w14:paraId="164A035C" w14:textId="77777777" w:rsidR="00B8348C" w:rsidRPr="00F52884" w:rsidRDefault="00B8348C" w:rsidP="000C25A3">
      <w:pPr>
        <w:ind w:left="-360"/>
        <w:rPr>
          <w:rFonts w:eastAsia="Arial" w:cstheme="minorHAnsi"/>
          <w:szCs w:val="23"/>
        </w:rPr>
      </w:pPr>
    </w:p>
    <w:p w14:paraId="306F8BA8" w14:textId="38950A13"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4.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37AE58CA"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424D7E74"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31F8FA7D"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Boissons alcoolisées</w:t>
            </w:r>
          </w:p>
        </w:tc>
      </w:tr>
      <w:tr w:rsidR="00B8348C" w:rsidRPr="0068240F" w14:paraId="4A76C8B7"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6910CE2"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75A80939" w14:textId="77777777" w:rsidR="00B8348C" w:rsidRPr="00F52884" w:rsidRDefault="00B8348C" w:rsidP="000C25A3">
            <w:pPr>
              <w:spacing w:before="60" w:after="60"/>
              <w:rPr>
                <w:rFonts w:cstheme="minorHAnsi"/>
                <w:szCs w:val="23"/>
                <w:lang w:val="fr-FR"/>
              </w:rPr>
            </w:pPr>
            <w:r w:rsidRPr="00F52884">
              <w:rPr>
                <w:rFonts w:cstheme="minorHAnsi"/>
                <w:szCs w:val="23"/>
                <w:lang w:val="fr-CA"/>
              </w:rPr>
              <w:t>Services de courtage; services de commerce de gros; services de commerce de détail (spiritueux, vin et bière; magasins de bière, de vin et de spiritueux); fabrication de boissons alcoolisées</w:t>
            </w:r>
          </w:p>
        </w:tc>
      </w:tr>
      <w:tr w:rsidR="00B8348C" w:rsidRPr="00F52884" w14:paraId="17A0A994" w14:textId="77777777" w:rsidTr="00FC4CF0">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49FEFBCE" w14:textId="77777777" w:rsidR="00B8348C" w:rsidRPr="00F52884" w:rsidRDefault="00B8348C" w:rsidP="000C25A3">
            <w:pPr>
              <w:spacing w:before="60" w:after="60"/>
              <w:rPr>
                <w:rFonts w:cstheme="minorHAnsi"/>
                <w:szCs w:val="23"/>
              </w:rPr>
            </w:pPr>
            <w:r w:rsidRPr="00F52884">
              <w:rPr>
                <w:rFonts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560EFA2E" w14:textId="77777777" w:rsidR="00B8348C" w:rsidRPr="00F52884" w:rsidRDefault="00B8348C" w:rsidP="000C25A3">
            <w:pPr>
              <w:spacing w:before="60" w:after="60"/>
              <w:rPr>
                <w:rFonts w:cstheme="minorHAnsi"/>
                <w:szCs w:val="23"/>
              </w:rPr>
            </w:pPr>
            <w:r w:rsidRPr="00F52884">
              <w:rPr>
                <w:rFonts w:cstheme="minorHAnsi"/>
                <w:szCs w:val="23"/>
                <w:lang w:val="fr-CA"/>
              </w:rPr>
              <w:t>CPC 24 (autre que 244), 62112, 62226, 63107</w:t>
            </w:r>
          </w:p>
        </w:tc>
      </w:tr>
      <w:tr w:rsidR="00B8348C" w:rsidRPr="0068240F" w14:paraId="4B05DA14" w14:textId="77777777" w:rsidTr="00FC4CF0">
        <w:trPr>
          <w:trHeight w:val="42"/>
          <w:jc w:val="center"/>
        </w:trPr>
        <w:tc>
          <w:tcPr>
            <w:tcW w:w="2520" w:type="dxa"/>
            <w:tcBorders>
              <w:top w:val="single" w:sz="4" w:space="0" w:color="C0C0C0"/>
              <w:left w:val="nil"/>
              <w:bottom w:val="single" w:sz="4" w:space="0" w:color="C0C0C0"/>
              <w:right w:val="nil"/>
            </w:tcBorders>
            <w:hideMark/>
          </w:tcPr>
          <w:p w14:paraId="099657B4" w14:textId="4731BE7E" w:rsidR="00B8348C" w:rsidRPr="00F52884" w:rsidRDefault="00B8348C" w:rsidP="000C25A3">
            <w:pPr>
              <w:spacing w:before="60" w:after="60"/>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67AF4C0F" w14:textId="77777777" w:rsidR="00B8348C" w:rsidRPr="00F52884" w:rsidRDefault="00B8348C" w:rsidP="000C25A3">
            <w:pPr>
              <w:spacing w:before="60" w:after="60"/>
              <w:rPr>
                <w:rFonts w:eastAsia="Times New Roman" w:cstheme="minorHAnsi"/>
                <w:szCs w:val="23"/>
                <w:lang w:val="fr-FR"/>
              </w:rPr>
            </w:pPr>
            <w:r w:rsidRPr="00F52884">
              <w:rPr>
                <w:rFonts w:eastAsia="Times New Roman" w:cstheme="minorHAnsi"/>
                <w:szCs w:val="23"/>
                <w:lang w:val="fr-CA"/>
              </w:rPr>
              <w:t>Article 301 (Droit d’entrée et de sortie), article 307 (Accès aux marchés – Services), article 312 (Accès aux marchés – Investissement)</w:t>
            </w:r>
          </w:p>
        </w:tc>
      </w:tr>
      <w:tr w:rsidR="00B8348C" w:rsidRPr="00F52884" w14:paraId="296A9E4B"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3A8C0A0E"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613575B9" w14:textId="77777777" w:rsidTr="00FC4CF0">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7A47699A" w14:textId="77777777" w:rsidR="00B8348C" w:rsidRPr="00F52884" w:rsidRDefault="00B8348C" w:rsidP="00FC4CF0">
            <w:pPr>
              <w:spacing w:before="120" w:after="120"/>
              <w:rPr>
                <w:rFonts w:eastAsia="Arial" w:cstheme="minorHAnsi"/>
                <w:b/>
                <w:szCs w:val="23"/>
                <w:lang w:val="fr-FR"/>
              </w:rPr>
            </w:pPr>
            <w:r w:rsidRPr="00F52884">
              <w:rPr>
                <w:rFonts w:eastAsia="Arial" w:cstheme="minorHAnsi"/>
                <w:szCs w:val="23"/>
                <w:lang w:val="fr-CA"/>
              </w:rPr>
              <w:t xml:space="preserve">Le Nunavut se réserve le droit d’adopter ou de maintenir une mesure limitant l’accès aux marchés et le droit d’entrée et de sortie dans les sous-secteurs susmentionnés. </w:t>
            </w:r>
          </w:p>
          <w:p w14:paraId="20AB284A" w14:textId="305BE5CA" w:rsidR="00B8348C" w:rsidRPr="00F52884" w:rsidRDefault="00B8348C" w:rsidP="00FC4CF0">
            <w:pPr>
              <w:spacing w:before="120" w:after="120"/>
              <w:rPr>
                <w:rFonts w:eastAsia="Arial" w:cstheme="minorHAnsi"/>
                <w:szCs w:val="23"/>
                <w:lang w:val="fr-FR"/>
              </w:rPr>
            </w:pPr>
            <w:r w:rsidRPr="00F52884">
              <w:rPr>
                <w:rFonts w:eastAsia="Arial" w:cstheme="minorHAnsi"/>
                <w:szCs w:val="23"/>
                <w:lang w:val="fr-CA"/>
              </w:rPr>
              <w:t xml:space="preserve">Le Nunavut a le pouvoir, en vertu de la </w:t>
            </w:r>
            <w:r w:rsidRPr="00F52884">
              <w:rPr>
                <w:rFonts w:eastAsia="Arial" w:cstheme="minorHAnsi"/>
                <w:i/>
                <w:iCs/>
                <w:szCs w:val="23"/>
                <w:lang w:val="fr-CA"/>
              </w:rPr>
              <w:t>Loi sur les boissons alcoolisées</w:t>
            </w:r>
            <w:r w:rsidRPr="00F52884">
              <w:rPr>
                <w:rFonts w:eastAsia="Arial" w:cstheme="minorHAnsi"/>
                <w:szCs w:val="23"/>
                <w:lang w:val="fr-CA"/>
              </w:rPr>
              <w:t>, L.R.T.N.-O. 1988, c 1988, c L-9, d’importer, d’acheter, de fabriquer, de distribuer, de fournir, de commercialiser et de vendre des boissons alcoolisées au Nunavut et de mener ces activités par l’intermédiaire d’un monopole territorial.</w:t>
            </w:r>
          </w:p>
        </w:tc>
      </w:tr>
      <w:tr w:rsidR="00B8348C" w:rsidRPr="0068240F" w14:paraId="16F75F81"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5AF2280D" w14:textId="508B5611" w:rsidR="00B8348C" w:rsidRPr="00F52884" w:rsidRDefault="00B8348C" w:rsidP="00B8348C">
            <w:pPr>
              <w:spacing w:before="60" w:after="60"/>
              <w:rPr>
                <w:rFonts w:eastAsia="Arial" w:cstheme="minorHAnsi"/>
                <w:caps/>
                <w:szCs w:val="23"/>
                <w:lang w:val="fr-FR"/>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roofErr w:type="gramStart"/>
            <w:r w:rsidRPr="00F52884">
              <w:rPr>
                <w:rFonts w:eastAsia="Arial" w:cstheme="minorHAnsi"/>
                <w:szCs w:val="23"/>
                <w:lang w:val="fr-CA"/>
              </w:rPr>
              <w:t>( Fourni</w:t>
            </w:r>
            <w:proofErr w:type="gramEnd"/>
            <w:r w:rsidRPr="00F52884">
              <w:rPr>
                <w:rFonts w:eastAsia="Arial" w:cstheme="minorHAnsi"/>
                <w:szCs w:val="23"/>
                <w:lang w:val="fr-CA"/>
              </w:rPr>
              <w:t xml:space="preserve"> à des fins illustratives)</w:t>
            </w:r>
          </w:p>
        </w:tc>
      </w:tr>
      <w:tr w:rsidR="00B8348C" w:rsidRPr="0068240F" w14:paraId="430CA5F9"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B17971B" w14:textId="31188DCB" w:rsidR="00B8348C" w:rsidRPr="00B04E29" w:rsidRDefault="00B8348C" w:rsidP="000C25A3">
            <w:pPr>
              <w:spacing w:before="60" w:after="60"/>
              <w:rPr>
                <w:rFonts w:eastAsia="Arial" w:cstheme="minorHAnsi"/>
                <w:szCs w:val="23"/>
                <w:lang w:val="fr-CA"/>
              </w:rPr>
            </w:pPr>
            <w:r w:rsidRPr="00F52884">
              <w:rPr>
                <w:rFonts w:eastAsia="Arial" w:cstheme="minorHAnsi"/>
                <w:i/>
                <w:iCs/>
                <w:szCs w:val="23"/>
                <w:lang w:val="fr-CA"/>
              </w:rPr>
              <w:t xml:space="preserve">Loi sur les boissons alcoolisées, </w:t>
            </w:r>
            <w:r w:rsidRPr="00F52884">
              <w:rPr>
                <w:rFonts w:eastAsia="Arial" w:cstheme="minorHAnsi"/>
                <w:szCs w:val="23"/>
                <w:lang w:val="fr-CA"/>
              </w:rPr>
              <w:t>LRTN-O (Nu) 1998, c L-9</w:t>
            </w:r>
          </w:p>
        </w:tc>
      </w:tr>
    </w:tbl>
    <w:p w14:paraId="57482004" w14:textId="77777777" w:rsidR="00B8348C" w:rsidRPr="00B04E29" w:rsidRDefault="00B8348C" w:rsidP="000C25A3">
      <w:pPr>
        <w:rPr>
          <w:rFonts w:eastAsia="Arial" w:cstheme="minorHAnsi"/>
          <w:b/>
          <w:szCs w:val="23"/>
          <w:lang w:val="fr-CA"/>
        </w:rPr>
      </w:pPr>
    </w:p>
    <w:p w14:paraId="05011C23" w14:textId="77777777" w:rsidR="00B8348C" w:rsidRPr="00B04E29" w:rsidRDefault="00B8348C" w:rsidP="000C25A3">
      <w:pPr>
        <w:spacing w:before="60" w:after="60"/>
        <w:rPr>
          <w:rFonts w:eastAsia="Arial" w:cstheme="minorHAnsi"/>
          <w:b/>
          <w:szCs w:val="23"/>
          <w:lang w:val="fr-CA"/>
        </w:rPr>
      </w:pPr>
    </w:p>
    <w:p w14:paraId="16A126A9" w14:textId="733CA8A5"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5.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49FB8178"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F54E0DC"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36432BFE"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Pêches</w:t>
            </w:r>
          </w:p>
        </w:tc>
      </w:tr>
      <w:tr w:rsidR="00B8348C" w:rsidRPr="0068240F" w14:paraId="59B49C7C"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50A2BC66"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0E226CCD"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Poissons et autres produits de la pêche; services de commerce de gros de produits de la pêche; services annexes à la pêche</w:t>
            </w:r>
          </w:p>
        </w:tc>
      </w:tr>
      <w:tr w:rsidR="00B8348C" w:rsidRPr="00F52884" w14:paraId="12976C54" w14:textId="77777777" w:rsidTr="00FC4CF0">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00E41ABD"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49E28865"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04, 62224, 882</w:t>
            </w:r>
          </w:p>
        </w:tc>
      </w:tr>
      <w:tr w:rsidR="00B8348C" w:rsidRPr="0068240F" w14:paraId="74DA509D" w14:textId="77777777" w:rsidTr="00FC4CF0">
        <w:trPr>
          <w:trHeight w:val="42"/>
          <w:jc w:val="center"/>
        </w:trPr>
        <w:tc>
          <w:tcPr>
            <w:tcW w:w="2520" w:type="dxa"/>
            <w:tcBorders>
              <w:top w:val="single" w:sz="4" w:space="0" w:color="C0C0C0"/>
              <w:left w:val="nil"/>
              <w:bottom w:val="single" w:sz="4" w:space="0" w:color="C0C0C0"/>
              <w:right w:val="nil"/>
            </w:tcBorders>
            <w:hideMark/>
          </w:tcPr>
          <w:p w14:paraId="56238517" w14:textId="1604693C"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2BB5B480"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7D73CCA2"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76538720"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32295C25" w14:textId="77777777" w:rsidTr="00FC4CF0">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E7E6659"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lastRenderedPageBreak/>
              <w:t>Le Nunavut se réserve le droit d’adopter ou de maintenir une mesure limitant l’accès aux marchés et le droit d’entrée et de sortie dans les sous-secteurs susmentionnés.</w:t>
            </w:r>
          </w:p>
        </w:tc>
      </w:tr>
      <w:tr w:rsidR="00B8348C" w:rsidRPr="00F52884" w14:paraId="37F64DB0"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77C0BBEC"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02D72818"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7F0F23A3" w14:textId="77777777" w:rsidR="00B8348C" w:rsidRPr="00F52884" w:rsidRDefault="00B8348C" w:rsidP="000C25A3">
            <w:pPr>
              <w:spacing w:before="60" w:after="60"/>
              <w:rPr>
                <w:rFonts w:eastAsia="Arial" w:cstheme="minorHAnsi"/>
                <w:b/>
                <w:szCs w:val="23"/>
              </w:rPr>
            </w:pPr>
          </w:p>
        </w:tc>
      </w:tr>
    </w:tbl>
    <w:p w14:paraId="1329C836" w14:textId="77777777" w:rsidR="00B8348C" w:rsidRPr="00F52884" w:rsidRDefault="00B8348C" w:rsidP="000C25A3">
      <w:pPr>
        <w:rPr>
          <w:rFonts w:eastAsia="Arial" w:cstheme="minorHAnsi"/>
          <w:b/>
          <w:szCs w:val="23"/>
        </w:rPr>
      </w:pPr>
    </w:p>
    <w:p w14:paraId="44F26888" w14:textId="77777777" w:rsidR="00B8348C" w:rsidRPr="00F52884" w:rsidRDefault="00B8348C" w:rsidP="000C25A3">
      <w:pPr>
        <w:ind w:left="-360"/>
        <w:rPr>
          <w:rFonts w:eastAsia="Arial" w:cstheme="minorHAnsi"/>
          <w:szCs w:val="23"/>
        </w:rPr>
      </w:pPr>
    </w:p>
    <w:p w14:paraId="22A0FAA1" w14:textId="77242DBF"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6.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73807C82"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14BBC86F"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03050AEB"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Énergie</w:t>
            </w:r>
          </w:p>
        </w:tc>
      </w:tr>
      <w:tr w:rsidR="00B8348C" w:rsidRPr="0068240F" w14:paraId="7D0D8FCD"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3358EB4"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58B0432A"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Énergie électrique; appareils de distribution ou de commande de l’électricité; services annexes à la distribution d’énergie</w:t>
            </w:r>
          </w:p>
        </w:tc>
      </w:tr>
      <w:tr w:rsidR="00B8348C" w:rsidRPr="00F52884" w14:paraId="2868754A" w14:textId="77777777" w:rsidTr="00FC4CF0">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0C529ABF"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58073AD2"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171, 887, 4621</w:t>
            </w:r>
          </w:p>
        </w:tc>
      </w:tr>
      <w:tr w:rsidR="00B8348C" w:rsidRPr="0068240F" w14:paraId="34E7B6AE" w14:textId="77777777" w:rsidTr="00FC4CF0">
        <w:trPr>
          <w:trHeight w:val="42"/>
          <w:jc w:val="center"/>
        </w:trPr>
        <w:tc>
          <w:tcPr>
            <w:tcW w:w="2520" w:type="dxa"/>
            <w:tcBorders>
              <w:top w:val="single" w:sz="4" w:space="0" w:color="C0C0C0"/>
              <w:left w:val="nil"/>
              <w:bottom w:val="single" w:sz="4" w:space="0" w:color="C0C0C0"/>
              <w:right w:val="nil"/>
            </w:tcBorders>
            <w:hideMark/>
          </w:tcPr>
          <w:p w14:paraId="4A685A0B" w14:textId="4245D706" w:rsidR="00B8348C" w:rsidRPr="00F52884" w:rsidDel="00C17358"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205340C0"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2270BD22"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3857FC24"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05C024E3" w14:textId="77777777" w:rsidTr="00FC4CF0">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A1482D6" w14:textId="77777777" w:rsidR="00B8348C" w:rsidRPr="00F52884" w:rsidRDefault="00B8348C" w:rsidP="000C25A3">
            <w:pPr>
              <w:rPr>
                <w:rFonts w:cstheme="minorHAnsi"/>
                <w:szCs w:val="23"/>
                <w:lang w:val="fr-FR"/>
              </w:rPr>
            </w:pPr>
            <w:r w:rsidRPr="00F52884">
              <w:rPr>
                <w:rFonts w:cstheme="minorHAnsi"/>
                <w:szCs w:val="23"/>
                <w:lang w:val="fr-CA"/>
              </w:rPr>
              <w:t>Le Nunavut se réserve le droit d’adopter ou de maintenir une mesure limitant l’accès aux marchés et le droit d’entrée et de sortie dans les sous-secteurs susmentionnés.</w:t>
            </w:r>
          </w:p>
          <w:p w14:paraId="5FEC4280" w14:textId="24FFBCC9" w:rsidR="00B8348C" w:rsidRPr="00B04E29" w:rsidRDefault="00B8348C" w:rsidP="000C25A3">
            <w:pPr>
              <w:spacing w:before="60" w:after="60"/>
              <w:rPr>
                <w:rFonts w:eastAsia="Arial" w:cstheme="minorHAnsi"/>
                <w:szCs w:val="23"/>
                <w:lang w:val="fr-CA"/>
              </w:rPr>
            </w:pPr>
            <w:r w:rsidRPr="00F52884">
              <w:rPr>
                <w:rFonts w:eastAsia="Arial" w:cstheme="minorHAnsi"/>
                <w:szCs w:val="23"/>
                <w:lang w:val="fr-CA"/>
              </w:rPr>
              <w:t xml:space="preserve">Le Nunavut maintient un monopole sur la production, la mise en valeur, la transmission, la distribution, la livraison, la fourniture et l’exportation de l’électricité et sur les services annexes en vertu de la </w:t>
            </w:r>
            <w:r w:rsidRPr="00F52884">
              <w:rPr>
                <w:rFonts w:eastAsia="Arial" w:cstheme="minorHAnsi"/>
                <w:i/>
                <w:iCs/>
                <w:szCs w:val="23"/>
                <w:lang w:val="fr-CA"/>
              </w:rPr>
              <w:t>Loi sur la Société d’énergie Qulliq</w:t>
            </w:r>
            <w:r w:rsidRPr="00F52884">
              <w:rPr>
                <w:rFonts w:eastAsia="Arial" w:cstheme="minorHAnsi"/>
                <w:szCs w:val="23"/>
                <w:lang w:val="fr-CA"/>
              </w:rPr>
              <w:t>, LRTN-O (Nu) 1988, c N-2, art 5</w:t>
            </w:r>
            <w:r w:rsidR="002454AE" w:rsidRPr="00F52884">
              <w:rPr>
                <w:rFonts w:eastAsia="Arial" w:cstheme="minorHAnsi"/>
                <w:szCs w:val="23"/>
                <w:lang w:val="fr-CA"/>
              </w:rPr>
              <w:t>.1</w:t>
            </w:r>
            <w:r w:rsidRPr="00F52884">
              <w:rPr>
                <w:rFonts w:eastAsia="Arial" w:cstheme="minorHAnsi"/>
                <w:szCs w:val="23"/>
                <w:lang w:val="fr-CA"/>
              </w:rPr>
              <w:t>.</w:t>
            </w:r>
          </w:p>
        </w:tc>
      </w:tr>
      <w:tr w:rsidR="00B8348C" w:rsidRPr="00F52884" w14:paraId="22064DC8"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3753B9A9"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210B0DD6"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66E2ACC6" w14:textId="77777777" w:rsidR="00B8348C" w:rsidRPr="00F52884" w:rsidRDefault="00B8348C" w:rsidP="000C25A3">
            <w:pPr>
              <w:spacing w:before="60" w:after="60"/>
              <w:rPr>
                <w:rFonts w:eastAsia="Arial" w:cstheme="minorHAnsi"/>
                <w:b/>
                <w:szCs w:val="23"/>
              </w:rPr>
            </w:pPr>
          </w:p>
        </w:tc>
      </w:tr>
    </w:tbl>
    <w:p w14:paraId="401E7F6B" w14:textId="77777777" w:rsidR="00B8348C" w:rsidRPr="00F52884" w:rsidRDefault="00B8348C" w:rsidP="000C25A3">
      <w:pPr>
        <w:rPr>
          <w:rFonts w:eastAsia="Arial" w:cstheme="minorHAnsi"/>
          <w:b/>
          <w:szCs w:val="23"/>
        </w:rPr>
      </w:pPr>
    </w:p>
    <w:p w14:paraId="6D0AF9F2" w14:textId="77777777" w:rsidR="00B8348C" w:rsidRPr="00F52884" w:rsidRDefault="00B8348C" w:rsidP="000C25A3">
      <w:pPr>
        <w:ind w:left="-360"/>
        <w:rPr>
          <w:rFonts w:eastAsia="Arial" w:cstheme="minorHAnsi"/>
          <w:szCs w:val="23"/>
        </w:rPr>
      </w:pPr>
    </w:p>
    <w:p w14:paraId="59239D18" w14:textId="355F25F8"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7.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386" w:type="dxa"/>
        <w:jc w:val="center"/>
        <w:tblCellMar>
          <w:top w:w="14" w:type="dxa"/>
          <w:left w:w="86" w:type="dxa"/>
          <w:bottom w:w="14" w:type="dxa"/>
          <w:right w:w="86" w:type="dxa"/>
        </w:tblCellMar>
        <w:tblLook w:val="04A0" w:firstRow="1" w:lastRow="0" w:firstColumn="1" w:lastColumn="0" w:noHBand="0" w:noVBand="1"/>
      </w:tblPr>
      <w:tblGrid>
        <w:gridCol w:w="2610"/>
        <w:gridCol w:w="7351"/>
        <w:gridCol w:w="425"/>
      </w:tblGrid>
      <w:tr w:rsidR="00B8348C" w:rsidRPr="00F52884" w14:paraId="1502873F" w14:textId="77777777" w:rsidTr="00FC4CF0">
        <w:trPr>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464E7603"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4B123831"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Énergie</w:t>
            </w:r>
          </w:p>
        </w:tc>
      </w:tr>
      <w:tr w:rsidR="00B8348C" w:rsidRPr="0068240F" w14:paraId="73640550" w14:textId="77777777" w:rsidTr="00FC4CF0">
        <w:trPr>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1D0B2E64"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50FF7623"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Pétrole brut et gaz naturel; transports par conduites; services annexes à la distribution d’énergie</w:t>
            </w:r>
          </w:p>
        </w:tc>
      </w:tr>
      <w:tr w:rsidR="00B8348C" w:rsidRPr="00F52884" w14:paraId="18869431" w14:textId="77777777" w:rsidTr="00FC4CF0">
        <w:trPr>
          <w:gridAfter w:val="1"/>
          <w:wAfter w:w="425" w:type="dxa"/>
          <w:trHeight w:val="42"/>
          <w:jc w:val="center"/>
        </w:trPr>
        <w:tc>
          <w:tcPr>
            <w:tcW w:w="2610" w:type="dxa"/>
            <w:tcBorders>
              <w:top w:val="single" w:sz="4" w:space="0" w:color="C0C0C0"/>
              <w:left w:val="nil"/>
              <w:bottom w:val="single" w:sz="4" w:space="0" w:color="C0C0C0"/>
              <w:right w:val="single" w:sz="4" w:space="0" w:color="FFFFFF"/>
            </w:tcBorders>
            <w:vAlign w:val="center"/>
            <w:hideMark/>
          </w:tcPr>
          <w:p w14:paraId="5F2CBDC7" w14:textId="77777777" w:rsidR="00B8348C" w:rsidRPr="00F52884" w:rsidRDefault="00B8348C" w:rsidP="000C25A3">
            <w:pPr>
              <w:spacing w:before="60" w:after="60"/>
              <w:rPr>
                <w:rFonts w:eastAsia="Arial" w:cstheme="minorHAnsi"/>
                <w:b/>
                <w:szCs w:val="23"/>
              </w:rPr>
            </w:pPr>
            <w:r w:rsidRPr="00F52884">
              <w:rPr>
                <w:rFonts w:eastAsia="Arial" w:cstheme="minorHAnsi"/>
                <w:b/>
                <w:bCs/>
                <w:szCs w:val="23"/>
                <w:lang w:val="fr-CA"/>
              </w:rPr>
              <w:t>Classification de l’industrie :</w:t>
            </w:r>
          </w:p>
        </w:tc>
        <w:tc>
          <w:tcPr>
            <w:tcW w:w="7351" w:type="dxa"/>
            <w:tcBorders>
              <w:top w:val="single" w:sz="4" w:space="0" w:color="C0C0C0"/>
              <w:left w:val="nil"/>
              <w:bottom w:val="single" w:sz="4" w:space="0" w:color="C0C0C0"/>
              <w:right w:val="single" w:sz="4" w:space="0" w:color="FFFFFF"/>
            </w:tcBorders>
            <w:vAlign w:val="center"/>
          </w:tcPr>
          <w:p w14:paraId="527974E7" w14:textId="77777777" w:rsidR="00B8348C" w:rsidRPr="00F52884" w:rsidRDefault="00B8348C" w:rsidP="000C25A3">
            <w:pPr>
              <w:spacing w:before="60" w:after="60"/>
              <w:rPr>
                <w:rFonts w:eastAsia="Arial" w:cstheme="minorHAnsi"/>
                <w:b/>
                <w:szCs w:val="23"/>
              </w:rPr>
            </w:pPr>
            <w:r w:rsidRPr="00F52884">
              <w:rPr>
                <w:rFonts w:eastAsia="Arial" w:cstheme="minorHAnsi"/>
                <w:szCs w:val="23"/>
                <w:lang w:val="fr-CA"/>
              </w:rPr>
              <w:t>CPC 120, 713, 887</w:t>
            </w:r>
          </w:p>
        </w:tc>
      </w:tr>
      <w:tr w:rsidR="00B8348C" w:rsidRPr="0068240F" w14:paraId="264831E9" w14:textId="77777777" w:rsidTr="00FC4CF0">
        <w:trPr>
          <w:trHeight w:val="42"/>
          <w:jc w:val="center"/>
        </w:trPr>
        <w:tc>
          <w:tcPr>
            <w:tcW w:w="2610" w:type="dxa"/>
            <w:tcBorders>
              <w:top w:val="single" w:sz="4" w:space="0" w:color="C0C0C0"/>
              <w:left w:val="nil"/>
              <w:bottom w:val="single" w:sz="4" w:space="0" w:color="C0C0C0"/>
              <w:right w:val="nil"/>
            </w:tcBorders>
            <w:hideMark/>
          </w:tcPr>
          <w:p w14:paraId="7DEFE035" w14:textId="7856076B" w:rsidR="00B8348C" w:rsidRPr="00F52884" w:rsidDel="0003330E"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76794B3C"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301 (Droit d’entrée et de sortie), article 307 (Accès aux marchés – Services), article 312 (Accès aux marchés – Investissement)</w:t>
            </w:r>
          </w:p>
        </w:tc>
      </w:tr>
      <w:tr w:rsidR="00B8348C" w:rsidRPr="00F52884" w14:paraId="7BE319EC" w14:textId="77777777" w:rsidTr="00FC4CF0">
        <w:trPr>
          <w:trHeight w:val="42"/>
          <w:jc w:val="center"/>
        </w:trPr>
        <w:tc>
          <w:tcPr>
            <w:tcW w:w="1038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3AAF8DE3"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7C8D7716" w14:textId="77777777" w:rsidTr="00FC4CF0">
        <w:trPr>
          <w:trHeight w:val="120"/>
          <w:jc w:val="center"/>
        </w:trPr>
        <w:tc>
          <w:tcPr>
            <w:tcW w:w="10386" w:type="dxa"/>
            <w:gridSpan w:val="3"/>
            <w:tcBorders>
              <w:top w:val="single" w:sz="4" w:space="0" w:color="C0C0C0"/>
              <w:left w:val="single" w:sz="4" w:space="0" w:color="C0C0C0"/>
              <w:bottom w:val="single" w:sz="4" w:space="0" w:color="C0C0C0"/>
              <w:right w:val="single" w:sz="4" w:space="0" w:color="C0C0C0"/>
            </w:tcBorders>
          </w:tcPr>
          <w:p w14:paraId="5266787B" w14:textId="77777777"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t>Le Nunavut se réserve le droit d’adopter ou de maintenir une mesure limitant l’accès aux marchés et le droit d’entrée et de sortie dans les sous-secteurs susmentionnés.</w:t>
            </w:r>
          </w:p>
          <w:p w14:paraId="4028E95D" w14:textId="77777777" w:rsidR="00B8348C" w:rsidRPr="00F52884" w:rsidRDefault="00B8348C" w:rsidP="000C25A3">
            <w:pPr>
              <w:spacing w:before="120" w:after="120"/>
              <w:rPr>
                <w:rFonts w:eastAsia="Arial" w:cstheme="minorHAnsi"/>
                <w:szCs w:val="23"/>
                <w:lang w:val="fr-FR"/>
              </w:rPr>
            </w:pPr>
            <w:r w:rsidRPr="00F52884">
              <w:rPr>
                <w:rFonts w:eastAsia="Arial" w:cstheme="minorHAnsi"/>
                <w:szCs w:val="23"/>
                <w:lang w:val="fr-CA"/>
              </w:rPr>
              <w:lastRenderedPageBreak/>
              <w:t>Le Nunavut se réserve aussi le droit d’adopter ou de maintenir une mesure limitant l’accès aux marchés relativement à la mise en valeur du pétrole et du gaz.</w:t>
            </w:r>
          </w:p>
        </w:tc>
      </w:tr>
      <w:tr w:rsidR="00B8348C" w:rsidRPr="00F52884" w14:paraId="62014638" w14:textId="77777777" w:rsidTr="00FC4CF0">
        <w:trPr>
          <w:trHeight w:val="42"/>
          <w:jc w:val="center"/>
        </w:trPr>
        <w:tc>
          <w:tcPr>
            <w:tcW w:w="1038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5A1E932F"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lastRenderedPageBreak/>
              <w:t>Toute mesure existante :</w:t>
            </w:r>
            <w:r w:rsidRPr="00F52884">
              <w:rPr>
                <w:rFonts w:eastAsia="Arial" w:cstheme="minorHAnsi"/>
                <w:caps/>
                <w:szCs w:val="23"/>
                <w:lang w:val="fr-CA"/>
              </w:rPr>
              <w:t xml:space="preserve"> </w:t>
            </w:r>
          </w:p>
        </w:tc>
      </w:tr>
      <w:tr w:rsidR="00B8348C" w:rsidRPr="00F52884" w14:paraId="369379E9" w14:textId="77777777" w:rsidTr="00FC4CF0">
        <w:trPr>
          <w:trHeight w:val="42"/>
          <w:jc w:val="center"/>
        </w:trPr>
        <w:tc>
          <w:tcPr>
            <w:tcW w:w="10386" w:type="dxa"/>
            <w:gridSpan w:val="3"/>
            <w:tcBorders>
              <w:top w:val="single" w:sz="4" w:space="0" w:color="C0C0C0"/>
              <w:left w:val="single" w:sz="4" w:space="0" w:color="C0C0C0"/>
              <w:bottom w:val="single" w:sz="4" w:space="0" w:color="C0C0C0"/>
              <w:right w:val="single" w:sz="4" w:space="0" w:color="C0C0C0"/>
            </w:tcBorders>
          </w:tcPr>
          <w:p w14:paraId="65EFAB82" w14:textId="77777777" w:rsidR="00B8348C" w:rsidRPr="00F52884" w:rsidRDefault="00B8348C" w:rsidP="000C25A3">
            <w:pPr>
              <w:spacing w:before="60" w:after="60"/>
              <w:rPr>
                <w:rFonts w:eastAsia="Arial" w:cstheme="minorHAnsi"/>
                <w:b/>
                <w:szCs w:val="23"/>
              </w:rPr>
            </w:pPr>
          </w:p>
        </w:tc>
      </w:tr>
    </w:tbl>
    <w:p w14:paraId="52B8B7C2" w14:textId="77777777" w:rsidR="00B8348C" w:rsidRPr="00F52884" w:rsidRDefault="00B8348C" w:rsidP="00B8348C">
      <w:pPr>
        <w:rPr>
          <w:rFonts w:eastAsia="Arial" w:cstheme="minorHAnsi"/>
          <w:b/>
          <w:szCs w:val="23"/>
        </w:rPr>
      </w:pPr>
    </w:p>
    <w:p w14:paraId="136E7EB2" w14:textId="77777777" w:rsidR="00B8348C" w:rsidRPr="00F52884" w:rsidRDefault="00B8348C" w:rsidP="00B8348C">
      <w:pPr>
        <w:rPr>
          <w:rFonts w:eastAsia="Arial" w:cstheme="minorHAnsi"/>
          <w:b/>
          <w:szCs w:val="23"/>
        </w:rPr>
      </w:pPr>
    </w:p>
    <w:p w14:paraId="10FF37C0" w14:textId="2353411F" w:rsidR="00B8348C" w:rsidRPr="00F52884" w:rsidRDefault="00B8348C" w:rsidP="00FC4CF0">
      <w:pPr>
        <w:ind w:left="-360"/>
        <w:rPr>
          <w:rFonts w:eastAsia="Arial" w:cstheme="minorHAnsi"/>
          <w:szCs w:val="23"/>
        </w:rPr>
      </w:pPr>
      <w:r w:rsidRPr="00F52884">
        <w:rPr>
          <w:rFonts w:eastAsia="Arial" w:cstheme="minorHAnsi"/>
          <w:b/>
          <w:bCs/>
          <w:szCs w:val="23"/>
          <w:lang w:val="fr-CA"/>
        </w:rPr>
        <w:t xml:space="preserve">8.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27AEB9F5"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2A0A865C"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70D14771"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Transports</w:t>
            </w:r>
          </w:p>
        </w:tc>
      </w:tr>
      <w:tr w:rsidR="00B8348C" w:rsidRPr="00F52884" w14:paraId="0EC1D01A"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7520A1E0"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7FEEFF3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Transports maritimes de marchandises</w:t>
            </w:r>
          </w:p>
        </w:tc>
      </w:tr>
      <w:tr w:rsidR="00B8348C" w:rsidRPr="00F52884" w14:paraId="63EF552D" w14:textId="77777777" w:rsidTr="00FC4CF0">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C59374F"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45AB9E93"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7212</w:t>
            </w:r>
          </w:p>
        </w:tc>
      </w:tr>
      <w:tr w:rsidR="00B8348C" w:rsidRPr="0068240F" w14:paraId="3F0E559A" w14:textId="77777777" w:rsidTr="00FC4CF0">
        <w:trPr>
          <w:trHeight w:val="42"/>
          <w:jc w:val="center"/>
        </w:trPr>
        <w:tc>
          <w:tcPr>
            <w:tcW w:w="2520" w:type="dxa"/>
            <w:tcBorders>
              <w:top w:val="single" w:sz="4" w:space="0" w:color="C0C0C0"/>
              <w:left w:val="nil"/>
              <w:bottom w:val="single" w:sz="4" w:space="0" w:color="C0C0C0"/>
              <w:right w:val="nil"/>
            </w:tcBorders>
            <w:hideMark/>
          </w:tcPr>
          <w:p w14:paraId="6FA38F23" w14:textId="176799EC" w:rsidR="00B8348C" w:rsidRPr="00F52884" w:rsidRDefault="00B8348C" w:rsidP="000C25A3">
            <w:pPr>
              <w:spacing w:before="60" w:after="60"/>
              <w:rPr>
                <w:rFonts w:cstheme="minorHAnsi"/>
                <w:szCs w:val="23"/>
              </w:rPr>
            </w:pPr>
            <w:r w:rsidRPr="00F52884">
              <w:rPr>
                <w:rFonts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70B73237" w14:textId="77777777" w:rsidR="00B8348C" w:rsidRPr="00F52884" w:rsidRDefault="00B8348C" w:rsidP="000C25A3">
            <w:pPr>
              <w:spacing w:before="60" w:after="60"/>
              <w:rPr>
                <w:rFonts w:cstheme="minorHAnsi"/>
                <w:szCs w:val="23"/>
                <w:lang w:val="fr-FR"/>
              </w:rPr>
            </w:pPr>
            <w:r w:rsidRPr="00F52884">
              <w:rPr>
                <w:rFonts w:cstheme="minorHAnsi"/>
                <w:szCs w:val="23"/>
                <w:lang w:val="fr-CA"/>
              </w:rPr>
              <w:t>Article 307 (Accès aux marchés – Services), article 312 (Accès aux marchés – Investissement)</w:t>
            </w:r>
          </w:p>
        </w:tc>
      </w:tr>
      <w:tr w:rsidR="00B8348C" w:rsidRPr="00F52884" w14:paraId="4CEC57C3"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23F6C4E5"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03DDF2C4" w14:textId="77777777" w:rsidTr="00FC4CF0">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21EFB420"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Le Nunavut se réserve le droit d’adopter ou de maintenir une mesure discriminatoire ou toute mesure limitant l’accès aux marchés dans les sous-secteurs susmentionnés. Ces mesures n’interféreraient pas avec l’autorité du gouvernement fédéral sur la navigation et le transport maritime.</w:t>
            </w:r>
          </w:p>
        </w:tc>
      </w:tr>
      <w:tr w:rsidR="00B8348C" w:rsidRPr="00F52884" w14:paraId="29988170"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74B6F316"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
        </w:tc>
      </w:tr>
      <w:tr w:rsidR="00B8348C" w:rsidRPr="00F52884" w14:paraId="586FC0C9"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5AAA75A2" w14:textId="77777777" w:rsidR="00B8348C" w:rsidRPr="00F52884" w:rsidRDefault="00B8348C" w:rsidP="000C25A3">
            <w:pPr>
              <w:spacing w:before="60" w:after="60"/>
              <w:rPr>
                <w:rFonts w:eastAsia="Arial" w:cstheme="minorHAnsi"/>
                <w:b/>
                <w:szCs w:val="23"/>
              </w:rPr>
            </w:pPr>
          </w:p>
        </w:tc>
      </w:tr>
    </w:tbl>
    <w:p w14:paraId="5243BF4D" w14:textId="77777777" w:rsidR="00B8348C" w:rsidRPr="00F52884" w:rsidRDefault="00B8348C" w:rsidP="000C25A3">
      <w:pPr>
        <w:rPr>
          <w:rFonts w:eastAsia="Arial" w:cstheme="minorHAnsi"/>
          <w:b/>
          <w:szCs w:val="23"/>
        </w:rPr>
      </w:pPr>
    </w:p>
    <w:p w14:paraId="0C0ED67A" w14:textId="77777777" w:rsidR="00B8348C" w:rsidRPr="00F52884" w:rsidRDefault="00B8348C" w:rsidP="000C25A3">
      <w:pPr>
        <w:rPr>
          <w:rFonts w:eastAsia="Arial" w:cstheme="minorHAnsi"/>
          <w:b/>
          <w:szCs w:val="23"/>
        </w:rPr>
      </w:pPr>
    </w:p>
    <w:p w14:paraId="3046B035" w14:textId="235734E0" w:rsidR="00B8348C" w:rsidRPr="00F52884" w:rsidRDefault="00B8348C" w:rsidP="00FC4CF0">
      <w:pPr>
        <w:spacing w:before="60" w:after="60"/>
        <w:ind w:left="-360"/>
        <w:rPr>
          <w:rFonts w:eastAsia="Arial" w:cstheme="minorHAnsi"/>
          <w:b/>
          <w:szCs w:val="23"/>
        </w:rPr>
      </w:pPr>
      <w:r w:rsidRPr="00F52884">
        <w:rPr>
          <w:rFonts w:eastAsia="Arial" w:cstheme="minorHAnsi"/>
          <w:b/>
          <w:bCs/>
          <w:szCs w:val="23"/>
          <w:lang w:val="fr-CA"/>
        </w:rPr>
        <w:t xml:space="preserve">9.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430"/>
        <w:gridCol w:w="90"/>
        <w:gridCol w:w="7351"/>
        <w:gridCol w:w="425"/>
      </w:tblGrid>
      <w:tr w:rsidR="00B8348C" w:rsidRPr="00F52884" w14:paraId="15B222A2" w14:textId="77777777" w:rsidTr="00FC4CF0">
        <w:trPr>
          <w:trHeight w:val="42"/>
          <w:jc w:val="center"/>
        </w:trPr>
        <w:tc>
          <w:tcPr>
            <w:tcW w:w="2520" w:type="dxa"/>
            <w:gridSpan w:val="2"/>
            <w:tcBorders>
              <w:top w:val="single" w:sz="4" w:space="0" w:color="C0C0C0"/>
              <w:left w:val="nil"/>
              <w:bottom w:val="single" w:sz="4" w:space="0" w:color="C0C0C0"/>
              <w:right w:val="single" w:sz="4" w:space="0" w:color="FFFFFF"/>
            </w:tcBorders>
            <w:vAlign w:val="center"/>
            <w:hideMark/>
          </w:tcPr>
          <w:p w14:paraId="22E2A956"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6C87180A"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Tous les secteurs</w:t>
            </w:r>
          </w:p>
        </w:tc>
      </w:tr>
      <w:tr w:rsidR="00B8348C" w:rsidRPr="00F52884" w14:paraId="664CD98B" w14:textId="77777777" w:rsidTr="00FC4CF0">
        <w:trPr>
          <w:trHeight w:val="42"/>
          <w:jc w:val="center"/>
        </w:trPr>
        <w:tc>
          <w:tcPr>
            <w:tcW w:w="2520" w:type="dxa"/>
            <w:gridSpan w:val="2"/>
            <w:tcBorders>
              <w:top w:val="single" w:sz="4" w:space="0" w:color="C0C0C0"/>
              <w:left w:val="nil"/>
              <w:bottom w:val="single" w:sz="4" w:space="0" w:color="C0C0C0"/>
              <w:right w:val="single" w:sz="4" w:space="0" w:color="FFFFFF"/>
            </w:tcBorders>
            <w:vAlign w:val="center"/>
            <w:hideMark/>
          </w:tcPr>
          <w:p w14:paraId="6DE76303"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60CE52D7"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Tous les sous-secteurs</w:t>
            </w:r>
          </w:p>
        </w:tc>
      </w:tr>
      <w:tr w:rsidR="00B8348C" w:rsidRPr="00F52884" w14:paraId="186E90D7" w14:textId="77777777" w:rsidTr="00FC4CF0">
        <w:trPr>
          <w:gridAfter w:val="1"/>
          <w:wAfter w:w="425" w:type="dxa"/>
          <w:trHeight w:val="42"/>
          <w:jc w:val="center"/>
        </w:trPr>
        <w:tc>
          <w:tcPr>
            <w:tcW w:w="2430" w:type="dxa"/>
            <w:tcBorders>
              <w:top w:val="single" w:sz="4" w:space="0" w:color="C0C0C0"/>
              <w:left w:val="nil"/>
              <w:bottom w:val="single" w:sz="4" w:space="0" w:color="C0C0C0"/>
              <w:right w:val="single" w:sz="4" w:space="0" w:color="FFFFFF"/>
            </w:tcBorders>
            <w:vAlign w:val="center"/>
            <w:hideMark/>
          </w:tcPr>
          <w:p w14:paraId="2D42A8BA" w14:textId="77777777" w:rsidR="00B8348C" w:rsidRPr="00F52884" w:rsidRDefault="00B8348C" w:rsidP="000C25A3">
            <w:pPr>
              <w:spacing w:before="60" w:after="60"/>
              <w:ind w:left="28" w:hanging="28"/>
              <w:rPr>
                <w:rFonts w:eastAsia="Arial" w:cstheme="minorHAnsi"/>
                <w:szCs w:val="23"/>
              </w:rPr>
            </w:pPr>
            <w:r w:rsidRPr="00F52884">
              <w:rPr>
                <w:rFonts w:eastAsia="Arial" w:cstheme="minorHAnsi"/>
                <w:b/>
                <w:bCs/>
                <w:szCs w:val="23"/>
                <w:lang w:val="fr-CA"/>
              </w:rPr>
              <w:t>Classification de l’industrie :</w:t>
            </w:r>
          </w:p>
        </w:tc>
        <w:tc>
          <w:tcPr>
            <w:tcW w:w="7441" w:type="dxa"/>
            <w:gridSpan w:val="2"/>
            <w:tcBorders>
              <w:top w:val="single" w:sz="4" w:space="0" w:color="C0C0C0"/>
              <w:left w:val="nil"/>
              <w:bottom w:val="single" w:sz="4" w:space="0" w:color="C0C0C0"/>
              <w:right w:val="single" w:sz="4" w:space="0" w:color="FFFFFF"/>
            </w:tcBorders>
            <w:vAlign w:val="center"/>
          </w:tcPr>
          <w:p w14:paraId="714FAB61" w14:textId="77777777" w:rsidR="00B8348C" w:rsidRPr="00F52884" w:rsidRDefault="00B8348C" w:rsidP="000C25A3">
            <w:pPr>
              <w:spacing w:before="60" w:after="60"/>
              <w:ind w:left="28" w:hanging="28"/>
              <w:rPr>
                <w:rFonts w:eastAsia="Arial" w:cstheme="minorHAnsi"/>
                <w:szCs w:val="23"/>
              </w:rPr>
            </w:pPr>
          </w:p>
        </w:tc>
      </w:tr>
      <w:tr w:rsidR="00B8348C" w:rsidRPr="0068240F" w14:paraId="562B1DEF" w14:textId="77777777" w:rsidTr="00FC4CF0">
        <w:trPr>
          <w:trHeight w:val="42"/>
          <w:jc w:val="center"/>
        </w:trPr>
        <w:tc>
          <w:tcPr>
            <w:tcW w:w="2520" w:type="dxa"/>
            <w:gridSpan w:val="2"/>
            <w:tcBorders>
              <w:top w:val="single" w:sz="4" w:space="0" w:color="C0C0C0"/>
              <w:left w:val="nil"/>
              <w:bottom w:val="single" w:sz="4" w:space="0" w:color="C0C0C0"/>
              <w:right w:val="nil"/>
            </w:tcBorders>
            <w:hideMark/>
          </w:tcPr>
          <w:p w14:paraId="64B75175" w14:textId="248D9290" w:rsidR="00B8348C" w:rsidRPr="00F52884" w:rsidRDefault="00B8348C" w:rsidP="000C25A3">
            <w:pPr>
              <w:spacing w:before="60" w:after="60"/>
              <w:ind w:left="432" w:hanging="43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67BCEF09" w14:textId="663C645E" w:rsidR="00B8348C" w:rsidRPr="00F52884" w:rsidRDefault="00B8348C" w:rsidP="00B8348C">
            <w:pPr>
              <w:spacing w:before="60" w:after="60"/>
              <w:ind w:firstLine="6"/>
              <w:rPr>
                <w:rFonts w:eastAsia="Times New Roman" w:cstheme="minorHAnsi"/>
                <w:szCs w:val="23"/>
                <w:lang w:val="fr-FR"/>
              </w:rPr>
            </w:pPr>
            <w:r w:rsidRPr="00F52884">
              <w:rPr>
                <w:rFonts w:eastAsia="Times New Roman" w:cstheme="minorHAnsi"/>
                <w:szCs w:val="23"/>
                <w:lang w:val="fr-CA"/>
              </w:rPr>
              <w:t>Le chapitre Dix (Règlement des différends), sauf l’article 1000 (Coopération) et l’article 1003 (Consultations)</w:t>
            </w:r>
          </w:p>
        </w:tc>
      </w:tr>
      <w:tr w:rsidR="00B8348C" w:rsidRPr="00F52884" w14:paraId="577A8E17" w14:textId="77777777" w:rsidTr="00FC4CF0">
        <w:trPr>
          <w:trHeight w:val="42"/>
          <w:jc w:val="center"/>
        </w:trPr>
        <w:tc>
          <w:tcPr>
            <w:tcW w:w="10296"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4F2848B8"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763516E5" w14:textId="77777777" w:rsidTr="00FC4CF0">
        <w:trPr>
          <w:trHeight w:val="120"/>
          <w:jc w:val="center"/>
        </w:trPr>
        <w:tc>
          <w:tcPr>
            <w:tcW w:w="10296" w:type="dxa"/>
            <w:gridSpan w:val="4"/>
            <w:tcBorders>
              <w:top w:val="single" w:sz="4" w:space="0" w:color="C0C0C0"/>
              <w:left w:val="single" w:sz="4" w:space="0" w:color="C0C0C0"/>
              <w:bottom w:val="single" w:sz="4" w:space="0" w:color="C0C0C0"/>
              <w:right w:val="single" w:sz="4" w:space="0" w:color="C0C0C0"/>
            </w:tcBorders>
          </w:tcPr>
          <w:p w14:paraId="13A9DAA1" w14:textId="53A0D5CF" w:rsidR="00B8348C" w:rsidRPr="00F52884" w:rsidRDefault="00B8348C" w:rsidP="00B8348C">
            <w:pPr>
              <w:spacing w:before="60" w:after="60"/>
              <w:rPr>
                <w:rFonts w:eastAsia="Arial" w:cstheme="minorHAnsi"/>
                <w:szCs w:val="23"/>
                <w:lang w:val="fr-FR"/>
              </w:rPr>
            </w:pPr>
            <w:r w:rsidRPr="00F52884">
              <w:rPr>
                <w:rFonts w:eastAsia="Arial" w:cstheme="minorHAnsi"/>
                <w:szCs w:val="23"/>
                <w:lang w:val="fr-CA"/>
              </w:rPr>
              <w:t>Nonobstant le chapitre Sept (Mobilité de la main-d’œuvre) et de l’article 320 (Stimulants interdits), seuls l’article 1000 (Coopération) et l’article 1003 du chapitre Dix (Règlement des différends) s’appliquent au gouvernement d</w:t>
            </w:r>
            <w:r w:rsidR="002454AE" w:rsidRPr="00F52884">
              <w:rPr>
                <w:rFonts w:eastAsia="Arial" w:cstheme="minorHAnsi"/>
                <w:szCs w:val="23"/>
                <w:lang w:val="fr-CA"/>
              </w:rPr>
              <w:t>u Nunavut</w:t>
            </w:r>
            <w:r w:rsidRPr="00F52884">
              <w:rPr>
                <w:rFonts w:eastAsia="Arial" w:cstheme="minorHAnsi"/>
                <w:szCs w:val="23"/>
                <w:lang w:val="fr-CA"/>
              </w:rPr>
              <w:t xml:space="preserve"> en cas de défaut d’un gouvernement régional, local, de district ou d’une autre forme d’administration municipale, d’un conseil ou d’une commission scolaire, d’une entité d’enseignement supérieur, de services de santé ou de services sociaux financés par l’État ou d’une entreprise ou d’un organisme non gouvernemental de se conformer à ses obligations en vertu du présent accord.</w:t>
            </w:r>
          </w:p>
        </w:tc>
      </w:tr>
      <w:tr w:rsidR="00B8348C" w:rsidRPr="00F52884" w14:paraId="6B501218" w14:textId="77777777" w:rsidTr="00FC4CF0">
        <w:trPr>
          <w:trHeight w:val="42"/>
          <w:jc w:val="center"/>
        </w:trPr>
        <w:tc>
          <w:tcPr>
            <w:tcW w:w="10296"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6DBC492C" w14:textId="77777777" w:rsidR="00B8348C" w:rsidRPr="00F52884" w:rsidRDefault="00B8348C" w:rsidP="000C25A3">
            <w:pPr>
              <w:spacing w:before="60" w:after="60"/>
              <w:rPr>
                <w:rFonts w:eastAsia="Arial" w:cstheme="minorHAnsi"/>
                <w:caps/>
                <w:szCs w:val="23"/>
              </w:rPr>
            </w:pPr>
            <w:r w:rsidRPr="00F52884">
              <w:rPr>
                <w:rFonts w:eastAsia="Arial" w:cstheme="minorHAnsi"/>
                <w:b/>
                <w:bCs/>
                <w:szCs w:val="23"/>
                <w:lang w:val="fr-CA"/>
              </w:rPr>
              <w:lastRenderedPageBreak/>
              <w:t>Toute mesure existante :</w:t>
            </w:r>
            <w:r w:rsidRPr="00F52884">
              <w:rPr>
                <w:rFonts w:eastAsia="Arial" w:cstheme="minorHAnsi"/>
                <w:caps/>
                <w:szCs w:val="23"/>
                <w:lang w:val="fr-CA"/>
              </w:rPr>
              <w:t xml:space="preserve"> </w:t>
            </w:r>
          </w:p>
        </w:tc>
      </w:tr>
      <w:tr w:rsidR="00B8348C" w:rsidRPr="00F52884" w14:paraId="33658FB1" w14:textId="77777777" w:rsidTr="00FC4CF0">
        <w:trPr>
          <w:trHeight w:val="42"/>
          <w:jc w:val="center"/>
        </w:trPr>
        <w:tc>
          <w:tcPr>
            <w:tcW w:w="10296" w:type="dxa"/>
            <w:gridSpan w:val="4"/>
            <w:tcBorders>
              <w:top w:val="single" w:sz="4" w:space="0" w:color="C0C0C0"/>
              <w:left w:val="single" w:sz="4" w:space="0" w:color="C0C0C0"/>
              <w:bottom w:val="single" w:sz="4" w:space="0" w:color="C0C0C0"/>
              <w:right w:val="single" w:sz="4" w:space="0" w:color="C0C0C0"/>
            </w:tcBorders>
          </w:tcPr>
          <w:p w14:paraId="79D31F52" w14:textId="77777777" w:rsidR="00B8348C" w:rsidRPr="00F52884" w:rsidRDefault="00B8348C" w:rsidP="000C25A3">
            <w:pPr>
              <w:spacing w:before="60" w:after="60"/>
              <w:rPr>
                <w:rFonts w:eastAsia="Arial" w:cstheme="minorHAnsi"/>
                <w:b/>
                <w:szCs w:val="23"/>
              </w:rPr>
            </w:pPr>
          </w:p>
        </w:tc>
      </w:tr>
    </w:tbl>
    <w:p w14:paraId="5A46395D" w14:textId="77777777" w:rsidR="00B8348C" w:rsidRPr="00F52884" w:rsidRDefault="00B8348C" w:rsidP="000C25A3">
      <w:pPr>
        <w:rPr>
          <w:rFonts w:eastAsia="Arial" w:cstheme="minorHAnsi"/>
          <w:b/>
          <w:szCs w:val="23"/>
        </w:rPr>
      </w:pPr>
    </w:p>
    <w:p w14:paraId="53138A3D" w14:textId="77777777" w:rsidR="00B8348C" w:rsidRPr="00F52884" w:rsidRDefault="00B8348C" w:rsidP="00B8348C">
      <w:pPr>
        <w:rPr>
          <w:rFonts w:eastAsia="Arial" w:cstheme="minorHAnsi"/>
          <w:b/>
          <w:szCs w:val="23"/>
        </w:rPr>
      </w:pPr>
    </w:p>
    <w:p w14:paraId="2FAB1DC1" w14:textId="691B83F3" w:rsidR="00B8348C" w:rsidRPr="00F52884" w:rsidRDefault="00B8348C" w:rsidP="00FC4CF0">
      <w:pPr>
        <w:ind w:left="-360"/>
        <w:rPr>
          <w:rFonts w:eastAsia="Arial" w:cstheme="minorHAnsi"/>
          <w:b/>
          <w:szCs w:val="23"/>
        </w:rPr>
      </w:pPr>
      <w:r w:rsidRPr="00F52884">
        <w:rPr>
          <w:rFonts w:eastAsia="Arial" w:cstheme="minorHAnsi"/>
          <w:b/>
          <w:bCs/>
          <w:szCs w:val="23"/>
          <w:lang w:val="fr-CA"/>
        </w:rPr>
        <w:t xml:space="preserve">10. </w:t>
      </w:r>
      <w:r w:rsidR="00FC4CF0" w:rsidRPr="00F52884">
        <w:rPr>
          <w:rFonts w:eastAsia="Arial" w:cstheme="minorHAnsi"/>
          <w:b/>
          <w:bCs/>
          <w:szCs w:val="23"/>
          <w:lang w:val="fr-CA"/>
        </w:rPr>
        <w:t xml:space="preserve"> </w:t>
      </w:r>
      <w:r w:rsidRPr="00F52884">
        <w:rPr>
          <w:rFonts w:eastAsia="Arial" w:cstheme="minorHAnsi"/>
          <w:b/>
          <w:bCs/>
          <w:szCs w:val="23"/>
          <w:lang w:val="fr-CA"/>
        </w:rPr>
        <w:t>NUNAVUT</w:t>
      </w:r>
    </w:p>
    <w:tbl>
      <w:tblPr>
        <w:tblW w:w="10296" w:type="dxa"/>
        <w:jc w:val="center"/>
        <w:tblCellMar>
          <w:top w:w="14" w:type="dxa"/>
          <w:left w:w="86" w:type="dxa"/>
          <w:bottom w:w="14" w:type="dxa"/>
          <w:right w:w="86" w:type="dxa"/>
        </w:tblCellMar>
        <w:tblLook w:val="04A0" w:firstRow="1" w:lastRow="0" w:firstColumn="1" w:lastColumn="0" w:noHBand="0" w:noVBand="1"/>
      </w:tblPr>
      <w:tblGrid>
        <w:gridCol w:w="2520"/>
        <w:gridCol w:w="7351"/>
        <w:gridCol w:w="425"/>
      </w:tblGrid>
      <w:tr w:rsidR="00B8348C" w:rsidRPr="00F52884" w14:paraId="72937584"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52A1358D"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Secteur : </w:t>
            </w:r>
          </w:p>
        </w:tc>
        <w:tc>
          <w:tcPr>
            <w:tcW w:w="7776" w:type="dxa"/>
            <w:gridSpan w:val="2"/>
            <w:tcBorders>
              <w:top w:val="single" w:sz="4" w:space="0" w:color="C0C0C0"/>
              <w:left w:val="nil"/>
              <w:bottom w:val="single" w:sz="4" w:space="0" w:color="C0C0C0"/>
              <w:right w:val="single" w:sz="4" w:space="0" w:color="FFFFFF"/>
            </w:tcBorders>
            <w:vAlign w:val="center"/>
          </w:tcPr>
          <w:p w14:paraId="0D904428"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Énergie (pétrole et gaz)</w:t>
            </w:r>
          </w:p>
        </w:tc>
      </w:tr>
      <w:tr w:rsidR="00B8348C" w:rsidRPr="0068240F" w14:paraId="111D837C" w14:textId="77777777" w:rsidTr="00FC4CF0">
        <w:trPr>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1E1031A1"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Sous-secteur : </w:t>
            </w:r>
          </w:p>
        </w:tc>
        <w:tc>
          <w:tcPr>
            <w:tcW w:w="7776" w:type="dxa"/>
            <w:gridSpan w:val="2"/>
            <w:tcBorders>
              <w:top w:val="single" w:sz="4" w:space="0" w:color="C0C0C0"/>
              <w:left w:val="nil"/>
              <w:bottom w:val="single" w:sz="4" w:space="0" w:color="C0C0C0"/>
              <w:right w:val="single" w:sz="4" w:space="0" w:color="FFFFFF"/>
            </w:tcBorders>
            <w:vAlign w:val="center"/>
          </w:tcPr>
          <w:p w14:paraId="6E4CBDE2"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Industries du pétrole brut et du gaz naturel; services annexes aux industries extractives</w:t>
            </w:r>
          </w:p>
        </w:tc>
      </w:tr>
      <w:tr w:rsidR="00B8348C" w:rsidRPr="00F52884" w14:paraId="428BD5C8" w14:textId="77777777" w:rsidTr="00FC4CF0">
        <w:trPr>
          <w:gridAfter w:val="1"/>
          <w:wAfter w:w="425" w:type="dxa"/>
          <w:trHeight w:val="42"/>
          <w:jc w:val="center"/>
        </w:trPr>
        <w:tc>
          <w:tcPr>
            <w:tcW w:w="2520" w:type="dxa"/>
            <w:tcBorders>
              <w:top w:val="single" w:sz="4" w:space="0" w:color="C0C0C0"/>
              <w:left w:val="nil"/>
              <w:bottom w:val="single" w:sz="4" w:space="0" w:color="C0C0C0"/>
              <w:right w:val="single" w:sz="4" w:space="0" w:color="FFFFFF"/>
            </w:tcBorders>
            <w:vAlign w:val="center"/>
            <w:hideMark/>
          </w:tcPr>
          <w:p w14:paraId="3449F39B" w14:textId="77777777" w:rsidR="00B8348C" w:rsidRPr="00F52884" w:rsidRDefault="00B8348C" w:rsidP="000C25A3">
            <w:pPr>
              <w:spacing w:before="60" w:after="60"/>
              <w:rPr>
                <w:rFonts w:eastAsia="Arial" w:cstheme="minorHAnsi"/>
                <w:szCs w:val="23"/>
              </w:rPr>
            </w:pPr>
            <w:r w:rsidRPr="00F52884">
              <w:rPr>
                <w:rFonts w:eastAsia="Arial" w:cstheme="minorHAnsi"/>
                <w:b/>
                <w:bCs/>
                <w:szCs w:val="23"/>
                <w:lang w:val="fr-CA"/>
              </w:rPr>
              <w:t xml:space="preserve">Classification de l’industrie : </w:t>
            </w:r>
          </w:p>
        </w:tc>
        <w:tc>
          <w:tcPr>
            <w:tcW w:w="7351" w:type="dxa"/>
            <w:tcBorders>
              <w:top w:val="single" w:sz="4" w:space="0" w:color="C0C0C0"/>
              <w:left w:val="nil"/>
              <w:bottom w:val="single" w:sz="4" w:space="0" w:color="C0C0C0"/>
              <w:right w:val="single" w:sz="4" w:space="0" w:color="FFFFFF"/>
            </w:tcBorders>
            <w:vAlign w:val="center"/>
          </w:tcPr>
          <w:p w14:paraId="141346B2" w14:textId="77777777" w:rsidR="00B8348C" w:rsidRPr="00F52884" w:rsidRDefault="00B8348C" w:rsidP="000C25A3">
            <w:pPr>
              <w:spacing w:before="60" w:after="60"/>
              <w:rPr>
                <w:rFonts w:eastAsia="Arial" w:cstheme="minorHAnsi"/>
                <w:szCs w:val="23"/>
              </w:rPr>
            </w:pPr>
            <w:r w:rsidRPr="00F52884">
              <w:rPr>
                <w:rFonts w:eastAsia="Arial" w:cstheme="minorHAnsi"/>
                <w:szCs w:val="23"/>
                <w:lang w:val="fr-CA"/>
              </w:rPr>
              <w:t>CPC 120, 883</w:t>
            </w:r>
          </w:p>
        </w:tc>
      </w:tr>
      <w:tr w:rsidR="00B8348C" w:rsidRPr="00F52884" w14:paraId="440856FC" w14:textId="77777777" w:rsidTr="00FC4CF0">
        <w:trPr>
          <w:trHeight w:val="42"/>
          <w:jc w:val="center"/>
        </w:trPr>
        <w:tc>
          <w:tcPr>
            <w:tcW w:w="2520" w:type="dxa"/>
            <w:tcBorders>
              <w:top w:val="single" w:sz="4" w:space="0" w:color="C0C0C0"/>
              <w:left w:val="nil"/>
              <w:bottom w:val="single" w:sz="4" w:space="0" w:color="C0C0C0"/>
              <w:right w:val="nil"/>
            </w:tcBorders>
            <w:hideMark/>
          </w:tcPr>
          <w:p w14:paraId="09953F90" w14:textId="5C374B47" w:rsidR="00B8348C" w:rsidRPr="00F52884" w:rsidRDefault="00B8348C" w:rsidP="000C25A3">
            <w:pPr>
              <w:spacing w:before="60" w:after="60"/>
              <w:ind w:left="432" w:hanging="432"/>
              <w:rPr>
                <w:rFonts w:eastAsia="Times New Roman" w:cstheme="minorHAnsi"/>
                <w:szCs w:val="23"/>
              </w:rPr>
            </w:pPr>
            <w:r w:rsidRPr="00F52884">
              <w:rPr>
                <w:rFonts w:eastAsia="Times New Roman" w:cstheme="minorHAnsi"/>
                <w:b/>
                <w:bCs/>
                <w:szCs w:val="23"/>
                <w:lang w:val="fr-CA"/>
              </w:rPr>
              <w:t xml:space="preserve">Type d’exception : </w:t>
            </w:r>
          </w:p>
        </w:tc>
        <w:tc>
          <w:tcPr>
            <w:tcW w:w="7776" w:type="dxa"/>
            <w:gridSpan w:val="2"/>
            <w:tcBorders>
              <w:top w:val="single" w:sz="4" w:space="0" w:color="C0C0C0"/>
              <w:left w:val="nil"/>
              <w:bottom w:val="single" w:sz="4" w:space="0" w:color="C0C0C0"/>
              <w:right w:val="nil"/>
            </w:tcBorders>
          </w:tcPr>
          <w:p w14:paraId="3DB42BFD" w14:textId="77777777" w:rsidR="00B8348C" w:rsidRPr="00F52884" w:rsidRDefault="00B8348C" w:rsidP="000C25A3">
            <w:pPr>
              <w:spacing w:before="60" w:after="60"/>
              <w:ind w:left="432" w:hanging="432"/>
              <w:rPr>
                <w:rFonts w:eastAsia="Times New Roman" w:cstheme="minorHAnsi"/>
                <w:szCs w:val="23"/>
              </w:rPr>
            </w:pPr>
            <w:r w:rsidRPr="00F52884">
              <w:rPr>
                <w:rFonts w:eastAsia="Times New Roman" w:cstheme="minorHAnsi"/>
                <w:szCs w:val="23"/>
                <w:lang w:val="fr-CA"/>
              </w:rPr>
              <w:t>Article 313 (Prescriptions de résultats)</w:t>
            </w:r>
          </w:p>
        </w:tc>
      </w:tr>
      <w:tr w:rsidR="00B8348C" w:rsidRPr="00F52884" w14:paraId="3D62E4CA"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hideMark/>
          </w:tcPr>
          <w:p w14:paraId="0EFDE5BB" w14:textId="77777777" w:rsidR="00B8348C" w:rsidRPr="00F52884" w:rsidRDefault="00B8348C" w:rsidP="000C25A3">
            <w:pPr>
              <w:tabs>
                <w:tab w:val="left" w:pos="720"/>
              </w:tabs>
              <w:spacing w:before="60" w:after="60"/>
              <w:ind w:left="288" w:hanging="288"/>
              <w:rPr>
                <w:rFonts w:eastAsia="Times New Roman" w:cstheme="minorHAnsi"/>
                <w:szCs w:val="23"/>
              </w:rPr>
            </w:pPr>
            <w:r w:rsidRPr="00F52884">
              <w:rPr>
                <w:rFonts w:eastAsia="Times New Roman" w:cstheme="minorHAnsi"/>
                <w:b/>
                <w:bCs/>
                <w:szCs w:val="23"/>
                <w:lang w:val="fr-CA"/>
              </w:rPr>
              <w:t xml:space="preserve">Description : </w:t>
            </w:r>
          </w:p>
        </w:tc>
      </w:tr>
      <w:tr w:rsidR="00B8348C" w:rsidRPr="0068240F" w14:paraId="32441884" w14:textId="77777777" w:rsidTr="00FC4CF0">
        <w:trPr>
          <w:trHeight w:val="120"/>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15EFF985" w14:textId="77777777" w:rsidR="00B8348C" w:rsidRPr="00F52884" w:rsidRDefault="00B8348C" w:rsidP="000C25A3">
            <w:pPr>
              <w:spacing w:before="60" w:after="60"/>
              <w:rPr>
                <w:rFonts w:eastAsia="Arial" w:cstheme="minorHAnsi"/>
                <w:szCs w:val="23"/>
                <w:lang w:val="fr-FR"/>
              </w:rPr>
            </w:pPr>
            <w:r w:rsidRPr="00F52884">
              <w:rPr>
                <w:rFonts w:eastAsia="Arial" w:cstheme="minorHAnsi"/>
                <w:szCs w:val="23"/>
                <w:lang w:val="fr-CA"/>
              </w:rPr>
              <w:t>Le ministre doit approuver un « plan de retombées économiques » (ou renoncer à l’exigence d’avoir un tel plan) pour l’embauche de Canadiens et pour offrir aux fabricants, aux conseillers, aux entrepreneurs et aux sociétés de services canadiens la juste possibilité de participer sur une base concurrentielle à la fourniture de produits et de services utilisés dans les travaux ou activités envisagés dont il est fait mention dans le plan de retombées économiques. Un plan de retombées économiques peut devoir contenir des dispositions visant à faire en sorte que les personnes physiques ou groupes défavorisés bénéficient d’un accès à la formation et aux emplois offerts, et à permettre à ces personnes physiques ou groupes ou aux sociétés qu’ils détiennent ou aux coopératives qu’ils exploitent, de participer à la fourniture des produits et services utilisés dans les travaux ou activités envisagés dont il est fait mention dans le plan.</w:t>
            </w:r>
          </w:p>
        </w:tc>
      </w:tr>
      <w:tr w:rsidR="00B8348C" w:rsidRPr="0068240F" w14:paraId="72E6D4BE"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shd w:val="clear" w:color="auto" w:fill="D9D9D9" w:themeFill="background1" w:themeFillShade="D9"/>
            <w:hideMark/>
          </w:tcPr>
          <w:p w14:paraId="796D5871" w14:textId="504FBDE8" w:rsidR="00B8348C" w:rsidRPr="00F52884" w:rsidRDefault="00B8348C" w:rsidP="00B8348C">
            <w:pPr>
              <w:spacing w:before="60" w:after="60"/>
              <w:rPr>
                <w:rFonts w:eastAsia="Arial" w:cstheme="minorHAnsi"/>
                <w:caps/>
                <w:szCs w:val="23"/>
                <w:lang w:val="fr-FR"/>
              </w:rPr>
            </w:pPr>
            <w:r w:rsidRPr="00F52884">
              <w:rPr>
                <w:rFonts w:eastAsia="Arial" w:cstheme="minorHAnsi"/>
                <w:b/>
                <w:bCs/>
                <w:szCs w:val="23"/>
                <w:lang w:val="fr-CA"/>
              </w:rPr>
              <w:t>Toute mesure existante :</w:t>
            </w:r>
            <w:r w:rsidRPr="00F52884">
              <w:rPr>
                <w:rFonts w:eastAsia="Arial" w:cstheme="minorHAnsi"/>
                <w:caps/>
                <w:szCs w:val="23"/>
                <w:lang w:val="fr-CA"/>
              </w:rPr>
              <w:t xml:space="preserve"> </w:t>
            </w:r>
            <w:proofErr w:type="gramStart"/>
            <w:r w:rsidRPr="00F52884">
              <w:rPr>
                <w:rFonts w:eastAsia="Arial" w:cstheme="minorHAnsi"/>
                <w:szCs w:val="23"/>
                <w:lang w:val="fr-CA"/>
              </w:rPr>
              <w:t>( Fourni</w:t>
            </w:r>
            <w:proofErr w:type="gramEnd"/>
            <w:r w:rsidRPr="00F52884">
              <w:rPr>
                <w:rFonts w:eastAsia="Arial" w:cstheme="minorHAnsi"/>
                <w:szCs w:val="23"/>
                <w:lang w:val="fr-CA"/>
              </w:rPr>
              <w:t xml:space="preserve"> à des fins illustratives)</w:t>
            </w:r>
          </w:p>
        </w:tc>
      </w:tr>
      <w:tr w:rsidR="00B8348C" w:rsidRPr="0068240F" w14:paraId="6E69F0FD" w14:textId="77777777" w:rsidTr="00FC4CF0">
        <w:trPr>
          <w:trHeight w:val="42"/>
          <w:jc w:val="center"/>
        </w:trPr>
        <w:tc>
          <w:tcPr>
            <w:tcW w:w="10296" w:type="dxa"/>
            <w:gridSpan w:val="3"/>
            <w:tcBorders>
              <w:top w:val="single" w:sz="4" w:space="0" w:color="C0C0C0"/>
              <w:left w:val="single" w:sz="4" w:space="0" w:color="C0C0C0"/>
              <w:bottom w:val="single" w:sz="4" w:space="0" w:color="C0C0C0"/>
              <w:right w:val="single" w:sz="4" w:space="0" w:color="C0C0C0"/>
            </w:tcBorders>
          </w:tcPr>
          <w:p w14:paraId="1C7C7A3B" w14:textId="77777777" w:rsidR="00B8348C" w:rsidRPr="00F52884" w:rsidRDefault="00B8348C" w:rsidP="000C25A3">
            <w:pPr>
              <w:spacing w:before="60" w:after="60"/>
              <w:rPr>
                <w:rFonts w:eastAsia="Arial" w:cstheme="minorHAnsi"/>
                <w:b/>
                <w:szCs w:val="23"/>
                <w:lang w:val="fr-FR"/>
              </w:rPr>
            </w:pPr>
            <w:r w:rsidRPr="00F52884">
              <w:rPr>
                <w:rFonts w:eastAsia="Arial" w:cstheme="minorHAnsi"/>
                <w:szCs w:val="23"/>
                <w:lang w:val="fr-CA"/>
              </w:rPr>
              <w:t>Toute mesure de mise en œuvre de l’Accord des Territoires du Nord-Ouest sur le pétrole et le gaz, y compris toute mesure de mise en œuvre qui s’applique au Nunavut ou qui est adoptée par le Nunavut en tant que territoire successeur des anciens Territoires du Nord-Ouest</w:t>
            </w:r>
          </w:p>
        </w:tc>
      </w:tr>
    </w:tbl>
    <w:p w14:paraId="4D9C86DC" w14:textId="08EE96FE" w:rsidR="006B2C61" w:rsidRDefault="006B2C61" w:rsidP="006B2C61">
      <w:pPr>
        <w:spacing w:before="60" w:after="60"/>
        <w:ind w:left="-284"/>
        <w:rPr>
          <w:rFonts w:cstheme="minorHAnsi"/>
          <w:szCs w:val="23"/>
          <w:lang w:val="fr-FR"/>
        </w:rPr>
      </w:pPr>
    </w:p>
    <w:p w14:paraId="4423456C" w14:textId="77777777" w:rsidR="006B2C61" w:rsidRPr="006B2C61" w:rsidRDefault="006B2C61" w:rsidP="006B2C61">
      <w:pPr>
        <w:spacing w:before="60" w:after="60"/>
        <w:ind w:left="-284"/>
        <w:rPr>
          <w:rFonts w:cstheme="minorHAnsi"/>
          <w:szCs w:val="23"/>
          <w:lang w:val="fr-FR"/>
        </w:rPr>
      </w:pPr>
    </w:p>
    <w:p w14:paraId="4776A3BD" w14:textId="29E83DED" w:rsidR="006B2C61" w:rsidRPr="006B2C61" w:rsidRDefault="006B2C61" w:rsidP="006B2C61">
      <w:pPr>
        <w:spacing w:before="60" w:after="60"/>
        <w:ind w:left="-284"/>
        <w:rPr>
          <w:rFonts w:cstheme="minorHAnsi"/>
          <w:b/>
          <w:bCs/>
          <w:caps/>
          <w:szCs w:val="23"/>
          <w:lang w:val="fr-CA"/>
        </w:rPr>
      </w:pPr>
      <w:r w:rsidRPr="006B2C61">
        <w:rPr>
          <w:rFonts w:cstheme="minorHAnsi"/>
          <w:b/>
          <w:bCs/>
          <w:caps/>
          <w:szCs w:val="23"/>
          <w:lang w:val="fr-CA"/>
        </w:rPr>
        <w:t>11. nunavut</w:t>
      </w:r>
    </w:p>
    <w:tbl>
      <w:tblPr>
        <w:tblW w:w="10110" w:type="dxa"/>
        <w:jc w:val="center"/>
        <w:tblCellMar>
          <w:left w:w="0" w:type="dxa"/>
          <w:right w:w="0" w:type="dxa"/>
        </w:tblCellMar>
        <w:tblLook w:val="04A0" w:firstRow="1" w:lastRow="0" w:firstColumn="1" w:lastColumn="0" w:noHBand="0" w:noVBand="1"/>
      </w:tblPr>
      <w:tblGrid>
        <w:gridCol w:w="2250"/>
        <w:gridCol w:w="7470"/>
        <w:gridCol w:w="390"/>
      </w:tblGrid>
      <w:tr w:rsidR="006B2C61" w:rsidRPr="0068240F" w14:paraId="4DEAAC66" w14:textId="77777777" w:rsidTr="006B2C61">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2D745B42" w14:textId="77777777" w:rsidR="006B2C61" w:rsidRPr="006B2C61" w:rsidRDefault="006B2C61">
            <w:pPr>
              <w:spacing w:before="60" w:after="60" w:line="42" w:lineRule="atLeast"/>
              <w:rPr>
                <w:rFonts w:cstheme="minorHAnsi"/>
                <w:b/>
                <w:bCs/>
                <w:szCs w:val="23"/>
              </w:rPr>
            </w:pPr>
            <w:r w:rsidRPr="006B2C61">
              <w:rPr>
                <w:rFonts w:cstheme="minorHAnsi"/>
                <w:b/>
                <w:bCs/>
                <w:szCs w:val="23"/>
                <w:lang w:val="fr-CA"/>
              </w:rPr>
              <w:t>Secteur :</w:t>
            </w: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63DDC565" w14:textId="77777777" w:rsidR="006B2C61" w:rsidRPr="006B2C61" w:rsidRDefault="006B2C61">
            <w:pPr>
              <w:spacing w:before="60" w:after="60" w:line="42" w:lineRule="atLeast"/>
              <w:rPr>
                <w:rFonts w:cstheme="minorHAnsi"/>
                <w:szCs w:val="23"/>
                <w:lang w:val="fr-CA"/>
              </w:rPr>
            </w:pPr>
            <w:r w:rsidRPr="006B2C61">
              <w:rPr>
                <w:rFonts w:cstheme="minorHAnsi"/>
                <w:szCs w:val="23"/>
                <w:lang w:val="fr-CA"/>
              </w:rPr>
              <w:t>Fournisseurs de services de transport d’électricité et commerce des services de transport d’électricité</w:t>
            </w:r>
          </w:p>
        </w:tc>
      </w:tr>
      <w:tr w:rsidR="006B2C61" w:rsidRPr="006B2C61" w14:paraId="703D52CB" w14:textId="77777777" w:rsidTr="006B2C61">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3EE4B6CC" w14:textId="77777777" w:rsidR="006B2C61" w:rsidRPr="006B2C61" w:rsidRDefault="006B2C61">
            <w:pPr>
              <w:spacing w:before="60" w:after="60" w:line="42" w:lineRule="atLeast"/>
              <w:rPr>
                <w:rFonts w:cstheme="minorHAnsi"/>
                <w:b/>
                <w:bCs/>
                <w:szCs w:val="23"/>
              </w:rPr>
            </w:pPr>
            <w:r w:rsidRPr="006B2C61">
              <w:rPr>
                <w:rFonts w:cstheme="minorHAnsi"/>
                <w:b/>
                <w:bCs/>
                <w:szCs w:val="23"/>
                <w:lang w:val="fr-CA"/>
              </w:rPr>
              <w:t>Sous-secteur :</w:t>
            </w:r>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67457F9B" w14:textId="77777777" w:rsidR="006B2C61" w:rsidRPr="006B2C61" w:rsidRDefault="006B2C61">
            <w:pPr>
              <w:spacing w:before="60" w:after="60" w:line="42" w:lineRule="atLeast"/>
              <w:rPr>
                <w:rFonts w:cstheme="minorHAnsi"/>
                <w:szCs w:val="23"/>
              </w:rPr>
            </w:pPr>
            <w:r w:rsidRPr="006B2C61">
              <w:rPr>
                <w:rFonts w:cstheme="minorHAnsi"/>
                <w:szCs w:val="23"/>
                <w:lang w:val="fr-CA"/>
              </w:rPr>
              <w:t>Tous les sous-secteurs</w:t>
            </w:r>
          </w:p>
        </w:tc>
      </w:tr>
      <w:tr w:rsidR="006B2C61" w:rsidRPr="006B2C61" w14:paraId="675E57B7" w14:textId="77777777" w:rsidTr="006B2C61">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7B9E2EC1" w14:textId="77777777" w:rsidR="006B2C61" w:rsidRPr="006B2C61" w:rsidRDefault="006B2C61">
            <w:pPr>
              <w:spacing w:before="60" w:after="60" w:line="42" w:lineRule="atLeast"/>
              <w:ind w:right="-110"/>
              <w:rPr>
                <w:rFonts w:cstheme="minorHAnsi"/>
                <w:b/>
                <w:bCs/>
                <w:szCs w:val="23"/>
              </w:rPr>
            </w:pPr>
            <w:r w:rsidRPr="006B2C61">
              <w:rPr>
                <w:rFonts w:cstheme="minorHAnsi"/>
                <w:b/>
                <w:bCs/>
                <w:szCs w:val="23"/>
                <w:lang w:val="fr-CA"/>
              </w:rPr>
              <w:t>Classification de l’industrie :</w:t>
            </w:r>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7E748970" w14:textId="77777777" w:rsidR="006B2C61" w:rsidRPr="006B2C61" w:rsidRDefault="006B2C61">
            <w:pPr>
              <w:spacing w:before="60" w:after="60"/>
              <w:ind w:left="28" w:hanging="28"/>
              <w:rPr>
                <w:rFonts w:cstheme="minorHAnsi"/>
                <w:szCs w:val="23"/>
              </w:rPr>
            </w:pPr>
          </w:p>
        </w:tc>
        <w:tc>
          <w:tcPr>
            <w:tcW w:w="390" w:type="dxa"/>
            <w:tcBorders>
              <w:top w:val="nil"/>
              <w:left w:val="nil"/>
              <w:bottom w:val="single" w:sz="8" w:space="0" w:color="C0C0C0"/>
              <w:right w:val="nil"/>
            </w:tcBorders>
            <w:vAlign w:val="center"/>
            <w:hideMark/>
          </w:tcPr>
          <w:p w14:paraId="57C97A1C" w14:textId="77777777" w:rsidR="006B2C61" w:rsidRPr="006B2C61" w:rsidRDefault="006B2C61">
            <w:pPr>
              <w:spacing w:line="42" w:lineRule="atLeast"/>
              <w:rPr>
                <w:rFonts w:cstheme="minorHAnsi"/>
                <w:szCs w:val="23"/>
              </w:rPr>
            </w:pPr>
            <w:r w:rsidRPr="006B2C61">
              <w:rPr>
                <w:rFonts w:cstheme="minorHAnsi"/>
                <w:szCs w:val="23"/>
                <w:lang w:val="fr-CA"/>
              </w:rPr>
              <w:t> </w:t>
            </w:r>
          </w:p>
        </w:tc>
      </w:tr>
      <w:tr w:rsidR="006B2C61" w:rsidRPr="006B2C61" w14:paraId="1FE618A1" w14:textId="77777777" w:rsidTr="006B2C61">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2957F5A0" w14:textId="77777777" w:rsidR="006B2C61" w:rsidRPr="006B2C61" w:rsidRDefault="006B2C61">
            <w:pPr>
              <w:pStyle w:val="Text"/>
              <w:spacing w:before="60" w:after="60" w:line="42" w:lineRule="atLeast"/>
              <w:ind w:left="432" w:hanging="432"/>
              <w:rPr>
                <w:rFonts w:asciiTheme="minorHAnsi" w:hAnsiTheme="minorHAnsi" w:cstheme="minorHAnsi"/>
                <w:sz w:val="23"/>
                <w:szCs w:val="23"/>
              </w:rPr>
            </w:pPr>
            <w:r w:rsidRPr="006B2C61">
              <w:rPr>
                <w:rFonts w:asciiTheme="minorHAnsi" w:hAnsiTheme="minorHAnsi" w:cstheme="minorHAnsi"/>
                <w:b/>
                <w:bCs/>
                <w:sz w:val="23"/>
                <w:szCs w:val="23"/>
                <w:lang w:val="fr-CA"/>
              </w:rPr>
              <w:t>Type d’exception :</w:t>
            </w:r>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2E76D56A" w14:textId="77777777" w:rsidR="006B2C61" w:rsidRPr="006B2C61" w:rsidRDefault="006B2C61">
            <w:pPr>
              <w:pStyle w:val="Text"/>
              <w:spacing w:before="60" w:after="60" w:line="42" w:lineRule="atLeast"/>
              <w:ind w:firstLine="6"/>
              <w:rPr>
                <w:rFonts w:asciiTheme="minorHAnsi" w:hAnsiTheme="minorHAnsi" w:cstheme="minorHAnsi"/>
                <w:sz w:val="23"/>
                <w:szCs w:val="23"/>
              </w:rPr>
            </w:pPr>
            <w:r w:rsidRPr="006B2C61">
              <w:rPr>
                <w:rFonts w:asciiTheme="minorHAnsi" w:hAnsiTheme="minorHAnsi" w:cstheme="minorHAnsi"/>
                <w:sz w:val="23"/>
                <w:szCs w:val="23"/>
                <w:lang w:val="fr-CA"/>
              </w:rPr>
              <w:t>Toutes les obligations</w:t>
            </w:r>
          </w:p>
        </w:tc>
      </w:tr>
      <w:tr w:rsidR="006B2C61" w:rsidRPr="006B2C61" w14:paraId="443F3DA4" w14:textId="77777777" w:rsidTr="006B2C61">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594B9926" w14:textId="77777777" w:rsidR="006B2C61" w:rsidRPr="006B2C61" w:rsidRDefault="006B2C61">
            <w:pPr>
              <w:spacing w:before="60" w:after="60" w:line="42" w:lineRule="atLeast"/>
              <w:rPr>
                <w:rFonts w:cstheme="minorHAnsi"/>
                <w:b/>
                <w:bCs/>
                <w:szCs w:val="23"/>
              </w:rPr>
            </w:pPr>
            <w:r w:rsidRPr="006B2C61">
              <w:rPr>
                <w:rFonts w:cstheme="minorHAnsi"/>
                <w:b/>
                <w:bCs/>
                <w:color w:val="000000"/>
                <w:szCs w:val="23"/>
                <w:lang w:val="fr-CA"/>
              </w:rPr>
              <w:t xml:space="preserve">Description : </w:t>
            </w:r>
          </w:p>
        </w:tc>
      </w:tr>
      <w:tr w:rsidR="006B2C61" w:rsidRPr="0068240F" w14:paraId="4F0C131C" w14:textId="77777777" w:rsidTr="006B2C61">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492C9990" w14:textId="77777777" w:rsidR="006B2C61" w:rsidRPr="006B2C61" w:rsidRDefault="006B2C61">
            <w:pPr>
              <w:ind w:left="52"/>
              <w:rPr>
                <w:rFonts w:cstheme="minorHAnsi"/>
                <w:szCs w:val="23"/>
                <w:lang w:val="fr-CA"/>
              </w:rPr>
            </w:pPr>
            <w:r w:rsidRPr="006B2C61">
              <w:rPr>
                <w:rFonts w:cstheme="minorHAnsi"/>
                <w:szCs w:val="23"/>
                <w:lang w:val="fr-CA"/>
              </w:rPr>
              <w:t xml:space="preserve">Le Nunavut se réserve le droit de modifier les exceptions énoncées dans ses annexes à la partie VII (annexes des Parties) en incluant des exceptions à l’article 2 de l’annexe 309, </w:t>
            </w:r>
            <w:r w:rsidRPr="006B2C61">
              <w:rPr>
                <w:rFonts w:cstheme="minorHAnsi"/>
                <w:szCs w:val="23"/>
                <w:lang w:val="fr-CA"/>
              </w:rPr>
              <w:lastRenderedPageBreak/>
              <w:t xml:space="preserve">notamment des exceptions à la fourniture d’un accès libre et non discriminatoire aux services de transport de la part des fournisseurs de services de transport. Une telle modification entre en vigueur à la réception par le Secrétariat de l’avis écrit du Nunavut l’informant de cette modification. Cette réserve est en vigueur pendant les deux ans suivant la date à laquelle le Nunavut dispose d’une infrastructure physique raccordée à un réseau de production-transport d’électricité situé en dehors de son territoire. </w:t>
            </w:r>
          </w:p>
        </w:tc>
      </w:tr>
      <w:tr w:rsidR="006B2C61" w:rsidRPr="0068240F" w14:paraId="2245EC35" w14:textId="77777777" w:rsidTr="006B2C61">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1D46054C" w14:textId="77777777" w:rsidR="006B2C61" w:rsidRPr="006B2C61" w:rsidRDefault="006B2C61">
            <w:pPr>
              <w:spacing w:before="60" w:after="60" w:line="42" w:lineRule="atLeast"/>
              <w:rPr>
                <w:rFonts w:cstheme="minorHAnsi"/>
                <w:color w:val="000000"/>
                <w:szCs w:val="23"/>
                <w:lang w:val="fr-CA"/>
              </w:rPr>
            </w:pPr>
            <w:r w:rsidRPr="006B2C61">
              <w:rPr>
                <w:rFonts w:cstheme="minorHAnsi"/>
                <w:b/>
                <w:bCs/>
                <w:color w:val="000000"/>
                <w:szCs w:val="23"/>
                <w:lang w:val="fr-CA"/>
              </w:rPr>
              <w:lastRenderedPageBreak/>
              <w:t>Toute mesure existante :</w:t>
            </w:r>
            <w:r w:rsidRPr="006B2C61">
              <w:rPr>
                <w:rFonts w:cstheme="minorHAnsi"/>
                <w:b/>
                <w:bCs/>
                <w:caps/>
                <w:color w:val="000000"/>
                <w:szCs w:val="23"/>
                <w:lang w:val="fr-CA"/>
              </w:rPr>
              <w:t xml:space="preserve"> </w:t>
            </w:r>
            <w:r w:rsidRPr="006B2C61">
              <w:rPr>
                <w:rFonts w:cstheme="minorHAnsi"/>
                <w:color w:val="000000"/>
                <w:szCs w:val="23"/>
                <w:lang w:val="fr-CA"/>
              </w:rPr>
              <w:t>(À titre d’exemple seulement)</w:t>
            </w:r>
          </w:p>
        </w:tc>
      </w:tr>
      <w:tr w:rsidR="006B2C61" w:rsidRPr="0068240F" w14:paraId="229AC423" w14:textId="77777777" w:rsidTr="006B2C61">
        <w:trPr>
          <w:trHeight w:val="42"/>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6F837E8C" w14:textId="77777777" w:rsidR="006B2C61" w:rsidRPr="006B2C61" w:rsidRDefault="006B2C61">
            <w:pPr>
              <w:spacing w:before="60" w:after="60" w:line="42" w:lineRule="atLeast"/>
              <w:rPr>
                <w:rFonts w:cstheme="minorHAnsi"/>
                <w:color w:val="000000"/>
                <w:szCs w:val="23"/>
                <w:lang w:val="fr-CA"/>
              </w:rPr>
            </w:pPr>
            <w:r w:rsidRPr="006B2C61">
              <w:rPr>
                <w:rFonts w:cstheme="minorHAnsi"/>
                <w:i/>
                <w:iCs/>
                <w:color w:val="000000"/>
                <w:szCs w:val="23"/>
                <w:lang w:val="fr-CA"/>
              </w:rPr>
              <w:t>Loi sur la Société d’énergie Qulliq</w:t>
            </w:r>
            <w:r w:rsidRPr="006B2C61">
              <w:rPr>
                <w:rFonts w:cstheme="minorHAnsi"/>
                <w:color w:val="000000"/>
                <w:szCs w:val="23"/>
                <w:lang w:val="fr-CA"/>
              </w:rPr>
              <w:t>, LRTN-O 1988, c N-2</w:t>
            </w:r>
          </w:p>
        </w:tc>
      </w:tr>
    </w:tbl>
    <w:p w14:paraId="7F98DFA9" w14:textId="77777777" w:rsidR="00B8348C" w:rsidRDefault="00B8348C" w:rsidP="006B2C61">
      <w:pPr>
        <w:pStyle w:val="Heading1"/>
        <w:spacing w:before="0"/>
        <w:rPr>
          <w:rFonts w:cstheme="minorHAnsi"/>
          <w:szCs w:val="23"/>
          <w:lang w:val="fr-CA"/>
        </w:rPr>
      </w:pPr>
    </w:p>
    <w:p w14:paraId="2ACD5FE3" w14:textId="77777777" w:rsidR="00D31337" w:rsidRPr="00D31337" w:rsidRDefault="00D31337" w:rsidP="00D31337">
      <w:pPr>
        <w:rPr>
          <w:lang w:val="fr-CA"/>
        </w:rPr>
      </w:pPr>
    </w:p>
    <w:p w14:paraId="32BC496A" w14:textId="77777777" w:rsidR="006A7ED5" w:rsidRPr="006A7ED5" w:rsidRDefault="006A7ED5" w:rsidP="006A7ED5">
      <w:pPr>
        <w:widowControl w:val="0"/>
        <w:tabs>
          <w:tab w:val="left" w:pos="720"/>
          <w:tab w:val="left" w:pos="1440"/>
          <w:tab w:val="left" w:pos="2160"/>
          <w:tab w:val="left" w:pos="2880"/>
        </w:tabs>
        <w:autoSpaceDE w:val="0"/>
        <w:autoSpaceDN w:val="0"/>
        <w:adjustRightInd w:val="0"/>
        <w:spacing w:before="60" w:after="60"/>
        <w:ind w:left="-284"/>
        <w:rPr>
          <w:rFonts w:ascii="Arial" w:eastAsia="Times New Roman" w:hAnsi="Arial" w:cs="Arial"/>
          <w:b/>
          <w:bCs/>
          <w:caps/>
          <w:szCs w:val="23"/>
          <w:lang w:val="fr-CA"/>
        </w:rPr>
      </w:pPr>
      <w:r w:rsidRPr="006A7ED5">
        <w:rPr>
          <w:rFonts w:ascii="Arial" w:eastAsia="Times New Roman" w:hAnsi="Arial" w:cs="Arial"/>
          <w:b/>
          <w:bCs/>
          <w:caps/>
          <w:szCs w:val="23"/>
          <w:lang w:val="fr-CA"/>
        </w:rPr>
        <w:t xml:space="preserve">12. </w:t>
      </w:r>
      <w:r w:rsidRPr="006A7ED5">
        <w:rPr>
          <w:rFonts w:ascii="Arial" w:eastAsia="Times New Roman" w:hAnsi="Arial" w:cs="Arial"/>
          <w:b/>
          <w:bCs/>
          <w:szCs w:val="23"/>
          <w:lang w:val="fr-CA"/>
        </w:rPr>
        <w:t>NUNAVUT</w:t>
      </w:r>
    </w:p>
    <w:tbl>
      <w:tblPr>
        <w:tblW w:w="10110" w:type="dxa"/>
        <w:jc w:val="center"/>
        <w:tblCellMar>
          <w:left w:w="0" w:type="dxa"/>
          <w:right w:w="0" w:type="dxa"/>
        </w:tblCellMar>
        <w:tblLook w:val="04A0" w:firstRow="1" w:lastRow="0" w:firstColumn="1" w:lastColumn="0" w:noHBand="0" w:noVBand="1"/>
      </w:tblPr>
      <w:tblGrid>
        <w:gridCol w:w="2249"/>
        <w:gridCol w:w="7471"/>
        <w:gridCol w:w="390"/>
      </w:tblGrid>
      <w:tr w:rsidR="006A7ED5" w:rsidRPr="006A7ED5" w14:paraId="1BEC3C00" w14:textId="77777777" w:rsidTr="000017AC">
        <w:trPr>
          <w:trHeight w:val="42"/>
          <w:jc w:val="center"/>
        </w:trPr>
        <w:tc>
          <w:tcPr>
            <w:tcW w:w="2250" w:type="dxa"/>
            <w:tcBorders>
              <w:top w:val="single" w:sz="8" w:space="0" w:color="C0C0C0"/>
              <w:left w:val="nil"/>
              <w:bottom w:val="single" w:sz="8" w:space="0" w:color="C0C0C0"/>
              <w:right w:val="single" w:sz="8" w:space="0" w:color="FFFFFF"/>
            </w:tcBorders>
            <w:tcMar>
              <w:top w:w="14" w:type="dxa"/>
              <w:left w:w="86" w:type="dxa"/>
              <w:bottom w:w="14" w:type="dxa"/>
              <w:right w:w="86" w:type="dxa"/>
            </w:tcMar>
            <w:vAlign w:val="center"/>
            <w:hideMark/>
          </w:tcPr>
          <w:p w14:paraId="7C59362E"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r w:rsidRPr="006A7ED5">
              <w:rPr>
                <w:rFonts w:ascii="Arial" w:eastAsia="Calibri" w:hAnsi="Arial" w:cs="Arial"/>
                <w:b/>
                <w:szCs w:val="24"/>
                <w:lang w:eastAsia="en-CA" w:bidi="en-US"/>
              </w:rPr>
              <w:t xml:space="preserve"> </w:t>
            </w:r>
          </w:p>
          <w:p w14:paraId="05807847" w14:textId="77777777" w:rsidR="006A7ED5" w:rsidRPr="006A7ED5" w:rsidRDefault="006A7ED5" w:rsidP="006A7ED5">
            <w:pPr>
              <w:spacing w:before="60" w:after="60" w:line="42" w:lineRule="atLeast"/>
              <w:rPr>
                <w:rFonts w:ascii="Arial" w:eastAsia="Calibri" w:hAnsi="Arial" w:cs="Arial"/>
                <w:b/>
                <w:szCs w:val="24"/>
                <w:lang w:eastAsia="en-CA" w:bidi="en-US"/>
              </w:rPr>
            </w:pPr>
          </w:p>
        </w:tc>
        <w:tc>
          <w:tcPr>
            <w:tcW w:w="7866" w:type="dxa"/>
            <w:gridSpan w:val="2"/>
            <w:tcBorders>
              <w:top w:val="single" w:sz="8" w:space="0" w:color="C0C0C0"/>
              <w:left w:val="nil"/>
              <w:bottom w:val="single" w:sz="8" w:space="0" w:color="C0C0C0"/>
              <w:right w:val="nil"/>
            </w:tcBorders>
            <w:tcMar>
              <w:top w:w="14" w:type="dxa"/>
              <w:left w:w="86" w:type="dxa"/>
              <w:bottom w:w="14" w:type="dxa"/>
              <w:right w:w="86" w:type="dxa"/>
            </w:tcMar>
            <w:vAlign w:val="center"/>
            <w:hideMark/>
          </w:tcPr>
          <w:p w14:paraId="2C92EF1F" w14:textId="77777777" w:rsidR="006A7ED5" w:rsidRPr="006A7ED5" w:rsidRDefault="006A7ED5" w:rsidP="006A7ED5">
            <w:pPr>
              <w:spacing w:before="60" w:after="60" w:line="42" w:lineRule="atLeast"/>
              <w:rPr>
                <w:rFonts w:ascii="Arial" w:eastAsia="Calibri" w:hAnsi="Arial" w:cs="Arial"/>
                <w:bCs/>
                <w:szCs w:val="24"/>
                <w:lang w:eastAsia="en-CA" w:bidi="en-US"/>
              </w:rPr>
            </w:pPr>
            <w:r w:rsidRPr="006A7ED5">
              <w:rPr>
                <w:rFonts w:ascii="Arial" w:eastAsia="Calibri" w:hAnsi="Arial" w:cs="Arial"/>
                <w:bCs/>
                <w:szCs w:val="24"/>
                <w:lang w:eastAsia="en-CA" w:bidi="en-US"/>
              </w:rPr>
              <w:t>Cannabis</w:t>
            </w:r>
          </w:p>
        </w:tc>
      </w:tr>
      <w:tr w:rsidR="006A7ED5" w:rsidRPr="00D31337" w14:paraId="186CBA4B"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50C68745"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Sous-</w:t>
            </w:r>
            <w:proofErr w:type="spellStart"/>
            <w:proofErr w:type="gramStart"/>
            <w:r w:rsidRPr="006A7ED5">
              <w:rPr>
                <w:rFonts w:ascii="Arial" w:eastAsia="Calibri" w:hAnsi="Arial" w:cs="Arial"/>
                <w:b/>
                <w:szCs w:val="24"/>
                <w:lang w:eastAsia="en-CA" w:bidi="en-US"/>
              </w:rPr>
              <w:t>secteur</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vAlign w:val="center"/>
            <w:hideMark/>
          </w:tcPr>
          <w:p w14:paraId="6B402F8A" w14:textId="77777777" w:rsidR="006A7ED5" w:rsidRPr="006A7ED5" w:rsidRDefault="006A7ED5" w:rsidP="006A7ED5">
            <w:pPr>
              <w:rPr>
                <w:rFonts w:ascii="Arial" w:eastAsia="Calibri" w:hAnsi="Arial" w:cs="Arial"/>
                <w:bCs/>
                <w:szCs w:val="24"/>
                <w:lang w:val="fr-CA" w:eastAsia="en-CA" w:bidi="en-US"/>
              </w:rPr>
            </w:pPr>
            <w:r w:rsidRPr="006A7ED5">
              <w:rPr>
                <w:rFonts w:ascii="Arial" w:eastAsia="Calibri" w:hAnsi="Arial" w:cs="Arial"/>
                <w:bCs/>
                <w:szCs w:val="24"/>
                <w:lang w:val="fr-CA" w:eastAsia="en-CA" w:bidi="en-US"/>
              </w:rPr>
              <w:t>Cannabis; Services auxiliaires à la production de plantes de cannabis; Fabrication du cannabis; Services de commerce de gros, y compris à forfait ou sous contrat; Services de commerce de détail, y compris à forfait ou sous contrat; Tous les autres services relatifs au cannabis qui ne sont pas visés par B, C, D et E; Accessoires de cannabis</w:t>
            </w:r>
          </w:p>
        </w:tc>
      </w:tr>
      <w:tr w:rsidR="006A7ED5" w:rsidRPr="006A7ED5" w14:paraId="4CE4FB6D" w14:textId="77777777" w:rsidTr="000017AC">
        <w:trPr>
          <w:trHeight w:val="42"/>
          <w:jc w:val="center"/>
        </w:trPr>
        <w:tc>
          <w:tcPr>
            <w:tcW w:w="2250" w:type="dxa"/>
            <w:tcBorders>
              <w:top w:val="nil"/>
              <w:left w:val="nil"/>
              <w:bottom w:val="single" w:sz="8" w:space="0" w:color="C0C0C0"/>
              <w:right w:val="single" w:sz="8" w:space="0" w:color="FFFFFF"/>
            </w:tcBorders>
            <w:tcMar>
              <w:top w:w="14" w:type="dxa"/>
              <w:left w:w="86" w:type="dxa"/>
              <w:bottom w:w="14" w:type="dxa"/>
              <w:right w:w="86" w:type="dxa"/>
            </w:tcMar>
            <w:vAlign w:val="center"/>
            <w:hideMark/>
          </w:tcPr>
          <w:p w14:paraId="1E339E26"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 xml:space="preserve">Classification de </w:t>
            </w:r>
            <w:proofErr w:type="spellStart"/>
            <w:proofErr w:type="gramStart"/>
            <w:r w:rsidRPr="006A7ED5">
              <w:rPr>
                <w:rFonts w:ascii="Arial" w:eastAsia="Calibri" w:hAnsi="Arial" w:cs="Arial"/>
                <w:b/>
                <w:szCs w:val="24"/>
                <w:lang w:eastAsia="en-CA" w:bidi="en-US"/>
              </w:rPr>
              <w:t>l’industrie</w:t>
            </w:r>
            <w:proofErr w:type="spellEnd"/>
            <w:r w:rsidRPr="006A7ED5">
              <w:rPr>
                <w:rFonts w:ascii="Arial" w:eastAsia="Calibri" w:hAnsi="Arial" w:cs="Arial"/>
                <w:b/>
                <w:szCs w:val="24"/>
                <w:lang w:eastAsia="en-CA" w:bidi="en-US"/>
              </w:rPr>
              <w:t> :</w:t>
            </w:r>
            <w:proofErr w:type="gramEnd"/>
          </w:p>
        </w:tc>
        <w:tc>
          <w:tcPr>
            <w:tcW w:w="7476" w:type="dxa"/>
            <w:tcBorders>
              <w:top w:val="nil"/>
              <w:left w:val="nil"/>
              <w:bottom w:val="single" w:sz="8" w:space="0" w:color="C0C0C0"/>
              <w:right w:val="nil"/>
            </w:tcBorders>
            <w:tcMar>
              <w:top w:w="14" w:type="dxa"/>
              <w:left w:w="86" w:type="dxa"/>
              <w:bottom w:w="14" w:type="dxa"/>
              <w:right w:w="86" w:type="dxa"/>
            </w:tcMar>
            <w:vAlign w:val="center"/>
          </w:tcPr>
          <w:p w14:paraId="3D46D58C"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A, B, C, D, E, F, G</w:t>
            </w:r>
          </w:p>
        </w:tc>
        <w:tc>
          <w:tcPr>
            <w:tcW w:w="390" w:type="dxa"/>
            <w:tcBorders>
              <w:top w:val="nil"/>
              <w:left w:val="nil"/>
              <w:bottom w:val="single" w:sz="8" w:space="0" w:color="C0C0C0"/>
              <w:right w:val="nil"/>
            </w:tcBorders>
            <w:vAlign w:val="center"/>
            <w:hideMark/>
          </w:tcPr>
          <w:p w14:paraId="617B291C" w14:textId="77777777" w:rsidR="006A7ED5" w:rsidRPr="006A7ED5" w:rsidRDefault="006A7ED5" w:rsidP="006A7ED5">
            <w:pPr>
              <w:rPr>
                <w:rFonts w:ascii="Arial" w:eastAsia="Calibri" w:hAnsi="Arial" w:cs="Arial"/>
                <w:bCs/>
                <w:szCs w:val="24"/>
                <w:lang w:eastAsia="en-CA" w:bidi="en-US"/>
              </w:rPr>
            </w:pPr>
            <w:r w:rsidRPr="006A7ED5">
              <w:rPr>
                <w:rFonts w:ascii="Arial" w:eastAsia="Calibri" w:hAnsi="Arial" w:cs="Arial"/>
                <w:bCs/>
                <w:szCs w:val="24"/>
                <w:lang w:eastAsia="en-CA" w:bidi="en-US"/>
              </w:rPr>
              <w:t> </w:t>
            </w:r>
          </w:p>
        </w:tc>
      </w:tr>
      <w:tr w:rsidR="006A7ED5" w:rsidRPr="00D31337" w14:paraId="076A3784" w14:textId="77777777" w:rsidTr="000017AC">
        <w:trPr>
          <w:trHeight w:val="42"/>
          <w:jc w:val="center"/>
        </w:trPr>
        <w:tc>
          <w:tcPr>
            <w:tcW w:w="2250" w:type="dxa"/>
            <w:tcBorders>
              <w:top w:val="nil"/>
              <w:left w:val="nil"/>
              <w:bottom w:val="single" w:sz="8" w:space="0" w:color="C0C0C0"/>
              <w:right w:val="nil"/>
            </w:tcBorders>
            <w:tcMar>
              <w:top w:w="14" w:type="dxa"/>
              <w:left w:w="86" w:type="dxa"/>
              <w:bottom w:w="14" w:type="dxa"/>
              <w:right w:w="86" w:type="dxa"/>
            </w:tcMar>
            <w:hideMark/>
          </w:tcPr>
          <w:p w14:paraId="078E5FCA" w14:textId="77777777" w:rsidR="006A7ED5" w:rsidRPr="006A7ED5" w:rsidRDefault="006A7ED5" w:rsidP="006A7ED5">
            <w:pPr>
              <w:spacing w:before="60" w:after="60"/>
              <w:rPr>
                <w:rFonts w:ascii="Arial" w:eastAsia="Calibri" w:hAnsi="Arial" w:cs="Arial"/>
                <w:b/>
                <w:szCs w:val="24"/>
                <w:lang w:eastAsia="en-CA" w:bidi="en-US"/>
              </w:rPr>
            </w:pPr>
            <w:r w:rsidRPr="006A7ED5">
              <w:rPr>
                <w:rFonts w:ascii="Arial" w:eastAsia="Calibri" w:hAnsi="Arial" w:cs="Arial"/>
                <w:b/>
                <w:szCs w:val="24"/>
                <w:lang w:eastAsia="en-CA" w:bidi="en-US"/>
              </w:rPr>
              <w:t>Type</w:t>
            </w:r>
          </w:p>
          <w:p w14:paraId="7BFD7E07" w14:textId="77777777" w:rsidR="006A7ED5" w:rsidRPr="006A7ED5" w:rsidRDefault="006A7ED5" w:rsidP="006A7ED5">
            <w:pPr>
              <w:spacing w:before="60" w:after="60"/>
              <w:rPr>
                <w:rFonts w:ascii="Arial" w:eastAsia="Calibri" w:hAnsi="Arial" w:cs="Arial"/>
                <w:b/>
                <w:szCs w:val="24"/>
                <w:lang w:eastAsia="en-CA" w:bidi="en-US"/>
              </w:rPr>
            </w:pPr>
            <w:proofErr w:type="spellStart"/>
            <w:proofErr w:type="gramStart"/>
            <w:r w:rsidRPr="006A7ED5">
              <w:rPr>
                <w:rFonts w:ascii="Arial" w:eastAsia="Calibri" w:hAnsi="Arial" w:cs="Arial"/>
                <w:b/>
                <w:szCs w:val="24"/>
                <w:lang w:eastAsia="en-CA" w:bidi="en-US"/>
              </w:rPr>
              <w:t>d’exception</w:t>
            </w:r>
            <w:proofErr w:type="spellEnd"/>
            <w:r w:rsidRPr="006A7ED5">
              <w:rPr>
                <w:rFonts w:ascii="Arial" w:eastAsia="Calibri" w:hAnsi="Arial" w:cs="Arial"/>
                <w:b/>
                <w:szCs w:val="24"/>
                <w:lang w:eastAsia="en-CA" w:bidi="en-US"/>
              </w:rPr>
              <w:t> :</w:t>
            </w:r>
            <w:proofErr w:type="gramEnd"/>
          </w:p>
        </w:tc>
        <w:tc>
          <w:tcPr>
            <w:tcW w:w="7866" w:type="dxa"/>
            <w:gridSpan w:val="2"/>
            <w:tcBorders>
              <w:top w:val="nil"/>
              <w:left w:val="nil"/>
              <w:bottom w:val="single" w:sz="8" w:space="0" w:color="C0C0C0"/>
              <w:right w:val="nil"/>
            </w:tcBorders>
            <w:tcMar>
              <w:top w:w="14" w:type="dxa"/>
              <w:left w:w="86" w:type="dxa"/>
              <w:bottom w:w="14" w:type="dxa"/>
              <w:right w:w="86" w:type="dxa"/>
            </w:tcMar>
            <w:hideMark/>
          </w:tcPr>
          <w:p w14:paraId="46D8D4D8"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Article 201 (Traitement non discriminatoire), article 301 (Droit d’entrée et de sortie), article 307 (Accès aux marchés – Services), article 312 (Accès aux marchés – Investissement)</w:t>
            </w:r>
          </w:p>
        </w:tc>
      </w:tr>
      <w:tr w:rsidR="006A7ED5" w:rsidRPr="006A7ED5" w14:paraId="0F1AC0E7" w14:textId="77777777" w:rsidTr="000017AC">
        <w:trPr>
          <w:trHeight w:val="42"/>
          <w:jc w:val="center"/>
        </w:trPr>
        <w:tc>
          <w:tcPr>
            <w:tcW w:w="10116" w:type="dxa"/>
            <w:gridSpan w:val="3"/>
            <w:tcBorders>
              <w:top w:val="nil"/>
              <w:left w:val="single" w:sz="8" w:space="0" w:color="C0C0C0"/>
              <w:bottom w:val="single" w:sz="8" w:space="0" w:color="C0C0C0"/>
              <w:right w:val="single" w:sz="8" w:space="0" w:color="C0C0C0"/>
            </w:tcBorders>
            <w:shd w:val="clear" w:color="auto" w:fill="D9D9D9"/>
            <w:tcMar>
              <w:top w:w="14" w:type="dxa"/>
              <w:left w:w="86" w:type="dxa"/>
              <w:bottom w:w="14" w:type="dxa"/>
              <w:right w:w="86" w:type="dxa"/>
            </w:tcMar>
            <w:vAlign w:val="center"/>
            <w:hideMark/>
          </w:tcPr>
          <w:p w14:paraId="10E07CA7" w14:textId="77777777" w:rsidR="006A7ED5" w:rsidRPr="006A7ED5" w:rsidRDefault="006A7ED5" w:rsidP="006A7ED5">
            <w:pPr>
              <w:spacing w:before="60" w:after="60"/>
              <w:rPr>
                <w:rFonts w:ascii="Arial" w:eastAsia="Calibri" w:hAnsi="Arial" w:cs="Arial"/>
                <w:b/>
                <w:szCs w:val="24"/>
                <w:lang w:eastAsia="en-CA" w:bidi="en-US"/>
              </w:rPr>
            </w:pPr>
            <w:proofErr w:type="gramStart"/>
            <w:r w:rsidRPr="006A7ED5">
              <w:rPr>
                <w:rFonts w:ascii="Arial" w:eastAsia="Calibri" w:hAnsi="Arial" w:cs="Arial"/>
                <w:b/>
                <w:szCs w:val="24"/>
                <w:lang w:eastAsia="en-CA" w:bidi="en-US"/>
              </w:rPr>
              <w:t>Description :</w:t>
            </w:r>
            <w:proofErr w:type="gramEnd"/>
            <w:r w:rsidRPr="006A7ED5">
              <w:rPr>
                <w:rFonts w:ascii="Arial" w:eastAsia="Calibri" w:hAnsi="Arial" w:cs="Arial"/>
                <w:b/>
                <w:szCs w:val="24"/>
                <w:lang w:eastAsia="en-CA" w:bidi="en-US"/>
              </w:rPr>
              <w:t xml:space="preserve"> </w:t>
            </w:r>
          </w:p>
        </w:tc>
      </w:tr>
      <w:tr w:rsidR="006A7ED5" w:rsidRPr="00D31337" w14:paraId="32211421" w14:textId="77777777" w:rsidTr="000017AC">
        <w:trPr>
          <w:trHeight w:val="120"/>
          <w:jc w:val="center"/>
        </w:trPr>
        <w:tc>
          <w:tcPr>
            <w:tcW w:w="10116" w:type="dxa"/>
            <w:gridSpan w:val="3"/>
            <w:tcBorders>
              <w:top w:val="nil"/>
              <w:left w:val="single" w:sz="8" w:space="0" w:color="C0C0C0"/>
              <w:bottom w:val="single" w:sz="8" w:space="0" w:color="C0C0C0"/>
              <w:right w:val="single" w:sz="8" w:space="0" w:color="C0C0C0"/>
            </w:tcBorders>
            <w:tcMar>
              <w:top w:w="14" w:type="dxa"/>
              <w:left w:w="86" w:type="dxa"/>
              <w:bottom w:w="14" w:type="dxa"/>
              <w:right w:w="86" w:type="dxa"/>
            </w:tcMar>
            <w:hideMark/>
          </w:tcPr>
          <w:p w14:paraId="1067142B"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Le Nunavut se réserve le droit d’adopter ou de maintenir toute mesure limitant l’accès aux marchés et le droit d’entrée et de sortie dans les sous-secteurs susmentionnés. Le Nunavut se réserve le droit d’adopter des mesures discriminatoires destinées à soutenir les entreprises de son territoire.</w:t>
            </w:r>
          </w:p>
          <w:p w14:paraId="5D7D7C94"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szCs w:val="24"/>
                <w:lang w:val="fr-CA" w:eastAsia="en-CA" w:bidi="en-US"/>
              </w:rPr>
              <w:t xml:space="preserve">Le Nunavut a le pouvoir, en vertu de la </w:t>
            </w:r>
            <w:r w:rsidRPr="006A7ED5">
              <w:rPr>
                <w:rFonts w:ascii="Arial" w:eastAsia="Calibri" w:hAnsi="Arial" w:cs="Arial"/>
                <w:bCs/>
                <w:i/>
                <w:iCs/>
                <w:szCs w:val="24"/>
                <w:lang w:val="fr-CA" w:eastAsia="en-CA" w:bidi="en-US"/>
              </w:rPr>
              <w:t>Loi sur le cannabis</w:t>
            </w:r>
            <w:r w:rsidRPr="006A7ED5">
              <w:rPr>
                <w:rFonts w:ascii="Arial" w:eastAsia="Calibri" w:hAnsi="Arial" w:cs="Arial"/>
                <w:bCs/>
                <w:szCs w:val="24"/>
                <w:lang w:val="fr-CA" w:eastAsia="en-CA" w:bidi="en-US"/>
              </w:rPr>
              <w:t xml:space="preserve">, </w:t>
            </w:r>
            <w:proofErr w:type="spellStart"/>
            <w:r w:rsidRPr="006A7ED5">
              <w:rPr>
                <w:rFonts w:ascii="Arial" w:eastAsia="Calibri" w:hAnsi="Arial" w:cs="Arial"/>
                <w:bCs/>
                <w:szCs w:val="24"/>
                <w:lang w:val="fr-CA" w:eastAsia="en-CA" w:bidi="en-US"/>
              </w:rPr>
              <w:t>LNun</w:t>
            </w:r>
            <w:proofErr w:type="spellEnd"/>
            <w:r w:rsidRPr="006A7ED5">
              <w:rPr>
                <w:rFonts w:ascii="Arial" w:eastAsia="Calibri" w:hAnsi="Arial" w:cs="Arial"/>
                <w:bCs/>
                <w:szCs w:val="24"/>
                <w:lang w:val="fr-CA" w:eastAsia="en-CA" w:bidi="en-US"/>
              </w:rPr>
              <w:t>. 2018, ch. 7, d’importer, d’acheter, de fabriquer, de distribuer, d’approvisionner, de commercialiser et de vendre du cannabis sur son territoire et de mener ces activités en exerçant un monopole territorial.</w:t>
            </w:r>
          </w:p>
        </w:tc>
      </w:tr>
      <w:tr w:rsidR="006A7ED5" w:rsidRPr="00D31337" w14:paraId="48D845CF" w14:textId="77777777" w:rsidTr="000017AC">
        <w:trPr>
          <w:trHeight w:val="42"/>
          <w:jc w:val="center"/>
        </w:trPr>
        <w:tc>
          <w:tcPr>
            <w:tcW w:w="10116" w:type="dxa"/>
            <w:gridSpan w:val="3"/>
            <w:tcBorders>
              <w:top w:val="nil"/>
              <w:left w:val="single" w:sz="8" w:space="0" w:color="C0C0C0"/>
              <w:bottom w:val="single" w:sz="4" w:space="0" w:color="auto"/>
              <w:right w:val="single" w:sz="8" w:space="0" w:color="C0C0C0"/>
            </w:tcBorders>
            <w:shd w:val="clear" w:color="auto" w:fill="D9D9D9"/>
            <w:tcMar>
              <w:top w:w="14" w:type="dxa"/>
              <w:left w:w="86" w:type="dxa"/>
              <w:bottom w:w="14" w:type="dxa"/>
              <w:right w:w="86" w:type="dxa"/>
            </w:tcMar>
            <w:hideMark/>
          </w:tcPr>
          <w:p w14:paraId="3A0E1213"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
                <w:szCs w:val="24"/>
                <w:lang w:val="fr-CA" w:eastAsia="en-CA" w:bidi="en-US"/>
              </w:rPr>
              <w:t>Toute mesure existante :</w:t>
            </w:r>
            <w:r w:rsidRPr="006A7ED5">
              <w:rPr>
                <w:rFonts w:ascii="Arial" w:eastAsia="Calibri" w:hAnsi="Arial" w:cs="Arial"/>
                <w:bCs/>
                <w:szCs w:val="24"/>
                <w:lang w:val="fr-CA" w:eastAsia="en-CA" w:bidi="en-US"/>
              </w:rPr>
              <w:t xml:space="preserve"> (À titre d’exemple seulement)</w:t>
            </w:r>
          </w:p>
        </w:tc>
      </w:tr>
      <w:tr w:rsidR="006A7ED5" w:rsidRPr="00D31337" w14:paraId="537E90D3" w14:textId="77777777" w:rsidTr="000017AC">
        <w:trPr>
          <w:trHeight w:val="174"/>
          <w:jc w:val="center"/>
        </w:trPr>
        <w:tc>
          <w:tcPr>
            <w:tcW w:w="10116" w:type="dxa"/>
            <w:gridSpan w:val="3"/>
            <w:tcBorders>
              <w:top w:val="single" w:sz="4" w:space="0" w:color="auto"/>
              <w:left w:val="single" w:sz="8" w:space="0" w:color="C0C0C0"/>
              <w:bottom w:val="single" w:sz="8" w:space="0" w:color="C0C0C0"/>
              <w:right w:val="single" w:sz="8" w:space="0" w:color="C0C0C0"/>
            </w:tcBorders>
            <w:tcMar>
              <w:top w:w="14" w:type="dxa"/>
              <w:left w:w="86" w:type="dxa"/>
              <w:bottom w:w="14" w:type="dxa"/>
              <w:right w:w="86" w:type="dxa"/>
            </w:tcMar>
            <w:hideMark/>
          </w:tcPr>
          <w:p w14:paraId="2BFAE70C" w14:textId="77777777" w:rsidR="006A7ED5" w:rsidRPr="006A7ED5" w:rsidRDefault="006A7ED5" w:rsidP="006A7ED5">
            <w:pPr>
              <w:spacing w:before="60" w:after="60"/>
              <w:rPr>
                <w:rFonts w:ascii="Arial" w:eastAsia="Calibri" w:hAnsi="Arial" w:cs="Arial"/>
                <w:bCs/>
                <w:szCs w:val="24"/>
                <w:lang w:val="fr-CA" w:eastAsia="en-CA" w:bidi="en-US"/>
              </w:rPr>
            </w:pPr>
            <w:r w:rsidRPr="006A7ED5">
              <w:rPr>
                <w:rFonts w:ascii="Arial" w:eastAsia="Calibri" w:hAnsi="Arial" w:cs="Arial"/>
                <w:bCs/>
                <w:i/>
                <w:iCs/>
                <w:szCs w:val="24"/>
                <w:lang w:val="fr-CA" w:eastAsia="en-CA" w:bidi="en-US"/>
              </w:rPr>
              <w:t>Loi sur le cannabis</w:t>
            </w:r>
            <w:r w:rsidRPr="006A7ED5">
              <w:rPr>
                <w:rFonts w:ascii="Arial" w:eastAsia="Calibri" w:hAnsi="Arial" w:cs="Arial"/>
                <w:bCs/>
                <w:szCs w:val="24"/>
                <w:lang w:val="fr-CA" w:eastAsia="en-CA" w:bidi="en-US"/>
              </w:rPr>
              <w:t xml:space="preserve">, </w:t>
            </w:r>
            <w:proofErr w:type="spellStart"/>
            <w:r w:rsidRPr="006A7ED5">
              <w:rPr>
                <w:rFonts w:ascii="Arial" w:eastAsia="Calibri" w:hAnsi="Arial" w:cs="Arial"/>
                <w:bCs/>
                <w:szCs w:val="24"/>
                <w:lang w:val="fr-CA" w:eastAsia="en-CA" w:bidi="en-US"/>
              </w:rPr>
              <w:t>LNun</w:t>
            </w:r>
            <w:proofErr w:type="spellEnd"/>
            <w:r w:rsidRPr="006A7ED5">
              <w:rPr>
                <w:rFonts w:ascii="Arial" w:eastAsia="Calibri" w:hAnsi="Arial" w:cs="Arial"/>
                <w:bCs/>
                <w:szCs w:val="24"/>
                <w:lang w:val="fr-CA" w:eastAsia="en-CA" w:bidi="en-US"/>
              </w:rPr>
              <w:t>. 2018, ch. 7</w:t>
            </w:r>
          </w:p>
        </w:tc>
      </w:tr>
    </w:tbl>
    <w:p w14:paraId="56406B86" w14:textId="77777777" w:rsidR="006A7ED5" w:rsidRPr="006A7ED5" w:rsidRDefault="006A7ED5" w:rsidP="006A7ED5">
      <w:pPr>
        <w:rPr>
          <w:lang w:val="fr-CA"/>
        </w:rPr>
      </w:pPr>
    </w:p>
    <w:sectPr w:rsidR="006A7ED5" w:rsidRPr="006A7ED5" w:rsidSect="001B12BD">
      <w:headerReference w:type="even" r:id="rId20"/>
      <w:headerReference w:type="default" r:id="rId21"/>
      <w:headerReference w:type="first" r:id="rId22"/>
      <w:pgSz w:w="12240" w:h="15840"/>
      <w:pgMar w:top="1440" w:right="1440" w:bottom="1440" w:left="13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5071" w14:textId="77777777" w:rsidR="009B20FF" w:rsidRDefault="009B20FF" w:rsidP="00F72078">
      <w:r>
        <w:separator/>
      </w:r>
    </w:p>
  </w:endnote>
  <w:endnote w:type="continuationSeparator" w:id="0">
    <w:p w14:paraId="718F49F7" w14:textId="77777777" w:rsidR="009B20FF" w:rsidRDefault="009B20FF"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F7F5" w14:textId="77777777" w:rsidR="009B20FF" w:rsidRDefault="009B20FF" w:rsidP="00F72078">
      <w:r>
        <w:separator/>
      </w:r>
    </w:p>
  </w:footnote>
  <w:footnote w:type="continuationSeparator" w:id="0">
    <w:p w14:paraId="57490774" w14:textId="77777777" w:rsidR="009B20FF" w:rsidRDefault="009B20FF"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9678" w14:textId="3C9BEECD" w:rsidR="009B20FF" w:rsidRDefault="009B20FF">
    <w:pPr>
      <w:pStyle w:val="Header"/>
      <w:jc w:val="right"/>
    </w:pPr>
  </w:p>
  <w:p w14:paraId="69DB5574" w14:textId="77777777" w:rsidR="009B20FF" w:rsidRDefault="009B2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88D0" w14:textId="77777777" w:rsidR="009B20FF" w:rsidRDefault="009B2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543267"/>
      <w:docPartObj>
        <w:docPartGallery w:val="Page Numbers (Top of Page)"/>
        <w:docPartUnique/>
      </w:docPartObj>
    </w:sdtPr>
    <w:sdtEndPr>
      <w:rPr>
        <w:noProof/>
      </w:rPr>
    </w:sdtEndPr>
    <w:sdtContent>
      <w:p w14:paraId="54DF173D" w14:textId="2EBB80B3" w:rsidR="009B20FF" w:rsidRDefault="009B20FF">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14:paraId="1229712B" w14:textId="348A206C" w:rsidR="009B20FF" w:rsidRDefault="009B2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BA4B" w14:textId="77777777" w:rsidR="009B20FF" w:rsidRDefault="009B2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ED52" w14:textId="77777777" w:rsidR="009B20FF" w:rsidRDefault="009B20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064273"/>
      <w:docPartObj>
        <w:docPartGallery w:val="Page Numbers (Top of Page)"/>
        <w:docPartUnique/>
      </w:docPartObj>
    </w:sdtPr>
    <w:sdtEndPr>
      <w:rPr>
        <w:noProof/>
      </w:rPr>
    </w:sdtEndPr>
    <w:sdtContent>
      <w:p w14:paraId="794DE06C" w14:textId="2888B7F2" w:rsidR="009B20FF" w:rsidRDefault="009B20FF">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CFB6096" w14:textId="136A39F9" w:rsidR="009B20FF" w:rsidRDefault="009B2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2743" w14:textId="77777777" w:rsidR="009B20FF" w:rsidRDefault="009B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68B0CD"/>
    <w:multiLevelType w:val="hybridMultilevel"/>
    <w:tmpl w:val="34065372"/>
    <w:lvl w:ilvl="0" w:tplc="66C62A2E">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0"/>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5"/>
    <w:multiLevelType w:val="multilevel"/>
    <w:tmpl w:val="00000000"/>
    <w:name w:val="AutoList1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012C33"/>
    <w:multiLevelType w:val="multilevel"/>
    <w:tmpl w:val="7B80667C"/>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8B7263"/>
    <w:multiLevelType w:val="multilevel"/>
    <w:tmpl w:val="4DCAAF26"/>
    <w:lvl w:ilvl="0">
      <w:start w:val="1"/>
      <w:numFmt w:val="lowerLetter"/>
      <w:lvlText w:val="%1)"/>
      <w:lvlJc w:val="left"/>
      <w:pPr>
        <w:ind w:left="360" w:hanging="360"/>
      </w:pPr>
      <w:rPr>
        <w:rFonts w:ascii="Arial" w:eastAsia="Arial Unicode MS" w:hAnsi="Arial" w:cs="Times New Roman" w:hint="default"/>
        <w:b w:val="0"/>
      </w:rPr>
    </w:lvl>
    <w:lvl w:ilvl="1">
      <w:start w:val="1"/>
      <w:numFmt w:val="lowerRoman"/>
      <w:lvlText w:val="%2)"/>
      <w:lvlJc w:val="right"/>
      <w:pPr>
        <w:ind w:left="1080" w:hanging="360"/>
      </w:pPr>
      <w:rPr>
        <w:rFonts w:hint="default"/>
        <w:b w:val="0"/>
        <w:bCs w:val="0"/>
        <w:i w:val="0"/>
        <w:iCs w:val="0"/>
        <w:caps w:val="0"/>
        <w:strike w:val="0"/>
        <w:dstrike w:val="0"/>
        <w:vanish w:val="0"/>
        <w:webHidden w:val="0"/>
        <w:color w:val="000000"/>
        <w:sz w:val="23"/>
        <w:szCs w:val="24"/>
        <w:u w:val="none"/>
        <w:effect w:val="none"/>
        <w:specVanish w:val="0"/>
      </w:rPr>
    </w:lvl>
    <w:lvl w:ilvl="2">
      <w:start w:val="1"/>
      <w:numFmt w:val="lowerRoman"/>
      <w:lvlText w:val="%3."/>
      <w:lvlJc w:val="right"/>
      <w:pPr>
        <w:ind w:left="1800" w:hanging="180"/>
      </w:pPr>
    </w:lvl>
    <w:lvl w:ilvl="3">
      <w:start w:val="1"/>
      <w:numFmt w:val="upperLetter"/>
      <w:lvlText w:val="%4)"/>
      <w:lvlJc w:val="left"/>
      <w:pPr>
        <w:ind w:left="2520" w:hanging="360"/>
      </w:pPr>
      <w:rPr>
        <w:rFonts w:cs="A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536621"/>
    <w:multiLevelType w:val="hybridMultilevel"/>
    <w:tmpl w:val="257A0E6C"/>
    <w:lvl w:ilvl="0" w:tplc="0409000F">
      <w:start w:val="1"/>
      <w:numFmt w:val="decimal"/>
      <w:lvlText w:val="%1."/>
      <w:lvlJc w:val="left"/>
      <w:pPr>
        <w:ind w:left="1080" w:hanging="360"/>
      </w:pPr>
      <w:rPr>
        <w:rFonts w:hint="default"/>
      </w:rPr>
    </w:lvl>
    <w:lvl w:ilvl="1" w:tplc="FB360136">
      <w:start w:val="1"/>
      <w:numFmt w:val="bullet"/>
      <w:lvlText w:val=""/>
      <w:lvlJc w:val="left"/>
      <w:pPr>
        <w:ind w:left="1800" w:hanging="360"/>
      </w:pPr>
      <w:rPr>
        <w:rFonts w:ascii="Symbol" w:hAnsi="Symbol"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6" w15:restartNumberingAfterBreak="0">
    <w:nsid w:val="026D5032"/>
    <w:multiLevelType w:val="hybridMultilevel"/>
    <w:tmpl w:val="5684972A"/>
    <w:lvl w:ilvl="0" w:tplc="A2A2B594">
      <w:start w:val="1"/>
      <w:numFmt w:val="lowerLetter"/>
      <w:lvlText w:val="%1)"/>
      <w:lvlJc w:val="left"/>
      <w:pPr>
        <w:ind w:left="810" w:hanging="360"/>
      </w:pPr>
      <w:rPr>
        <w:rFonts w:hint="default"/>
        <w:b w:val="0"/>
        <w:i w:val="0"/>
        <w:sz w:val="23"/>
        <w:szCs w:val="23"/>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7" w15:restartNumberingAfterBreak="0">
    <w:nsid w:val="039B0EAB"/>
    <w:multiLevelType w:val="hybridMultilevel"/>
    <w:tmpl w:val="B2362E7E"/>
    <w:lvl w:ilvl="0" w:tplc="128E3826">
      <w:start w:val="29"/>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3D362A4"/>
    <w:multiLevelType w:val="multilevel"/>
    <w:tmpl w:val="000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EA4F49"/>
    <w:multiLevelType w:val="hybridMultilevel"/>
    <w:tmpl w:val="B8EE0D5E"/>
    <w:lvl w:ilvl="0" w:tplc="09A0A372">
      <w:start w:val="1"/>
      <w:numFmt w:val="lowerRoman"/>
      <w:lvlText w:val="%1)"/>
      <w:lvlJc w:val="right"/>
      <w:pPr>
        <w:ind w:left="2160" w:hanging="720"/>
      </w:pPr>
      <w:rPr>
        <w:rFonts w:hint="default"/>
        <w:b w:val="0"/>
        <w:i w:val="0"/>
        <w:sz w:val="23"/>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03EF0763"/>
    <w:multiLevelType w:val="hybridMultilevel"/>
    <w:tmpl w:val="1C7E69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3F329E4"/>
    <w:multiLevelType w:val="hybridMultilevel"/>
    <w:tmpl w:val="224E79D2"/>
    <w:lvl w:ilvl="0" w:tplc="100044A6">
      <w:start w:val="1"/>
      <w:numFmt w:val="decimal"/>
      <w:lvlText w:val="%1."/>
      <w:lvlJc w:val="left"/>
      <w:pPr>
        <w:ind w:left="720" w:hanging="360"/>
      </w:pPr>
      <w:rPr>
        <w:rFonts w:ascii="Arial" w:hAnsi="Arial" w:cs="Arial" w:hint="default"/>
      </w:rPr>
    </w:lvl>
    <w:lvl w:ilvl="1" w:tplc="EA929540">
      <w:start w:val="1"/>
      <w:numFmt w:val="lowerLetter"/>
      <w:lvlText w:val="%2)"/>
      <w:lvlJc w:val="left"/>
      <w:pPr>
        <w:ind w:left="1350" w:hanging="360"/>
      </w:pPr>
      <w:rPr>
        <w:rFonts w:hint="default"/>
        <w:b w:val="0"/>
        <w:i w:val="0"/>
        <w:sz w:val="22"/>
        <w:szCs w:val="22"/>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40F599D"/>
    <w:multiLevelType w:val="hybridMultilevel"/>
    <w:tmpl w:val="4D1C7F9C"/>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3" w15:restartNumberingAfterBreak="0">
    <w:nsid w:val="04596FD6"/>
    <w:multiLevelType w:val="hybridMultilevel"/>
    <w:tmpl w:val="62025F0C"/>
    <w:lvl w:ilvl="0" w:tplc="04090017">
      <w:start w:val="1"/>
      <w:numFmt w:val="lowerLetter"/>
      <w:lvlText w:val="%1)"/>
      <w:lvlJc w:val="left"/>
      <w:pPr>
        <w:ind w:left="1440" w:hanging="720"/>
      </w:pPr>
      <w:rPr>
        <w:rFonts w:hint="default"/>
        <w:b w:val="0"/>
        <w:i w:val="0"/>
        <w:sz w:val="23"/>
        <w:szCs w:val="23"/>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0473626F"/>
    <w:multiLevelType w:val="hybridMultilevel"/>
    <w:tmpl w:val="19D69776"/>
    <w:lvl w:ilvl="0" w:tplc="04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057D4479"/>
    <w:multiLevelType w:val="multilevel"/>
    <w:tmpl w:val="98F80B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b w:val="0"/>
        <w:i w:val="0"/>
        <w:sz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59379C0"/>
    <w:multiLevelType w:val="hybridMultilevel"/>
    <w:tmpl w:val="15B415BA"/>
    <w:lvl w:ilvl="0" w:tplc="04090017">
      <w:start w:val="1"/>
      <w:numFmt w:val="lowerLetter"/>
      <w:lvlText w:val="%1)"/>
      <w:lvlJc w:val="left"/>
      <w:pPr>
        <w:ind w:left="720" w:hanging="360"/>
      </w:pPr>
      <w:rPr>
        <w:rFonts w:hint="default"/>
        <w:b w:val="0"/>
        <w:i w:val="0"/>
        <w:sz w:val="23"/>
        <w:szCs w:val="23"/>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062311ED"/>
    <w:multiLevelType w:val="hybridMultilevel"/>
    <w:tmpl w:val="6D4C6984"/>
    <w:lvl w:ilvl="0" w:tplc="CC18450C">
      <w:start w:val="1"/>
      <w:numFmt w:val="lowerLetter"/>
      <w:lvlText w:val="(%1)"/>
      <w:lvlJc w:val="left"/>
      <w:pPr>
        <w:ind w:left="720" w:hanging="360"/>
      </w:pPr>
      <w:rPr>
        <w:rFonts w:ascii="Arial" w:hAnsi="Arial" w:hint="default"/>
        <w:b w:val="0"/>
        <w:i w:val="0"/>
        <w:sz w:val="20"/>
        <w:szCs w:val="20"/>
      </w:rPr>
    </w:lvl>
    <w:lvl w:ilvl="1" w:tplc="733ADA72">
      <w:start w:val="1"/>
      <w:numFmt w:val="lowerLetter"/>
      <w:lvlText w:val="(%2)"/>
      <w:lvlJc w:val="left"/>
      <w:pPr>
        <w:ind w:left="1440" w:hanging="360"/>
      </w:pPr>
      <w:rPr>
        <w:rFonts w:ascii="Arial" w:hAnsi="Arial"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62172"/>
    <w:multiLevelType w:val="hybridMultilevel"/>
    <w:tmpl w:val="7A8EFFDC"/>
    <w:lvl w:ilvl="0" w:tplc="9A7ADAD0">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18A61F94">
      <w:start w:val="1"/>
      <w:numFmt w:val="lowerRoman"/>
      <w:lvlText w:val="(%4)"/>
      <w:lvlJc w:val="left"/>
      <w:pPr>
        <w:ind w:left="225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070047E1"/>
    <w:multiLevelType w:val="hybridMultilevel"/>
    <w:tmpl w:val="E4F2C188"/>
    <w:lvl w:ilvl="0" w:tplc="EADCB358">
      <w:start w:val="1"/>
      <w:numFmt w:val="decimal"/>
      <w:lvlText w:val="%1."/>
      <w:lvlJc w:val="left"/>
      <w:pPr>
        <w:ind w:left="364" w:hanging="360"/>
      </w:pPr>
      <w:rPr>
        <w:rFonts w:hint="default"/>
      </w:rPr>
    </w:lvl>
    <w:lvl w:ilvl="1" w:tplc="29D67C08">
      <w:start w:val="1"/>
      <w:numFmt w:val="lowerLetter"/>
      <w:lvlText w:val="%2)"/>
      <w:lvlJc w:val="left"/>
      <w:pPr>
        <w:ind w:left="1084" w:hanging="360"/>
      </w:pPr>
      <w:rPr>
        <w:rFonts w:hint="default"/>
      </w:rPr>
    </w:lvl>
    <w:lvl w:ilvl="2" w:tplc="1009001B" w:tentative="1">
      <w:start w:val="1"/>
      <w:numFmt w:val="lowerRoman"/>
      <w:lvlText w:val="%3."/>
      <w:lvlJc w:val="right"/>
      <w:pPr>
        <w:ind w:left="1804" w:hanging="180"/>
      </w:pPr>
    </w:lvl>
    <w:lvl w:ilvl="3" w:tplc="1009000F" w:tentative="1">
      <w:start w:val="1"/>
      <w:numFmt w:val="decimal"/>
      <w:lvlText w:val="%4."/>
      <w:lvlJc w:val="left"/>
      <w:pPr>
        <w:ind w:left="2524" w:hanging="360"/>
      </w:pPr>
    </w:lvl>
    <w:lvl w:ilvl="4" w:tplc="10090019" w:tentative="1">
      <w:start w:val="1"/>
      <w:numFmt w:val="lowerLetter"/>
      <w:lvlText w:val="%5."/>
      <w:lvlJc w:val="left"/>
      <w:pPr>
        <w:ind w:left="3244" w:hanging="360"/>
      </w:pPr>
    </w:lvl>
    <w:lvl w:ilvl="5" w:tplc="1009001B" w:tentative="1">
      <w:start w:val="1"/>
      <w:numFmt w:val="lowerRoman"/>
      <w:lvlText w:val="%6."/>
      <w:lvlJc w:val="right"/>
      <w:pPr>
        <w:ind w:left="3964" w:hanging="180"/>
      </w:pPr>
    </w:lvl>
    <w:lvl w:ilvl="6" w:tplc="1009000F" w:tentative="1">
      <w:start w:val="1"/>
      <w:numFmt w:val="decimal"/>
      <w:lvlText w:val="%7."/>
      <w:lvlJc w:val="left"/>
      <w:pPr>
        <w:ind w:left="4684" w:hanging="360"/>
      </w:pPr>
    </w:lvl>
    <w:lvl w:ilvl="7" w:tplc="10090019" w:tentative="1">
      <w:start w:val="1"/>
      <w:numFmt w:val="lowerLetter"/>
      <w:lvlText w:val="%8."/>
      <w:lvlJc w:val="left"/>
      <w:pPr>
        <w:ind w:left="5404" w:hanging="360"/>
      </w:pPr>
    </w:lvl>
    <w:lvl w:ilvl="8" w:tplc="1009001B" w:tentative="1">
      <w:start w:val="1"/>
      <w:numFmt w:val="lowerRoman"/>
      <w:lvlText w:val="%9."/>
      <w:lvlJc w:val="right"/>
      <w:pPr>
        <w:ind w:left="6124" w:hanging="180"/>
      </w:pPr>
    </w:lvl>
  </w:abstractNum>
  <w:abstractNum w:abstractNumId="20" w15:restartNumberingAfterBreak="0">
    <w:nsid w:val="07045250"/>
    <w:multiLevelType w:val="hybridMultilevel"/>
    <w:tmpl w:val="9D7ACD1C"/>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070E4F5D"/>
    <w:multiLevelType w:val="hybridMultilevel"/>
    <w:tmpl w:val="87D45BAA"/>
    <w:lvl w:ilvl="0" w:tplc="1009000F">
      <w:start w:val="1"/>
      <w:numFmt w:val="decimal"/>
      <w:lvlText w:val="%1."/>
      <w:lvlJc w:val="left"/>
      <w:pPr>
        <w:ind w:left="720" w:hanging="360"/>
      </w:pPr>
    </w:lvl>
    <w:lvl w:ilvl="1" w:tplc="E864E63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07126B70"/>
    <w:multiLevelType w:val="hybridMultilevel"/>
    <w:tmpl w:val="9482CE5A"/>
    <w:lvl w:ilvl="0" w:tplc="CE8EAFE4">
      <w:start w:val="1"/>
      <w:numFmt w:val="lowerLetter"/>
      <w:lvlText w:val="%1)"/>
      <w:lvlJc w:val="left"/>
      <w:pPr>
        <w:ind w:left="1440" w:hanging="360"/>
      </w:pPr>
      <w:rPr>
        <w:rFonts w:hint="default"/>
        <w:b w:val="0"/>
        <w:i w:val="0"/>
        <w:sz w:val="23"/>
        <w:szCs w:val="23"/>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07272283"/>
    <w:multiLevelType w:val="hybridMultilevel"/>
    <w:tmpl w:val="534AB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504A04"/>
    <w:multiLevelType w:val="multilevel"/>
    <w:tmpl w:val="440ABE8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7573AFF"/>
    <w:multiLevelType w:val="hybridMultilevel"/>
    <w:tmpl w:val="1032AD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8597A32"/>
    <w:multiLevelType w:val="hybridMultilevel"/>
    <w:tmpl w:val="2E467EB6"/>
    <w:lvl w:ilvl="0" w:tplc="720462F6">
      <w:start w:val="1"/>
      <w:numFmt w:val="decimal"/>
      <w:lvlText w:val="%1."/>
      <w:lvlJc w:val="left"/>
      <w:pPr>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5F4B26"/>
    <w:multiLevelType w:val="hybridMultilevel"/>
    <w:tmpl w:val="5748D53A"/>
    <w:lvl w:ilvl="0" w:tplc="0C0C0017">
      <w:start w:val="1"/>
      <w:numFmt w:val="low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8957995"/>
    <w:multiLevelType w:val="hybridMultilevel"/>
    <w:tmpl w:val="2CBA25F2"/>
    <w:lvl w:ilvl="0" w:tplc="828834A4">
      <w:start w:val="1"/>
      <w:numFmt w:val="decimal"/>
      <w:lvlText w:val="%1."/>
      <w:lvlJc w:val="left"/>
      <w:pPr>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0976208B"/>
    <w:multiLevelType w:val="hybridMultilevel"/>
    <w:tmpl w:val="2B96A208"/>
    <w:lvl w:ilvl="0" w:tplc="84E83F26">
      <w:start w:val="1"/>
      <w:numFmt w:val="lowerLetter"/>
      <w:lvlText w:val="(%1)"/>
      <w:lvlJc w:val="left"/>
      <w:pPr>
        <w:ind w:left="2520" w:hanging="360"/>
      </w:pPr>
      <w:rPr>
        <w:rFonts w:cs="Arial"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097A2EE9"/>
    <w:multiLevelType w:val="hybridMultilevel"/>
    <w:tmpl w:val="57A27528"/>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DD1770"/>
    <w:multiLevelType w:val="hybridMultilevel"/>
    <w:tmpl w:val="0C7AE5CC"/>
    <w:lvl w:ilvl="0" w:tplc="04090017">
      <w:start w:val="1"/>
      <w:numFmt w:val="lowerLetter"/>
      <w:lvlText w:val="%1)"/>
      <w:lvlJc w:val="left"/>
      <w:pPr>
        <w:ind w:left="663" w:hanging="360"/>
      </w:pPr>
      <w:rPr>
        <w:rFonts w:hint="default"/>
        <w:b w:val="0"/>
        <w:i w:val="0"/>
        <w:sz w:val="23"/>
        <w:szCs w:val="23"/>
      </w:rPr>
    </w:lvl>
    <w:lvl w:ilvl="1" w:tplc="10090019" w:tentative="1">
      <w:start w:val="1"/>
      <w:numFmt w:val="lowerLetter"/>
      <w:lvlText w:val="%2."/>
      <w:lvlJc w:val="left"/>
      <w:pPr>
        <w:ind w:left="1383" w:hanging="360"/>
      </w:pPr>
    </w:lvl>
    <w:lvl w:ilvl="2" w:tplc="1009001B" w:tentative="1">
      <w:start w:val="1"/>
      <w:numFmt w:val="lowerRoman"/>
      <w:lvlText w:val="%3."/>
      <w:lvlJc w:val="right"/>
      <w:pPr>
        <w:ind w:left="2103" w:hanging="180"/>
      </w:pPr>
    </w:lvl>
    <w:lvl w:ilvl="3" w:tplc="1009000F" w:tentative="1">
      <w:start w:val="1"/>
      <w:numFmt w:val="decimal"/>
      <w:lvlText w:val="%4."/>
      <w:lvlJc w:val="left"/>
      <w:pPr>
        <w:ind w:left="2823" w:hanging="360"/>
      </w:pPr>
    </w:lvl>
    <w:lvl w:ilvl="4" w:tplc="10090019" w:tentative="1">
      <w:start w:val="1"/>
      <w:numFmt w:val="lowerLetter"/>
      <w:lvlText w:val="%5."/>
      <w:lvlJc w:val="left"/>
      <w:pPr>
        <w:ind w:left="3543" w:hanging="360"/>
      </w:pPr>
    </w:lvl>
    <w:lvl w:ilvl="5" w:tplc="1009001B" w:tentative="1">
      <w:start w:val="1"/>
      <w:numFmt w:val="lowerRoman"/>
      <w:lvlText w:val="%6."/>
      <w:lvlJc w:val="right"/>
      <w:pPr>
        <w:ind w:left="4263" w:hanging="180"/>
      </w:pPr>
    </w:lvl>
    <w:lvl w:ilvl="6" w:tplc="1009000F" w:tentative="1">
      <w:start w:val="1"/>
      <w:numFmt w:val="decimal"/>
      <w:lvlText w:val="%7."/>
      <w:lvlJc w:val="left"/>
      <w:pPr>
        <w:ind w:left="4983" w:hanging="360"/>
      </w:pPr>
    </w:lvl>
    <w:lvl w:ilvl="7" w:tplc="10090019" w:tentative="1">
      <w:start w:val="1"/>
      <w:numFmt w:val="lowerLetter"/>
      <w:lvlText w:val="%8."/>
      <w:lvlJc w:val="left"/>
      <w:pPr>
        <w:ind w:left="5703" w:hanging="360"/>
      </w:pPr>
    </w:lvl>
    <w:lvl w:ilvl="8" w:tplc="1009001B" w:tentative="1">
      <w:start w:val="1"/>
      <w:numFmt w:val="lowerRoman"/>
      <w:lvlText w:val="%9."/>
      <w:lvlJc w:val="right"/>
      <w:pPr>
        <w:ind w:left="6423" w:hanging="180"/>
      </w:pPr>
    </w:lvl>
  </w:abstractNum>
  <w:abstractNum w:abstractNumId="32" w15:restartNumberingAfterBreak="0">
    <w:nsid w:val="0A3D0A7B"/>
    <w:multiLevelType w:val="hybridMultilevel"/>
    <w:tmpl w:val="DB36203E"/>
    <w:lvl w:ilvl="0" w:tplc="625E3B26">
      <w:start w:val="1"/>
      <w:numFmt w:val="lowerLetter"/>
      <w:lvlText w:val="(%1)"/>
      <w:lvlJc w:val="left"/>
      <w:pPr>
        <w:ind w:left="1440" w:hanging="360"/>
      </w:pPr>
      <w:rPr>
        <w:rFonts w:ascii="Arial" w:eastAsia="Arial Unicode MS" w:hAnsi="Arial" w:cs="Times New Roman"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0A4A6FB0"/>
    <w:multiLevelType w:val="hybridMultilevel"/>
    <w:tmpl w:val="6EB22FDA"/>
    <w:lvl w:ilvl="0" w:tplc="04090017">
      <w:start w:val="1"/>
      <w:numFmt w:val="lowerLetter"/>
      <w:lvlText w:val="%1)"/>
      <w:lvlJc w:val="left"/>
      <w:pPr>
        <w:ind w:left="1080" w:hanging="360"/>
      </w:pPr>
      <w:rPr>
        <w:rFonts w:hint="default"/>
        <w:b w:val="0"/>
        <w:i w:val="0"/>
        <w:sz w:val="23"/>
        <w:szCs w:val="23"/>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0AFE6CB8"/>
    <w:multiLevelType w:val="hybridMultilevel"/>
    <w:tmpl w:val="F10C1720"/>
    <w:lvl w:ilvl="0" w:tplc="1E7CC65C">
      <w:start w:val="1"/>
      <w:numFmt w:val="lowerLetter"/>
      <w:lvlText w:val="%1)"/>
      <w:lvlJc w:val="left"/>
      <w:pPr>
        <w:ind w:left="1429" w:hanging="360"/>
      </w:pPr>
      <w:rPr>
        <w:rFonts w:hint="default"/>
        <w:b w:val="0"/>
        <w:i w:val="0"/>
        <w:sz w:val="23"/>
        <w:szCs w:val="23"/>
      </w:rPr>
    </w:lvl>
    <w:lvl w:ilvl="1" w:tplc="09A0A372">
      <w:start w:val="1"/>
      <w:numFmt w:val="lowerRoman"/>
      <w:lvlText w:val="%2)"/>
      <w:lvlJc w:val="right"/>
      <w:pPr>
        <w:ind w:left="2149" w:hanging="360"/>
      </w:pPr>
      <w:rPr>
        <w:rFonts w:hint="default"/>
        <w:b w:val="0"/>
        <w:i w:val="0"/>
        <w:sz w:val="23"/>
      </w:r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35" w15:restartNumberingAfterBreak="0">
    <w:nsid w:val="0B3B7EB7"/>
    <w:multiLevelType w:val="hybridMultilevel"/>
    <w:tmpl w:val="E9F2801A"/>
    <w:lvl w:ilvl="0" w:tplc="09A0A372">
      <w:start w:val="1"/>
      <w:numFmt w:val="lowerRoman"/>
      <w:lvlText w:val="%1)"/>
      <w:lvlJc w:val="right"/>
      <w:pPr>
        <w:ind w:left="1080" w:hanging="360"/>
      </w:pPr>
      <w:rPr>
        <w:rFonts w:hint="default"/>
        <w:b w:val="0"/>
        <w:i w:val="0"/>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0B531E61"/>
    <w:multiLevelType w:val="hybridMultilevel"/>
    <w:tmpl w:val="4BE277DC"/>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7" w15:restartNumberingAfterBreak="0">
    <w:nsid w:val="0B7B1E83"/>
    <w:multiLevelType w:val="hybridMultilevel"/>
    <w:tmpl w:val="632E5FC8"/>
    <w:lvl w:ilvl="0" w:tplc="8E885A8C">
      <w:start w:val="1"/>
      <w:numFmt w:val="lowerLetter"/>
      <w:lvlText w:val="(%1)"/>
      <w:lvlJc w:val="left"/>
      <w:pPr>
        <w:ind w:left="720" w:hanging="360"/>
      </w:pPr>
      <w:rPr>
        <w:rFonts w:ascii="Arial" w:eastAsia="Arial Unicode MS" w:hAnsi="Arial"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BD10A11"/>
    <w:multiLevelType w:val="hybridMultilevel"/>
    <w:tmpl w:val="EA7C4638"/>
    <w:lvl w:ilvl="0" w:tplc="AD7E2812">
      <w:start w:val="1"/>
      <w:numFmt w:val="decimal"/>
      <w:lvlText w:val="%1."/>
      <w:lvlJc w:val="left"/>
      <w:pPr>
        <w:ind w:left="2629"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39" w15:restartNumberingAfterBreak="0">
    <w:nsid w:val="0C054075"/>
    <w:multiLevelType w:val="hybridMultilevel"/>
    <w:tmpl w:val="391081DE"/>
    <w:lvl w:ilvl="0" w:tplc="09A0A372">
      <w:start w:val="1"/>
      <w:numFmt w:val="lowerRoman"/>
      <w:lvlText w:val="%1)"/>
      <w:lvlJc w:val="right"/>
      <w:pPr>
        <w:ind w:left="2160" w:hanging="720"/>
      </w:pPr>
      <w:rPr>
        <w:rFonts w:hint="default"/>
        <w:b w:val="0"/>
        <w:i w:val="0"/>
        <w:sz w:val="23"/>
      </w:rPr>
    </w:lvl>
    <w:lvl w:ilvl="1" w:tplc="0C0C0019" w:tentative="1">
      <w:start w:val="1"/>
      <w:numFmt w:val="lowerLetter"/>
      <w:lvlText w:val="%2."/>
      <w:lvlJc w:val="left"/>
      <w:pPr>
        <w:ind w:left="2520" w:hanging="360"/>
      </w:pPr>
    </w:lvl>
    <w:lvl w:ilvl="2" w:tplc="0C0C001B">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40" w15:restartNumberingAfterBreak="0">
    <w:nsid w:val="0C15460C"/>
    <w:multiLevelType w:val="hybridMultilevel"/>
    <w:tmpl w:val="75582952"/>
    <w:lvl w:ilvl="0" w:tplc="04090017">
      <w:start w:val="1"/>
      <w:numFmt w:val="lowerLetter"/>
      <w:lvlText w:val="%1)"/>
      <w:lvlJc w:val="left"/>
      <w:pPr>
        <w:ind w:left="720" w:hanging="360"/>
      </w:pPr>
      <w:rPr>
        <w:rFonts w:hint="default"/>
        <w:b w:val="0"/>
        <w:i w:val="0"/>
        <w:sz w:val="22"/>
      </w:rPr>
    </w:lvl>
    <w:lvl w:ilvl="1" w:tplc="70D624F8">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0C827972"/>
    <w:multiLevelType w:val="hybridMultilevel"/>
    <w:tmpl w:val="5F5A8616"/>
    <w:lvl w:ilvl="0" w:tplc="CC18450C">
      <w:start w:val="1"/>
      <w:numFmt w:val="lowerLetter"/>
      <w:lvlText w:val="(%1)"/>
      <w:lvlJc w:val="left"/>
      <w:pPr>
        <w:ind w:left="1086" w:hanging="360"/>
      </w:pPr>
      <w:rPr>
        <w:rFonts w:ascii="Arial" w:hAnsi="Arial" w:hint="default"/>
        <w:b w:val="0"/>
        <w:i w:val="0"/>
        <w:sz w:val="20"/>
        <w:szCs w:val="20"/>
      </w:rPr>
    </w:lvl>
    <w:lvl w:ilvl="1" w:tplc="70281408">
      <w:start w:val="1"/>
      <w:numFmt w:val="lowerLetter"/>
      <w:lvlText w:val="(%2)"/>
      <w:lvlJc w:val="left"/>
      <w:pPr>
        <w:ind w:left="1806" w:hanging="360"/>
      </w:pPr>
      <w:rPr>
        <w:rFonts w:ascii="Arial" w:hAnsi="Arial" w:hint="default"/>
        <w:b w:val="0"/>
        <w:i w:val="0"/>
        <w:sz w:val="23"/>
        <w:szCs w:val="23"/>
      </w:r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2" w15:restartNumberingAfterBreak="0">
    <w:nsid w:val="0CA55AD5"/>
    <w:multiLevelType w:val="hybridMultilevel"/>
    <w:tmpl w:val="CE8A2074"/>
    <w:lvl w:ilvl="0" w:tplc="CC18450C">
      <w:start w:val="1"/>
      <w:numFmt w:val="lowerLetter"/>
      <w:lvlText w:val="(%1)"/>
      <w:lvlJc w:val="left"/>
      <w:pPr>
        <w:ind w:left="720" w:hanging="360"/>
      </w:pPr>
      <w:rPr>
        <w:rFonts w:ascii="Arial" w:hAnsi="Arial" w:hint="default"/>
        <w:b w:val="0"/>
        <w:i w:val="0"/>
        <w:sz w:val="20"/>
        <w:szCs w:val="20"/>
      </w:rPr>
    </w:lvl>
    <w:lvl w:ilvl="1" w:tplc="6228118C">
      <w:start w:val="1"/>
      <w:numFmt w:val="lowerLetter"/>
      <w:lvlText w:val="(%2)"/>
      <w:lvlJc w:val="left"/>
      <w:pPr>
        <w:ind w:left="1440" w:hanging="360"/>
      </w:pPr>
      <w:rPr>
        <w:rFonts w:ascii="Arial" w:hAnsi="Arial"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DBE624D"/>
    <w:multiLevelType w:val="hybridMultilevel"/>
    <w:tmpl w:val="1A1CFFB4"/>
    <w:lvl w:ilvl="0" w:tplc="FDAC5624">
      <w:start w:val="1"/>
      <w:numFmt w:val="upperLetter"/>
      <w:lvlText w:val="(%1)"/>
      <w:lvlJc w:val="left"/>
      <w:pPr>
        <w:ind w:left="2520" w:hanging="360"/>
      </w:pPr>
      <w:rPr>
        <w:rFonts w:hint="default"/>
      </w:rPr>
    </w:lvl>
    <w:lvl w:ilvl="1" w:tplc="0C0C0019" w:tentative="1">
      <w:start w:val="1"/>
      <w:numFmt w:val="lowerLetter"/>
      <w:lvlText w:val="%2."/>
      <w:lvlJc w:val="left"/>
      <w:pPr>
        <w:ind w:left="3240" w:hanging="360"/>
      </w:pPr>
    </w:lvl>
    <w:lvl w:ilvl="2" w:tplc="0C0C001B" w:tentative="1">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44" w15:restartNumberingAfterBreak="0">
    <w:nsid w:val="0E2F643F"/>
    <w:multiLevelType w:val="hybridMultilevel"/>
    <w:tmpl w:val="53FED1BA"/>
    <w:lvl w:ilvl="0" w:tplc="724068B8">
      <w:start w:val="1"/>
      <w:numFmt w:val="lowerLetter"/>
      <w:lvlText w:val="(%1)"/>
      <w:lvlJc w:val="left"/>
      <w:pPr>
        <w:ind w:left="1440" w:hanging="360"/>
      </w:pPr>
      <w:rPr>
        <w:rFonts w:ascii="Arial" w:hAnsi="Arial" w:hint="default"/>
        <w:b w:val="0"/>
        <w:i w:val="0"/>
        <w:sz w:val="24"/>
      </w:rPr>
    </w:lvl>
    <w:lvl w:ilvl="1" w:tplc="595481C8">
      <w:start w:val="1"/>
      <w:numFmt w:val="lowerLetter"/>
      <w:lvlText w:val="%2)"/>
      <w:lvlJc w:val="left"/>
      <w:pPr>
        <w:ind w:left="2160" w:hanging="360"/>
      </w:pPr>
      <w:rPr>
        <w:rFonts w:hint="default"/>
        <w:b w:val="0"/>
        <w:i w:val="0"/>
        <w:sz w:val="23"/>
        <w:szCs w:val="23"/>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EC55F29"/>
    <w:multiLevelType w:val="hybridMultilevel"/>
    <w:tmpl w:val="B7DCE33E"/>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0F2363E8"/>
    <w:multiLevelType w:val="multilevel"/>
    <w:tmpl w:val="1C2ACE98"/>
    <w:lvl w:ilvl="0">
      <w:start w:val="1"/>
      <w:numFmt w:val="lowerLetter"/>
      <w:lvlText w:val="(%1)"/>
      <w:lvlJc w:val="left"/>
      <w:pPr>
        <w:tabs>
          <w:tab w:val="num" w:pos="720"/>
        </w:tabs>
        <w:ind w:left="720" w:hanging="360"/>
      </w:pPr>
      <w:rPr>
        <w:rFonts w:ascii="Arial" w:hAnsi="Arial" w:hint="default"/>
        <w:b w:val="0"/>
        <w:i w:val="0"/>
        <w:sz w:val="23"/>
        <w:szCs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2E0C0C"/>
    <w:multiLevelType w:val="multilevel"/>
    <w:tmpl w:val="C6321D58"/>
    <w:lvl w:ilvl="0">
      <w:start w:val="1"/>
      <w:numFmt w:val="decimal"/>
      <w:lvlText w:val="%1."/>
      <w:lvlJc w:val="left"/>
      <w:pPr>
        <w:tabs>
          <w:tab w:val="num" w:pos="720"/>
        </w:tabs>
        <w:ind w:left="720" w:hanging="360"/>
      </w:pPr>
      <w:rPr>
        <w:rFonts w:ascii="Times New Roman" w:eastAsia="Times New Roman" w:hAnsi="Times New Roman" w:cs="Times New Roman" w:hint="default"/>
        <w:sz w:val="22"/>
        <w:szCs w:val="22"/>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lowerLetter"/>
      <w:lvlText w:val="%4)"/>
      <w:lvlJc w:val="left"/>
      <w:pPr>
        <w:ind w:left="2880" w:hanging="360"/>
      </w:pPr>
      <w:rPr>
        <w:rFonts w:hint="default"/>
      </w:rPr>
    </w:lvl>
    <w:lvl w:ilvl="4">
      <w:start w:val="5"/>
      <w:numFmt w:val="bullet"/>
      <w:lvlText w:val="-"/>
      <w:lvlJc w:val="left"/>
      <w:pPr>
        <w:ind w:left="3600" w:hanging="360"/>
      </w:pPr>
      <w:rPr>
        <w:rFonts w:ascii="Arial" w:eastAsiaTheme="minorHAnsi" w:hAnsi="Arial" w:cs="Arial" w:hint="default"/>
      </w:rPr>
    </w:lvl>
    <w:lvl w:ilvl="5">
      <w:start w:val="1"/>
      <w:numFmt w:val="lowerRoman"/>
      <w:lvlText w:val="%6)"/>
      <w:lvlJc w:val="left"/>
      <w:pPr>
        <w:ind w:left="4680" w:hanging="720"/>
      </w:pPr>
      <w:rPr>
        <w:rFonts w:hint="default"/>
      </w:rPr>
    </w:lvl>
    <w:lvl w:ilvl="6">
      <w:start w:val="2"/>
      <w:numFmt w:val="decimal"/>
      <w:lvlText w:val="%7)"/>
      <w:lvlJc w:val="left"/>
      <w:pPr>
        <w:ind w:left="5040" w:hanging="360"/>
      </w:pPr>
      <w:rPr>
        <w:rFonts w:hint="default"/>
      </w:rPr>
    </w:lvl>
    <w:lvl w:ilvl="7">
      <w:start w:val="1"/>
      <w:numFmt w:val="lowerRoman"/>
      <w:lvlText w:val="(%8)"/>
      <w:lvlJc w:val="left"/>
      <w:pPr>
        <w:ind w:left="6120" w:hanging="720"/>
      </w:pPr>
      <w:rPr>
        <w:rFonts w:hint="default"/>
      </w:rPr>
    </w:lvl>
    <w:lvl w:ilvl="8">
      <w:start w:val="1"/>
      <w:numFmt w:val="lowerRoman"/>
      <w:lvlText w:val="%9."/>
      <w:lvlJc w:val="left"/>
      <w:pPr>
        <w:ind w:left="6840" w:hanging="720"/>
      </w:pPr>
      <w:rPr>
        <w:rFonts w:hint="default"/>
      </w:rPr>
    </w:lvl>
  </w:abstractNum>
  <w:abstractNum w:abstractNumId="48" w15:restartNumberingAfterBreak="0">
    <w:nsid w:val="0F7E0FA5"/>
    <w:multiLevelType w:val="hybridMultilevel"/>
    <w:tmpl w:val="E684D45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115656D1"/>
    <w:multiLevelType w:val="hybridMultilevel"/>
    <w:tmpl w:val="D41E3480"/>
    <w:lvl w:ilvl="0" w:tplc="9886F49E">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16F0467"/>
    <w:multiLevelType w:val="multilevel"/>
    <w:tmpl w:val="03DE9654"/>
    <w:lvl w:ilvl="0">
      <w:start w:val="1"/>
      <w:numFmt w:val="lowerLetter"/>
      <w:lvlText w:val="%1)"/>
      <w:lvlJc w:val="left"/>
      <w:pPr>
        <w:tabs>
          <w:tab w:val="num" w:pos="720"/>
        </w:tabs>
        <w:ind w:left="720" w:hanging="360"/>
      </w:pPr>
      <w:rPr>
        <w:rFonts w:hint="default"/>
        <w:sz w:val="23"/>
        <w:szCs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9A716E"/>
    <w:multiLevelType w:val="hybridMultilevel"/>
    <w:tmpl w:val="E93E9322"/>
    <w:lvl w:ilvl="0" w:tplc="26166758">
      <w:start w:val="1"/>
      <w:numFmt w:val="lowerLetter"/>
      <w:lvlText w:val="%1)"/>
      <w:lvlJc w:val="left"/>
      <w:pPr>
        <w:ind w:left="1210" w:hanging="360"/>
      </w:pPr>
      <w:rPr>
        <w:rFonts w:hint="default"/>
        <w:b w:val="0"/>
        <w:i w:val="0"/>
        <w:sz w:val="23"/>
        <w:szCs w:val="23"/>
      </w:r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52" w15:restartNumberingAfterBreak="0">
    <w:nsid w:val="121C666C"/>
    <w:multiLevelType w:val="hybridMultilevel"/>
    <w:tmpl w:val="2648E0D2"/>
    <w:lvl w:ilvl="0" w:tplc="8E885A8C">
      <w:start w:val="1"/>
      <w:numFmt w:val="lowerLetter"/>
      <w:lvlText w:val="(%1)"/>
      <w:lvlJc w:val="left"/>
      <w:pPr>
        <w:ind w:left="720" w:hanging="360"/>
      </w:pPr>
      <w:rPr>
        <w:rFonts w:ascii="Arial" w:eastAsia="Arial Unicode MS" w:hAnsi="Arial" w:cs="Times New Roman" w:hint="default"/>
        <w:b w:val="0"/>
        <w:i w:val="0"/>
        <w:sz w:val="23"/>
        <w:szCs w:val="23"/>
      </w:rPr>
    </w:lvl>
    <w:lvl w:ilvl="1" w:tplc="EA929540">
      <w:start w:val="1"/>
      <w:numFmt w:val="lowerLetter"/>
      <w:lvlText w:val="%2)"/>
      <w:lvlJc w:val="left"/>
      <w:pPr>
        <w:ind w:left="1575" w:hanging="495"/>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122F47C3"/>
    <w:multiLevelType w:val="hybridMultilevel"/>
    <w:tmpl w:val="93ACA192"/>
    <w:lvl w:ilvl="0" w:tplc="F6C6C34A">
      <w:start w:val="1"/>
      <w:numFmt w:val="lowerLetter"/>
      <w:lvlText w:val="(%1)"/>
      <w:lvlJc w:val="left"/>
      <w:pPr>
        <w:ind w:left="936" w:hanging="360"/>
      </w:pPr>
      <w:rPr>
        <w:rFonts w:ascii="Arial" w:hAnsi="Arial" w:hint="default"/>
        <w:b w:val="0"/>
        <w:i w:val="0"/>
        <w:sz w:val="23"/>
        <w:szCs w:val="23"/>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4" w15:restartNumberingAfterBreak="0">
    <w:nsid w:val="12C37256"/>
    <w:multiLevelType w:val="hybridMultilevel"/>
    <w:tmpl w:val="199A7122"/>
    <w:lvl w:ilvl="0" w:tplc="F6C6C34A">
      <w:start w:val="1"/>
      <w:numFmt w:val="lowerLetter"/>
      <w:lvlText w:val="(%1)"/>
      <w:lvlJc w:val="left"/>
      <w:pPr>
        <w:ind w:left="1440" w:hanging="360"/>
      </w:pPr>
      <w:rPr>
        <w:rFonts w:ascii="Arial" w:hAnsi="Arial" w:hint="default"/>
        <w:b w:val="0"/>
        <w:i w:val="0"/>
        <w:sz w:val="23"/>
        <w:szCs w:val="23"/>
      </w:rPr>
    </w:lvl>
    <w:lvl w:ilvl="1" w:tplc="F6C6C34A">
      <w:start w:val="1"/>
      <w:numFmt w:val="lowerLetter"/>
      <w:lvlText w:val="(%2)"/>
      <w:lvlJc w:val="left"/>
      <w:pPr>
        <w:ind w:left="2160" w:hanging="360"/>
      </w:pPr>
      <w:rPr>
        <w:rFonts w:ascii="Arial" w:hAnsi="Arial" w:hint="default"/>
        <w:b w:val="0"/>
        <w:i w:val="0"/>
        <w:sz w:val="23"/>
        <w:szCs w:val="23"/>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3A8489A"/>
    <w:multiLevelType w:val="hybridMultilevel"/>
    <w:tmpl w:val="DAD23AAE"/>
    <w:lvl w:ilvl="0" w:tplc="C9DCA62A">
      <w:start w:val="2"/>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56D2C54"/>
    <w:multiLevelType w:val="hybridMultilevel"/>
    <w:tmpl w:val="30AA33C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15B27074"/>
    <w:multiLevelType w:val="hybridMultilevel"/>
    <w:tmpl w:val="69D206CA"/>
    <w:lvl w:ilvl="0" w:tplc="B2E22418">
      <w:start w:val="1"/>
      <w:numFmt w:val="lowerLetter"/>
      <w:lvlText w:val="%1)"/>
      <w:lvlJc w:val="left"/>
      <w:pPr>
        <w:ind w:left="1440" w:hanging="360"/>
      </w:pPr>
      <w:rPr>
        <w:rFonts w:hint="default"/>
        <w:b w:val="0"/>
        <w:i w:val="0"/>
        <w:sz w:val="23"/>
        <w:szCs w:val="2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5E23B10"/>
    <w:multiLevelType w:val="hybridMultilevel"/>
    <w:tmpl w:val="23781512"/>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59" w15:restartNumberingAfterBreak="0">
    <w:nsid w:val="172175E7"/>
    <w:multiLevelType w:val="hybridMultilevel"/>
    <w:tmpl w:val="2B98EC6E"/>
    <w:lvl w:ilvl="0" w:tplc="04090017">
      <w:start w:val="1"/>
      <w:numFmt w:val="lowerLetter"/>
      <w:lvlText w:val="%1)"/>
      <w:lvlJc w:val="left"/>
      <w:pPr>
        <w:ind w:left="1080" w:hanging="360"/>
      </w:pPr>
      <w:rPr>
        <w:rFonts w:hint="default"/>
        <w:b w:val="0"/>
        <w:i w:val="0"/>
        <w:sz w:val="23"/>
        <w:szCs w:val="23"/>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173B562A"/>
    <w:multiLevelType w:val="hybridMultilevel"/>
    <w:tmpl w:val="7BBC3F86"/>
    <w:lvl w:ilvl="0" w:tplc="04090017">
      <w:start w:val="1"/>
      <w:numFmt w:val="lowerLetter"/>
      <w:lvlText w:val="%1)"/>
      <w:lvlJc w:val="left"/>
      <w:pPr>
        <w:ind w:left="720" w:hanging="360"/>
      </w:pPr>
      <w:rPr>
        <w:rFonts w:hint="default"/>
        <w:b w:val="0"/>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8D36BA"/>
    <w:multiLevelType w:val="multilevel"/>
    <w:tmpl w:val="4AC2607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C644D6"/>
    <w:multiLevelType w:val="hybridMultilevel"/>
    <w:tmpl w:val="27B6CCE2"/>
    <w:lvl w:ilvl="0" w:tplc="09A0A372">
      <w:start w:val="1"/>
      <w:numFmt w:val="lowerRoman"/>
      <w:lvlText w:val="%1)"/>
      <w:lvlJc w:val="right"/>
      <w:pPr>
        <w:ind w:left="2160" w:hanging="360"/>
      </w:pPr>
      <w:rPr>
        <w:rFonts w:hint="default"/>
        <w:b w:val="0"/>
        <w:i w:val="0"/>
        <w:sz w:val="23"/>
      </w:r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63" w15:restartNumberingAfterBreak="0">
    <w:nsid w:val="17DA30F5"/>
    <w:multiLevelType w:val="multilevel"/>
    <w:tmpl w:val="B212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246506"/>
    <w:multiLevelType w:val="hybridMultilevel"/>
    <w:tmpl w:val="D42077C6"/>
    <w:lvl w:ilvl="0" w:tplc="F6C6C34A">
      <w:start w:val="1"/>
      <w:numFmt w:val="lowerLetter"/>
      <w:lvlText w:val="(%1)"/>
      <w:lvlJc w:val="left"/>
      <w:pPr>
        <w:ind w:left="1086" w:hanging="360"/>
      </w:pPr>
      <w:rPr>
        <w:rFonts w:ascii="Arial" w:hAnsi="Arial" w:hint="default"/>
        <w:b w:val="0"/>
        <w:i w:val="0"/>
        <w:sz w:val="23"/>
        <w:szCs w:val="23"/>
      </w:rPr>
    </w:lvl>
    <w:lvl w:ilvl="1" w:tplc="F6C6C34A">
      <w:start w:val="1"/>
      <w:numFmt w:val="lowerLetter"/>
      <w:lvlText w:val="(%2)"/>
      <w:lvlJc w:val="left"/>
      <w:pPr>
        <w:ind w:left="1806" w:hanging="360"/>
      </w:pPr>
      <w:rPr>
        <w:rFonts w:ascii="Arial" w:hAnsi="Arial" w:hint="default"/>
        <w:b w:val="0"/>
        <w:i w:val="0"/>
        <w:sz w:val="23"/>
        <w:szCs w:val="23"/>
      </w:r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5" w15:restartNumberingAfterBreak="0">
    <w:nsid w:val="18995F5F"/>
    <w:multiLevelType w:val="hybridMultilevel"/>
    <w:tmpl w:val="70445F02"/>
    <w:lvl w:ilvl="0" w:tplc="22B011CA">
      <w:start w:val="1"/>
      <w:numFmt w:val="decimal"/>
      <w:lvlText w:val="%1."/>
      <w:lvlJc w:val="left"/>
      <w:pPr>
        <w:ind w:left="720" w:hanging="360"/>
      </w:pPr>
      <w:rPr>
        <w:rFonts w:ascii="Arial" w:eastAsiaTheme="minorHAnsi" w:hAnsi="Arial" w:cs="Arial"/>
        <w:b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19877925"/>
    <w:multiLevelType w:val="hybridMultilevel"/>
    <w:tmpl w:val="AED0DBB6"/>
    <w:lvl w:ilvl="0" w:tplc="1009000F">
      <w:start w:val="1"/>
      <w:numFmt w:val="decimal"/>
      <w:lvlText w:val="%1."/>
      <w:lvlJc w:val="left"/>
      <w:pPr>
        <w:ind w:left="630" w:hanging="360"/>
      </w:p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67" w15:restartNumberingAfterBreak="0">
    <w:nsid w:val="19AB6B91"/>
    <w:multiLevelType w:val="hybridMultilevel"/>
    <w:tmpl w:val="3AC609D6"/>
    <w:lvl w:ilvl="0" w:tplc="09A0A372">
      <w:start w:val="1"/>
      <w:numFmt w:val="lowerRoman"/>
      <w:lvlText w:val="%1)"/>
      <w:lvlJc w:val="right"/>
      <w:pPr>
        <w:ind w:left="2160" w:hanging="720"/>
      </w:pPr>
      <w:rPr>
        <w:rFonts w:hint="default"/>
        <w:b w:val="0"/>
        <w:i w:val="0"/>
        <w:sz w:val="23"/>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8" w15:restartNumberingAfterBreak="0">
    <w:nsid w:val="19B14D59"/>
    <w:multiLevelType w:val="hybridMultilevel"/>
    <w:tmpl w:val="73947F5A"/>
    <w:lvl w:ilvl="0" w:tplc="2348DA44">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19B558C8"/>
    <w:multiLevelType w:val="hybridMultilevel"/>
    <w:tmpl w:val="FD18470C"/>
    <w:lvl w:ilvl="0" w:tplc="09A0A372">
      <w:start w:val="1"/>
      <w:numFmt w:val="lowerRoman"/>
      <w:lvlText w:val="%1)"/>
      <w:lvlJc w:val="right"/>
      <w:pPr>
        <w:ind w:left="1210" w:hanging="360"/>
      </w:pPr>
      <w:rPr>
        <w:rFonts w:hint="default"/>
        <w:b w:val="0"/>
        <w:i w:val="0"/>
        <w:sz w:val="23"/>
      </w:r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70" w15:restartNumberingAfterBreak="0">
    <w:nsid w:val="19BE49BA"/>
    <w:multiLevelType w:val="hybridMultilevel"/>
    <w:tmpl w:val="6FC0ADC0"/>
    <w:lvl w:ilvl="0" w:tplc="1009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1" w15:restartNumberingAfterBreak="0">
    <w:nsid w:val="19CA1E8F"/>
    <w:multiLevelType w:val="hybridMultilevel"/>
    <w:tmpl w:val="E3641E9C"/>
    <w:lvl w:ilvl="0" w:tplc="04090017">
      <w:start w:val="1"/>
      <w:numFmt w:val="lowerLetter"/>
      <w:lvlText w:val="%1)"/>
      <w:lvlJc w:val="left"/>
      <w:pPr>
        <w:ind w:left="810" w:hanging="360"/>
      </w:p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72" w15:restartNumberingAfterBreak="0">
    <w:nsid w:val="1A4579AC"/>
    <w:multiLevelType w:val="hybridMultilevel"/>
    <w:tmpl w:val="05FE56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AA73D8A"/>
    <w:multiLevelType w:val="hybridMultilevel"/>
    <w:tmpl w:val="3D6480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4" w15:restartNumberingAfterBreak="0">
    <w:nsid w:val="1AB07761"/>
    <w:multiLevelType w:val="hybridMultilevel"/>
    <w:tmpl w:val="AE48A5A0"/>
    <w:lvl w:ilvl="0" w:tplc="641ABF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7">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1ACB02F6"/>
    <w:multiLevelType w:val="hybridMultilevel"/>
    <w:tmpl w:val="D38A1528"/>
    <w:lvl w:ilvl="0" w:tplc="DCCACF78">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1ADF23F3"/>
    <w:multiLevelType w:val="hybridMultilevel"/>
    <w:tmpl w:val="B27EF9FC"/>
    <w:lvl w:ilvl="0" w:tplc="04090017">
      <w:start w:val="1"/>
      <w:numFmt w:val="lowerLetter"/>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77" w15:restartNumberingAfterBreak="0">
    <w:nsid w:val="1AFE2831"/>
    <w:multiLevelType w:val="hybridMultilevel"/>
    <w:tmpl w:val="61EE4934"/>
    <w:lvl w:ilvl="0" w:tplc="09A0A372">
      <w:start w:val="1"/>
      <w:numFmt w:val="lowerRoman"/>
      <w:lvlText w:val="%1)"/>
      <w:lvlJc w:val="right"/>
      <w:pPr>
        <w:ind w:left="2160" w:hanging="720"/>
      </w:pPr>
      <w:rPr>
        <w:rFonts w:hint="default"/>
        <w:b w:val="0"/>
        <w:i w:val="0"/>
        <w:sz w:val="23"/>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8" w15:restartNumberingAfterBreak="0">
    <w:nsid w:val="1CEF2426"/>
    <w:multiLevelType w:val="hybridMultilevel"/>
    <w:tmpl w:val="1E32A9FE"/>
    <w:lvl w:ilvl="0" w:tplc="CFA8FEDE">
      <w:start w:val="9"/>
      <w:numFmt w:val="lowerLetter"/>
      <w:lvlText w:val="%1)"/>
      <w:lvlJc w:val="left"/>
      <w:pPr>
        <w:ind w:left="1353" w:hanging="360"/>
      </w:pPr>
      <w:rPr>
        <w:rFonts w:hint="default"/>
        <w:b w:val="0"/>
        <w:i w:val="0"/>
        <w:sz w:val="23"/>
        <w:szCs w:val="23"/>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1E0552F1"/>
    <w:multiLevelType w:val="hybridMultilevel"/>
    <w:tmpl w:val="3B406026"/>
    <w:lvl w:ilvl="0" w:tplc="F6C6C34A">
      <w:start w:val="1"/>
      <w:numFmt w:val="lowerLetter"/>
      <w:lvlText w:val="(%1)"/>
      <w:lvlJc w:val="left"/>
      <w:pPr>
        <w:ind w:left="720" w:hanging="360"/>
      </w:pPr>
      <w:rPr>
        <w:rFonts w:ascii="Arial" w:hAnsi="Arial" w:hint="default"/>
        <w:b w:val="0"/>
        <w:i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EF84C7A"/>
    <w:multiLevelType w:val="multilevel"/>
    <w:tmpl w:val="A26A4C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1EFE2823"/>
    <w:multiLevelType w:val="hybridMultilevel"/>
    <w:tmpl w:val="E5FC8C78"/>
    <w:lvl w:ilvl="0" w:tplc="F6C6C34A">
      <w:start w:val="1"/>
      <w:numFmt w:val="lowerLetter"/>
      <w:lvlText w:val="(%1)"/>
      <w:lvlJc w:val="left"/>
      <w:pPr>
        <w:ind w:left="1446" w:hanging="360"/>
      </w:pPr>
      <w:rPr>
        <w:rFonts w:ascii="Arial" w:hAnsi="Arial" w:hint="default"/>
        <w:b w:val="0"/>
        <w:i w:val="0"/>
        <w:sz w:val="23"/>
        <w:szCs w:val="23"/>
      </w:rPr>
    </w:lvl>
    <w:lvl w:ilvl="1" w:tplc="F6C6C34A">
      <w:start w:val="1"/>
      <w:numFmt w:val="lowerLetter"/>
      <w:lvlText w:val="(%2)"/>
      <w:lvlJc w:val="left"/>
      <w:pPr>
        <w:ind w:left="2166" w:hanging="360"/>
      </w:pPr>
      <w:rPr>
        <w:rFonts w:ascii="Arial" w:hAnsi="Arial" w:hint="default"/>
        <w:b w:val="0"/>
        <w:i w:val="0"/>
        <w:sz w:val="23"/>
        <w:szCs w:val="23"/>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2" w15:restartNumberingAfterBreak="0">
    <w:nsid w:val="1F0A72D5"/>
    <w:multiLevelType w:val="hybridMultilevel"/>
    <w:tmpl w:val="3A94AA1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3" w15:restartNumberingAfterBreak="0">
    <w:nsid w:val="1F290DD3"/>
    <w:multiLevelType w:val="hybridMultilevel"/>
    <w:tmpl w:val="F1C846CC"/>
    <w:lvl w:ilvl="0" w:tplc="EA929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F570112"/>
    <w:multiLevelType w:val="hybridMultilevel"/>
    <w:tmpl w:val="688C2DDC"/>
    <w:lvl w:ilvl="0" w:tplc="04090017">
      <w:start w:val="1"/>
      <w:numFmt w:val="lowerLetter"/>
      <w:lvlText w:val="%1)"/>
      <w:lvlJc w:val="left"/>
      <w:pPr>
        <w:ind w:left="720" w:hanging="360"/>
      </w:pPr>
      <w:rPr>
        <w:rFonts w:hint="default"/>
        <w:b w:val="0"/>
        <w:i w:val="0"/>
        <w:sz w:val="23"/>
        <w:szCs w:val="23"/>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5" w15:restartNumberingAfterBreak="0">
    <w:nsid w:val="1FB63AB9"/>
    <w:multiLevelType w:val="hybridMultilevel"/>
    <w:tmpl w:val="27DA2242"/>
    <w:lvl w:ilvl="0" w:tplc="F6C6C34A">
      <w:start w:val="1"/>
      <w:numFmt w:val="lowerLetter"/>
      <w:lvlText w:val="(%1)"/>
      <w:lvlJc w:val="left"/>
      <w:pPr>
        <w:ind w:left="2016" w:hanging="360"/>
      </w:pPr>
      <w:rPr>
        <w:rFonts w:ascii="Arial" w:hAnsi="Arial" w:hint="default"/>
        <w:b w:val="0"/>
        <w:i w:val="0"/>
        <w:sz w:val="23"/>
        <w:szCs w:val="23"/>
      </w:r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6" w15:restartNumberingAfterBreak="0">
    <w:nsid w:val="1FE133EA"/>
    <w:multiLevelType w:val="hybridMultilevel"/>
    <w:tmpl w:val="8EF4AEB2"/>
    <w:lvl w:ilvl="0" w:tplc="C680AAC2">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206E4EF3"/>
    <w:multiLevelType w:val="hybridMultilevel"/>
    <w:tmpl w:val="8B2486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20C44276"/>
    <w:multiLevelType w:val="hybridMultilevel"/>
    <w:tmpl w:val="434AFF4E"/>
    <w:lvl w:ilvl="0" w:tplc="2990C6DE">
      <w:start w:val="1"/>
      <w:numFmt w:val="decimal"/>
      <w:lvlText w:val="%1."/>
      <w:lvlJc w:val="left"/>
      <w:pPr>
        <w:ind w:left="644" w:hanging="360"/>
      </w:pPr>
      <w:rPr>
        <w:rFonts w:hint="default"/>
      </w:rPr>
    </w:lvl>
    <w:lvl w:ilvl="1" w:tplc="13700094">
      <w:start w:val="1"/>
      <w:numFmt w:val="lowerLetter"/>
      <w:lvlText w:val="%2)"/>
      <w:lvlJc w:val="left"/>
      <w:pPr>
        <w:ind w:left="1800" w:hanging="360"/>
      </w:pPr>
      <w:rPr>
        <w:rFonts w:ascii="Times New Roman" w:eastAsiaTheme="minorHAnsi" w:hAnsi="Times New Roman" w:cs="Times New Roman" w:hint="default"/>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9" w15:restartNumberingAfterBreak="0">
    <w:nsid w:val="210C0579"/>
    <w:multiLevelType w:val="hybridMultilevel"/>
    <w:tmpl w:val="DEC24F00"/>
    <w:lvl w:ilvl="0" w:tplc="98963946">
      <w:start w:val="1"/>
      <w:numFmt w:val="decimal"/>
      <w:lvlText w:val="%1."/>
      <w:lvlJc w:val="left"/>
      <w:pPr>
        <w:ind w:left="1854" w:hanging="360"/>
      </w:pPr>
      <w:rPr>
        <w:rFonts w:ascii="Arial" w:hAnsi="Arial" w:cs="Arial" w:hint="default"/>
      </w:rPr>
    </w:lvl>
    <w:lvl w:ilvl="1" w:tplc="10090019">
      <w:start w:val="1"/>
      <w:numFmt w:val="lowerLetter"/>
      <w:lvlText w:val="%2."/>
      <w:lvlJc w:val="left"/>
      <w:pPr>
        <w:ind w:left="2574" w:hanging="360"/>
      </w:pPr>
    </w:lvl>
    <w:lvl w:ilvl="2" w:tplc="1009001B">
      <w:start w:val="1"/>
      <w:numFmt w:val="lowerRoman"/>
      <w:lvlText w:val="%3."/>
      <w:lvlJc w:val="right"/>
      <w:pPr>
        <w:ind w:left="3294" w:hanging="180"/>
      </w:pPr>
    </w:lvl>
    <w:lvl w:ilvl="3" w:tplc="1009000F">
      <w:start w:val="1"/>
      <w:numFmt w:val="decimal"/>
      <w:lvlText w:val="%4."/>
      <w:lvlJc w:val="left"/>
      <w:pPr>
        <w:ind w:left="4014" w:hanging="360"/>
      </w:pPr>
    </w:lvl>
    <w:lvl w:ilvl="4" w:tplc="10090019">
      <w:start w:val="1"/>
      <w:numFmt w:val="lowerLetter"/>
      <w:lvlText w:val="%5."/>
      <w:lvlJc w:val="left"/>
      <w:pPr>
        <w:ind w:left="4734" w:hanging="360"/>
      </w:pPr>
    </w:lvl>
    <w:lvl w:ilvl="5" w:tplc="1009001B">
      <w:start w:val="1"/>
      <w:numFmt w:val="lowerRoman"/>
      <w:lvlText w:val="%6."/>
      <w:lvlJc w:val="right"/>
      <w:pPr>
        <w:ind w:left="5454" w:hanging="180"/>
      </w:pPr>
    </w:lvl>
    <w:lvl w:ilvl="6" w:tplc="1009000F">
      <w:start w:val="1"/>
      <w:numFmt w:val="decimal"/>
      <w:lvlText w:val="%7."/>
      <w:lvlJc w:val="left"/>
      <w:pPr>
        <w:ind w:left="6174" w:hanging="360"/>
      </w:pPr>
    </w:lvl>
    <w:lvl w:ilvl="7" w:tplc="10090019">
      <w:start w:val="1"/>
      <w:numFmt w:val="lowerLetter"/>
      <w:lvlText w:val="%8."/>
      <w:lvlJc w:val="left"/>
      <w:pPr>
        <w:ind w:left="6894" w:hanging="360"/>
      </w:pPr>
    </w:lvl>
    <w:lvl w:ilvl="8" w:tplc="1009001B">
      <w:start w:val="1"/>
      <w:numFmt w:val="lowerRoman"/>
      <w:lvlText w:val="%9."/>
      <w:lvlJc w:val="right"/>
      <w:pPr>
        <w:ind w:left="7614" w:hanging="180"/>
      </w:pPr>
    </w:lvl>
  </w:abstractNum>
  <w:abstractNum w:abstractNumId="90" w15:restartNumberingAfterBreak="0">
    <w:nsid w:val="211F4BF2"/>
    <w:multiLevelType w:val="hybridMultilevel"/>
    <w:tmpl w:val="564ADEE4"/>
    <w:lvl w:ilvl="0" w:tplc="04090017">
      <w:start w:val="1"/>
      <w:numFmt w:val="lowerLetter"/>
      <w:lvlText w:val="%1)"/>
      <w:lvlJc w:val="left"/>
      <w:pPr>
        <w:ind w:left="720" w:hanging="360"/>
      </w:pPr>
      <w:rPr>
        <w:rFonts w:hint="default"/>
        <w:b w:val="0"/>
        <w:i w:val="0"/>
        <w:sz w:val="23"/>
        <w:szCs w:val="23"/>
      </w:rPr>
    </w:lvl>
    <w:lvl w:ilvl="1" w:tplc="EA929540">
      <w:start w:val="1"/>
      <w:numFmt w:val="lowerLetter"/>
      <w:lvlText w:val="%2)"/>
      <w:lvlJc w:val="left"/>
      <w:pPr>
        <w:ind w:left="1575" w:hanging="495"/>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15:restartNumberingAfterBreak="0">
    <w:nsid w:val="212F4074"/>
    <w:multiLevelType w:val="hybridMultilevel"/>
    <w:tmpl w:val="C36EF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17A02EE"/>
    <w:multiLevelType w:val="hybridMultilevel"/>
    <w:tmpl w:val="8C6471FC"/>
    <w:lvl w:ilvl="0" w:tplc="04090017">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15:restartNumberingAfterBreak="0">
    <w:nsid w:val="219878ED"/>
    <w:multiLevelType w:val="hybridMultilevel"/>
    <w:tmpl w:val="E4F641E0"/>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21C536A9"/>
    <w:multiLevelType w:val="hybridMultilevel"/>
    <w:tmpl w:val="BFACCF8C"/>
    <w:lvl w:ilvl="0" w:tplc="04090017">
      <w:start w:val="1"/>
      <w:numFmt w:val="lowerLetter"/>
      <w:lvlText w:val="%1)"/>
      <w:lvlJc w:val="left"/>
      <w:pPr>
        <w:ind w:left="720" w:hanging="360"/>
      </w:pPr>
      <w:rPr>
        <w:rFonts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21EE6DA7"/>
    <w:multiLevelType w:val="hybridMultilevel"/>
    <w:tmpl w:val="82407AF2"/>
    <w:lvl w:ilvl="0" w:tplc="8E885A8C">
      <w:start w:val="1"/>
      <w:numFmt w:val="lowerLetter"/>
      <w:lvlText w:val="(%1)"/>
      <w:lvlJc w:val="left"/>
      <w:pPr>
        <w:ind w:left="1074" w:hanging="360"/>
      </w:pPr>
      <w:rPr>
        <w:rFonts w:ascii="Arial" w:eastAsia="Arial Unicode MS" w:hAnsi="Arial" w:cs="Times New Roman" w:hint="default"/>
        <w:b w:val="0"/>
        <w:i w:val="0"/>
        <w:sz w:val="23"/>
        <w:szCs w:val="23"/>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96" w15:restartNumberingAfterBreak="0">
    <w:nsid w:val="22333D1F"/>
    <w:multiLevelType w:val="hybridMultilevel"/>
    <w:tmpl w:val="3F1459B6"/>
    <w:lvl w:ilvl="0" w:tplc="09A0A372">
      <w:start w:val="1"/>
      <w:numFmt w:val="lowerRoman"/>
      <w:lvlText w:val="%1)"/>
      <w:lvlJc w:val="right"/>
      <w:pPr>
        <w:ind w:left="2160" w:hanging="360"/>
      </w:pPr>
      <w:rPr>
        <w:rFonts w:hint="default"/>
        <w:b w:val="0"/>
        <w:i w:val="0"/>
        <w:sz w:val="23"/>
        <w:szCs w:val="23"/>
      </w:r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7" w15:restartNumberingAfterBreak="0">
    <w:nsid w:val="225252B2"/>
    <w:multiLevelType w:val="hybridMultilevel"/>
    <w:tmpl w:val="299254EC"/>
    <w:lvl w:ilvl="0" w:tplc="04090017">
      <w:start w:val="1"/>
      <w:numFmt w:val="lowerLetter"/>
      <w:lvlText w:val="%1)"/>
      <w:lvlJc w:val="left"/>
      <w:pPr>
        <w:ind w:left="1080" w:hanging="360"/>
      </w:pPr>
      <w:rPr>
        <w:rFonts w:hint="default"/>
        <w:b w:val="0"/>
        <w:i w:val="0"/>
        <w:sz w:val="23"/>
        <w:szCs w:val="23"/>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98" w15:restartNumberingAfterBreak="0">
    <w:nsid w:val="23261B64"/>
    <w:multiLevelType w:val="hybridMultilevel"/>
    <w:tmpl w:val="EEE67096"/>
    <w:lvl w:ilvl="0" w:tplc="0C0C0011">
      <w:start w:val="1"/>
      <w:numFmt w:val="decimal"/>
      <w:lvlText w:val="%1)"/>
      <w:lvlJc w:val="left"/>
      <w:pPr>
        <w:ind w:left="720" w:hanging="360"/>
      </w:pPr>
    </w:lvl>
    <w:lvl w:ilvl="1" w:tplc="B02C0A20">
      <w:start w:val="1"/>
      <w:numFmt w:val="lowerLetter"/>
      <w:lvlText w:val="%2."/>
      <w:lvlJc w:val="left"/>
      <w:pPr>
        <w:ind w:left="1440" w:hanging="360"/>
      </w:pPr>
      <w:rPr>
        <w:strike w:val="0"/>
      </w:rPr>
    </w:lvl>
    <w:lvl w:ilvl="2" w:tplc="09A0A372">
      <w:start w:val="1"/>
      <w:numFmt w:val="lowerRoman"/>
      <w:lvlText w:val="%3)"/>
      <w:lvlJc w:val="right"/>
      <w:pPr>
        <w:ind w:left="2160" w:hanging="180"/>
      </w:pPr>
      <w:rPr>
        <w:rFonts w:hint="default"/>
        <w:b w:val="0"/>
        <w:i w:val="0"/>
        <w:color w:val="auto"/>
        <w:sz w:val="23"/>
      </w:r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0A280F0">
      <w:start w:val="1"/>
      <w:numFmt w:val="lowerLetter"/>
      <w:lvlText w:val="%7)"/>
      <w:lvlJc w:val="left"/>
      <w:pPr>
        <w:ind w:left="5040" w:hanging="360"/>
      </w:pPr>
      <w:rPr>
        <w:rFonts w:hint="default"/>
      </w:r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9" w15:restartNumberingAfterBreak="0">
    <w:nsid w:val="233E275A"/>
    <w:multiLevelType w:val="hybridMultilevel"/>
    <w:tmpl w:val="5E542C0C"/>
    <w:lvl w:ilvl="0" w:tplc="1009000F">
      <w:start w:val="1"/>
      <w:numFmt w:val="decimal"/>
      <w:lvlText w:val="%1."/>
      <w:lvlJc w:val="left"/>
      <w:pPr>
        <w:ind w:left="720" w:hanging="360"/>
      </w:pPr>
      <w:rPr>
        <w:rFonts w:hint="default"/>
      </w:rPr>
    </w:lvl>
    <w:lvl w:ilvl="1" w:tplc="EA929540">
      <w:start w:val="1"/>
      <w:numFmt w:val="lowerLetter"/>
      <w:lvlText w:val="%2)"/>
      <w:lvlJc w:val="left"/>
      <w:pPr>
        <w:ind w:left="990" w:hanging="360"/>
      </w:pPr>
      <w:rPr>
        <w:rFonts w:hint="default"/>
        <w:b w:val="0"/>
        <w:i w:val="0"/>
        <w:sz w:val="22"/>
      </w:rPr>
    </w:lvl>
    <w:lvl w:ilvl="2" w:tplc="79AAEDDE">
      <w:start w:val="2"/>
      <w:numFmt w:val="bullet"/>
      <w:lvlText w:val=""/>
      <w:lvlJc w:val="left"/>
      <w:pPr>
        <w:ind w:left="2340" w:hanging="360"/>
      </w:pPr>
      <w:rPr>
        <w:rFonts w:ascii="Symbol" w:eastAsiaTheme="minorHAnsi" w:hAnsi="Symbol" w:cstheme="minorHAnsi"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24283B46"/>
    <w:multiLevelType w:val="multilevel"/>
    <w:tmpl w:val="373C65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25654935"/>
    <w:multiLevelType w:val="hybridMultilevel"/>
    <w:tmpl w:val="541AFF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2" w15:restartNumberingAfterBreak="0">
    <w:nsid w:val="258E74B2"/>
    <w:multiLevelType w:val="hybridMultilevel"/>
    <w:tmpl w:val="31862A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259F6BAD"/>
    <w:multiLevelType w:val="hybridMultilevel"/>
    <w:tmpl w:val="9FB2F8FC"/>
    <w:lvl w:ilvl="0" w:tplc="04090017">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4" w15:restartNumberingAfterBreak="0">
    <w:nsid w:val="25C8349E"/>
    <w:multiLevelType w:val="hybridMultilevel"/>
    <w:tmpl w:val="A29A83B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5" w15:restartNumberingAfterBreak="0">
    <w:nsid w:val="265B2953"/>
    <w:multiLevelType w:val="hybridMultilevel"/>
    <w:tmpl w:val="E4D2137A"/>
    <w:lvl w:ilvl="0" w:tplc="09A0A372">
      <w:start w:val="1"/>
      <w:numFmt w:val="lowerRoman"/>
      <w:lvlText w:val="%1)"/>
      <w:lvlJc w:val="right"/>
      <w:pPr>
        <w:ind w:left="1440" w:hanging="360"/>
      </w:pPr>
      <w:rPr>
        <w:rFonts w:hint="default"/>
        <w:b w:val="0"/>
        <w:i w:val="0"/>
        <w:sz w:val="23"/>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6" w15:restartNumberingAfterBreak="0">
    <w:nsid w:val="26793365"/>
    <w:multiLevelType w:val="hybridMultilevel"/>
    <w:tmpl w:val="9A703C4E"/>
    <w:lvl w:ilvl="0" w:tplc="10090017">
      <w:start w:val="1"/>
      <w:numFmt w:val="lowerLetter"/>
      <w:lvlText w:val="%1)"/>
      <w:lvlJc w:val="left"/>
      <w:pPr>
        <w:ind w:left="720" w:hanging="360"/>
      </w:pPr>
    </w:lvl>
    <w:lvl w:ilvl="1" w:tplc="04090017">
      <w:start w:val="1"/>
      <w:numFmt w:val="lowerLetter"/>
      <w:lvlText w:val="%2)"/>
      <w:lvlJc w:val="left"/>
      <w:pPr>
        <w:ind w:left="360" w:hanging="360"/>
      </w:pPr>
      <w:rPr>
        <w:rFonts w:hint="default"/>
        <w:b w:val="0"/>
        <w:i w:val="0"/>
        <w:sz w:val="23"/>
        <w:szCs w:val="23"/>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15:restartNumberingAfterBreak="0">
    <w:nsid w:val="268F6E42"/>
    <w:multiLevelType w:val="hybridMultilevel"/>
    <w:tmpl w:val="5B30DCB0"/>
    <w:lvl w:ilvl="0" w:tplc="6ABA03D4">
      <w:start w:val="1"/>
      <w:numFmt w:val="lowerLetter"/>
      <w:pStyle w:val="List"/>
      <w:lvlText w:val="(%1)"/>
      <w:lvlJc w:val="left"/>
      <w:pPr>
        <w:tabs>
          <w:tab w:val="num" w:pos="1440"/>
        </w:tabs>
        <w:ind w:left="1440" w:hanging="720"/>
      </w:pPr>
      <w:rPr>
        <w:rFonts w:ascii="Arial" w:hAnsi="Arial" w:hint="default"/>
        <w:b w:val="0"/>
        <w:i w:val="0"/>
        <w:sz w:val="24"/>
        <w:szCs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8" w15:restartNumberingAfterBreak="0">
    <w:nsid w:val="27D1349D"/>
    <w:multiLevelType w:val="hybridMultilevel"/>
    <w:tmpl w:val="58FA03EC"/>
    <w:lvl w:ilvl="0" w:tplc="CEC4C50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8075770"/>
    <w:multiLevelType w:val="hybridMultilevel"/>
    <w:tmpl w:val="737016E0"/>
    <w:lvl w:ilvl="0" w:tplc="8E885A8C">
      <w:start w:val="1"/>
      <w:numFmt w:val="lowerLetter"/>
      <w:lvlText w:val="(%1)"/>
      <w:lvlJc w:val="left"/>
      <w:pPr>
        <w:ind w:left="720" w:hanging="360"/>
      </w:pPr>
      <w:rPr>
        <w:rFonts w:ascii="Arial" w:eastAsia="Arial Unicode MS" w:hAnsi="Arial"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8393EC2"/>
    <w:multiLevelType w:val="multilevel"/>
    <w:tmpl w:val="CAB875BA"/>
    <w:lvl w:ilvl="0">
      <w:start w:val="1"/>
      <w:numFmt w:val="lowerLetter"/>
      <w:lvlText w:val="%1)"/>
      <w:lvlJc w:val="left"/>
      <w:pPr>
        <w:tabs>
          <w:tab w:val="num" w:pos="1211"/>
        </w:tabs>
        <w:ind w:left="1211" w:hanging="360"/>
      </w:pPr>
      <w:rPr>
        <w:rFonts w:hint="default"/>
        <w:sz w:val="23"/>
        <w:szCs w:val="23"/>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11" w15:restartNumberingAfterBreak="0">
    <w:nsid w:val="294A2E48"/>
    <w:multiLevelType w:val="hybridMultilevel"/>
    <w:tmpl w:val="3F4E133A"/>
    <w:lvl w:ilvl="0" w:tplc="8E885A8C">
      <w:start w:val="1"/>
      <w:numFmt w:val="lowerLetter"/>
      <w:lvlText w:val="(%1)"/>
      <w:lvlJc w:val="left"/>
      <w:pPr>
        <w:ind w:left="2160" w:hanging="360"/>
      </w:pPr>
      <w:rPr>
        <w:rFonts w:ascii="Arial" w:eastAsia="Arial Unicode MS" w:hAnsi="Arial" w:cs="Times New Roman"/>
        <w:b w:val="0"/>
      </w:rPr>
    </w:lvl>
    <w:lvl w:ilvl="1" w:tplc="8E885A8C">
      <w:start w:val="1"/>
      <w:numFmt w:val="lowerLetter"/>
      <w:lvlText w:val="(%2)"/>
      <w:lvlJc w:val="left"/>
      <w:pPr>
        <w:ind w:left="2880" w:hanging="360"/>
      </w:pPr>
      <w:rPr>
        <w:rFonts w:ascii="Arial" w:eastAsia="Arial Unicode MS" w:hAnsi="Arial" w:cs="Times New Roman"/>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294F06B4"/>
    <w:multiLevelType w:val="hybridMultilevel"/>
    <w:tmpl w:val="35487A38"/>
    <w:lvl w:ilvl="0" w:tplc="09A0A372">
      <w:start w:val="1"/>
      <w:numFmt w:val="lowerRoman"/>
      <w:lvlText w:val="%1)"/>
      <w:lvlJc w:val="right"/>
      <w:pPr>
        <w:ind w:left="1440" w:hanging="360"/>
      </w:pPr>
      <w:rPr>
        <w:rFonts w:hint="default"/>
        <w:b w:val="0"/>
        <w:i w:val="0"/>
        <w:sz w:val="23"/>
        <w:szCs w:val="23"/>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13" w15:restartNumberingAfterBreak="0">
    <w:nsid w:val="29E623DD"/>
    <w:multiLevelType w:val="multilevel"/>
    <w:tmpl w:val="0CB492CE"/>
    <w:lvl w:ilvl="0">
      <w:start w:val="1"/>
      <w:numFmt w:val="lowerLetter"/>
      <w:lvlText w:val="(%1)"/>
      <w:lvlJc w:val="left"/>
      <w:pPr>
        <w:tabs>
          <w:tab w:val="num" w:pos="720"/>
        </w:tabs>
        <w:ind w:left="720" w:hanging="360"/>
      </w:pPr>
      <w:rPr>
        <w:rFonts w:ascii="Arial" w:hAnsi="Arial" w:hint="default"/>
        <w:b w:val="0"/>
        <w:i w:val="0"/>
        <w:sz w:val="23"/>
        <w:szCs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A8D2DE6"/>
    <w:multiLevelType w:val="hybridMultilevel"/>
    <w:tmpl w:val="93104BA6"/>
    <w:lvl w:ilvl="0" w:tplc="9A7ADAD0">
      <w:start w:val="1"/>
      <w:numFmt w:val="decimal"/>
      <w:lvlText w:val="%1."/>
      <w:lvlJc w:val="left"/>
      <w:pPr>
        <w:ind w:left="540" w:hanging="360"/>
      </w:pPr>
      <w:rPr>
        <w:rFonts w:hint="default"/>
      </w:rPr>
    </w:lvl>
    <w:lvl w:ilvl="1" w:tplc="0C0C0019">
      <w:start w:val="1"/>
      <w:numFmt w:val="lowerLetter"/>
      <w:lvlText w:val="%2."/>
      <w:lvlJc w:val="left"/>
      <w:pPr>
        <w:ind w:left="1440" w:hanging="360"/>
      </w:pPr>
    </w:lvl>
    <w:lvl w:ilvl="2" w:tplc="C9C40D42">
      <w:start w:val="1"/>
      <w:numFmt w:val="lowerRoman"/>
      <w:lvlText w:val="(%3)"/>
      <w:lvlJc w:val="right"/>
      <w:pPr>
        <w:ind w:left="2160" w:hanging="180"/>
      </w:pPr>
      <w:rPr>
        <w:rFonts w:ascii="Arial" w:eastAsia="Times New Roman" w:hAnsi="Arial" w:cs="Arial"/>
      </w:rPr>
    </w:lvl>
    <w:lvl w:ilvl="3" w:tplc="5606AD8E">
      <w:start w:val="1"/>
      <w:numFmt w:val="lowerRoman"/>
      <w:lvlText w:val="(%4)"/>
      <w:lvlJc w:val="left"/>
      <w:pPr>
        <w:ind w:left="3240" w:hanging="720"/>
      </w:pPr>
      <w:rPr>
        <w:rFonts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5" w15:restartNumberingAfterBreak="0">
    <w:nsid w:val="2A9A1CB7"/>
    <w:multiLevelType w:val="hybridMultilevel"/>
    <w:tmpl w:val="C53AC746"/>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B453E42"/>
    <w:multiLevelType w:val="hybridMultilevel"/>
    <w:tmpl w:val="7862C6AE"/>
    <w:lvl w:ilvl="0" w:tplc="04090017">
      <w:start w:val="1"/>
      <w:numFmt w:val="lowerLetter"/>
      <w:lvlText w:val="%1)"/>
      <w:lvlJc w:val="left"/>
      <w:pPr>
        <w:ind w:left="720" w:hanging="360"/>
      </w:pPr>
      <w:rPr>
        <w:rFonts w:hint="default"/>
        <w:b w:val="0"/>
        <w:i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B5B6C04"/>
    <w:multiLevelType w:val="hybridMultilevel"/>
    <w:tmpl w:val="415016FE"/>
    <w:lvl w:ilvl="0" w:tplc="382ECF3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8" w15:restartNumberingAfterBreak="0">
    <w:nsid w:val="2B61715C"/>
    <w:multiLevelType w:val="hybridMultilevel"/>
    <w:tmpl w:val="8820D458"/>
    <w:lvl w:ilvl="0" w:tplc="97A870E6">
      <w:start w:val="1"/>
      <w:numFmt w:val="low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BFE77CD"/>
    <w:multiLevelType w:val="hybridMultilevel"/>
    <w:tmpl w:val="6EC020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2C2B3344"/>
    <w:multiLevelType w:val="hybridMultilevel"/>
    <w:tmpl w:val="97A076CE"/>
    <w:lvl w:ilvl="0" w:tplc="D95C24DC">
      <w:start w:val="1"/>
      <w:numFmt w:val="lowerLetter"/>
      <w:lvlText w:val="%1)"/>
      <w:lvlJc w:val="left"/>
      <w:pPr>
        <w:ind w:left="1305" w:hanging="630"/>
      </w:pPr>
      <w:rPr>
        <w:rFonts w:hint="default"/>
      </w:rPr>
    </w:lvl>
    <w:lvl w:ilvl="1" w:tplc="0C0C0019" w:tentative="1">
      <w:start w:val="1"/>
      <w:numFmt w:val="lowerLetter"/>
      <w:lvlText w:val="%2."/>
      <w:lvlJc w:val="left"/>
      <w:pPr>
        <w:ind w:left="1755" w:hanging="360"/>
      </w:pPr>
    </w:lvl>
    <w:lvl w:ilvl="2" w:tplc="0C0C001B" w:tentative="1">
      <w:start w:val="1"/>
      <w:numFmt w:val="lowerRoman"/>
      <w:lvlText w:val="%3."/>
      <w:lvlJc w:val="right"/>
      <w:pPr>
        <w:ind w:left="2475" w:hanging="180"/>
      </w:pPr>
    </w:lvl>
    <w:lvl w:ilvl="3" w:tplc="0C0C000F" w:tentative="1">
      <w:start w:val="1"/>
      <w:numFmt w:val="decimal"/>
      <w:lvlText w:val="%4."/>
      <w:lvlJc w:val="left"/>
      <w:pPr>
        <w:ind w:left="3195" w:hanging="360"/>
      </w:pPr>
    </w:lvl>
    <w:lvl w:ilvl="4" w:tplc="0C0C0019" w:tentative="1">
      <w:start w:val="1"/>
      <w:numFmt w:val="lowerLetter"/>
      <w:lvlText w:val="%5."/>
      <w:lvlJc w:val="left"/>
      <w:pPr>
        <w:ind w:left="3915" w:hanging="360"/>
      </w:pPr>
    </w:lvl>
    <w:lvl w:ilvl="5" w:tplc="0C0C001B" w:tentative="1">
      <w:start w:val="1"/>
      <w:numFmt w:val="lowerRoman"/>
      <w:lvlText w:val="%6."/>
      <w:lvlJc w:val="right"/>
      <w:pPr>
        <w:ind w:left="4635" w:hanging="180"/>
      </w:pPr>
    </w:lvl>
    <w:lvl w:ilvl="6" w:tplc="0C0C000F" w:tentative="1">
      <w:start w:val="1"/>
      <w:numFmt w:val="decimal"/>
      <w:lvlText w:val="%7."/>
      <w:lvlJc w:val="left"/>
      <w:pPr>
        <w:ind w:left="5355" w:hanging="360"/>
      </w:pPr>
    </w:lvl>
    <w:lvl w:ilvl="7" w:tplc="0C0C0019" w:tentative="1">
      <w:start w:val="1"/>
      <w:numFmt w:val="lowerLetter"/>
      <w:lvlText w:val="%8."/>
      <w:lvlJc w:val="left"/>
      <w:pPr>
        <w:ind w:left="6075" w:hanging="360"/>
      </w:pPr>
    </w:lvl>
    <w:lvl w:ilvl="8" w:tplc="0C0C001B" w:tentative="1">
      <w:start w:val="1"/>
      <w:numFmt w:val="lowerRoman"/>
      <w:lvlText w:val="%9."/>
      <w:lvlJc w:val="right"/>
      <w:pPr>
        <w:ind w:left="6795" w:hanging="180"/>
      </w:pPr>
    </w:lvl>
  </w:abstractNum>
  <w:abstractNum w:abstractNumId="121" w15:restartNumberingAfterBreak="0">
    <w:nsid w:val="2C335EAB"/>
    <w:multiLevelType w:val="hybridMultilevel"/>
    <w:tmpl w:val="F162F8A2"/>
    <w:lvl w:ilvl="0" w:tplc="8084E9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CE055AD"/>
    <w:multiLevelType w:val="hybridMultilevel"/>
    <w:tmpl w:val="0C8229EA"/>
    <w:lvl w:ilvl="0" w:tplc="CC18450C">
      <w:start w:val="1"/>
      <w:numFmt w:val="lowerLetter"/>
      <w:lvlText w:val="(%1)"/>
      <w:lvlJc w:val="left"/>
      <w:pPr>
        <w:ind w:left="1086" w:hanging="360"/>
      </w:pPr>
      <w:rPr>
        <w:rFonts w:ascii="Arial" w:hAnsi="Arial" w:hint="default"/>
        <w:b w:val="0"/>
        <w:i w:val="0"/>
        <w:sz w:val="20"/>
        <w:szCs w:val="20"/>
      </w:rPr>
    </w:lvl>
    <w:lvl w:ilvl="1" w:tplc="6B6EDF6C">
      <w:start w:val="1"/>
      <w:numFmt w:val="lowerLetter"/>
      <w:lvlText w:val="(%2)"/>
      <w:lvlJc w:val="left"/>
      <w:pPr>
        <w:ind w:left="1806" w:hanging="360"/>
      </w:pPr>
      <w:rPr>
        <w:rFonts w:ascii="Arial" w:hAnsi="Arial" w:hint="default"/>
        <w:b w:val="0"/>
        <w:i w:val="0"/>
        <w:sz w:val="23"/>
        <w:szCs w:val="23"/>
      </w:r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3" w15:restartNumberingAfterBreak="0">
    <w:nsid w:val="2D3509D7"/>
    <w:multiLevelType w:val="hybridMultilevel"/>
    <w:tmpl w:val="CE5420B4"/>
    <w:lvl w:ilvl="0" w:tplc="F6C6C34A">
      <w:start w:val="1"/>
      <w:numFmt w:val="lowerLetter"/>
      <w:lvlText w:val="(%1)"/>
      <w:lvlJc w:val="left"/>
      <w:pPr>
        <w:ind w:left="720" w:hanging="360"/>
      </w:pPr>
      <w:rPr>
        <w:rFonts w:ascii="Arial" w:hAnsi="Arial" w:hint="default"/>
        <w:b w:val="0"/>
        <w:i w:val="0"/>
        <w:sz w:val="23"/>
        <w:szCs w:val="23"/>
      </w:rPr>
    </w:lvl>
    <w:lvl w:ilvl="1" w:tplc="F6C6C34A">
      <w:start w:val="1"/>
      <w:numFmt w:val="lowerLetter"/>
      <w:lvlText w:val="(%2)"/>
      <w:lvlJc w:val="left"/>
      <w:pPr>
        <w:ind w:left="1440" w:hanging="360"/>
      </w:pPr>
      <w:rPr>
        <w:rFonts w:ascii="Arial" w:hAnsi="Arial"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D4032FD"/>
    <w:multiLevelType w:val="hybridMultilevel"/>
    <w:tmpl w:val="F45C228A"/>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17">
      <w:start w:val="1"/>
      <w:numFmt w:val="lowerLetter"/>
      <w:lvlText w:val="%2)"/>
      <w:lvlJc w:val="left"/>
      <w:pPr>
        <w:tabs>
          <w:tab w:val="num" w:pos="1440"/>
        </w:tabs>
        <w:ind w:left="1440" w:hanging="360"/>
      </w:pPr>
      <w:rPr>
        <w:rFonts w:hint="default"/>
        <w:b w:val="0"/>
        <w:i w:val="0"/>
        <w:sz w:val="23"/>
        <w:szCs w:val="23"/>
        <w:lang w:val="en-CA"/>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15:restartNumberingAfterBreak="0">
    <w:nsid w:val="2D90397B"/>
    <w:multiLevelType w:val="hybridMultilevel"/>
    <w:tmpl w:val="3EA81602"/>
    <w:lvl w:ilvl="0" w:tplc="04090017">
      <w:start w:val="1"/>
      <w:numFmt w:val="lowerLetter"/>
      <w:lvlText w:val="%1)"/>
      <w:lvlJc w:val="left"/>
      <w:pPr>
        <w:ind w:left="2880" w:hanging="720"/>
      </w:pPr>
      <w:rPr>
        <w:rFonts w:hint="default"/>
      </w:r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start w:val="1"/>
      <w:numFmt w:val="decimal"/>
      <w:lvlText w:val="%4."/>
      <w:lvlJc w:val="left"/>
      <w:pPr>
        <w:ind w:left="4680" w:hanging="360"/>
      </w:pPr>
    </w:lvl>
    <w:lvl w:ilvl="4" w:tplc="10090019">
      <w:start w:val="1"/>
      <w:numFmt w:val="lowerLetter"/>
      <w:lvlText w:val="%5."/>
      <w:lvlJc w:val="left"/>
      <w:pPr>
        <w:ind w:left="5400" w:hanging="360"/>
      </w:pPr>
    </w:lvl>
    <w:lvl w:ilvl="5" w:tplc="1009001B">
      <w:start w:val="1"/>
      <w:numFmt w:val="lowerRoman"/>
      <w:lvlText w:val="%6."/>
      <w:lvlJc w:val="right"/>
      <w:pPr>
        <w:ind w:left="6120" w:hanging="180"/>
      </w:pPr>
    </w:lvl>
    <w:lvl w:ilvl="6" w:tplc="1009000F">
      <w:start w:val="1"/>
      <w:numFmt w:val="decimal"/>
      <w:lvlText w:val="%7."/>
      <w:lvlJc w:val="left"/>
      <w:pPr>
        <w:ind w:left="6840" w:hanging="360"/>
      </w:pPr>
    </w:lvl>
    <w:lvl w:ilvl="7" w:tplc="10090019">
      <w:start w:val="1"/>
      <w:numFmt w:val="lowerLetter"/>
      <w:lvlText w:val="%8."/>
      <w:lvlJc w:val="left"/>
      <w:pPr>
        <w:ind w:left="7560" w:hanging="360"/>
      </w:pPr>
    </w:lvl>
    <w:lvl w:ilvl="8" w:tplc="1009001B">
      <w:start w:val="1"/>
      <w:numFmt w:val="lowerRoman"/>
      <w:lvlText w:val="%9."/>
      <w:lvlJc w:val="right"/>
      <w:pPr>
        <w:ind w:left="8280" w:hanging="180"/>
      </w:pPr>
    </w:lvl>
  </w:abstractNum>
  <w:abstractNum w:abstractNumId="126" w15:restartNumberingAfterBreak="0">
    <w:nsid w:val="2DC170C5"/>
    <w:multiLevelType w:val="hybridMultilevel"/>
    <w:tmpl w:val="A40C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7" w15:restartNumberingAfterBreak="0">
    <w:nsid w:val="2E553F64"/>
    <w:multiLevelType w:val="hybridMultilevel"/>
    <w:tmpl w:val="840E9C34"/>
    <w:lvl w:ilvl="0" w:tplc="10027AB4">
      <w:start w:val="1"/>
      <w:numFmt w:val="lowerLetter"/>
      <w:lvlText w:val="%1)"/>
      <w:lvlJc w:val="left"/>
      <w:pPr>
        <w:ind w:left="1440" w:hanging="360"/>
      </w:pPr>
      <w:rPr>
        <w:rFonts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8" w15:restartNumberingAfterBreak="0">
    <w:nsid w:val="2E6045FC"/>
    <w:multiLevelType w:val="hybridMultilevel"/>
    <w:tmpl w:val="247ABAEC"/>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29" w15:restartNumberingAfterBreak="0">
    <w:nsid w:val="2E91208C"/>
    <w:multiLevelType w:val="hybridMultilevel"/>
    <w:tmpl w:val="A2341F18"/>
    <w:lvl w:ilvl="0" w:tplc="EA92954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0" w15:restartNumberingAfterBreak="0">
    <w:nsid w:val="2ED96FC8"/>
    <w:multiLevelType w:val="hybridMultilevel"/>
    <w:tmpl w:val="6EC05D16"/>
    <w:lvl w:ilvl="0" w:tplc="E71CDD8E">
      <w:start w:val="1"/>
      <w:numFmt w:val="decimal"/>
      <w:lvlText w:val="%1."/>
      <w:lvlJc w:val="left"/>
      <w:pPr>
        <w:ind w:left="720" w:hanging="360"/>
      </w:pPr>
      <w:rPr>
        <w:rFonts w:ascii="Arial" w:hAnsi="Arial" w:cs="Aria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1" w15:restartNumberingAfterBreak="0">
    <w:nsid w:val="2F052169"/>
    <w:multiLevelType w:val="hybridMultilevel"/>
    <w:tmpl w:val="DBC23516"/>
    <w:lvl w:ilvl="0" w:tplc="EA929540">
      <w:start w:val="1"/>
      <w:numFmt w:val="lowerLetter"/>
      <w:lvlText w:val="%1)"/>
      <w:lvlJc w:val="left"/>
      <w:pPr>
        <w:ind w:left="720" w:hanging="360"/>
      </w:pPr>
      <w:rPr>
        <w:rFonts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2" w15:restartNumberingAfterBreak="0">
    <w:nsid w:val="2F0A5C3D"/>
    <w:multiLevelType w:val="hybridMultilevel"/>
    <w:tmpl w:val="ED102F16"/>
    <w:lvl w:ilvl="0" w:tplc="04090017">
      <w:start w:val="1"/>
      <w:numFmt w:val="lowerLetter"/>
      <w:lvlText w:val="%1)"/>
      <w:lvlJc w:val="left"/>
      <w:pPr>
        <w:ind w:left="663" w:hanging="360"/>
      </w:pPr>
      <w:rPr>
        <w:rFonts w:hint="default"/>
        <w:b w:val="0"/>
        <w:i w:val="0"/>
        <w:sz w:val="23"/>
        <w:szCs w:val="23"/>
      </w:rPr>
    </w:lvl>
    <w:lvl w:ilvl="1" w:tplc="10090019" w:tentative="1">
      <w:start w:val="1"/>
      <w:numFmt w:val="lowerLetter"/>
      <w:lvlText w:val="%2."/>
      <w:lvlJc w:val="left"/>
      <w:pPr>
        <w:ind w:left="1383" w:hanging="360"/>
      </w:pPr>
    </w:lvl>
    <w:lvl w:ilvl="2" w:tplc="1009001B" w:tentative="1">
      <w:start w:val="1"/>
      <w:numFmt w:val="lowerRoman"/>
      <w:lvlText w:val="%3."/>
      <w:lvlJc w:val="right"/>
      <w:pPr>
        <w:ind w:left="2103" w:hanging="180"/>
      </w:pPr>
    </w:lvl>
    <w:lvl w:ilvl="3" w:tplc="1009000F" w:tentative="1">
      <w:start w:val="1"/>
      <w:numFmt w:val="decimal"/>
      <w:lvlText w:val="%4."/>
      <w:lvlJc w:val="left"/>
      <w:pPr>
        <w:ind w:left="2823" w:hanging="360"/>
      </w:pPr>
    </w:lvl>
    <w:lvl w:ilvl="4" w:tplc="10090019" w:tentative="1">
      <w:start w:val="1"/>
      <w:numFmt w:val="lowerLetter"/>
      <w:lvlText w:val="%5."/>
      <w:lvlJc w:val="left"/>
      <w:pPr>
        <w:ind w:left="3543" w:hanging="360"/>
      </w:pPr>
    </w:lvl>
    <w:lvl w:ilvl="5" w:tplc="1009001B" w:tentative="1">
      <w:start w:val="1"/>
      <w:numFmt w:val="lowerRoman"/>
      <w:lvlText w:val="%6."/>
      <w:lvlJc w:val="right"/>
      <w:pPr>
        <w:ind w:left="4263" w:hanging="180"/>
      </w:pPr>
    </w:lvl>
    <w:lvl w:ilvl="6" w:tplc="1009000F" w:tentative="1">
      <w:start w:val="1"/>
      <w:numFmt w:val="decimal"/>
      <w:lvlText w:val="%7."/>
      <w:lvlJc w:val="left"/>
      <w:pPr>
        <w:ind w:left="4983" w:hanging="360"/>
      </w:pPr>
    </w:lvl>
    <w:lvl w:ilvl="7" w:tplc="10090019" w:tentative="1">
      <w:start w:val="1"/>
      <w:numFmt w:val="lowerLetter"/>
      <w:lvlText w:val="%8."/>
      <w:lvlJc w:val="left"/>
      <w:pPr>
        <w:ind w:left="5703" w:hanging="360"/>
      </w:pPr>
    </w:lvl>
    <w:lvl w:ilvl="8" w:tplc="1009001B" w:tentative="1">
      <w:start w:val="1"/>
      <w:numFmt w:val="lowerRoman"/>
      <w:lvlText w:val="%9."/>
      <w:lvlJc w:val="right"/>
      <w:pPr>
        <w:ind w:left="6423" w:hanging="180"/>
      </w:pPr>
    </w:lvl>
  </w:abstractNum>
  <w:abstractNum w:abstractNumId="133" w15:restartNumberingAfterBreak="0">
    <w:nsid w:val="309B75A8"/>
    <w:multiLevelType w:val="hybridMultilevel"/>
    <w:tmpl w:val="7EDC4DC4"/>
    <w:lvl w:ilvl="0" w:tplc="EA929540">
      <w:start w:val="1"/>
      <w:numFmt w:val="lowerLetter"/>
      <w:lvlText w:val="%1)"/>
      <w:lvlJc w:val="left"/>
      <w:pPr>
        <w:ind w:left="624" w:hanging="360"/>
      </w:pPr>
      <w:rPr>
        <w:rFonts w:hint="default"/>
      </w:rPr>
    </w:lvl>
    <w:lvl w:ilvl="1" w:tplc="10090019" w:tentative="1">
      <w:start w:val="1"/>
      <w:numFmt w:val="lowerLetter"/>
      <w:lvlText w:val="%2."/>
      <w:lvlJc w:val="left"/>
      <w:pPr>
        <w:ind w:left="1344" w:hanging="360"/>
      </w:pPr>
    </w:lvl>
    <w:lvl w:ilvl="2" w:tplc="1009001B" w:tentative="1">
      <w:start w:val="1"/>
      <w:numFmt w:val="lowerRoman"/>
      <w:lvlText w:val="%3."/>
      <w:lvlJc w:val="right"/>
      <w:pPr>
        <w:ind w:left="2064" w:hanging="180"/>
      </w:pPr>
    </w:lvl>
    <w:lvl w:ilvl="3" w:tplc="1009000F" w:tentative="1">
      <w:start w:val="1"/>
      <w:numFmt w:val="decimal"/>
      <w:lvlText w:val="%4."/>
      <w:lvlJc w:val="left"/>
      <w:pPr>
        <w:ind w:left="2784" w:hanging="360"/>
      </w:pPr>
    </w:lvl>
    <w:lvl w:ilvl="4" w:tplc="10090019" w:tentative="1">
      <w:start w:val="1"/>
      <w:numFmt w:val="lowerLetter"/>
      <w:lvlText w:val="%5."/>
      <w:lvlJc w:val="left"/>
      <w:pPr>
        <w:ind w:left="3504" w:hanging="360"/>
      </w:pPr>
    </w:lvl>
    <w:lvl w:ilvl="5" w:tplc="1009001B" w:tentative="1">
      <w:start w:val="1"/>
      <w:numFmt w:val="lowerRoman"/>
      <w:lvlText w:val="%6."/>
      <w:lvlJc w:val="right"/>
      <w:pPr>
        <w:ind w:left="4224" w:hanging="180"/>
      </w:pPr>
    </w:lvl>
    <w:lvl w:ilvl="6" w:tplc="1009000F" w:tentative="1">
      <w:start w:val="1"/>
      <w:numFmt w:val="decimal"/>
      <w:lvlText w:val="%7."/>
      <w:lvlJc w:val="left"/>
      <w:pPr>
        <w:ind w:left="4944" w:hanging="360"/>
      </w:pPr>
    </w:lvl>
    <w:lvl w:ilvl="7" w:tplc="10090019" w:tentative="1">
      <w:start w:val="1"/>
      <w:numFmt w:val="lowerLetter"/>
      <w:lvlText w:val="%8."/>
      <w:lvlJc w:val="left"/>
      <w:pPr>
        <w:ind w:left="5664" w:hanging="360"/>
      </w:pPr>
    </w:lvl>
    <w:lvl w:ilvl="8" w:tplc="1009001B" w:tentative="1">
      <w:start w:val="1"/>
      <w:numFmt w:val="lowerRoman"/>
      <w:lvlText w:val="%9."/>
      <w:lvlJc w:val="right"/>
      <w:pPr>
        <w:ind w:left="6384" w:hanging="180"/>
      </w:pPr>
    </w:lvl>
  </w:abstractNum>
  <w:abstractNum w:abstractNumId="134" w15:restartNumberingAfterBreak="0">
    <w:nsid w:val="31E427E3"/>
    <w:multiLevelType w:val="hybridMultilevel"/>
    <w:tmpl w:val="CD6AD040"/>
    <w:lvl w:ilvl="0" w:tplc="9C40C3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35" w15:restartNumberingAfterBreak="0">
    <w:nsid w:val="31FE0A5A"/>
    <w:multiLevelType w:val="hybridMultilevel"/>
    <w:tmpl w:val="73307632"/>
    <w:lvl w:ilvl="0" w:tplc="04090017">
      <w:start w:val="1"/>
      <w:numFmt w:val="lowerLetter"/>
      <w:lvlText w:val="%1)"/>
      <w:lvlJc w:val="left"/>
      <w:pPr>
        <w:ind w:left="720" w:hanging="360"/>
      </w:pPr>
      <w:rPr>
        <w:rFonts w:hint="default"/>
        <w:b w:val="0"/>
        <w:i w:val="0"/>
        <w:sz w:val="23"/>
        <w:szCs w:val="2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6" w15:restartNumberingAfterBreak="0">
    <w:nsid w:val="32687899"/>
    <w:multiLevelType w:val="hybridMultilevel"/>
    <w:tmpl w:val="E6C80B76"/>
    <w:lvl w:ilvl="0" w:tplc="EA929540">
      <w:start w:val="1"/>
      <w:numFmt w:val="lowerLetter"/>
      <w:lvlText w:val="%1)"/>
      <w:lvlJc w:val="left"/>
      <w:pPr>
        <w:ind w:left="1429" w:hanging="360"/>
      </w:pPr>
      <w:rPr>
        <w:rFonts w:hint="default"/>
        <w:b w:val="0"/>
        <w:i w:val="0"/>
        <w:sz w:val="22"/>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37" w15:restartNumberingAfterBreak="0">
    <w:nsid w:val="32D41FF6"/>
    <w:multiLevelType w:val="hybridMultilevel"/>
    <w:tmpl w:val="C8A4F51E"/>
    <w:lvl w:ilvl="0" w:tplc="09A0A372">
      <w:start w:val="1"/>
      <w:numFmt w:val="lowerRoman"/>
      <w:lvlText w:val="%1)"/>
      <w:lvlJc w:val="right"/>
      <w:pPr>
        <w:ind w:left="1440" w:hanging="360"/>
      </w:pPr>
      <w:rPr>
        <w:rFonts w:hint="default"/>
        <w:b w:val="0"/>
        <w:i w:val="0"/>
        <w:sz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8" w15:restartNumberingAfterBreak="0">
    <w:nsid w:val="330928E2"/>
    <w:multiLevelType w:val="hybridMultilevel"/>
    <w:tmpl w:val="BCB2A6D2"/>
    <w:lvl w:ilvl="0" w:tplc="EA929540">
      <w:start w:val="1"/>
      <w:numFmt w:val="lowerLetter"/>
      <w:lvlText w:val="%1)"/>
      <w:lvlJc w:val="left"/>
      <w:pPr>
        <w:ind w:left="720" w:hanging="360"/>
      </w:pPr>
      <w:rPr>
        <w:rFonts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39" w15:restartNumberingAfterBreak="0">
    <w:nsid w:val="34294709"/>
    <w:multiLevelType w:val="hybridMultilevel"/>
    <w:tmpl w:val="AD729CE0"/>
    <w:lvl w:ilvl="0" w:tplc="4D82F03A">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344D24DD"/>
    <w:multiLevelType w:val="hybridMultilevel"/>
    <w:tmpl w:val="F2C888EC"/>
    <w:lvl w:ilvl="0" w:tplc="AF26BB28">
      <w:start w:val="8"/>
      <w:numFmt w:val="lowerLetter"/>
      <w:lvlText w:val="%1)"/>
      <w:lvlJc w:val="left"/>
      <w:pPr>
        <w:ind w:left="1429" w:hanging="360"/>
      </w:pPr>
      <w:rPr>
        <w:rFonts w:hint="default"/>
        <w:b w:val="0"/>
        <w:i w:val="0"/>
        <w:sz w:val="23"/>
        <w:szCs w:val="23"/>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1" w15:restartNumberingAfterBreak="0">
    <w:nsid w:val="34804A7F"/>
    <w:multiLevelType w:val="hybridMultilevel"/>
    <w:tmpl w:val="A66638D2"/>
    <w:lvl w:ilvl="0" w:tplc="04090017">
      <w:start w:val="1"/>
      <w:numFmt w:val="lowerLetter"/>
      <w:lvlText w:val="%1)"/>
      <w:lvlJc w:val="left"/>
      <w:pPr>
        <w:ind w:left="1440" w:hanging="720"/>
      </w:pPr>
      <w:rPr>
        <w:rFonts w:hint="default"/>
        <w:b w:val="0"/>
        <w:i w:val="0"/>
        <w:sz w:val="23"/>
        <w:szCs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350968D5"/>
    <w:multiLevelType w:val="hybridMultilevel"/>
    <w:tmpl w:val="B2CEFEA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3" w15:restartNumberingAfterBreak="0">
    <w:nsid w:val="353C7FB9"/>
    <w:multiLevelType w:val="multilevel"/>
    <w:tmpl w:val="56A0C3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4" w15:restartNumberingAfterBreak="0">
    <w:nsid w:val="35553E5D"/>
    <w:multiLevelType w:val="hybridMultilevel"/>
    <w:tmpl w:val="1ECA89A0"/>
    <w:lvl w:ilvl="0" w:tplc="04090017">
      <w:start w:val="1"/>
      <w:numFmt w:val="lowerLetter"/>
      <w:lvlText w:val="%1)"/>
      <w:lvlJc w:val="left"/>
      <w:pPr>
        <w:ind w:left="1080" w:hanging="360"/>
      </w:pPr>
      <w:rPr>
        <w:rFonts w:hint="default"/>
        <w:b w:val="0"/>
        <w:i w:val="0"/>
        <w:sz w:val="23"/>
        <w:szCs w:val="23"/>
      </w:rPr>
    </w:lvl>
    <w:lvl w:ilvl="1" w:tplc="330A5356">
      <w:start w:val="1"/>
      <w:numFmt w:val="lowerLetter"/>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5" w15:restartNumberingAfterBreak="0">
    <w:nsid w:val="3577537F"/>
    <w:multiLevelType w:val="hybridMultilevel"/>
    <w:tmpl w:val="0298E87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6" w15:restartNumberingAfterBreak="0">
    <w:nsid w:val="358C6CA9"/>
    <w:multiLevelType w:val="hybridMultilevel"/>
    <w:tmpl w:val="3F9EEA5C"/>
    <w:lvl w:ilvl="0" w:tplc="520644E6">
      <w:start w:val="1"/>
      <w:numFmt w:val="decimal"/>
      <w:lvlText w:val="%1."/>
      <w:lvlJc w:val="left"/>
      <w:pPr>
        <w:ind w:left="720" w:hanging="360"/>
      </w:pPr>
      <w:rPr>
        <w:rFonts w:ascii="Arial Bold" w:hAnsi="Arial Bold" w:hint="default"/>
        <w:b/>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7" w15:restartNumberingAfterBreak="0">
    <w:nsid w:val="35C201DF"/>
    <w:multiLevelType w:val="hybridMultilevel"/>
    <w:tmpl w:val="D53E5FBC"/>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48" w15:restartNumberingAfterBreak="0">
    <w:nsid w:val="35E55C94"/>
    <w:multiLevelType w:val="hybridMultilevel"/>
    <w:tmpl w:val="FCD03B50"/>
    <w:lvl w:ilvl="0" w:tplc="09A0A372">
      <w:start w:val="1"/>
      <w:numFmt w:val="lowerRoman"/>
      <w:lvlText w:val="%1)"/>
      <w:lvlJc w:val="right"/>
      <w:pPr>
        <w:ind w:left="1080" w:hanging="360"/>
      </w:pPr>
      <w:rPr>
        <w:rFonts w:hint="default"/>
        <w:b w:val="0"/>
        <w:bCs w:val="0"/>
        <w:i w:val="0"/>
        <w:iCs w:val="0"/>
        <w:caps w:val="0"/>
        <w:strike w:val="0"/>
        <w:dstrike w:val="0"/>
        <w:vanish w:val="0"/>
        <w:webHidden w:val="0"/>
        <w:color w:val="000000"/>
        <w:sz w:val="23"/>
        <w:szCs w:val="24"/>
        <w:u w:val="none"/>
        <w:effect w:val="none"/>
        <w:specVanish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49" w15:restartNumberingAfterBreak="0">
    <w:nsid w:val="367F65CE"/>
    <w:multiLevelType w:val="multilevel"/>
    <w:tmpl w:val="9352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6A767D2"/>
    <w:multiLevelType w:val="hybridMultilevel"/>
    <w:tmpl w:val="2A02DC6A"/>
    <w:lvl w:ilvl="0" w:tplc="4AFC110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1" w15:restartNumberingAfterBreak="0">
    <w:nsid w:val="36AE7932"/>
    <w:multiLevelType w:val="hybridMultilevel"/>
    <w:tmpl w:val="F81CCEAE"/>
    <w:lvl w:ilvl="0" w:tplc="C68C6CAC">
      <w:start w:val="1"/>
      <w:numFmt w:val="decimal"/>
      <w:lvlText w:val="%1."/>
      <w:lvlJc w:val="left"/>
      <w:pPr>
        <w:ind w:left="1080" w:hanging="720"/>
      </w:pPr>
      <w:rPr>
        <w:rFonts w:hint="default"/>
      </w:rPr>
    </w:lvl>
    <w:lvl w:ilvl="1" w:tplc="A2A2B594">
      <w:start w:val="1"/>
      <w:numFmt w:val="lowerLetter"/>
      <w:lvlText w:val="%2)"/>
      <w:lvlJc w:val="left"/>
      <w:pPr>
        <w:ind w:left="1440" w:hanging="360"/>
      </w:pPr>
      <w:rPr>
        <w:rFonts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1D1048"/>
    <w:multiLevelType w:val="hybridMultilevel"/>
    <w:tmpl w:val="1C008D8E"/>
    <w:lvl w:ilvl="0" w:tplc="04090017">
      <w:start w:val="1"/>
      <w:numFmt w:val="lowerLetter"/>
      <w:lvlText w:val="%1)"/>
      <w:lvlJc w:val="left"/>
      <w:pPr>
        <w:ind w:left="1440" w:hanging="360"/>
      </w:pPr>
      <w:rPr>
        <w:rFonts w:hint="default"/>
        <w:b w:val="0"/>
        <w:i w:val="0"/>
        <w:sz w:val="23"/>
        <w:szCs w:val="23"/>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3" w15:restartNumberingAfterBreak="0">
    <w:nsid w:val="372C4AA5"/>
    <w:multiLevelType w:val="hybridMultilevel"/>
    <w:tmpl w:val="EF4AAFB8"/>
    <w:lvl w:ilvl="0" w:tplc="04090017">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37BA1221"/>
    <w:multiLevelType w:val="hybridMultilevel"/>
    <w:tmpl w:val="53766A7A"/>
    <w:lvl w:ilvl="0" w:tplc="09A0A372">
      <w:start w:val="1"/>
      <w:numFmt w:val="lowerRoman"/>
      <w:lvlText w:val="%1)"/>
      <w:lvlJc w:val="right"/>
      <w:pPr>
        <w:ind w:left="786" w:hanging="360"/>
      </w:pPr>
      <w:rPr>
        <w:rFonts w:hint="default"/>
        <w:b w:val="0"/>
        <w:i w:val="0"/>
        <w:sz w:val="23"/>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55" w15:restartNumberingAfterBreak="0">
    <w:nsid w:val="385C4F57"/>
    <w:multiLevelType w:val="hybridMultilevel"/>
    <w:tmpl w:val="D7B260E4"/>
    <w:lvl w:ilvl="0" w:tplc="09A0A372">
      <w:start w:val="1"/>
      <w:numFmt w:val="lowerRoman"/>
      <w:lvlText w:val="%1)"/>
      <w:lvlJc w:val="right"/>
      <w:pPr>
        <w:ind w:left="1440" w:hanging="360"/>
      </w:pPr>
      <w:rPr>
        <w:rFonts w:hint="default"/>
        <w:b w:val="0"/>
        <w:i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8B39F4"/>
    <w:multiLevelType w:val="hybridMultilevel"/>
    <w:tmpl w:val="2D1A869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7" w15:restartNumberingAfterBreak="0">
    <w:nsid w:val="39B45CDC"/>
    <w:multiLevelType w:val="hybridMultilevel"/>
    <w:tmpl w:val="A28432BC"/>
    <w:lvl w:ilvl="0" w:tplc="04090017">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8" w15:restartNumberingAfterBreak="0">
    <w:nsid w:val="3A074D22"/>
    <w:multiLevelType w:val="multilevel"/>
    <w:tmpl w:val="65027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3A0E7C2D"/>
    <w:multiLevelType w:val="hybridMultilevel"/>
    <w:tmpl w:val="29980D5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0" w15:restartNumberingAfterBreak="0">
    <w:nsid w:val="3A7D030F"/>
    <w:multiLevelType w:val="hybridMultilevel"/>
    <w:tmpl w:val="4FBA23EC"/>
    <w:lvl w:ilvl="0" w:tplc="6BC49CE4">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1" w15:restartNumberingAfterBreak="0">
    <w:nsid w:val="3A852E80"/>
    <w:multiLevelType w:val="hybridMultilevel"/>
    <w:tmpl w:val="277A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AD8418C"/>
    <w:multiLevelType w:val="multilevel"/>
    <w:tmpl w:val="AB36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AED6689"/>
    <w:multiLevelType w:val="hybridMultilevel"/>
    <w:tmpl w:val="ADB0C35A"/>
    <w:lvl w:ilvl="0" w:tplc="EA929540">
      <w:start w:val="1"/>
      <w:numFmt w:val="lowerLetter"/>
      <w:lvlText w:val="%1)"/>
      <w:lvlJc w:val="left"/>
      <w:pPr>
        <w:ind w:left="720" w:hanging="360"/>
      </w:pPr>
      <w:rPr>
        <w:rFonts w:hint="default"/>
      </w:rPr>
    </w:lvl>
    <w:lvl w:ilvl="1" w:tplc="9886F49E">
      <w:start w:val="1"/>
      <w:numFmt w:val="lowerLetter"/>
      <w:lvlText w:val="%2)"/>
      <w:lvlJc w:val="left"/>
      <w:pPr>
        <w:ind w:left="1440" w:hanging="360"/>
      </w:pPr>
      <w:rPr>
        <w:rFonts w:hint="default"/>
        <w:b w:val="0"/>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B1D050B"/>
    <w:multiLevelType w:val="hybridMultilevel"/>
    <w:tmpl w:val="010A5A90"/>
    <w:lvl w:ilvl="0" w:tplc="09A0A372">
      <w:start w:val="1"/>
      <w:numFmt w:val="lowerRoman"/>
      <w:lvlText w:val="%1)"/>
      <w:lvlJc w:val="right"/>
      <w:pPr>
        <w:ind w:left="720" w:hanging="360"/>
      </w:pPr>
      <w:rPr>
        <w:rFonts w:hint="default"/>
        <w:b w:val="0"/>
        <w:i w:val="0"/>
        <w:sz w:val="23"/>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B2535BB"/>
    <w:multiLevelType w:val="hybridMultilevel"/>
    <w:tmpl w:val="F892C20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6" w15:restartNumberingAfterBreak="0">
    <w:nsid w:val="3B457315"/>
    <w:multiLevelType w:val="hybridMultilevel"/>
    <w:tmpl w:val="4132901C"/>
    <w:lvl w:ilvl="0" w:tplc="02583FEC">
      <w:start w:val="1"/>
      <w:numFmt w:val="lowerLetter"/>
      <w:lvlText w:val="%1)"/>
      <w:lvlJc w:val="left"/>
      <w:pPr>
        <w:ind w:left="1428" w:hanging="720"/>
      </w:pPr>
      <w:rPr>
        <w:rFonts w:hint="default"/>
        <w:b w:val="0"/>
        <w:i w:val="0"/>
        <w:sz w:val="23"/>
        <w:szCs w:val="23"/>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7" w15:restartNumberingAfterBreak="0">
    <w:nsid w:val="3BB70908"/>
    <w:multiLevelType w:val="hybridMultilevel"/>
    <w:tmpl w:val="2EFCE15A"/>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3C5722B5"/>
    <w:multiLevelType w:val="hybridMultilevel"/>
    <w:tmpl w:val="40125CC6"/>
    <w:lvl w:ilvl="0" w:tplc="A2A2B594">
      <w:start w:val="1"/>
      <w:numFmt w:val="lowerLetter"/>
      <w:lvlText w:val="%1)"/>
      <w:lvlJc w:val="left"/>
      <w:pPr>
        <w:ind w:left="720" w:hanging="360"/>
      </w:pPr>
      <w:rPr>
        <w:rFonts w:hint="default"/>
        <w:b w:val="0"/>
        <w:i w:val="0"/>
        <w:sz w:val="23"/>
        <w:szCs w:val="23"/>
      </w:rPr>
    </w:lvl>
    <w:lvl w:ilvl="1" w:tplc="399A16F8">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9" w15:restartNumberingAfterBreak="0">
    <w:nsid w:val="3C942C0C"/>
    <w:multiLevelType w:val="hybridMultilevel"/>
    <w:tmpl w:val="DBC0DBA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CA844BE"/>
    <w:multiLevelType w:val="hybridMultilevel"/>
    <w:tmpl w:val="4052FA80"/>
    <w:lvl w:ilvl="0" w:tplc="04090017">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1" w15:restartNumberingAfterBreak="0">
    <w:nsid w:val="3DA52DDF"/>
    <w:multiLevelType w:val="multilevel"/>
    <w:tmpl w:val="73B205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3E162583"/>
    <w:multiLevelType w:val="hybridMultilevel"/>
    <w:tmpl w:val="F30CB6FE"/>
    <w:lvl w:ilvl="0" w:tplc="04090017">
      <w:start w:val="1"/>
      <w:numFmt w:val="lowerLetter"/>
      <w:lvlText w:val="%1)"/>
      <w:lvlJc w:val="left"/>
      <w:pPr>
        <w:ind w:left="912" w:hanging="360"/>
      </w:pPr>
      <w:rPr>
        <w:rFonts w:hint="default"/>
        <w:b w:val="0"/>
        <w:i w:val="0"/>
        <w:sz w:val="23"/>
        <w:szCs w:val="23"/>
      </w:rPr>
    </w:lvl>
    <w:lvl w:ilvl="1" w:tplc="10090003" w:tentative="1">
      <w:start w:val="1"/>
      <w:numFmt w:val="bullet"/>
      <w:lvlText w:val="o"/>
      <w:lvlJc w:val="left"/>
      <w:pPr>
        <w:ind w:left="1632" w:hanging="360"/>
      </w:pPr>
      <w:rPr>
        <w:rFonts w:ascii="Courier New" w:hAnsi="Courier New" w:cs="Courier New" w:hint="default"/>
      </w:rPr>
    </w:lvl>
    <w:lvl w:ilvl="2" w:tplc="10090005" w:tentative="1">
      <w:start w:val="1"/>
      <w:numFmt w:val="bullet"/>
      <w:lvlText w:val=""/>
      <w:lvlJc w:val="left"/>
      <w:pPr>
        <w:ind w:left="2352" w:hanging="360"/>
      </w:pPr>
      <w:rPr>
        <w:rFonts w:ascii="Wingdings" w:hAnsi="Wingdings" w:hint="default"/>
      </w:rPr>
    </w:lvl>
    <w:lvl w:ilvl="3" w:tplc="10090001" w:tentative="1">
      <w:start w:val="1"/>
      <w:numFmt w:val="bullet"/>
      <w:lvlText w:val=""/>
      <w:lvlJc w:val="left"/>
      <w:pPr>
        <w:ind w:left="3072" w:hanging="360"/>
      </w:pPr>
      <w:rPr>
        <w:rFonts w:ascii="Symbol" w:hAnsi="Symbol" w:hint="default"/>
      </w:rPr>
    </w:lvl>
    <w:lvl w:ilvl="4" w:tplc="10090003" w:tentative="1">
      <w:start w:val="1"/>
      <w:numFmt w:val="bullet"/>
      <w:lvlText w:val="o"/>
      <w:lvlJc w:val="left"/>
      <w:pPr>
        <w:ind w:left="3792" w:hanging="360"/>
      </w:pPr>
      <w:rPr>
        <w:rFonts w:ascii="Courier New" w:hAnsi="Courier New" w:cs="Courier New" w:hint="default"/>
      </w:rPr>
    </w:lvl>
    <w:lvl w:ilvl="5" w:tplc="10090005" w:tentative="1">
      <w:start w:val="1"/>
      <w:numFmt w:val="bullet"/>
      <w:lvlText w:val=""/>
      <w:lvlJc w:val="left"/>
      <w:pPr>
        <w:ind w:left="4512" w:hanging="360"/>
      </w:pPr>
      <w:rPr>
        <w:rFonts w:ascii="Wingdings" w:hAnsi="Wingdings" w:hint="default"/>
      </w:rPr>
    </w:lvl>
    <w:lvl w:ilvl="6" w:tplc="10090001" w:tentative="1">
      <w:start w:val="1"/>
      <w:numFmt w:val="bullet"/>
      <w:lvlText w:val=""/>
      <w:lvlJc w:val="left"/>
      <w:pPr>
        <w:ind w:left="5232" w:hanging="360"/>
      </w:pPr>
      <w:rPr>
        <w:rFonts w:ascii="Symbol" w:hAnsi="Symbol" w:hint="default"/>
      </w:rPr>
    </w:lvl>
    <w:lvl w:ilvl="7" w:tplc="10090003" w:tentative="1">
      <w:start w:val="1"/>
      <w:numFmt w:val="bullet"/>
      <w:lvlText w:val="o"/>
      <w:lvlJc w:val="left"/>
      <w:pPr>
        <w:ind w:left="5952" w:hanging="360"/>
      </w:pPr>
      <w:rPr>
        <w:rFonts w:ascii="Courier New" w:hAnsi="Courier New" w:cs="Courier New" w:hint="default"/>
      </w:rPr>
    </w:lvl>
    <w:lvl w:ilvl="8" w:tplc="10090005" w:tentative="1">
      <w:start w:val="1"/>
      <w:numFmt w:val="bullet"/>
      <w:lvlText w:val=""/>
      <w:lvlJc w:val="left"/>
      <w:pPr>
        <w:ind w:left="6672" w:hanging="360"/>
      </w:pPr>
      <w:rPr>
        <w:rFonts w:ascii="Wingdings" w:hAnsi="Wingdings" w:hint="default"/>
      </w:rPr>
    </w:lvl>
  </w:abstractNum>
  <w:abstractNum w:abstractNumId="173" w15:restartNumberingAfterBreak="0">
    <w:nsid w:val="3E78527C"/>
    <w:multiLevelType w:val="hybridMultilevel"/>
    <w:tmpl w:val="26D4EC48"/>
    <w:lvl w:ilvl="0" w:tplc="3F74D7CC">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4" w15:restartNumberingAfterBreak="0">
    <w:nsid w:val="3E7B2794"/>
    <w:multiLevelType w:val="hybridMultilevel"/>
    <w:tmpl w:val="7A92D166"/>
    <w:lvl w:ilvl="0" w:tplc="DD161148">
      <w:start w:val="1"/>
      <w:numFmt w:val="lowerLetter"/>
      <w:lvlText w:val="%1)"/>
      <w:lvlJc w:val="left"/>
      <w:pPr>
        <w:ind w:left="1440" w:hanging="360"/>
      </w:pPr>
      <w:rPr>
        <w:rFonts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5" w15:restartNumberingAfterBreak="0">
    <w:nsid w:val="3EC137A4"/>
    <w:multiLevelType w:val="multilevel"/>
    <w:tmpl w:val="80C8FA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40430E5B"/>
    <w:multiLevelType w:val="hybridMultilevel"/>
    <w:tmpl w:val="D4E4AADC"/>
    <w:lvl w:ilvl="0" w:tplc="CC18450C">
      <w:start w:val="1"/>
      <w:numFmt w:val="lowerLetter"/>
      <w:lvlText w:val="(%1)"/>
      <w:lvlJc w:val="left"/>
      <w:pPr>
        <w:ind w:left="1086" w:hanging="360"/>
      </w:pPr>
      <w:rPr>
        <w:rFonts w:ascii="Arial" w:hAnsi="Arial" w:hint="default"/>
        <w:b w:val="0"/>
        <w:i w:val="0"/>
        <w:sz w:val="20"/>
        <w:szCs w:val="20"/>
      </w:rPr>
    </w:lvl>
    <w:lvl w:ilvl="1" w:tplc="40B4B598">
      <w:start w:val="1"/>
      <w:numFmt w:val="lowerLetter"/>
      <w:lvlText w:val="(%2)"/>
      <w:lvlJc w:val="left"/>
      <w:pPr>
        <w:ind w:left="1806" w:hanging="360"/>
      </w:pPr>
      <w:rPr>
        <w:rFonts w:ascii="Arial" w:hAnsi="Arial" w:hint="default"/>
        <w:b w:val="0"/>
        <w:i w:val="0"/>
        <w:sz w:val="23"/>
        <w:szCs w:val="23"/>
      </w:r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7" w15:restartNumberingAfterBreak="0">
    <w:nsid w:val="409547E1"/>
    <w:multiLevelType w:val="multilevel"/>
    <w:tmpl w:val="A26A4C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40A23FD8"/>
    <w:multiLevelType w:val="multilevel"/>
    <w:tmpl w:val="22903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1D3397"/>
    <w:multiLevelType w:val="hybridMultilevel"/>
    <w:tmpl w:val="B8B8120A"/>
    <w:lvl w:ilvl="0" w:tplc="04090017">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1580E8D"/>
    <w:multiLevelType w:val="hybridMultilevel"/>
    <w:tmpl w:val="269C865A"/>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1" w15:restartNumberingAfterBreak="0">
    <w:nsid w:val="41742F51"/>
    <w:multiLevelType w:val="hybridMultilevel"/>
    <w:tmpl w:val="3266B9AA"/>
    <w:lvl w:ilvl="0" w:tplc="CC18450C">
      <w:start w:val="1"/>
      <w:numFmt w:val="lowerLetter"/>
      <w:lvlText w:val="(%1)"/>
      <w:lvlJc w:val="left"/>
      <w:pPr>
        <w:ind w:left="1086" w:hanging="360"/>
      </w:pPr>
      <w:rPr>
        <w:rFonts w:ascii="Arial" w:hAnsi="Arial" w:hint="default"/>
        <w:b w:val="0"/>
        <w:i w:val="0"/>
        <w:sz w:val="20"/>
        <w:szCs w:val="20"/>
      </w:rPr>
    </w:lvl>
    <w:lvl w:ilvl="1" w:tplc="50C2BAF6">
      <w:start w:val="1"/>
      <w:numFmt w:val="lowerLetter"/>
      <w:lvlText w:val="(%2)"/>
      <w:lvlJc w:val="left"/>
      <w:pPr>
        <w:ind w:left="1806" w:hanging="360"/>
      </w:pPr>
      <w:rPr>
        <w:rFonts w:ascii="Arial" w:hAnsi="Arial" w:hint="default"/>
        <w:b w:val="0"/>
        <w:i w:val="0"/>
        <w:sz w:val="23"/>
        <w:szCs w:val="23"/>
      </w:r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2" w15:restartNumberingAfterBreak="0">
    <w:nsid w:val="42267439"/>
    <w:multiLevelType w:val="hybridMultilevel"/>
    <w:tmpl w:val="FA728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27F4DCA"/>
    <w:multiLevelType w:val="hybridMultilevel"/>
    <w:tmpl w:val="6B08A296"/>
    <w:lvl w:ilvl="0" w:tplc="9544DA62">
      <w:start w:val="1"/>
      <w:numFmt w:val="lowerLetter"/>
      <w:lvlText w:val="(%1)"/>
      <w:lvlJc w:val="left"/>
      <w:pPr>
        <w:ind w:left="1080" w:hanging="360"/>
      </w:pPr>
      <w:rPr>
        <w:rFonts w:hint="default"/>
        <w:b w:val="0"/>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39A2083"/>
    <w:multiLevelType w:val="multilevel"/>
    <w:tmpl w:val="E416CC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1C2AD3"/>
    <w:multiLevelType w:val="hybridMultilevel"/>
    <w:tmpl w:val="B2889262"/>
    <w:lvl w:ilvl="0" w:tplc="1D0472A2">
      <w:start w:val="1"/>
      <w:numFmt w:val="decimal"/>
      <w:lvlText w:val="%1."/>
      <w:lvlJc w:val="left"/>
      <w:pPr>
        <w:ind w:left="360" w:hanging="360"/>
      </w:pPr>
      <w:rPr>
        <w:rFonts w:ascii="Arial" w:eastAsiaTheme="minorEastAsia" w:hAnsi="Arial" w:cs="Arial"/>
      </w:r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186" w15:restartNumberingAfterBreak="0">
    <w:nsid w:val="44750D19"/>
    <w:multiLevelType w:val="hybridMultilevel"/>
    <w:tmpl w:val="F63C136A"/>
    <w:lvl w:ilvl="0" w:tplc="41FA926A">
      <w:start w:val="1"/>
      <w:numFmt w:val="decimal"/>
      <w:lvlText w:val="%1."/>
      <w:lvlJc w:val="left"/>
      <w:pPr>
        <w:ind w:left="360" w:hanging="360"/>
      </w:pPr>
      <w:rPr>
        <w:rFonts w:hint="default"/>
        <w:b w:val="0"/>
      </w:rPr>
    </w:lvl>
    <w:lvl w:ilvl="1" w:tplc="04090017">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7" w15:restartNumberingAfterBreak="0">
    <w:nsid w:val="447D39B0"/>
    <w:multiLevelType w:val="hybridMultilevel"/>
    <w:tmpl w:val="91004ACA"/>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44AF354F"/>
    <w:multiLevelType w:val="hybridMultilevel"/>
    <w:tmpl w:val="DF961780"/>
    <w:lvl w:ilvl="0" w:tplc="828834A4">
      <w:start w:val="1"/>
      <w:numFmt w:val="decimal"/>
      <w:lvlText w:val="%1."/>
      <w:lvlJc w:val="left"/>
      <w:pPr>
        <w:ind w:left="450" w:hanging="45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45D71893"/>
    <w:multiLevelType w:val="hybridMultilevel"/>
    <w:tmpl w:val="0DF0062A"/>
    <w:lvl w:ilvl="0" w:tplc="D6BEE356">
      <w:start w:val="1"/>
      <w:numFmt w:val="lowerLetter"/>
      <w:lvlText w:val="%1)"/>
      <w:lvlJc w:val="left"/>
      <w:pPr>
        <w:ind w:left="1440" w:hanging="360"/>
      </w:pPr>
      <w:rPr>
        <w:rFonts w:hint="default"/>
        <w:b w:val="0"/>
        <w:i w:val="0"/>
        <w:sz w:val="23"/>
        <w:szCs w:val="2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462C4B4D"/>
    <w:multiLevelType w:val="hybridMultilevel"/>
    <w:tmpl w:val="FF76E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1" w15:restartNumberingAfterBreak="0">
    <w:nsid w:val="46877258"/>
    <w:multiLevelType w:val="hybridMultilevel"/>
    <w:tmpl w:val="D1D2DE6C"/>
    <w:lvl w:ilvl="0" w:tplc="EA929540">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2" w15:restartNumberingAfterBreak="0">
    <w:nsid w:val="46D46E21"/>
    <w:multiLevelType w:val="hybridMultilevel"/>
    <w:tmpl w:val="16D68E2E"/>
    <w:lvl w:ilvl="0" w:tplc="558086DE">
      <w:start w:val="2"/>
      <w:numFmt w:val="decimal"/>
      <w:lvlText w:val="%1."/>
      <w:lvlJc w:val="left"/>
      <w:pPr>
        <w:ind w:left="1800" w:hanging="360"/>
      </w:pPr>
      <w:rPr>
        <w:rFonts w:hint="default"/>
      </w:rPr>
    </w:lvl>
    <w:lvl w:ilvl="1" w:tplc="09A0A372">
      <w:start w:val="1"/>
      <w:numFmt w:val="lowerRoman"/>
      <w:lvlText w:val="%2)"/>
      <w:lvlJc w:val="right"/>
      <w:pPr>
        <w:ind w:left="1440" w:hanging="360"/>
      </w:pPr>
      <w:rPr>
        <w:rFonts w:hint="default"/>
        <w:b w:val="0"/>
        <w:i w:val="0"/>
        <w:sz w:val="23"/>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3" w15:restartNumberingAfterBreak="0">
    <w:nsid w:val="46F572C9"/>
    <w:multiLevelType w:val="multilevel"/>
    <w:tmpl w:val="89E221C6"/>
    <w:lvl w:ilvl="0">
      <w:start w:val="1"/>
      <w:numFmt w:val="lowerLetter"/>
      <w:lvlText w:val="%1)"/>
      <w:lvlJc w:val="left"/>
      <w:pPr>
        <w:tabs>
          <w:tab w:val="num" w:pos="720"/>
        </w:tabs>
        <w:ind w:left="720" w:hanging="360"/>
      </w:pPr>
      <w:rPr>
        <w:rFonts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6FA1C4B"/>
    <w:multiLevelType w:val="hybridMultilevel"/>
    <w:tmpl w:val="01F45388"/>
    <w:lvl w:ilvl="0" w:tplc="C7AEEE64">
      <w:start w:val="1"/>
      <w:numFmt w:val="lowerLetter"/>
      <w:lvlText w:val="%1)"/>
      <w:lvlJc w:val="left"/>
      <w:pPr>
        <w:ind w:left="1152" w:hanging="576"/>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5" w15:restartNumberingAfterBreak="0">
    <w:nsid w:val="47584319"/>
    <w:multiLevelType w:val="hybridMultilevel"/>
    <w:tmpl w:val="B6D8107C"/>
    <w:lvl w:ilvl="0" w:tplc="8E885A8C">
      <w:start w:val="1"/>
      <w:numFmt w:val="lowerLetter"/>
      <w:lvlText w:val="(%1)"/>
      <w:lvlJc w:val="left"/>
      <w:pPr>
        <w:ind w:left="1800" w:hanging="360"/>
      </w:pPr>
      <w:rPr>
        <w:rFonts w:ascii="Arial" w:eastAsia="Arial Unicode MS" w:hAnsi="Arial" w:cs="Times New Roman" w:hint="default"/>
        <w:b w:val="0"/>
        <w:i w:val="0"/>
        <w:sz w:val="23"/>
        <w:szCs w:val="23"/>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6" w15:restartNumberingAfterBreak="0">
    <w:nsid w:val="478C07D8"/>
    <w:multiLevelType w:val="hybridMultilevel"/>
    <w:tmpl w:val="9A30CB4C"/>
    <w:lvl w:ilvl="0" w:tplc="128E3826">
      <w:start w:val="29"/>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7" w15:restartNumberingAfterBreak="0">
    <w:nsid w:val="47A42188"/>
    <w:multiLevelType w:val="hybridMultilevel"/>
    <w:tmpl w:val="5AC48E52"/>
    <w:lvl w:ilvl="0" w:tplc="D4AA0188">
      <w:start w:val="1"/>
      <w:numFmt w:val="lowerLetter"/>
      <w:lvlText w:val="(%1)"/>
      <w:lvlJc w:val="left"/>
      <w:pPr>
        <w:ind w:left="1800" w:hanging="360"/>
      </w:pPr>
      <w:rPr>
        <w:rFonts w:ascii="Arial" w:eastAsia="Calibri" w:hAnsi="Arial" w:cs="Arial" w:hint="default"/>
      </w:rPr>
    </w:lvl>
    <w:lvl w:ilvl="1" w:tplc="3FE4795E">
      <w:start w:val="1"/>
      <w:numFmt w:val="lowerLetter"/>
      <w:lvlText w:val="%2."/>
      <w:lvlJc w:val="left"/>
      <w:pPr>
        <w:ind w:left="2520" w:hanging="360"/>
      </w:pPr>
    </w:lvl>
    <w:lvl w:ilvl="2" w:tplc="90688AAA">
      <w:start w:val="1"/>
      <w:numFmt w:val="lowerRoman"/>
      <w:lvlText w:val="%3."/>
      <w:lvlJc w:val="right"/>
      <w:pPr>
        <w:ind w:left="3240" w:hanging="180"/>
      </w:pPr>
    </w:lvl>
    <w:lvl w:ilvl="3" w:tplc="29FE5C98">
      <w:start w:val="1"/>
      <w:numFmt w:val="decimal"/>
      <w:lvlText w:val="%4."/>
      <w:lvlJc w:val="left"/>
      <w:pPr>
        <w:ind w:left="3960" w:hanging="360"/>
      </w:pPr>
    </w:lvl>
    <w:lvl w:ilvl="4" w:tplc="CD3CF748">
      <w:start w:val="1"/>
      <w:numFmt w:val="lowerLetter"/>
      <w:lvlText w:val="%5."/>
      <w:lvlJc w:val="left"/>
      <w:pPr>
        <w:ind w:left="4680" w:hanging="360"/>
      </w:pPr>
    </w:lvl>
    <w:lvl w:ilvl="5" w:tplc="3C8E79DA">
      <w:start w:val="1"/>
      <w:numFmt w:val="lowerRoman"/>
      <w:lvlText w:val="%6."/>
      <w:lvlJc w:val="right"/>
      <w:pPr>
        <w:ind w:left="5400" w:hanging="180"/>
      </w:pPr>
    </w:lvl>
    <w:lvl w:ilvl="6" w:tplc="010A43D8">
      <w:start w:val="1"/>
      <w:numFmt w:val="decimal"/>
      <w:lvlText w:val="%7."/>
      <w:lvlJc w:val="left"/>
      <w:pPr>
        <w:ind w:left="6120" w:hanging="360"/>
      </w:pPr>
    </w:lvl>
    <w:lvl w:ilvl="7" w:tplc="356CE726">
      <w:start w:val="1"/>
      <w:numFmt w:val="lowerLetter"/>
      <w:lvlText w:val="%8."/>
      <w:lvlJc w:val="left"/>
      <w:pPr>
        <w:ind w:left="6840" w:hanging="360"/>
      </w:pPr>
    </w:lvl>
    <w:lvl w:ilvl="8" w:tplc="454A9724">
      <w:start w:val="1"/>
      <w:numFmt w:val="lowerRoman"/>
      <w:lvlText w:val="%9."/>
      <w:lvlJc w:val="right"/>
      <w:pPr>
        <w:ind w:left="7560" w:hanging="180"/>
      </w:pPr>
    </w:lvl>
  </w:abstractNum>
  <w:abstractNum w:abstractNumId="198" w15:restartNumberingAfterBreak="0">
    <w:nsid w:val="47E137C6"/>
    <w:multiLevelType w:val="hybridMultilevel"/>
    <w:tmpl w:val="0D48D700"/>
    <w:lvl w:ilvl="0" w:tplc="6674EAB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9" w15:restartNumberingAfterBreak="0">
    <w:nsid w:val="492B2BA5"/>
    <w:multiLevelType w:val="hybridMultilevel"/>
    <w:tmpl w:val="88468C48"/>
    <w:lvl w:ilvl="0" w:tplc="2E1AFDDC">
      <w:start w:val="1"/>
      <w:numFmt w:val="upp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0" w15:restartNumberingAfterBreak="0">
    <w:nsid w:val="49300ACC"/>
    <w:multiLevelType w:val="hybridMultilevel"/>
    <w:tmpl w:val="226E61F2"/>
    <w:lvl w:ilvl="0" w:tplc="04090017">
      <w:start w:val="1"/>
      <w:numFmt w:val="lowerLetter"/>
      <w:lvlText w:val="%1)"/>
      <w:lvlJc w:val="left"/>
      <w:pPr>
        <w:ind w:left="1361" w:hanging="360"/>
      </w:pPr>
      <w:rPr>
        <w:rFonts w:hint="default"/>
      </w:rPr>
    </w:lvl>
    <w:lvl w:ilvl="1" w:tplc="10090019" w:tentative="1">
      <w:start w:val="1"/>
      <w:numFmt w:val="lowerLetter"/>
      <w:lvlText w:val="%2."/>
      <w:lvlJc w:val="left"/>
      <w:pPr>
        <w:ind w:left="2081" w:hanging="360"/>
      </w:pPr>
    </w:lvl>
    <w:lvl w:ilvl="2" w:tplc="1009001B" w:tentative="1">
      <w:start w:val="1"/>
      <w:numFmt w:val="lowerRoman"/>
      <w:lvlText w:val="%3."/>
      <w:lvlJc w:val="right"/>
      <w:pPr>
        <w:ind w:left="2801" w:hanging="180"/>
      </w:pPr>
    </w:lvl>
    <w:lvl w:ilvl="3" w:tplc="1009000F" w:tentative="1">
      <w:start w:val="1"/>
      <w:numFmt w:val="decimal"/>
      <w:lvlText w:val="%4."/>
      <w:lvlJc w:val="left"/>
      <w:pPr>
        <w:ind w:left="3521" w:hanging="360"/>
      </w:pPr>
    </w:lvl>
    <w:lvl w:ilvl="4" w:tplc="10090019" w:tentative="1">
      <w:start w:val="1"/>
      <w:numFmt w:val="lowerLetter"/>
      <w:lvlText w:val="%5."/>
      <w:lvlJc w:val="left"/>
      <w:pPr>
        <w:ind w:left="4241" w:hanging="360"/>
      </w:pPr>
    </w:lvl>
    <w:lvl w:ilvl="5" w:tplc="1009001B" w:tentative="1">
      <w:start w:val="1"/>
      <w:numFmt w:val="lowerRoman"/>
      <w:lvlText w:val="%6."/>
      <w:lvlJc w:val="right"/>
      <w:pPr>
        <w:ind w:left="4961" w:hanging="180"/>
      </w:pPr>
    </w:lvl>
    <w:lvl w:ilvl="6" w:tplc="1009000F" w:tentative="1">
      <w:start w:val="1"/>
      <w:numFmt w:val="decimal"/>
      <w:lvlText w:val="%7."/>
      <w:lvlJc w:val="left"/>
      <w:pPr>
        <w:ind w:left="5681" w:hanging="360"/>
      </w:pPr>
    </w:lvl>
    <w:lvl w:ilvl="7" w:tplc="10090019" w:tentative="1">
      <w:start w:val="1"/>
      <w:numFmt w:val="lowerLetter"/>
      <w:lvlText w:val="%8."/>
      <w:lvlJc w:val="left"/>
      <w:pPr>
        <w:ind w:left="6401" w:hanging="360"/>
      </w:pPr>
    </w:lvl>
    <w:lvl w:ilvl="8" w:tplc="1009001B" w:tentative="1">
      <w:start w:val="1"/>
      <w:numFmt w:val="lowerRoman"/>
      <w:lvlText w:val="%9."/>
      <w:lvlJc w:val="right"/>
      <w:pPr>
        <w:ind w:left="7121" w:hanging="180"/>
      </w:pPr>
    </w:lvl>
  </w:abstractNum>
  <w:abstractNum w:abstractNumId="201" w15:restartNumberingAfterBreak="0">
    <w:nsid w:val="49CA7F73"/>
    <w:multiLevelType w:val="hybridMultilevel"/>
    <w:tmpl w:val="D2B872FC"/>
    <w:lvl w:ilvl="0" w:tplc="04090017">
      <w:start w:val="1"/>
      <w:numFmt w:val="lowerLetter"/>
      <w:lvlText w:val="%1)"/>
      <w:lvlJc w:val="left"/>
      <w:pPr>
        <w:ind w:left="720" w:hanging="360"/>
      </w:pPr>
      <w:rPr>
        <w:rFonts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2" w15:restartNumberingAfterBreak="0">
    <w:nsid w:val="49E21B56"/>
    <w:multiLevelType w:val="hybridMultilevel"/>
    <w:tmpl w:val="C244586A"/>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03" w15:restartNumberingAfterBreak="0">
    <w:nsid w:val="49E465A9"/>
    <w:multiLevelType w:val="hybridMultilevel"/>
    <w:tmpl w:val="18E0927A"/>
    <w:lvl w:ilvl="0" w:tplc="FF503B4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4" w15:restartNumberingAfterBreak="0">
    <w:nsid w:val="4A4B7542"/>
    <w:multiLevelType w:val="hybridMultilevel"/>
    <w:tmpl w:val="59348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A596D9C"/>
    <w:multiLevelType w:val="hybridMultilevel"/>
    <w:tmpl w:val="B3403BFA"/>
    <w:lvl w:ilvl="0" w:tplc="04090017">
      <w:start w:val="1"/>
      <w:numFmt w:val="lowerLetter"/>
      <w:lvlText w:val="%1)"/>
      <w:lvlJc w:val="left"/>
      <w:pPr>
        <w:ind w:left="720" w:hanging="360"/>
      </w:pPr>
      <w:rPr>
        <w:rFonts w:hint="default"/>
        <w:b w:val="0"/>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A6301CA"/>
    <w:multiLevelType w:val="hybridMultilevel"/>
    <w:tmpl w:val="1BDAD41A"/>
    <w:lvl w:ilvl="0" w:tplc="A0B24D42">
      <w:start w:val="1"/>
      <w:numFmt w:val="lowerLetter"/>
      <w:lvlText w:val="%1)"/>
      <w:lvlJc w:val="left"/>
      <w:pPr>
        <w:ind w:left="1440" w:hanging="360"/>
      </w:pPr>
      <w:rPr>
        <w:rFonts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7" w15:restartNumberingAfterBreak="0">
    <w:nsid w:val="4AA54DA5"/>
    <w:multiLevelType w:val="hybridMultilevel"/>
    <w:tmpl w:val="002ABFAE"/>
    <w:lvl w:ilvl="0" w:tplc="50F09E3A">
      <w:start w:val="2"/>
      <w:numFmt w:val="decimal"/>
      <w:lvlText w:val="%1."/>
      <w:lvlJc w:val="left"/>
      <w:pPr>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AD81515"/>
    <w:multiLevelType w:val="hybridMultilevel"/>
    <w:tmpl w:val="C5D62F5A"/>
    <w:lvl w:ilvl="0" w:tplc="197E42A8">
      <w:start w:val="1"/>
      <w:numFmt w:val="lowerLetter"/>
      <w:lvlText w:val="%1)"/>
      <w:lvlJc w:val="left"/>
      <w:pPr>
        <w:ind w:left="720" w:hanging="360"/>
      </w:pPr>
      <w:rPr>
        <w:rFonts w:hint="default"/>
        <w:b w:val="0"/>
        <w:i w:val="0"/>
        <w:sz w:val="23"/>
        <w:szCs w:val="2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9" w15:restartNumberingAfterBreak="0">
    <w:nsid w:val="4AEE5941"/>
    <w:multiLevelType w:val="hybridMultilevel"/>
    <w:tmpl w:val="378C6E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0" w15:restartNumberingAfterBreak="0">
    <w:nsid w:val="4AF31D9B"/>
    <w:multiLevelType w:val="hybridMultilevel"/>
    <w:tmpl w:val="9D66C04C"/>
    <w:lvl w:ilvl="0" w:tplc="B35C80CA">
      <w:start w:val="1"/>
      <w:numFmt w:val="lowerLetter"/>
      <w:lvlText w:val="%1)"/>
      <w:lvlJc w:val="left"/>
      <w:pPr>
        <w:ind w:left="1440" w:hanging="360"/>
      </w:pPr>
      <w:rPr>
        <w:rFonts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1" w15:restartNumberingAfterBreak="0">
    <w:nsid w:val="4B152C8D"/>
    <w:multiLevelType w:val="hybridMultilevel"/>
    <w:tmpl w:val="2D82587C"/>
    <w:lvl w:ilvl="0" w:tplc="1009000F">
      <w:start w:val="1"/>
      <w:numFmt w:val="decimal"/>
      <w:lvlText w:val="%1."/>
      <w:lvlJc w:val="left"/>
      <w:pPr>
        <w:ind w:left="4770" w:hanging="360"/>
      </w:pPr>
      <w:rPr>
        <w:rFonts w:hint="default"/>
      </w:rPr>
    </w:lvl>
    <w:lvl w:ilvl="1" w:tplc="10090019" w:tentative="1">
      <w:start w:val="1"/>
      <w:numFmt w:val="lowerLetter"/>
      <w:lvlText w:val="%2."/>
      <w:lvlJc w:val="left"/>
      <w:pPr>
        <w:ind w:left="5490" w:hanging="360"/>
      </w:pPr>
    </w:lvl>
    <w:lvl w:ilvl="2" w:tplc="1009001B" w:tentative="1">
      <w:start w:val="1"/>
      <w:numFmt w:val="lowerRoman"/>
      <w:lvlText w:val="%3."/>
      <w:lvlJc w:val="right"/>
      <w:pPr>
        <w:ind w:left="6210" w:hanging="180"/>
      </w:pPr>
    </w:lvl>
    <w:lvl w:ilvl="3" w:tplc="1009000F" w:tentative="1">
      <w:start w:val="1"/>
      <w:numFmt w:val="decimal"/>
      <w:lvlText w:val="%4."/>
      <w:lvlJc w:val="left"/>
      <w:pPr>
        <w:ind w:left="6930" w:hanging="360"/>
      </w:pPr>
    </w:lvl>
    <w:lvl w:ilvl="4" w:tplc="10090019" w:tentative="1">
      <w:start w:val="1"/>
      <w:numFmt w:val="lowerLetter"/>
      <w:lvlText w:val="%5."/>
      <w:lvlJc w:val="left"/>
      <w:pPr>
        <w:ind w:left="7650" w:hanging="360"/>
      </w:pPr>
    </w:lvl>
    <w:lvl w:ilvl="5" w:tplc="1009001B" w:tentative="1">
      <w:start w:val="1"/>
      <w:numFmt w:val="lowerRoman"/>
      <w:lvlText w:val="%6."/>
      <w:lvlJc w:val="right"/>
      <w:pPr>
        <w:ind w:left="8370" w:hanging="180"/>
      </w:pPr>
    </w:lvl>
    <w:lvl w:ilvl="6" w:tplc="1009000F" w:tentative="1">
      <w:start w:val="1"/>
      <w:numFmt w:val="decimal"/>
      <w:lvlText w:val="%7."/>
      <w:lvlJc w:val="left"/>
      <w:pPr>
        <w:ind w:left="9090" w:hanging="360"/>
      </w:pPr>
    </w:lvl>
    <w:lvl w:ilvl="7" w:tplc="10090019" w:tentative="1">
      <w:start w:val="1"/>
      <w:numFmt w:val="lowerLetter"/>
      <w:lvlText w:val="%8."/>
      <w:lvlJc w:val="left"/>
      <w:pPr>
        <w:ind w:left="9810" w:hanging="360"/>
      </w:pPr>
    </w:lvl>
    <w:lvl w:ilvl="8" w:tplc="1009001B" w:tentative="1">
      <w:start w:val="1"/>
      <w:numFmt w:val="lowerRoman"/>
      <w:lvlText w:val="%9."/>
      <w:lvlJc w:val="right"/>
      <w:pPr>
        <w:ind w:left="10530" w:hanging="180"/>
      </w:pPr>
    </w:lvl>
  </w:abstractNum>
  <w:abstractNum w:abstractNumId="212" w15:restartNumberingAfterBreak="0">
    <w:nsid w:val="4B5A7BA4"/>
    <w:multiLevelType w:val="hybridMultilevel"/>
    <w:tmpl w:val="584E0BC0"/>
    <w:lvl w:ilvl="0" w:tplc="128E3826">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3" w15:restartNumberingAfterBreak="0">
    <w:nsid w:val="4BE41FF1"/>
    <w:multiLevelType w:val="hybridMultilevel"/>
    <w:tmpl w:val="3B967632"/>
    <w:lvl w:ilvl="0" w:tplc="F6C6C34A">
      <w:start w:val="1"/>
      <w:numFmt w:val="lowerLetter"/>
      <w:lvlText w:val="(%1)"/>
      <w:lvlJc w:val="left"/>
      <w:pPr>
        <w:ind w:left="2160" w:hanging="360"/>
      </w:pPr>
      <w:rPr>
        <w:rFonts w:ascii="Arial" w:hAnsi="Arial" w:hint="default"/>
        <w:b w:val="0"/>
        <w:i w:val="0"/>
        <w:sz w:val="23"/>
        <w:szCs w:val="23"/>
      </w:rPr>
    </w:lvl>
    <w:lvl w:ilvl="1" w:tplc="F6C6C34A">
      <w:start w:val="1"/>
      <w:numFmt w:val="lowerLetter"/>
      <w:lvlText w:val="(%2)"/>
      <w:lvlJc w:val="left"/>
      <w:pPr>
        <w:ind w:left="2880" w:hanging="360"/>
      </w:pPr>
      <w:rPr>
        <w:rFonts w:ascii="Arial" w:hAnsi="Arial" w:hint="default"/>
        <w:b w:val="0"/>
        <w:i w:val="0"/>
        <w:sz w:val="23"/>
        <w:szCs w:val="23"/>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4" w15:restartNumberingAfterBreak="0">
    <w:nsid w:val="4C146A2E"/>
    <w:multiLevelType w:val="hybridMultilevel"/>
    <w:tmpl w:val="BB8EE58C"/>
    <w:lvl w:ilvl="0" w:tplc="BDA62B04">
      <w:start w:val="1"/>
      <w:numFmt w:val="lowerLetter"/>
      <w:lvlText w:val="%1)"/>
      <w:lvlJc w:val="left"/>
      <w:pPr>
        <w:ind w:left="720" w:hanging="360"/>
      </w:pPr>
      <w:rPr>
        <w:rFonts w:hint="default"/>
        <w:b w:val="0"/>
        <w:i w:val="0"/>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5" w15:restartNumberingAfterBreak="0">
    <w:nsid w:val="4C1E667E"/>
    <w:multiLevelType w:val="hybridMultilevel"/>
    <w:tmpl w:val="EF96F39E"/>
    <w:lvl w:ilvl="0" w:tplc="30DA9E60">
      <w:start w:val="1"/>
      <w:numFmt w:val="lowerLetter"/>
      <w:lvlText w:val="(%1)"/>
      <w:lvlJc w:val="left"/>
      <w:pPr>
        <w:ind w:left="720" w:hanging="360"/>
      </w:pPr>
      <w:rPr>
        <w:rFonts w:hint="default"/>
      </w:rPr>
    </w:lvl>
    <w:lvl w:ilvl="1" w:tplc="09A0A372">
      <w:start w:val="1"/>
      <w:numFmt w:val="lowerRoman"/>
      <w:lvlText w:val="%2)"/>
      <w:lvlJc w:val="right"/>
      <w:pPr>
        <w:ind w:left="1440" w:hanging="360"/>
      </w:pPr>
      <w:rPr>
        <w:rFonts w:hint="default"/>
        <w:b w:val="0"/>
        <w:i w:val="0"/>
        <w:sz w:val="23"/>
      </w:rPr>
    </w:lvl>
    <w:lvl w:ilvl="2" w:tplc="A282BC7E">
      <w:start w:val="1"/>
      <w:numFmt w:val="decimal"/>
      <w:lvlText w:val="%3."/>
      <w:lvlJc w:val="left"/>
      <w:pPr>
        <w:ind w:left="2700" w:hanging="720"/>
      </w:pPr>
      <w:rPr>
        <w:rFonts w:hint="default"/>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CD970DE"/>
    <w:multiLevelType w:val="hybridMultilevel"/>
    <w:tmpl w:val="9346499E"/>
    <w:lvl w:ilvl="0" w:tplc="9886F49E">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CEA790F"/>
    <w:multiLevelType w:val="hybridMultilevel"/>
    <w:tmpl w:val="6E2AA572"/>
    <w:lvl w:ilvl="0" w:tplc="09A0A372">
      <w:start w:val="1"/>
      <w:numFmt w:val="lowerRoman"/>
      <w:lvlText w:val="%1)"/>
      <w:lvlJc w:val="right"/>
      <w:pPr>
        <w:ind w:left="1440" w:hanging="360"/>
      </w:pPr>
      <w:rPr>
        <w:rFonts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8" w15:restartNumberingAfterBreak="0">
    <w:nsid w:val="4D0C17A3"/>
    <w:multiLevelType w:val="hybridMultilevel"/>
    <w:tmpl w:val="F1141894"/>
    <w:lvl w:ilvl="0" w:tplc="09A0A372">
      <w:start w:val="1"/>
      <w:numFmt w:val="lowerRoman"/>
      <w:lvlText w:val="%1)"/>
      <w:lvlJc w:val="right"/>
      <w:pPr>
        <w:ind w:left="2171" w:hanging="360"/>
      </w:pPr>
      <w:rPr>
        <w:rFonts w:hint="default"/>
        <w:b w:val="0"/>
        <w:i w:val="0"/>
        <w:sz w:val="23"/>
      </w:rPr>
    </w:lvl>
    <w:lvl w:ilvl="1" w:tplc="04090019" w:tentative="1">
      <w:start w:val="1"/>
      <w:numFmt w:val="lowerLetter"/>
      <w:lvlText w:val="%2."/>
      <w:lvlJc w:val="left"/>
      <w:pPr>
        <w:ind w:left="2891" w:hanging="360"/>
      </w:pPr>
    </w:lvl>
    <w:lvl w:ilvl="2" w:tplc="0409001B" w:tentative="1">
      <w:start w:val="1"/>
      <w:numFmt w:val="lowerRoman"/>
      <w:lvlText w:val="%3."/>
      <w:lvlJc w:val="right"/>
      <w:pPr>
        <w:ind w:left="3611" w:hanging="180"/>
      </w:pPr>
    </w:lvl>
    <w:lvl w:ilvl="3" w:tplc="0409000F" w:tentative="1">
      <w:start w:val="1"/>
      <w:numFmt w:val="decimal"/>
      <w:lvlText w:val="%4."/>
      <w:lvlJc w:val="left"/>
      <w:pPr>
        <w:ind w:left="4331" w:hanging="360"/>
      </w:pPr>
    </w:lvl>
    <w:lvl w:ilvl="4" w:tplc="04090019" w:tentative="1">
      <w:start w:val="1"/>
      <w:numFmt w:val="lowerLetter"/>
      <w:lvlText w:val="%5."/>
      <w:lvlJc w:val="left"/>
      <w:pPr>
        <w:ind w:left="5051" w:hanging="360"/>
      </w:pPr>
    </w:lvl>
    <w:lvl w:ilvl="5" w:tplc="0409001B" w:tentative="1">
      <w:start w:val="1"/>
      <w:numFmt w:val="lowerRoman"/>
      <w:lvlText w:val="%6."/>
      <w:lvlJc w:val="right"/>
      <w:pPr>
        <w:ind w:left="5771" w:hanging="180"/>
      </w:pPr>
    </w:lvl>
    <w:lvl w:ilvl="6" w:tplc="0409000F" w:tentative="1">
      <w:start w:val="1"/>
      <w:numFmt w:val="decimal"/>
      <w:lvlText w:val="%7."/>
      <w:lvlJc w:val="left"/>
      <w:pPr>
        <w:ind w:left="6491" w:hanging="360"/>
      </w:pPr>
    </w:lvl>
    <w:lvl w:ilvl="7" w:tplc="04090019" w:tentative="1">
      <w:start w:val="1"/>
      <w:numFmt w:val="lowerLetter"/>
      <w:lvlText w:val="%8."/>
      <w:lvlJc w:val="left"/>
      <w:pPr>
        <w:ind w:left="7211" w:hanging="360"/>
      </w:pPr>
    </w:lvl>
    <w:lvl w:ilvl="8" w:tplc="0409001B" w:tentative="1">
      <w:start w:val="1"/>
      <w:numFmt w:val="lowerRoman"/>
      <w:lvlText w:val="%9."/>
      <w:lvlJc w:val="right"/>
      <w:pPr>
        <w:ind w:left="7931" w:hanging="180"/>
      </w:pPr>
    </w:lvl>
  </w:abstractNum>
  <w:abstractNum w:abstractNumId="219" w15:restartNumberingAfterBreak="0">
    <w:nsid w:val="4D364403"/>
    <w:multiLevelType w:val="hybridMultilevel"/>
    <w:tmpl w:val="41AA86B2"/>
    <w:lvl w:ilvl="0" w:tplc="04090017">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0" w15:restartNumberingAfterBreak="0">
    <w:nsid w:val="4D5B5FB3"/>
    <w:multiLevelType w:val="hybridMultilevel"/>
    <w:tmpl w:val="B93009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1" w15:restartNumberingAfterBreak="0">
    <w:nsid w:val="4DB8538B"/>
    <w:multiLevelType w:val="hybridMultilevel"/>
    <w:tmpl w:val="0040FF40"/>
    <w:lvl w:ilvl="0" w:tplc="EA929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F483EBE"/>
    <w:multiLevelType w:val="hybridMultilevel"/>
    <w:tmpl w:val="ABC08C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3" w15:restartNumberingAfterBreak="0">
    <w:nsid w:val="4F787976"/>
    <w:multiLevelType w:val="hybridMultilevel"/>
    <w:tmpl w:val="E30E3246"/>
    <w:lvl w:ilvl="0" w:tplc="04090017">
      <w:start w:val="1"/>
      <w:numFmt w:val="lowerLetter"/>
      <w:lvlText w:val="%1)"/>
      <w:lvlJc w:val="left"/>
      <w:pPr>
        <w:ind w:left="663" w:hanging="360"/>
      </w:pPr>
      <w:rPr>
        <w:rFonts w:hint="default"/>
        <w:b w:val="0"/>
        <w:i w:val="0"/>
        <w:sz w:val="23"/>
        <w:szCs w:val="23"/>
      </w:rPr>
    </w:lvl>
    <w:lvl w:ilvl="1" w:tplc="10090019" w:tentative="1">
      <w:start w:val="1"/>
      <w:numFmt w:val="lowerLetter"/>
      <w:lvlText w:val="%2."/>
      <w:lvlJc w:val="left"/>
      <w:pPr>
        <w:ind w:left="1383" w:hanging="360"/>
      </w:pPr>
    </w:lvl>
    <w:lvl w:ilvl="2" w:tplc="1009001B" w:tentative="1">
      <w:start w:val="1"/>
      <w:numFmt w:val="lowerRoman"/>
      <w:lvlText w:val="%3."/>
      <w:lvlJc w:val="right"/>
      <w:pPr>
        <w:ind w:left="2103" w:hanging="180"/>
      </w:pPr>
    </w:lvl>
    <w:lvl w:ilvl="3" w:tplc="1009000F" w:tentative="1">
      <w:start w:val="1"/>
      <w:numFmt w:val="decimal"/>
      <w:lvlText w:val="%4."/>
      <w:lvlJc w:val="left"/>
      <w:pPr>
        <w:ind w:left="2823" w:hanging="360"/>
      </w:pPr>
    </w:lvl>
    <w:lvl w:ilvl="4" w:tplc="10090019" w:tentative="1">
      <w:start w:val="1"/>
      <w:numFmt w:val="lowerLetter"/>
      <w:lvlText w:val="%5."/>
      <w:lvlJc w:val="left"/>
      <w:pPr>
        <w:ind w:left="3543" w:hanging="360"/>
      </w:pPr>
    </w:lvl>
    <w:lvl w:ilvl="5" w:tplc="1009001B" w:tentative="1">
      <w:start w:val="1"/>
      <w:numFmt w:val="lowerRoman"/>
      <w:lvlText w:val="%6."/>
      <w:lvlJc w:val="right"/>
      <w:pPr>
        <w:ind w:left="4263" w:hanging="180"/>
      </w:pPr>
    </w:lvl>
    <w:lvl w:ilvl="6" w:tplc="1009000F" w:tentative="1">
      <w:start w:val="1"/>
      <w:numFmt w:val="decimal"/>
      <w:lvlText w:val="%7."/>
      <w:lvlJc w:val="left"/>
      <w:pPr>
        <w:ind w:left="4983" w:hanging="360"/>
      </w:pPr>
    </w:lvl>
    <w:lvl w:ilvl="7" w:tplc="10090019" w:tentative="1">
      <w:start w:val="1"/>
      <w:numFmt w:val="lowerLetter"/>
      <w:lvlText w:val="%8."/>
      <w:lvlJc w:val="left"/>
      <w:pPr>
        <w:ind w:left="5703" w:hanging="360"/>
      </w:pPr>
    </w:lvl>
    <w:lvl w:ilvl="8" w:tplc="1009001B" w:tentative="1">
      <w:start w:val="1"/>
      <w:numFmt w:val="lowerRoman"/>
      <w:lvlText w:val="%9."/>
      <w:lvlJc w:val="right"/>
      <w:pPr>
        <w:ind w:left="6423" w:hanging="180"/>
      </w:pPr>
    </w:lvl>
  </w:abstractNum>
  <w:abstractNum w:abstractNumId="224" w15:restartNumberingAfterBreak="0">
    <w:nsid w:val="4F954595"/>
    <w:multiLevelType w:val="hybridMultilevel"/>
    <w:tmpl w:val="D2DAB12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5" w15:restartNumberingAfterBreak="0">
    <w:nsid w:val="4FB236BD"/>
    <w:multiLevelType w:val="hybridMultilevel"/>
    <w:tmpl w:val="596618DA"/>
    <w:lvl w:ilvl="0" w:tplc="EA929540">
      <w:start w:val="1"/>
      <w:numFmt w:val="lowerLetter"/>
      <w:lvlText w:val="%1)"/>
      <w:lvlJc w:val="left"/>
      <w:pPr>
        <w:ind w:left="644" w:hanging="360"/>
      </w:pPr>
      <w:rPr>
        <w:rFonts w:hint="default"/>
        <w:color w:val="auto"/>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226" w15:restartNumberingAfterBreak="0">
    <w:nsid w:val="504956C8"/>
    <w:multiLevelType w:val="hybridMultilevel"/>
    <w:tmpl w:val="41F6FFC6"/>
    <w:lvl w:ilvl="0" w:tplc="04090017">
      <w:start w:val="1"/>
      <w:numFmt w:val="lowerLetter"/>
      <w:lvlText w:val="%1)"/>
      <w:lvlJc w:val="left"/>
      <w:pPr>
        <w:ind w:left="936" w:hanging="360"/>
      </w:pPr>
      <w:rPr>
        <w:rFonts w:hint="default"/>
        <w:b w:val="0"/>
        <w:i w:val="0"/>
        <w:sz w:val="23"/>
        <w:szCs w:val="23"/>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7" w15:restartNumberingAfterBreak="0">
    <w:nsid w:val="5163134E"/>
    <w:multiLevelType w:val="hybridMultilevel"/>
    <w:tmpl w:val="1C72A9DA"/>
    <w:lvl w:ilvl="0" w:tplc="04090017">
      <w:start w:val="1"/>
      <w:numFmt w:val="lowerLetter"/>
      <w:lvlText w:val="%1)"/>
      <w:lvlJc w:val="left"/>
      <w:pPr>
        <w:ind w:left="720" w:hanging="360"/>
      </w:pPr>
      <w:rPr>
        <w:rFonts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8" w15:restartNumberingAfterBreak="0">
    <w:nsid w:val="51D651BD"/>
    <w:multiLevelType w:val="hybridMultilevel"/>
    <w:tmpl w:val="17127A34"/>
    <w:lvl w:ilvl="0" w:tplc="8E885A8C">
      <w:start w:val="1"/>
      <w:numFmt w:val="lowerLetter"/>
      <w:lvlText w:val="(%1)"/>
      <w:lvlJc w:val="left"/>
      <w:pPr>
        <w:ind w:left="720" w:hanging="360"/>
      </w:pPr>
      <w:rPr>
        <w:rFonts w:ascii="Arial" w:eastAsia="Arial Unicode MS" w:hAnsi="Arial" w:cs="Times New Roman"/>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2832BE5"/>
    <w:multiLevelType w:val="hybridMultilevel"/>
    <w:tmpl w:val="4B2E89BA"/>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30" w15:restartNumberingAfterBreak="0">
    <w:nsid w:val="53151E8E"/>
    <w:multiLevelType w:val="hybridMultilevel"/>
    <w:tmpl w:val="EDF6BBF6"/>
    <w:lvl w:ilvl="0" w:tplc="D9D695A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38E346C"/>
    <w:multiLevelType w:val="hybridMultilevel"/>
    <w:tmpl w:val="E62CE978"/>
    <w:lvl w:ilvl="0" w:tplc="04090017">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2" w15:restartNumberingAfterBreak="0">
    <w:nsid w:val="545631E8"/>
    <w:multiLevelType w:val="hybridMultilevel"/>
    <w:tmpl w:val="24320C74"/>
    <w:lvl w:ilvl="0" w:tplc="04090017">
      <w:start w:val="1"/>
      <w:numFmt w:val="lowerLetter"/>
      <w:lvlText w:val="%1)"/>
      <w:lvlJc w:val="left"/>
      <w:pPr>
        <w:ind w:left="1361" w:hanging="360"/>
      </w:pPr>
      <w:rPr>
        <w:rFonts w:hint="default"/>
      </w:rPr>
    </w:lvl>
    <w:lvl w:ilvl="1" w:tplc="10090019" w:tentative="1">
      <w:start w:val="1"/>
      <w:numFmt w:val="lowerLetter"/>
      <w:lvlText w:val="%2."/>
      <w:lvlJc w:val="left"/>
      <w:pPr>
        <w:ind w:left="2081" w:hanging="360"/>
      </w:pPr>
    </w:lvl>
    <w:lvl w:ilvl="2" w:tplc="1009001B" w:tentative="1">
      <w:start w:val="1"/>
      <w:numFmt w:val="lowerRoman"/>
      <w:lvlText w:val="%3."/>
      <w:lvlJc w:val="right"/>
      <w:pPr>
        <w:ind w:left="2801" w:hanging="180"/>
      </w:pPr>
    </w:lvl>
    <w:lvl w:ilvl="3" w:tplc="1009000F" w:tentative="1">
      <w:start w:val="1"/>
      <w:numFmt w:val="decimal"/>
      <w:lvlText w:val="%4."/>
      <w:lvlJc w:val="left"/>
      <w:pPr>
        <w:ind w:left="3521" w:hanging="360"/>
      </w:pPr>
    </w:lvl>
    <w:lvl w:ilvl="4" w:tplc="10090019" w:tentative="1">
      <w:start w:val="1"/>
      <w:numFmt w:val="lowerLetter"/>
      <w:lvlText w:val="%5."/>
      <w:lvlJc w:val="left"/>
      <w:pPr>
        <w:ind w:left="4241" w:hanging="360"/>
      </w:pPr>
    </w:lvl>
    <w:lvl w:ilvl="5" w:tplc="1009001B" w:tentative="1">
      <w:start w:val="1"/>
      <w:numFmt w:val="lowerRoman"/>
      <w:lvlText w:val="%6."/>
      <w:lvlJc w:val="right"/>
      <w:pPr>
        <w:ind w:left="4961" w:hanging="180"/>
      </w:pPr>
    </w:lvl>
    <w:lvl w:ilvl="6" w:tplc="1009000F" w:tentative="1">
      <w:start w:val="1"/>
      <w:numFmt w:val="decimal"/>
      <w:lvlText w:val="%7."/>
      <w:lvlJc w:val="left"/>
      <w:pPr>
        <w:ind w:left="5681" w:hanging="360"/>
      </w:pPr>
    </w:lvl>
    <w:lvl w:ilvl="7" w:tplc="10090019" w:tentative="1">
      <w:start w:val="1"/>
      <w:numFmt w:val="lowerLetter"/>
      <w:lvlText w:val="%8."/>
      <w:lvlJc w:val="left"/>
      <w:pPr>
        <w:ind w:left="6401" w:hanging="360"/>
      </w:pPr>
    </w:lvl>
    <w:lvl w:ilvl="8" w:tplc="1009001B" w:tentative="1">
      <w:start w:val="1"/>
      <w:numFmt w:val="lowerRoman"/>
      <w:lvlText w:val="%9."/>
      <w:lvlJc w:val="right"/>
      <w:pPr>
        <w:ind w:left="7121" w:hanging="180"/>
      </w:pPr>
    </w:lvl>
  </w:abstractNum>
  <w:abstractNum w:abstractNumId="233" w15:restartNumberingAfterBreak="0">
    <w:nsid w:val="547D7650"/>
    <w:multiLevelType w:val="hybridMultilevel"/>
    <w:tmpl w:val="7DBC2602"/>
    <w:lvl w:ilvl="0" w:tplc="724068B8">
      <w:start w:val="1"/>
      <w:numFmt w:val="lowerLetter"/>
      <w:lvlText w:val="(%1)"/>
      <w:lvlJc w:val="left"/>
      <w:pPr>
        <w:ind w:left="720" w:hanging="360"/>
      </w:pPr>
      <w:rPr>
        <w:rFonts w:ascii="Arial" w:hAnsi="Arial" w:hint="default"/>
        <w:b w:val="0"/>
        <w:i w:val="0"/>
        <w:sz w:val="24"/>
      </w:rPr>
    </w:lvl>
    <w:lvl w:ilvl="1" w:tplc="04090017">
      <w:start w:val="1"/>
      <w:numFmt w:val="lowerLetter"/>
      <w:lvlText w:val="%2)"/>
      <w:lvlJc w:val="left"/>
      <w:pPr>
        <w:ind w:left="1440" w:hanging="360"/>
      </w:pPr>
      <w:rPr>
        <w:rFonts w:hint="default"/>
        <w:b w:val="0"/>
        <w:i w:val="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47E367C"/>
    <w:multiLevelType w:val="hybridMultilevel"/>
    <w:tmpl w:val="A3B4BAAA"/>
    <w:lvl w:ilvl="0" w:tplc="1009000F">
      <w:start w:val="1"/>
      <w:numFmt w:val="decimal"/>
      <w:lvlText w:val="%1."/>
      <w:lvlJc w:val="left"/>
      <w:pPr>
        <w:ind w:left="927" w:hanging="360"/>
      </w:pPr>
    </w:lvl>
    <w:lvl w:ilvl="1" w:tplc="874835A6">
      <w:start w:val="1"/>
      <w:numFmt w:val="lowerLetter"/>
      <w:lvlText w:val="%2)"/>
      <w:lvlJc w:val="left"/>
      <w:pPr>
        <w:ind w:left="810" w:hanging="360"/>
      </w:pPr>
      <w:rPr>
        <w:rFonts w:hint="default"/>
        <w:b w:val="0"/>
        <w:i w:val="0"/>
        <w:sz w:val="23"/>
        <w:szCs w:val="23"/>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5" w15:restartNumberingAfterBreak="0">
    <w:nsid w:val="54870048"/>
    <w:multiLevelType w:val="multilevel"/>
    <w:tmpl w:val="CD968682"/>
    <w:lvl w:ilvl="0">
      <w:start w:val="1"/>
      <w:numFmt w:val="lowerLetter"/>
      <w:lvlText w:val="(%1)"/>
      <w:lvlJc w:val="left"/>
      <w:pPr>
        <w:tabs>
          <w:tab w:val="num" w:pos="360"/>
        </w:tabs>
        <w:ind w:left="360" w:hanging="360"/>
      </w:pPr>
      <w:rPr>
        <w:rFonts w:ascii="Arial" w:eastAsia="Arial Unicode MS" w:hAnsi="Arial" w:cs="Times New Roman"/>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54EC2E0B"/>
    <w:multiLevelType w:val="hybridMultilevel"/>
    <w:tmpl w:val="31109384"/>
    <w:lvl w:ilvl="0" w:tplc="0C0C0017">
      <w:start w:val="1"/>
      <w:numFmt w:val="lowerLetter"/>
      <w:lvlText w:val="%1)"/>
      <w:lvlJc w:val="left"/>
      <w:pPr>
        <w:ind w:left="450" w:hanging="45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7" w15:restartNumberingAfterBreak="0">
    <w:nsid w:val="558D51CC"/>
    <w:multiLevelType w:val="hybridMultilevel"/>
    <w:tmpl w:val="384AFC82"/>
    <w:lvl w:ilvl="0" w:tplc="1009000F">
      <w:start w:val="1"/>
      <w:numFmt w:val="decimal"/>
      <w:lvlText w:val="%1."/>
      <w:lvlJc w:val="left"/>
      <w:pPr>
        <w:ind w:left="360" w:hanging="360"/>
      </w:pPr>
    </w:lvl>
    <w:lvl w:ilvl="1" w:tplc="A830ECD8">
      <w:start w:val="1"/>
      <w:numFmt w:val="lowerLetter"/>
      <w:lvlText w:val="%2)"/>
      <w:lvlJc w:val="left"/>
      <w:pPr>
        <w:ind w:left="1080" w:hanging="360"/>
      </w:pPr>
      <w:rPr>
        <w:b w:val="0"/>
        <w:sz w:val="23"/>
        <w:szCs w:val="23"/>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8" w15:restartNumberingAfterBreak="0">
    <w:nsid w:val="559B672E"/>
    <w:multiLevelType w:val="multilevel"/>
    <w:tmpl w:val="CC72DE0E"/>
    <w:lvl w:ilvl="0">
      <w:start w:val="1"/>
      <w:numFmt w:val="lowerLetter"/>
      <w:lvlText w:val="%1)"/>
      <w:lvlJc w:val="left"/>
      <w:pPr>
        <w:ind w:left="360" w:hanging="360"/>
      </w:pPr>
      <w:rPr>
        <w:rFonts w:ascii="Arial" w:eastAsia="Arial" w:hAnsi="Arial"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9" w15:restartNumberingAfterBreak="0">
    <w:nsid w:val="55B53AD1"/>
    <w:multiLevelType w:val="hybridMultilevel"/>
    <w:tmpl w:val="319C9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6A53463"/>
    <w:multiLevelType w:val="hybridMultilevel"/>
    <w:tmpl w:val="99829FCE"/>
    <w:lvl w:ilvl="0" w:tplc="75AEF8E0">
      <w:start w:val="1"/>
      <w:numFmt w:val="decimal"/>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1" w15:restartNumberingAfterBreak="0">
    <w:nsid w:val="570C303D"/>
    <w:multiLevelType w:val="hybridMultilevel"/>
    <w:tmpl w:val="5FD85A42"/>
    <w:lvl w:ilvl="0" w:tplc="04090017">
      <w:start w:val="1"/>
      <w:numFmt w:val="lowerLetter"/>
      <w:lvlText w:val="%1)"/>
      <w:lvlJc w:val="left"/>
      <w:pPr>
        <w:ind w:left="1170" w:hanging="360"/>
      </w:pPr>
      <w:rPr>
        <w:rFonts w:hint="default"/>
        <w:b w:val="0"/>
        <w:i w:val="0"/>
        <w:sz w:val="23"/>
        <w:szCs w:val="23"/>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2" w15:restartNumberingAfterBreak="0">
    <w:nsid w:val="58103410"/>
    <w:multiLevelType w:val="hybridMultilevel"/>
    <w:tmpl w:val="11D8CD92"/>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3" w15:restartNumberingAfterBreak="0">
    <w:nsid w:val="587A79AA"/>
    <w:multiLevelType w:val="hybridMultilevel"/>
    <w:tmpl w:val="CC6CDFC2"/>
    <w:lvl w:ilvl="0" w:tplc="04090017">
      <w:start w:val="1"/>
      <w:numFmt w:val="lowerLetter"/>
      <w:lvlText w:val="%1)"/>
      <w:lvlJc w:val="left"/>
      <w:pPr>
        <w:ind w:left="1068" w:hanging="360"/>
      </w:pPr>
      <w:rPr>
        <w:rFonts w:hint="default"/>
        <w:b w:val="0"/>
        <w:i w:val="0"/>
        <w:sz w:val="23"/>
        <w:szCs w:val="23"/>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44" w15:restartNumberingAfterBreak="0">
    <w:nsid w:val="58B00F63"/>
    <w:multiLevelType w:val="hybridMultilevel"/>
    <w:tmpl w:val="11F650DE"/>
    <w:lvl w:ilvl="0" w:tplc="8E885A8C">
      <w:start w:val="1"/>
      <w:numFmt w:val="lowerLetter"/>
      <w:lvlText w:val="(%1)"/>
      <w:lvlJc w:val="left"/>
      <w:pPr>
        <w:ind w:left="360" w:hanging="360"/>
      </w:pPr>
      <w:rPr>
        <w:rFonts w:ascii="Arial" w:eastAsia="Arial Unicode MS" w:hAnsi="Arial" w:cs="Times New Roman"/>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5" w15:restartNumberingAfterBreak="0">
    <w:nsid w:val="58BF6DF7"/>
    <w:multiLevelType w:val="hybridMultilevel"/>
    <w:tmpl w:val="11E4AB72"/>
    <w:lvl w:ilvl="0" w:tplc="1009000F">
      <w:start w:val="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6" w15:restartNumberingAfterBreak="0">
    <w:nsid w:val="596B368A"/>
    <w:multiLevelType w:val="hybridMultilevel"/>
    <w:tmpl w:val="DD08333E"/>
    <w:lvl w:ilvl="0" w:tplc="2F16D9B0">
      <w:numFmt w:val="bullet"/>
      <w:lvlText w:val="-"/>
      <w:lvlJc w:val="left"/>
      <w:pPr>
        <w:ind w:left="360" w:hanging="360"/>
      </w:pPr>
      <w:rPr>
        <w:rFonts w:ascii="Calibri" w:eastAsia="Times New Roman" w:hAnsi="Calibri" w:cs="Tahoma" w:hint="default"/>
        <w:i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7" w15:restartNumberingAfterBreak="0">
    <w:nsid w:val="59903F91"/>
    <w:multiLevelType w:val="multilevel"/>
    <w:tmpl w:val="98F80B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b w:val="0"/>
        <w:i w:val="0"/>
        <w:sz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8" w15:restartNumberingAfterBreak="0">
    <w:nsid w:val="5A1177B9"/>
    <w:multiLevelType w:val="hybridMultilevel"/>
    <w:tmpl w:val="89AADCF6"/>
    <w:lvl w:ilvl="0" w:tplc="A2A2B594">
      <w:start w:val="1"/>
      <w:numFmt w:val="lowerLetter"/>
      <w:lvlText w:val="%1)"/>
      <w:lvlJc w:val="left"/>
      <w:pPr>
        <w:ind w:left="1080" w:hanging="360"/>
      </w:pPr>
      <w:rPr>
        <w:rFonts w:hint="default"/>
        <w:b w:val="0"/>
        <w:i w:val="0"/>
        <w:sz w:val="23"/>
        <w:szCs w:val="23"/>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9" w15:restartNumberingAfterBreak="0">
    <w:nsid w:val="5A1F3207"/>
    <w:multiLevelType w:val="hybridMultilevel"/>
    <w:tmpl w:val="0B9E1DC0"/>
    <w:lvl w:ilvl="0" w:tplc="75AEF8E0">
      <w:start w:val="1"/>
      <w:numFmt w:val="decimal"/>
      <w:lvlText w:val="%1."/>
      <w:lvlJc w:val="left"/>
      <w:pPr>
        <w:tabs>
          <w:tab w:val="num" w:pos="29"/>
        </w:tabs>
        <w:ind w:left="288" w:hanging="288"/>
      </w:pPr>
      <w:rPr>
        <w:rFonts w:hint="default"/>
        <w:b/>
        <w:i w:val="0"/>
        <w:color w:val="808080"/>
        <w:sz w:val="24"/>
        <w:szCs w:val="20"/>
      </w:rPr>
    </w:lvl>
    <w:lvl w:ilvl="1" w:tplc="6BC49CE4">
      <w:start w:val="1"/>
      <w:numFmt w:val="lowerLetter"/>
      <w:lvlText w:val="%2)"/>
      <w:lvlJc w:val="left"/>
      <w:pPr>
        <w:tabs>
          <w:tab w:val="num" w:pos="1440"/>
        </w:tabs>
        <w:ind w:left="1440" w:hanging="360"/>
      </w:pPr>
      <w:rPr>
        <w:rFonts w:hint="default"/>
        <w:lang w:val="en-CA"/>
      </w:rPr>
    </w:lvl>
    <w:lvl w:ilvl="2" w:tplc="1009000F">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0" w15:restartNumberingAfterBreak="0">
    <w:nsid w:val="5A5B0DCF"/>
    <w:multiLevelType w:val="hybridMultilevel"/>
    <w:tmpl w:val="0E0C37C4"/>
    <w:lvl w:ilvl="0" w:tplc="04090017">
      <w:start w:val="1"/>
      <w:numFmt w:val="lowerLetter"/>
      <w:lvlText w:val="%1)"/>
      <w:lvlJc w:val="left"/>
      <w:pPr>
        <w:ind w:left="1361" w:hanging="360"/>
      </w:pPr>
      <w:rPr>
        <w:rFonts w:hint="default"/>
      </w:rPr>
    </w:lvl>
    <w:lvl w:ilvl="1" w:tplc="10090019" w:tentative="1">
      <w:start w:val="1"/>
      <w:numFmt w:val="lowerLetter"/>
      <w:lvlText w:val="%2."/>
      <w:lvlJc w:val="left"/>
      <w:pPr>
        <w:ind w:left="2081" w:hanging="360"/>
      </w:pPr>
    </w:lvl>
    <w:lvl w:ilvl="2" w:tplc="1009001B" w:tentative="1">
      <w:start w:val="1"/>
      <w:numFmt w:val="lowerRoman"/>
      <w:lvlText w:val="%3."/>
      <w:lvlJc w:val="right"/>
      <w:pPr>
        <w:ind w:left="2801" w:hanging="180"/>
      </w:pPr>
    </w:lvl>
    <w:lvl w:ilvl="3" w:tplc="1009000F" w:tentative="1">
      <w:start w:val="1"/>
      <w:numFmt w:val="decimal"/>
      <w:lvlText w:val="%4."/>
      <w:lvlJc w:val="left"/>
      <w:pPr>
        <w:ind w:left="3521" w:hanging="360"/>
      </w:pPr>
    </w:lvl>
    <w:lvl w:ilvl="4" w:tplc="10090019" w:tentative="1">
      <w:start w:val="1"/>
      <w:numFmt w:val="lowerLetter"/>
      <w:lvlText w:val="%5."/>
      <w:lvlJc w:val="left"/>
      <w:pPr>
        <w:ind w:left="4241" w:hanging="360"/>
      </w:pPr>
    </w:lvl>
    <w:lvl w:ilvl="5" w:tplc="1009001B" w:tentative="1">
      <w:start w:val="1"/>
      <w:numFmt w:val="lowerRoman"/>
      <w:lvlText w:val="%6."/>
      <w:lvlJc w:val="right"/>
      <w:pPr>
        <w:ind w:left="4961" w:hanging="180"/>
      </w:pPr>
    </w:lvl>
    <w:lvl w:ilvl="6" w:tplc="1009000F" w:tentative="1">
      <w:start w:val="1"/>
      <w:numFmt w:val="decimal"/>
      <w:lvlText w:val="%7."/>
      <w:lvlJc w:val="left"/>
      <w:pPr>
        <w:ind w:left="5681" w:hanging="360"/>
      </w:pPr>
    </w:lvl>
    <w:lvl w:ilvl="7" w:tplc="10090019" w:tentative="1">
      <w:start w:val="1"/>
      <w:numFmt w:val="lowerLetter"/>
      <w:lvlText w:val="%8."/>
      <w:lvlJc w:val="left"/>
      <w:pPr>
        <w:ind w:left="6401" w:hanging="360"/>
      </w:pPr>
    </w:lvl>
    <w:lvl w:ilvl="8" w:tplc="1009001B" w:tentative="1">
      <w:start w:val="1"/>
      <w:numFmt w:val="lowerRoman"/>
      <w:lvlText w:val="%9."/>
      <w:lvlJc w:val="right"/>
      <w:pPr>
        <w:ind w:left="7121" w:hanging="180"/>
      </w:pPr>
    </w:lvl>
  </w:abstractNum>
  <w:abstractNum w:abstractNumId="251" w15:restartNumberingAfterBreak="0">
    <w:nsid w:val="5ABF2DA0"/>
    <w:multiLevelType w:val="hybridMultilevel"/>
    <w:tmpl w:val="7D38488E"/>
    <w:lvl w:ilvl="0" w:tplc="09A0A372">
      <w:start w:val="1"/>
      <w:numFmt w:val="lowerRoman"/>
      <w:lvlText w:val="%1)"/>
      <w:lvlJc w:val="right"/>
      <w:pPr>
        <w:ind w:left="1440" w:hanging="360"/>
      </w:pPr>
      <w:rPr>
        <w:rFonts w:hint="default"/>
        <w:b w:val="0"/>
        <w:i w:val="0"/>
        <w:sz w:val="2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5AF40A49"/>
    <w:multiLevelType w:val="hybridMultilevel"/>
    <w:tmpl w:val="D18471E8"/>
    <w:lvl w:ilvl="0" w:tplc="CC18450C">
      <w:start w:val="1"/>
      <w:numFmt w:val="lowerLetter"/>
      <w:lvlText w:val="(%1)"/>
      <w:lvlJc w:val="left"/>
      <w:pPr>
        <w:ind w:left="1086" w:hanging="360"/>
      </w:pPr>
      <w:rPr>
        <w:rFonts w:ascii="Arial" w:hAnsi="Arial" w:hint="default"/>
        <w:b w:val="0"/>
        <w:i w:val="0"/>
        <w:sz w:val="20"/>
        <w:szCs w:val="20"/>
      </w:rPr>
    </w:lvl>
    <w:lvl w:ilvl="1" w:tplc="4F4A1A14">
      <w:start w:val="1"/>
      <w:numFmt w:val="lowerLetter"/>
      <w:lvlText w:val="(%2)"/>
      <w:lvlJc w:val="left"/>
      <w:pPr>
        <w:ind w:left="1806" w:hanging="360"/>
      </w:pPr>
      <w:rPr>
        <w:rFonts w:ascii="Arial" w:hAnsi="Arial" w:hint="default"/>
        <w:b w:val="0"/>
        <w:i w:val="0"/>
        <w:sz w:val="23"/>
        <w:szCs w:val="23"/>
      </w:r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53" w15:restartNumberingAfterBreak="0">
    <w:nsid w:val="5C1B479F"/>
    <w:multiLevelType w:val="hybridMultilevel"/>
    <w:tmpl w:val="A5949238"/>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4" w15:restartNumberingAfterBreak="0">
    <w:nsid w:val="5C4634C7"/>
    <w:multiLevelType w:val="hybridMultilevel"/>
    <w:tmpl w:val="C9149D90"/>
    <w:lvl w:ilvl="0" w:tplc="CDAAA6C8">
      <w:start w:val="1"/>
      <w:numFmt w:val="lowerRoman"/>
      <w:lvlText w:val="(%1)"/>
      <w:lvlJc w:val="left"/>
      <w:pPr>
        <w:ind w:left="1272" w:hanging="360"/>
      </w:pPr>
      <w:rPr>
        <w:rFonts w:ascii="Arial" w:eastAsia="Times New Roman" w:hAnsi="Arial" w:cs="Arial" w:hint="default"/>
      </w:rPr>
    </w:lvl>
    <w:lvl w:ilvl="1" w:tplc="10090003" w:tentative="1">
      <w:start w:val="1"/>
      <w:numFmt w:val="bullet"/>
      <w:lvlText w:val="o"/>
      <w:lvlJc w:val="left"/>
      <w:pPr>
        <w:ind w:left="1992" w:hanging="360"/>
      </w:pPr>
      <w:rPr>
        <w:rFonts w:ascii="Courier New" w:hAnsi="Courier New" w:cs="Courier New" w:hint="default"/>
      </w:rPr>
    </w:lvl>
    <w:lvl w:ilvl="2" w:tplc="10090005" w:tentative="1">
      <w:start w:val="1"/>
      <w:numFmt w:val="bullet"/>
      <w:lvlText w:val=""/>
      <w:lvlJc w:val="left"/>
      <w:pPr>
        <w:ind w:left="2712" w:hanging="360"/>
      </w:pPr>
      <w:rPr>
        <w:rFonts w:ascii="Wingdings" w:hAnsi="Wingdings" w:hint="default"/>
      </w:rPr>
    </w:lvl>
    <w:lvl w:ilvl="3" w:tplc="10090001" w:tentative="1">
      <w:start w:val="1"/>
      <w:numFmt w:val="bullet"/>
      <w:lvlText w:val=""/>
      <w:lvlJc w:val="left"/>
      <w:pPr>
        <w:ind w:left="3432" w:hanging="360"/>
      </w:pPr>
      <w:rPr>
        <w:rFonts w:ascii="Symbol" w:hAnsi="Symbol" w:hint="default"/>
      </w:rPr>
    </w:lvl>
    <w:lvl w:ilvl="4" w:tplc="10090003" w:tentative="1">
      <w:start w:val="1"/>
      <w:numFmt w:val="bullet"/>
      <w:lvlText w:val="o"/>
      <w:lvlJc w:val="left"/>
      <w:pPr>
        <w:ind w:left="4152" w:hanging="360"/>
      </w:pPr>
      <w:rPr>
        <w:rFonts w:ascii="Courier New" w:hAnsi="Courier New" w:cs="Courier New" w:hint="default"/>
      </w:rPr>
    </w:lvl>
    <w:lvl w:ilvl="5" w:tplc="10090005" w:tentative="1">
      <w:start w:val="1"/>
      <w:numFmt w:val="bullet"/>
      <w:lvlText w:val=""/>
      <w:lvlJc w:val="left"/>
      <w:pPr>
        <w:ind w:left="4872" w:hanging="360"/>
      </w:pPr>
      <w:rPr>
        <w:rFonts w:ascii="Wingdings" w:hAnsi="Wingdings" w:hint="default"/>
      </w:rPr>
    </w:lvl>
    <w:lvl w:ilvl="6" w:tplc="10090001" w:tentative="1">
      <w:start w:val="1"/>
      <w:numFmt w:val="bullet"/>
      <w:lvlText w:val=""/>
      <w:lvlJc w:val="left"/>
      <w:pPr>
        <w:ind w:left="5592" w:hanging="360"/>
      </w:pPr>
      <w:rPr>
        <w:rFonts w:ascii="Symbol" w:hAnsi="Symbol" w:hint="default"/>
      </w:rPr>
    </w:lvl>
    <w:lvl w:ilvl="7" w:tplc="10090003" w:tentative="1">
      <w:start w:val="1"/>
      <w:numFmt w:val="bullet"/>
      <w:lvlText w:val="o"/>
      <w:lvlJc w:val="left"/>
      <w:pPr>
        <w:ind w:left="6312" w:hanging="360"/>
      </w:pPr>
      <w:rPr>
        <w:rFonts w:ascii="Courier New" w:hAnsi="Courier New" w:cs="Courier New" w:hint="default"/>
      </w:rPr>
    </w:lvl>
    <w:lvl w:ilvl="8" w:tplc="10090005" w:tentative="1">
      <w:start w:val="1"/>
      <w:numFmt w:val="bullet"/>
      <w:lvlText w:val=""/>
      <w:lvlJc w:val="left"/>
      <w:pPr>
        <w:ind w:left="7032" w:hanging="360"/>
      </w:pPr>
      <w:rPr>
        <w:rFonts w:ascii="Wingdings" w:hAnsi="Wingdings" w:hint="default"/>
      </w:rPr>
    </w:lvl>
  </w:abstractNum>
  <w:abstractNum w:abstractNumId="255" w15:restartNumberingAfterBreak="0">
    <w:nsid w:val="5CD76FB3"/>
    <w:multiLevelType w:val="hybridMultilevel"/>
    <w:tmpl w:val="0F80FD24"/>
    <w:lvl w:ilvl="0" w:tplc="ECBA19AE">
      <w:start w:val="1"/>
      <w:numFmt w:val="lowerLetter"/>
      <w:lvlText w:val="(%1)"/>
      <w:lvlJc w:val="left"/>
      <w:pPr>
        <w:ind w:left="720" w:hanging="360"/>
      </w:pPr>
      <w:rPr>
        <w:rFonts w:cs="Times New Roman" w:hint="default"/>
        <w:color w:val="auto"/>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6" w15:restartNumberingAfterBreak="0">
    <w:nsid w:val="5DDB637F"/>
    <w:multiLevelType w:val="hybridMultilevel"/>
    <w:tmpl w:val="831098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7" w15:restartNumberingAfterBreak="0">
    <w:nsid w:val="5F9E7DDD"/>
    <w:multiLevelType w:val="hybridMultilevel"/>
    <w:tmpl w:val="B72A3CEE"/>
    <w:lvl w:ilvl="0" w:tplc="09A0A372">
      <w:start w:val="1"/>
      <w:numFmt w:val="lowerRoman"/>
      <w:lvlText w:val="%1)"/>
      <w:lvlJc w:val="right"/>
      <w:pPr>
        <w:ind w:left="2250" w:hanging="360"/>
      </w:pPr>
      <w:rPr>
        <w:rFonts w:hint="default"/>
        <w:b w:val="0"/>
        <w:i w:val="0"/>
        <w:sz w:val="23"/>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8" w15:restartNumberingAfterBreak="0">
    <w:nsid w:val="5FD959EC"/>
    <w:multiLevelType w:val="hybridMultilevel"/>
    <w:tmpl w:val="500C2D1C"/>
    <w:lvl w:ilvl="0" w:tplc="DD549AD8">
      <w:start w:val="1"/>
      <w:numFmt w:val="lowerLetter"/>
      <w:lvlText w:val="%1)"/>
      <w:lvlJc w:val="left"/>
      <w:pPr>
        <w:ind w:left="1440" w:hanging="360"/>
      </w:pPr>
      <w:rPr>
        <w:rFonts w:hint="default"/>
        <w:b w:val="0"/>
        <w:i w:val="0"/>
        <w:sz w:val="23"/>
        <w:szCs w:val="23"/>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9" w15:restartNumberingAfterBreak="0">
    <w:nsid w:val="60160636"/>
    <w:multiLevelType w:val="multilevel"/>
    <w:tmpl w:val="64A68F02"/>
    <w:lvl w:ilvl="0">
      <w:start w:val="1"/>
      <w:numFmt w:val="lowerLetter"/>
      <w:lvlText w:val="%1)"/>
      <w:lvlJc w:val="left"/>
      <w:pPr>
        <w:tabs>
          <w:tab w:val="num" w:pos="360"/>
        </w:tabs>
        <w:ind w:left="360" w:hanging="360"/>
      </w:pPr>
      <w:rPr>
        <w:rFonts w:hint="default"/>
        <w:b w:val="0"/>
        <w:i w:val="0"/>
        <w:sz w:val="23"/>
        <w:szCs w:val="23"/>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15:restartNumberingAfterBreak="0">
    <w:nsid w:val="604E6A5C"/>
    <w:multiLevelType w:val="hybridMultilevel"/>
    <w:tmpl w:val="5A22408A"/>
    <w:lvl w:ilvl="0" w:tplc="82883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0626D80"/>
    <w:multiLevelType w:val="hybridMultilevel"/>
    <w:tmpl w:val="6B88A5F0"/>
    <w:lvl w:ilvl="0" w:tplc="CA0E1C4E">
      <w:start w:val="1"/>
      <w:numFmt w:val="lowerLetter"/>
      <w:lvlText w:val="%1)"/>
      <w:lvlJc w:val="left"/>
      <w:pPr>
        <w:ind w:left="1353" w:hanging="360"/>
      </w:pPr>
      <w:rPr>
        <w:rFonts w:hint="default"/>
        <w:b w:val="0"/>
        <w:i w:val="0"/>
        <w:sz w:val="23"/>
        <w:szCs w:val="23"/>
      </w:rPr>
    </w:lvl>
    <w:lvl w:ilvl="1" w:tplc="09A0A372">
      <w:start w:val="1"/>
      <w:numFmt w:val="lowerRoman"/>
      <w:lvlText w:val="%2)"/>
      <w:lvlJc w:val="right"/>
      <w:pPr>
        <w:ind w:left="2149" w:hanging="360"/>
      </w:pPr>
      <w:rPr>
        <w:rFonts w:hint="default"/>
        <w:b w:val="0"/>
        <w:i w:val="0"/>
        <w:sz w:val="23"/>
      </w:r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62" w15:restartNumberingAfterBreak="0">
    <w:nsid w:val="614E2964"/>
    <w:multiLevelType w:val="hybridMultilevel"/>
    <w:tmpl w:val="77B85E88"/>
    <w:lvl w:ilvl="0" w:tplc="09A0A372">
      <w:start w:val="1"/>
      <w:numFmt w:val="lowerRoman"/>
      <w:lvlText w:val="%1)"/>
      <w:lvlJc w:val="right"/>
      <w:pPr>
        <w:ind w:left="1440" w:hanging="720"/>
      </w:pPr>
      <w:rPr>
        <w:rFonts w:hint="default"/>
        <w:b w:val="0"/>
        <w:i w:val="0"/>
        <w:sz w:val="23"/>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3" w15:restartNumberingAfterBreak="0">
    <w:nsid w:val="617F0AD8"/>
    <w:multiLevelType w:val="hybridMultilevel"/>
    <w:tmpl w:val="786678DC"/>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4" w15:restartNumberingAfterBreak="0">
    <w:nsid w:val="61DF057E"/>
    <w:multiLevelType w:val="hybridMultilevel"/>
    <w:tmpl w:val="A666272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5" w15:restartNumberingAfterBreak="0">
    <w:nsid w:val="629A7082"/>
    <w:multiLevelType w:val="hybridMultilevel"/>
    <w:tmpl w:val="70FCDE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6" w15:restartNumberingAfterBreak="0">
    <w:nsid w:val="632305C7"/>
    <w:multiLevelType w:val="hybridMultilevel"/>
    <w:tmpl w:val="C07AB4F6"/>
    <w:lvl w:ilvl="0" w:tplc="04090017">
      <w:start w:val="1"/>
      <w:numFmt w:val="lowerLetter"/>
      <w:lvlText w:val="%1)"/>
      <w:lvlJc w:val="left"/>
      <w:pPr>
        <w:ind w:left="1080" w:hanging="360"/>
      </w:pPr>
      <w:rPr>
        <w:rFonts w:hint="default"/>
        <w:b w:val="0"/>
        <w:i w:val="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7" w15:restartNumberingAfterBreak="0">
    <w:nsid w:val="6365626E"/>
    <w:multiLevelType w:val="hybridMultilevel"/>
    <w:tmpl w:val="B1163F8A"/>
    <w:lvl w:ilvl="0" w:tplc="1009000F">
      <w:start w:val="1"/>
      <w:numFmt w:val="decimal"/>
      <w:lvlText w:val="%1."/>
      <w:lvlJc w:val="left"/>
      <w:pPr>
        <w:ind w:left="450" w:hanging="360"/>
      </w:pPr>
    </w:lvl>
    <w:lvl w:ilvl="1" w:tplc="04090017">
      <w:start w:val="1"/>
      <w:numFmt w:val="lowerLetter"/>
      <w:lvlText w:val="%2)"/>
      <w:lvlJc w:val="left"/>
      <w:pPr>
        <w:ind w:left="1800" w:hanging="360"/>
      </w:pPr>
      <w:rPr>
        <w:rFonts w:hint="default"/>
        <w:b w:val="0"/>
        <w:i w:val="0"/>
        <w:sz w:val="23"/>
        <w:szCs w:val="23"/>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8" w15:restartNumberingAfterBreak="0">
    <w:nsid w:val="63657036"/>
    <w:multiLevelType w:val="hybridMultilevel"/>
    <w:tmpl w:val="45B21DC6"/>
    <w:lvl w:ilvl="0" w:tplc="0C0C0017">
      <w:start w:val="1"/>
      <w:numFmt w:val="lowerLetter"/>
      <w:lvlText w:val="%1)"/>
      <w:lvlJc w:val="left"/>
      <w:pPr>
        <w:ind w:left="1872" w:hanging="720"/>
      </w:pPr>
      <w:rPr>
        <w:rFonts w:hint="default"/>
      </w:rPr>
    </w:lvl>
    <w:lvl w:ilvl="1" w:tplc="10090019" w:tentative="1">
      <w:start w:val="1"/>
      <w:numFmt w:val="lowerLetter"/>
      <w:lvlText w:val="%2."/>
      <w:lvlJc w:val="left"/>
      <w:pPr>
        <w:ind w:left="2232" w:hanging="360"/>
      </w:pPr>
    </w:lvl>
    <w:lvl w:ilvl="2" w:tplc="1009001B" w:tentative="1">
      <w:start w:val="1"/>
      <w:numFmt w:val="lowerRoman"/>
      <w:lvlText w:val="%3."/>
      <w:lvlJc w:val="right"/>
      <w:pPr>
        <w:ind w:left="2952" w:hanging="180"/>
      </w:pPr>
    </w:lvl>
    <w:lvl w:ilvl="3" w:tplc="1009000F" w:tentative="1">
      <w:start w:val="1"/>
      <w:numFmt w:val="decimal"/>
      <w:lvlText w:val="%4."/>
      <w:lvlJc w:val="left"/>
      <w:pPr>
        <w:ind w:left="3672" w:hanging="360"/>
      </w:pPr>
    </w:lvl>
    <w:lvl w:ilvl="4" w:tplc="10090019" w:tentative="1">
      <w:start w:val="1"/>
      <w:numFmt w:val="lowerLetter"/>
      <w:lvlText w:val="%5."/>
      <w:lvlJc w:val="left"/>
      <w:pPr>
        <w:ind w:left="4392" w:hanging="360"/>
      </w:pPr>
    </w:lvl>
    <w:lvl w:ilvl="5" w:tplc="1009001B" w:tentative="1">
      <w:start w:val="1"/>
      <w:numFmt w:val="lowerRoman"/>
      <w:lvlText w:val="%6."/>
      <w:lvlJc w:val="right"/>
      <w:pPr>
        <w:ind w:left="5112" w:hanging="180"/>
      </w:pPr>
    </w:lvl>
    <w:lvl w:ilvl="6" w:tplc="1009000F" w:tentative="1">
      <w:start w:val="1"/>
      <w:numFmt w:val="decimal"/>
      <w:lvlText w:val="%7."/>
      <w:lvlJc w:val="left"/>
      <w:pPr>
        <w:ind w:left="5832" w:hanging="360"/>
      </w:pPr>
    </w:lvl>
    <w:lvl w:ilvl="7" w:tplc="10090019" w:tentative="1">
      <w:start w:val="1"/>
      <w:numFmt w:val="lowerLetter"/>
      <w:lvlText w:val="%8."/>
      <w:lvlJc w:val="left"/>
      <w:pPr>
        <w:ind w:left="6552" w:hanging="360"/>
      </w:pPr>
    </w:lvl>
    <w:lvl w:ilvl="8" w:tplc="1009001B" w:tentative="1">
      <w:start w:val="1"/>
      <w:numFmt w:val="lowerRoman"/>
      <w:lvlText w:val="%9."/>
      <w:lvlJc w:val="right"/>
      <w:pPr>
        <w:ind w:left="7272" w:hanging="180"/>
      </w:pPr>
    </w:lvl>
  </w:abstractNum>
  <w:abstractNum w:abstractNumId="269" w15:restartNumberingAfterBreak="0">
    <w:nsid w:val="640312D1"/>
    <w:multiLevelType w:val="multilevel"/>
    <w:tmpl w:val="24F4167E"/>
    <w:lvl w:ilvl="0">
      <w:start w:val="1"/>
      <w:numFmt w:val="lowerLetter"/>
      <w:lvlText w:val="%1)"/>
      <w:lvlJc w:val="left"/>
      <w:pPr>
        <w:tabs>
          <w:tab w:val="num" w:pos="720"/>
        </w:tabs>
        <w:ind w:left="720" w:hanging="360"/>
      </w:pPr>
      <w:rPr>
        <w:rFonts w:hint="default"/>
        <w:sz w:val="23"/>
        <w:szCs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4765499"/>
    <w:multiLevelType w:val="hybridMultilevel"/>
    <w:tmpl w:val="FCCE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5054923"/>
    <w:multiLevelType w:val="hybridMultilevel"/>
    <w:tmpl w:val="FB9292B2"/>
    <w:lvl w:ilvl="0" w:tplc="04090017">
      <w:start w:val="1"/>
      <w:numFmt w:val="lowerLetter"/>
      <w:lvlText w:val="%1)"/>
      <w:lvlJc w:val="left"/>
      <w:pPr>
        <w:ind w:left="1440" w:hanging="720"/>
      </w:pPr>
      <w:rPr>
        <w:rFonts w:hint="default"/>
        <w:b w:val="0"/>
        <w:i w:val="0"/>
        <w:sz w:val="23"/>
        <w:szCs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15:restartNumberingAfterBreak="0">
    <w:nsid w:val="65D27B4D"/>
    <w:multiLevelType w:val="hybridMultilevel"/>
    <w:tmpl w:val="1A044AEE"/>
    <w:lvl w:ilvl="0" w:tplc="04090017">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3" w15:restartNumberingAfterBreak="0">
    <w:nsid w:val="66632E8A"/>
    <w:multiLevelType w:val="hybridMultilevel"/>
    <w:tmpl w:val="B18CF616"/>
    <w:lvl w:ilvl="0" w:tplc="8E885A8C">
      <w:start w:val="1"/>
      <w:numFmt w:val="lowerLetter"/>
      <w:lvlText w:val="(%1)"/>
      <w:lvlJc w:val="left"/>
      <w:pPr>
        <w:ind w:left="720" w:hanging="360"/>
      </w:pPr>
      <w:rPr>
        <w:rFonts w:ascii="Arial" w:eastAsia="Arial Unicode MS" w:hAnsi="Arial" w:cs="Times New Roman"/>
        <w:b w:val="0"/>
      </w:rPr>
    </w:lvl>
    <w:lvl w:ilvl="1" w:tplc="8E885A8C">
      <w:start w:val="1"/>
      <w:numFmt w:val="lowerLetter"/>
      <w:lvlText w:val="(%2)"/>
      <w:lvlJc w:val="left"/>
      <w:pPr>
        <w:ind w:left="1440" w:hanging="360"/>
      </w:pPr>
      <w:rPr>
        <w:rFonts w:ascii="Arial" w:eastAsia="Arial Unicode MS" w:hAnsi="Arial"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6F6A4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15:restartNumberingAfterBreak="0">
    <w:nsid w:val="67131932"/>
    <w:multiLevelType w:val="hybridMultilevel"/>
    <w:tmpl w:val="61985C06"/>
    <w:lvl w:ilvl="0" w:tplc="7FCE7426">
      <w:start w:val="1"/>
      <w:numFmt w:val="lowerLetter"/>
      <w:lvlText w:val="%1)"/>
      <w:lvlJc w:val="left"/>
      <w:pPr>
        <w:ind w:left="1305" w:hanging="630"/>
      </w:pPr>
      <w:rPr>
        <w:rFonts w:hint="default"/>
      </w:rPr>
    </w:lvl>
    <w:lvl w:ilvl="1" w:tplc="0C0C0019" w:tentative="1">
      <w:start w:val="1"/>
      <w:numFmt w:val="lowerLetter"/>
      <w:lvlText w:val="%2."/>
      <w:lvlJc w:val="left"/>
      <w:pPr>
        <w:ind w:left="1755" w:hanging="360"/>
      </w:pPr>
    </w:lvl>
    <w:lvl w:ilvl="2" w:tplc="0C0C001B" w:tentative="1">
      <w:start w:val="1"/>
      <w:numFmt w:val="lowerRoman"/>
      <w:lvlText w:val="%3."/>
      <w:lvlJc w:val="right"/>
      <w:pPr>
        <w:ind w:left="2475" w:hanging="180"/>
      </w:pPr>
    </w:lvl>
    <w:lvl w:ilvl="3" w:tplc="0C0C000F" w:tentative="1">
      <w:start w:val="1"/>
      <w:numFmt w:val="decimal"/>
      <w:lvlText w:val="%4."/>
      <w:lvlJc w:val="left"/>
      <w:pPr>
        <w:ind w:left="3195" w:hanging="360"/>
      </w:pPr>
    </w:lvl>
    <w:lvl w:ilvl="4" w:tplc="0C0C0019" w:tentative="1">
      <w:start w:val="1"/>
      <w:numFmt w:val="lowerLetter"/>
      <w:lvlText w:val="%5."/>
      <w:lvlJc w:val="left"/>
      <w:pPr>
        <w:ind w:left="3915" w:hanging="360"/>
      </w:pPr>
    </w:lvl>
    <w:lvl w:ilvl="5" w:tplc="0C0C001B" w:tentative="1">
      <w:start w:val="1"/>
      <w:numFmt w:val="lowerRoman"/>
      <w:lvlText w:val="%6."/>
      <w:lvlJc w:val="right"/>
      <w:pPr>
        <w:ind w:left="4635" w:hanging="180"/>
      </w:pPr>
    </w:lvl>
    <w:lvl w:ilvl="6" w:tplc="0C0C000F" w:tentative="1">
      <w:start w:val="1"/>
      <w:numFmt w:val="decimal"/>
      <w:lvlText w:val="%7."/>
      <w:lvlJc w:val="left"/>
      <w:pPr>
        <w:ind w:left="5355" w:hanging="360"/>
      </w:pPr>
    </w:lvl>
    <w:lvl w:ilvl="7" w:tplc="0C0C0019" w:tentative="1">
      <w:start w:val="1"/>
      <w:numFmt w:val="lowerLetter"/>
      <w:lvlText w:val="%8."/>
      <w:lvlJc w:val="left"/>
      <w:pPr>
        <w:ind w:left="6075" w:hanging="360"/>
      </w:pPr>
    </w:lvl>
    <w:lvl w:ilvl="8" w:tplc="0C0C001B" w:tentative="1">
      <w:start w:val="1"/>
      <w:numFmt w:val="lowerRoman"/>
      <w:lvlText w:val="%9."/>
      <w:lvlJc w:val="right"/>
      <w:pPr>
        <w:ind w:left="6795" w:hanging="180"/>
      </w:pPr>
    </w:lvl>
  </w:abstractNum>
  <w:abstractNum w:abstractNumId="276" w15:restartNumberingAfterBreak="0">
    <w:nsid w:val="67242FDA"/>
    <w:multiLevelType w:val="hybridMultilevel"/>
    <w:tmpl w:val="0040EAEA"/>
    <w:lvl w:ilvl="0" w:tplc="A87AC3E2">
      <w:start w:val="1"/>
      <w:numFmt w:val="decimal"/>
      <w:lvlText w:val="%1."/>
      <w:lvlJc w:val="left"/>
      <w:pPr>
        <w:ind w:left="63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7" w15:restartNumberingAfterBreak="0">
    <w:nsid w:val="676566E7"/>
    <w:multiLevelType w:val="hybridMultilevel"/>
    <w:tmpl w:val="15F6DC2A"/>
    <w:lvl w:ilvl="0" w:tplc="04090017">
      <w:start w:val="1"/>
      <w:numFmt w:val="lowerLetter"/>
      <w:lvlText w:val="%1)"/>
      <w:lvlJc w:val="left"/>
      <w:pPr>
        <w:ind w:left="1361" w:hanging="360"/>
      </w:pPr>
      <w:rPr>
        <w:rFonts w:hint="default"/>
      </w:rPr>
    </w:lvl>
    <w:lvl w:ilvl="1" w:tplc="10090019" w:tentative="1">
      <w:start w:val="1"/>
      <w:numFmt w:val="lowerLetter"/>
      <w:lvlText w:val="%2."/>
      <w:lvlJc w:val="left"/>
      <w:pPr>
        <w:ind w:left="2081" w:hanging="360"/>
      </w:pPr>
    </w:lvl>
    <w:lvl w:ilvl="2" w:tplc="1009001B" w:tentative="1">
      <w:start w:val="1"/>
      <w:numFmt w:val="lowerRoman"/>
      <w:lvlText w:val="%3."/>
      <w:lvlJc w:val="right"/>
      <w:pPr>
        <w:ind w:left="2801" w:hanging="180"/>
      </w:pPr>
    </w:lvl>
    <w:lvl w:ilvl="3" w:tplc="1009000F" w:tentative="1">
      <w:start w:val="1"/>
      <w:numFmt w:val="decimal"/>
      <w:lvlText w:val="%4."/>
      <w:lvlJc w:val="left"/>
      <w:pPr>
        <w:ind w:left="3521" w:hanging="360"/>
      </w:pPr>
    </w:lvl>
    <w:lvl w:ilvl="4" w:tplc="10090019" w:tentative="1">
      <w:start w:val="1"/>
      <w:numFmt w:val="lowerLetter"/>
      <w:lvlText w:val="%5."/>
      <w:lvlJc w:val="left"/>
      <w:pPr>
        <w:ind w:left="4241" w:hanging="360"/>
      </w:pPr>
    </w:lvl>
    <w:lvl w:ilvl="5" w:tplc="1009001B" w:tentative="1">
      <w:start w:val="1"/>
      <w:numFmt w:val="lowerRoman"/>
      <w:lvlText w:val="%6."/>
      <w:lvlJc w:val="right"/>
      <w:pPr>
        <w:ind w:left="4961" w:hanging="180"/>
      </w:pPr>
    </w:lvl>
    <w:lvl w:ilvl="6" w:tplc="1009000F" w:tentative="1">
      <w:start w:val="1"/>
      <w:numFmt w:val="decimal"/>
      <w:lvlText w:val="%7."/>
      <w:lvlJc w:val="left"/>
      <w:pPr>
        <w:ind w:left="5681" w:hanging="360"/>
      </w:pPr>
    </w:lvl>
    <w:lvl w:ilvl="7" w:tplc="10090019" w:tentative="1">
      <w:start w:val="1"/>
      <w:numFmt w:val="lowerLetter"/>
      <w:lvlText w:val="%8."/>
      <w:lvlJc w:val="left"/>
      <w:pPr>
        <w:ind w:left="6401" w:hanging="360"/>
      </w:pPr>
    </w:lvl>
    <w:lvl w:ilvl="8" w:tplc="1009001B" w:tentative="1">
      <w:start w:val="1"/>
      <w:numFmt w:val="lowerRoman"/>
      <w:lvlText w:val="%9."/>
      <w:lvlJc w:val="right"/>
      <w:pPr>
        <w:ind w:left="7121" w:hanging="180"/>
      </w:pPr>
    </w:lvl>
  </w:abstractNum>
  <w:abstractNum w:abstractNumId="278" w15:restartNumberingAfterBreak="0">
    <w:nsid w:val="676A211F"/>
    <w:multiLevelType w:val="hybridMultilevel"/>
    <w:tmpl w:val="95323D0E"/>
    <w:lvl w:ilvl="0" w:tplc="09A0A372">
      <w:start w:val="1"/>
      <w:numFmt w:val="lowerRoman"/>
      <w:lvlText w:val="%1)"/>
      <w:lvlJc w:val="right"/>
      <w:pPr>
        <w:ind w:left="2171" w:hanging="360"/>
      </w:pPr>
      <w:rPr>
        <w:rFonts w:hint="default"/>
        <w:b w:val="0"/>
        <w:i w:val="0"/>
        <w:sz w:val="23"/>
      </w:rPr>
    </w:lvl>
    <w:lvl w:ilvl="1" w:tplc="04090019" w:tentative="1">
      <w:start w:val="1"/>
      <w:numFmt w:val="lowerLetter"/>
      <w:lvlText w:val="%2."/>
      <w:lvlJc w:val="left"/>
      <w:pPr>
        <w:ind w:left="2891" w:hanging="360"/>
      </w:pPr>
    </w:lvl>
    <w:lvl w:ilvl="2" w:tplc="0409001B" w:tentative="1">
      <w:start w:val="1"/>
      <w:numFmt w:val="lowerRoman"/>
      <w:lvlText w:val="%3."/>
      <w:lvlJc w:val="right"/>
      <w:pPr>
        <w:ind w:left="3611" w:hanging="180"/>
      </w:pPr>
    </w:lvl>
    <w:lvl w:ilvl="3" w:tplc="0409000F" w:tentative="1">
      <w:start w:val="1"/>
      <w:numFmt w:val="decimal"/>
      <w:lvlText w:val="%4."/>
      <w:lvlJc w:val="left"/>
      <w:pPr>
        <w:ind w:left="4331" w:hanging="360"/>
      </w:pPr>
    </w:lvl>
    <w:lvl w:ilvl="4" w:tplc="04090019" w:tentative="1">
      <w:start w:val="1"/>
      <w:numFmt w:val="lowerLetter"/>
      <w:lvlText w:val="%5."/>
      <w:lvlJc w:val="left"/>
      <w:pPr>
        <w:ind w:left="5051" w:hanging="360"/>
      </w:pPr>
    </w:lvl>
    <w:lvl w:ilvl="5" w:tplc="0409001B" w:tentative="1">
      <w:start w:val="1"/>
      <w:numFmt w:val="lowerRoman"/>
      <w:lvlText w:val="%6."/>
      <w:lvlJc w:val="right"/>
      <w:pPr>
        <w:ind w:left="5771" w:hanging="180"/>
      </w:pPr>
    </w:lvl>
    <w:lvl w:ilvl="6" w:tplc="0409000F" w:tentative="1">
      <w:start w:val="1"/>
      <w:numFmt w:val="decimal"/>
      <w:lvlText w:val="%7."/>
      <w:lvlJc w:val="left"/>
      <w:pPr>
        <w:ind w:left="6491" w:hanging="360"/>
      </w:pPr>
    </w:lvl>
    <w:lvl w:ilvl="7" w:tplc="04090019" w:tentative="1">
      <w:start w:val="1"/>
      <w:numFmt w:val="lowerLetter"/>
      <w:lvlText w:val="%8."/>
      <w:lvlJc w:val="left"/>
      <w:pPr>
        <w:ind w:left="7211" w:hanging="360"/>
      </w:pPr>
    </w:lvl>
    <w:lvl w:ilvl="8" w:tplc="0409001B" w:tentative="1">
      <w:start w:val="1"/>
      <w:numFmt w:val="lowerRoman"/>
      <w:lvlText w:val="%9."/>
      <w:lvlJc w:val="right"/>
      <w:pPr>
        <w:ind w:left="7931" w:hanging="180"/>
      </w:pPr>
    </w:lvl>
  </w:abstractNum>
  <w:abstractNum w:abstractNumId="279" w15:restartNumberingAfterBreak="0">
    <w:nsid w:val="680D0486"/>
    <w:multiLevelType w:val="hybridMultilevel"/>
    <w:tmpl w:val="20884B88"/>
    <w:lvl w:ilvl="0" w:tplc="04090017">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0" w15:restartNumberingAfterBreak="0">
    <w:nsid w:val="6915096D"/>
    <w:multiLevelType w:val="hybridMultilevel"/>
    <w:tmpl w:val="87343E00"/>
    <w:lvl w:ilvl="0" w:tplc="8E885A8C">
      <w:start w:val="1"/>
      <w:numFmt w:val="lowerLetter"/>
      <w:lvlText w:val="(%1)"/>
      <w:lvlJc w:val="left"/>
      <w:pPr>
        <w:ind w:left="720" w:hanging="360"/>
      </w:pPr>
      <w:rPr>
        <w:rFonts w:ascii="Arial" w:eastAsia="Arial Unicode MS" w:hAnsi="Arial" w:cs="Times New Roman"/>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1" w15:restartNumberingAfterBreak="0">
    <w:nsid w:val="694D6E02"/>
    <w:multiLevelType w:val="hybridMultilevel"/>
    <w:tmpl w:val="CDE2D3D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299" w:hanging="360"/>
      </w:pPr>
    </w:lvl>
    <w:lvl w:ilvl="2" w:tplc="0C0C001B" w:tentative="1">
      <w:start w:val="1"/>
      <w:numFmt w:val="lowerRoman"/>
      <w:lvlText w:val="%3."/>
      <w:lvlJc w:val="right"/>
      <w:pPr>
        <w:ind w:left="2019" w:hanging="180"/>
      </w:pPr>
    </w:lvl>
    <w:lvl w:ilvl="3" w:tplc="0C0C000F" w:tentative="1">
      <w:start w:val="1"/>
      <w:numFmt w:val="decimal"/>
      <w:lvlText w:val="%4."/>
      <w:lvlJc w:val="left"/>
      <w:pPr>
        <w:ind w:left="2739" w:hanging="360"/>
      </w:pPr>
    </w:lvl>
    <w:lvl w:ilvl="4" w:tplc="0C0C0019" w:tentative="1">
      <w:start w:val="1"/>
      <w:numFmt w:val="lowerLetter"/>
      <w:lvlText w:val="%5."/>
      <w:lvlJc w:val="left"/>
      <w:pPr>
        <w:ind w:left="3459" w:hanging="360"/>
      </w:pPr>
    </w:lvl>
    <w:lvl w:ilvl="5" w:tplc="0C0C001B" w:tentative="1">
      <w:start w:val="1"/>
      <w:numFmt w:val="lowerRoman"/>
      <w:lvlText w:val="%6."/>
      <w:lvlJc w:val="right"/>
      <w:pPr>
        <w:ind w:left="4179" w:hanging="180"/>
      </w:pPr>
    </w:lvl>
    <w:lvl w:ilvl="6" w:tplc="0C0C000F" w:tentative="1">
      <w:start w:val="1"/>
      <w:numFmt w:val="decimal"/>
      <w:lvlText w:val="%7."/>
      <w:lvlJc w:val="left"/>
      <w:pPr>
        <w:ind w:left="4899" w:hanging="360"/>
      </w:pPr>
    </w:lvl>
    <w:lvl w:ilvl="7" w:tplc="0C0C0019" w:tentative="1">
      <w:start w:val="1"/>
      <w:numFmt w:val="lowerLetter"/>
      <w:lvlText w:val="%8."/>
      <w:lvlJc w:val="left"/>
      <w:pPr>
        <w:ind w:left="5619" w:hanging="360"/>
      </w:pPr>
    </w:lvl>
    <w:lvl w:ilvl="8" w:tplc="0C0C001B" w:tentative="1">
      <w:start w:val="1"/>
      <w:numFmt w:val="lowerRoman"/>
      <w:lvlText w:val="%9."/>
      <w:lvlJc w:val="right"/>
      <w:pPr>
        <w:ind w:left="6339" w:hanging="180"/>
      </w:pPr>
    </w:lvl>
  </w:abstractNum>
  <w:abstractNum w:abstractNumId="282" w15:restartNumberingAfterBreak="0">
    <w:nsid w:val="6986175F"/>
    <w:multiLevelType w:val="hybridMultilevel"/>
    <w:tmpl w:val="A49ED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3" w15:restartNumberingAfterBreak="0">
    <w:nsid w:val="698F69C1"/>
    <w:multiLevelType w:val="hybridMultilevel"/>
    <w:tmpl w:val="05B8DDC4"/>
    <w:lvl w:ilvl="0" w:tplc="04090017">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84" w15:restartNumberingAfterBreak="0">
    <w:nsid w:val="69D73863"/>
    <w:multiLevelType w:val="hybridMultilevel"/>
    <w:tmpl w:val="91FACAF8"/>
    <w:lvl w:ilvl="0" w:tplc="33245590">
      <w:start w:val="1"/>
      <w:numFmt w:val="lowerLetter"/>
      <w:lvlText w:val="%1)"/>
      <w:lvlJc w:val="left"/>
      <w:pPr>
        <w:ind w:left="1440" w:hanging="360"/>
      </w:pPr>
      <w:rPr>
        <w:rFonts w:hint="default"/>
        <w:b w:val="0"/>
        <w:i w:val="0"/>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5" w15:restartNumberingAfterBreak="0">
    <w:nsid w:val="6A545A2E"/>
    <w:multiLevelType w:val="hybridMultilevel"/>
    <w:tmpl w:val="CDE2D3DC"/>
    <w:lvl w:ilvl="0" w:tplc="0C0C000F">
      <w:start w:val="1"/>
      <w:numFmt w:val="decimal"/>
      <w:lvlText w:val="%1."/>
      <w:lvlJc w:val="left"/>
      <w:pPr>
        <w:ind w:left="50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6" w15:restartNumberingAfterBreak="0">
    <w:nsid w:val="6A6210EC"/>
    <w:multiLevelType w:val="hybridMultilevel"/>
    <w:tmpl w:val="1C6822D8"/>
    <w:lvl w:ilvl="0" w:tplc="7D18A73C">
      <w:start w:val="1"/>
      <w:numFmt w:val="lowerLetter"/>
      <w:lvlText w:val="%1)"/>
      <w:lvlJc w:val="left"/>
      <w:pPr>
        <w:ind w:left="1305" w:hanging="630"/>
      </w:pPr>
      <w:rPr>
        <w:rFonts w:hint="default"/>
      </w:rPr>
    </w:lvl>
    <w:lvl w:ilvl="1" w:tplc="0C0C0019" w:tentative="1">
      <w:start w:val="1"/>
      <w:numFmt w:val="lowerLetter"/>
      <w:lvlText w:val="%2."/>
      <w:lvlJc w:val="left"/>
      <w:pPr>
        <w:ind w:left="1755" w:hanging="360"/>
      </w:pPr>
    </w:lvl>
    <w:lvl w:ilvl="2" w:tplc="0C0C001B" w:tentative="1">
      <w:start w:val="1"/>
      <w:numFmt w:val="lowerRoman"/>
      <w:lvlText w:val="%3."/>
      <w:lvlJc w:val="right"/>
      <w:pPr>
        <w:ind w:left="2475" w:hanging="180"/>
      </w:pPr>
    </w:lvl>
    <w:lvl w:ilvl="3" w:tplc="0C0C000F" w:tentative="1">
      <w:start w:val="1"/>
      <w:numFmt w:val="decimal"/>
      <w:lvlText w:val="%4."/>
      <w:lvlJc w:val="left"/>
      <w:pPr>
        <w:ind w:left="3195" w:hanging="360"/>
      </w:pPr>
    </w:lvl>
    <w:lvl w:ilvl="4" w:tplc="0C0C0019" w:tentative="1">
      <w:start w:val="1"/>
      <w:numFmt w:val="lowerLetter"/>
      <w:lvlText w:val="%5."/>
      <w:lvlJc w:val="left"/>
      <w:pPr>
        <w:ind w:left="3915" w:hanging="360"/>
      </w:pPr>
    </w:lvl>
    <w:lvl w:ilvl="5" w:tplc="0C0C001B" w:tentative="1">
      <w:start w:val="1"/>
      <w:numFmt w:val="lowerRoman"/>
      <w:lvlText w:val="%6."/>
      <w:lvlJc w:val="right"/>
      <w:pPr>
        <w:ind w:left="4635" w:hanging="180"/>
      </w:pPr>
    </w:lvl>
    <w:lvl w:ilvl="6" w:tplc="0C0C000F" w:tentative="1">
      <w:start w:val="1"/>
      <w:numFmt w:val="decimal"/>
      <w:lvlText w:val="%7."/>
      <w:lvlJc w:val="left"/>
      <w:pPr>
        <w:ind w:left="5355" w:hanging="360"/>
      </w:pPr>
    </w:lvl>
    <w:lvl w:ilvl="7" w:tplc="0C0C0019" w:tentative="1">
      <w:start w:val="1"/>
      <w:numFmt w:val="lowerLetter"/>
      <w:lvlText w:val="%8."/>
      <w:lvlJc w:val="left"/>
      <w:pPr>
        <w:ind w:left="6075" w:hanging="360"/>
      </w:pPr>
    </w:lvl>
    <w:lvl w:ilvl="8" w:tplc="0C0C001B" w:tentative="1">
      <w:start w:val="1"/>
      <w:numFmt w:val="lowerRoman"/>
      <w:lvlText w:val="%9."/>
      <w:lvlJc w:val="right"/>
      <w:pPr>
        <w:ind w:left="6795" w:hanging="180"/>
      </w:pPr>
    </w:lvl>
  </w:abstractNum>
  <w:abstractNum w:abstractNumId="287" w15:restartNumberingAfterBreak="0">
    <w:nsid w:val="6A8B30F6"/>
    <w:multiLevelType w:val="hybridMultilevel"/>
    <w:tmpl w:val="E8F49398"/>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8" w15:restartNumberingAfterBreak="0">
    <w:nsid w:val="6B183891"/>
    <w:multiLevelType w:val="hybridMultilevel"/>
    <w:tmpl w:val="97D42BA4"/>
    <w:lvl w:ilvl="0" w:tplc="04090017">
      <w:start w:val="1"/>
      <w:numFmt w:val="lowerLetter"/>
      <w:lvlText w:val="%1)"/>
      <w:lvlJc w:val="left"/>
      <w:pPr>
        <w:ind w:left="1440" w:hanging="720"/>
      </w:pPr>
      <w:rPr>
        <w:rFonts w:hint="default"/>
        <w:b w:val="0"/>
        <w:i w:val="0"/>
        <w:sz w:val="23"/>
        <w:szCs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6B5C6693"/>
    <w:multiLevelType w:val="hybridMultilevel"/>
    <w:tmpl w:val="03AAFB68"/>
    <w:lvl w:ilvl="0" w:tplc="04090017">
      <w:start w:val="1"/>
      <w:numFmt w:val="lowerLetter"/>
      <w:lvlText w:val="%1)"/>
      <w:lvlJc w:val="left"/>
      <w:pPr>
        <w:ind w:left="1080" w:hanging="360"/>
      </w:pPr>
      <w:rPr>
        <w:rFonts w:hint="default"/>
        <w:b w:val="0"/>
        <w:i w:val="0"/>
        <w:sz w:val="23"/>
        <w:szCs w:val="23"/>
      </w:rPr>
    </w:lvl>
    <w:lvl w:ilvl="1" w:tplc="04090017">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0" w15:restartNumberingAfterBreak="0">
    <w:nsid w:val="6B9D30C8"/>
    <w:multiLevelType w:val="hybridMultilevel"/>
    <w:tmpl w:val="27E4C3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1" w15:restartNumberingAfterBreak="0">
    <w:nsid w:val="6BB675B5"/>
    <w:multiLevelType w:val="hybridMultilevel"/>
    <w:tmpl w:val="05D61C6A"/>
    <w:lvl w:ilvl="0" w:tplc="9886F49E">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6D017F9B"/>
    <w:multiLevelType w:val="hybridMultilevel"/>
    <w:tmpl w:val="58E25E2C"/>
    <w:lvl w:ilvl="0" w:tplc="10090001">
      <w:start w:val="1"/>
      <w:numFmt w:val="bullet"/>
      <w:lvlText w:val=""/>
      <w:lvlJc w:val="left"/>
      <w:pPr>
        <w:ind w:left="360" w:hanging="360"/>
      </w:pPr>
      <w:rPr>
        <w:rFonts w:ascii="Symbol" w:hAnsi="Symbol"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3" w15:restartNumberingAfterBreak="0">
    <w:nsid w:val="6DCC7962"/>
    <w:multiLevelType w:val="hybridMultilevel"/>
    <w:tmpl w:val="98DE0B2E"/>
    <w:lvl w:ilvl="0" w:tplc="33909BCE">
      <w:start w:val="3"/>
      <w:numFmt w:val="lowerLetter"/>
      <w:lvlText w:val="%1."/>
      <w:lvlJc w:val="left"/>
      <w:pPr>
        <w:ind w:left="1440" w:hanging="360"/>
      </w:pPr>
      <w:rPr>
        <w:rFonts w:hint="default"/>
      </w:rPr>
    </w:lvl>
    <w:lvl w:ilvl="1" w:tplc="04090017">
      <w:start w:val="1"/>
      <w:numFmt w:val="lowerLetter"/>
      <w:lvlText w:val="%2)"/>
      <w:lvlJc w:val="left"/>
      <w:pPr>
        <w:ind w:left="2160" w:hanging="360"/>
      </w:pPr>
      <w:rPr>
        <w:b w:val="0"/>
      </w:r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94" w15:restartNumberingAfterBreak="0">
    <w:nsid w:val="6EC00254"/>
    <w:multiLevelType w:val="hybridMultilevel"/>
    <w:tmpl w:val="08C25F0A"/>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15:restartNumberingAfterBreak="0">
    <w:nsid w:val="6EF33D4D"/>
    <w:multiLevelType w:val="hybridMultilevel"/>
    <w:tmpl w:val="6C3220E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6" w15:restartNumberingAfterBreak="0">
    <w:nsid w:val="6F18360C"/>
    <w:multiLevelType w:val="hybridMultilevel"/>
    <w:tmpl w:val="952EB4A2"/>
    <w:lvl w:ilvl="0" w:tplc="89864118">
      <w:start w:val="1"/>
      <w:numFmt w:val="upp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97" w15:restartNumberingAfterBreak="0">
    <w:nsid w:val="6FF314F5"/>
    <w:multiLevelType w:val="hybridMultilevel"/>
    <w:tmpl w:val="6FE63206"/>
    <w:lvl w:ilvl="0" w:tplc="2EA034C2">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06E0B6A"/>
    <w:multiLevelType w:val="hybridMultilevel"/>
    <w:tmpl w:val="5420DC1C"/>
    <w:lvl w:ilvl="0" w:tplc="D3202BD8">
      <w:start w:val="1"/>
      <w:numFmt w:val="lowerLetter"/>
      <w:lvlText w:val="%1)"/>
      <w:lvlJc w:val="left"/>
      <w:pPr>
        <w:ind w:left="1305" w:hanging="630"/>
      </w:pPr>
      <w:rPr>
        <w:rFonts w:hint="default"/>
      </w:rPr>
    </w:lvl>
    <w:lvl w:ilvl="1" w:tplc="0C0C0019" w:tentative="1">
      <w:start w:val="1"/>
      <w:numFmt w:val="lowerLetter"/>
      <w:lvlText w:val="%2."/>
      <w:lvlJc w:val="left"/>
      <w:pPr>
        <w:ind w:left="1755" w:hanging="360"/>
      </w:pPr>
    </w:lvl>
    <w:lvl w:ilvl="2" w:tplc="0C0C001B" w:tentative="1">
      <w:start w:val="1"/>
      <w:numFmt w:val="lowerRoman"/>
      <w:lvlText w:val="%3."/>
      <w:lvlJc w:val="right"/>
      <w:pPr>
        <w:ind w:left="2475" w:hanging="180"/>
      </w:pPr>
    </w:lvl>
    <w:lvl w:ilvl="3" w:tplc="0C0C000F" w:tentative="1">
      <w:start w:val="1"/>
      <w:numFmt w:val="decimal"/>
      <w:lvlText w:val="%4."/>
      <w:lvlJc w:val="left"/>
      <w:pPr>
        <w:ind w:left="3195" w:hanging="360"/>
      </w:pPr>
    </w:lvl>
    <w:lvl w:ilvl="4" w:tplc="0C0C0019" w:tentative="1">
      <w:start w:val="1"/>
      <w:numFmt w:val="lowerLetter"/>
      <w:lvlText w:val="%5."/>
      <w:lvlJc w:val="left"/>
      <w:pPr>
        <w:ind w:left="3915" w:hanging="360"/>
      </w:pPr>
    </w:lvl>
    <w:lvl w:ilvl="5" w:tplc="0C0C001B" w:tentative="1">
      <w:start w:val="1"/>
      <w:numFmt w:val="lowerRoman"/>
      <w:lvlText w:val="%6."/>
      <w:lvlJc w:val="right"/>
      <w:pPr>
        <w:ind w:left="4635" w:hanging="180"/>
      </w:pPr>
    </w:lvl>
    <w:lvl w:ilvl="6" w:tplc="0C0C000F" w:tentative="1">
      <w:start w:val="1"/>
      <w:numFmt w:val="decimal"/>
      <w:lvlText w:val="%7."/>
      <w:lvlJc w:val="left"/>
      <w:pPr>
        <w:ind w:left="5355" w:hanging="360"/>
      </w:pPr>
    </w:lvl>
    <w:lvl w:ilvl="7" w:tplc="0C0C0019" w:tentative="1">
      <w:start w:val="1"/>
      <w:numFmt w:val="lowerLetter"/>
      <w:lvlText w:val="%8."/>
      <w:lvlJc w:val="left"/>
      <w:pPr>
        <w:ind w:left="6075" w:hanging="360"/>
      </w:pPr>
    </w:lvl>
    <w:lvl w:ilvl="8" w:tplc="0C0C001B" w:tentative="1">
      <w:start w:val="1"/>
      <w:numFmt w:val="lowerRoman"/>
      <w:lvlText w:val="%9."/>
      <w:lvlJc w:val="right"/>
      <w:pPr>
        <w:ind w:left="6795" w:hanging="180"/>
      </w:pPr>
    </w:lvl>
  </w:abstractNum>
  <w:abstractNum w:abstractNumId="299" w15:restartNumberingAfterBreak="0">
    <w:nsid w:val="70F77EF1"/>
    <w:multiLevelType w:val="hybridMultilevel"/>
    <w:tmpl w:val="870ECA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0" w15:restartNumberingAfterBreak="0">
    <w:nsid w:val="71052C39"/>
    <w:multiLevelType w:val="hybridMultilevel"/>
    <w:tmpl w:val="71426B8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1" w15:restartNumberingAfterBreak="0">
    <w:nsid w:val="71215101"/>
    <w:multiLevelType w:val="hybridMultilevel"/>
    <w:tmpl w:val="AA4A897A"/>
    <w:lvl w:ilvl="0" w:tplc="04090017">
      <w:start w:val="1"/>
      <w:numFmt w:val="lowerLetter"/>
      <w:lvlText w:val="%1)"/>
      <w:lvlJc w:val="left"/>
      <w:pPr>
        <w:ind w:left="927" w:hanging="360"/>
      </w:pPr>
      <w:rPr>
        <w:rFonts w:hint="default"/>
        <w:i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2" w15:restartNumberingAfterBreak="0">
    <w:nsid w:val="71255A09"/>
    <w:multiLevelType w:val="hybridMultilevel"/>
    <w:tmpl w:val="DBF045BE"/>
    <w:lvl w:ilvl="0" w:tplc="04090017">
      <w:start w:val="1"/>
      <w:numFmt w:val="lowerLetter"/>
      <w:lvlText w:val="%1)"/>
      <w:lvlJc w:val="left"/>
      <w:pPr>
        <w:ind w:left="1161" w:hanging="585"/>
      </w:pPr>
      <w:rPr>
        <w:rFonts w:hint="default"/>
      </w:rPr>
    </w:lvl>
    <w:lvl w:ilvl="1" w:tplc="AF721A24">
      <w:start w:val="1"/>
      <w:numFmt w:val="lowerRoman"/>
      <w:lvlText w:val="%2."/>
      <w:lvlJc w:val="left"/>
      <w:pPr>
        <w:ind w:left="1656" w:hanging="360"/>
      </w:pPr>
      <w:rPr>
        <w:rFonts w:ascii="Arial" w:eastAsia="Times New Roman" w:hAnsi="Arial" w:cs="Arial"/>
      </w:rPr>
    </w:lvl>
    <w:lvl w:ilvl="2" w:tplc="D2520F80">
      <w:start w:val="1"/>
      <w:numFmt w:val="decimal"/>
      <w:lvlText w:val="%3."/>
      <w:lvlJc w:val="left"/>
      <w:pPr>
        <w:ind w:left="2556" w:hanging="360"/>
      </w:pPr>
      <w:rPr>
        <w:rFonts w:hint="default"/>
      </w:r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303" w15:restartNumberingAfterBreak="0">
    <w:nsid w:val="71744A00"/>
    <w:multiLevelType w:val="hybridMultilevel"/>
    <w:tmpl w:val="952EB4A2"/>
    <w:lvl w:ilvl="0" w:tplc="89864118">
      <w:start w:val="1"/>
      <w:numFmt w:val="upp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304" w15:restartNumberingAfterBreak="0">
    <w:nsid w:val="71757437"/>
    <w:multiLevelType w:val="hybridMultilevel"/>
    <w:tmpl w:val="5A64274C"/>
    <w:lvl w:ilvl="0" w:tplc="0B96E72C">
      <w:start w:val="1"/>
      <w:numFmt w:val="decimal"/>
      <w:lvlText w:val="%1."/>
      <w:lvlJc w:val="left"/>
      <w:pPr>
        <w:ind w:left="360" w:hanging="360"/>
      </w:pPr>
      <w:rPr>
        <w:rFonts w:asciiTheme="minorHAnsi" w:hAnsiTheme="minorHAnsi" w:cstheme="minorHAnsi" w:hint="default"/>
        <w:b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5" w15:restartNumberingAfterBreak="0">
    <w:nsid w:val="71C61040"/>
    <w:multiLevelType w:val="hybridMultilevel"/>
    <w:tmpl w:val="8C18EB8A"/>
    <w:lvl w:ilvl="0" w:tplc="EA929540">
      <w:start w:val="1"/>
      <w:numFmt w:val="lowerLetter"/>
      <w:lvlText w:val="%1)"/>
      <w:lvlJc w:val="left"/>
      <w:pPr>
        <w:ind w:left="-144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0" w:hanging="180"/>
      </w:pPr>
    </w:lvl>
    <w:lvl w:ilvl="3" w:tplc="1009000F">
      <w:start w:val="1"/>
      <w:numFmt w:val="decimal"/>
      <w:lvlText w:val="%4."/>
      <w:lvlJc w:val="left"/>
      <w:pPr>
        <w:ind w:left="720" w:hanging="360"/>
      </w:pPr>
    </w:lvl>
    <w:lvl w:ilvl="4" w:tplc="10090019">
      <w:start w:val="1"/>
      <w:numFmt w:val="lowerLetter"/>
      <w:lvlText w:val="%5."/>
      <w:lvlJc w:val="left"/>
      <w:pPr>
        <w:ind w:left="1440" w:hanging="360"/>
      </w:pPr>
    </w:lvl>
    <w:lvl w:ilvl="5" w:tplc="1009001B">
      <w:start w:val="1"/>
      <w:numFmt w:val="lowerRoman"/>
      <w:lvlText w:val="%6."/>
      <w:lvlJc w:val="right"/>
      <w:pPr>
        <w:ind w:left="2160" w:hanging="180"/>
      </w:pPr>
    </w:lvl>
    <w:lvl w:ilvl="6" w:tplc="1009000F">
      <w:start w:val="1"/>
      <w:numFmt w:val="decimal"/>
      <w:lvlText w:val="%7."/>
      <w:lvlJc w:val="left"/>
      <w:pPr>
        <w:ind w:left="2880" w:hanging="360"/>
      </w:pPr>
    </w:lvl>
    <w:lvl w:ilvl="7" w:tplc="10090019">
      <w:start w:val="1"/>
      <w:numFmt w:val="lowerLetter"/>
      <w:lvlText w:val="%8."/>
      <w:lvlJc w:val="left"/>
      <w:pPr>
        <w:ind w:left="3600" w:hanging="360"/>
      </w:pPr>
    </w:lvl>
    <w:lvl w:ilvl="8" w:tplc="1009001B">
      <w:start w:val="1"/>
      <w:numFmt w:val="lowerRoman"/>
      <w:lvlText w:val="%9."/>
      <w:lvlJc w:val="right"/>
      <w:pPr>
        <w:ind w:left="4320" w:hanging="180"/>
      </w:pPr>
    </w:lvl>
  </w:abstractNum>
  <w:abstractNum w:abstractNumId="306" w15:restartNumberingAfterBreak="0">
    <w:nsid w:val="71E81BF0"/>
    <w:multiLevelType w:val="hybridMultilevel"/>
    <w:tmpl w:val="1496106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720631A5"/>
    <w:multiLevelType w:val="hybridMultilevel"/>
    <w:tmpl w:val="8866365E"/>
    <w:lvl w:ilvl="0" w:tplc="13E6D93A">
      <w:start w:val="1"/>
      <w:numFmt w:val="lowerRoman"/>
      <w:lvlText w:val="(%1)"/>
      <w:lvlJc w:val="left"/>
      <w:pPr>
        <w:ind w:left="2160" w:hanging="360"/>
      </w:pPr>
      <w:rPr>
        <w:rFonts w:hint="default"/>
        <w:b w:val="0"/>
        <w:i w:val="0"/>
      </w:r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308" w15:restartNumberingAfterBreak="0">
    <w:nsid w:val="7282409E"/>
    <w:multiLevelType w:val="hybridMultilevel"/>
    <w:tmpl w:val="870ECA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9" w15:restartNumberingAfterBreak="0">
    <w:nsid w:val="734B4A56"/>
    <w:multiLevelType w:val="hybridMultilevel"/>
    <w:tmpl w:val="F2BE1CF4"/>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0" w15:restartNumberingAfterBreak="0">
    <w:nsid w:val="736115D5"/>
    <w:multiLevelType w:val="hybridMultilevel"/>
    <w:tmpl w:val="85463A2E"/>
    <w:lvl w:ilvl="0" w:tplc="0409000F">
      <w:start w:val="1"/>
      <w:numFmt w:val="decimal"/>
      <w:lvlText w:val="%1."/>
      <w:lvlJc w:val="left"/>
      <w:pPr>
        <w:ind w:left="720" w:hanging="360"/>
      </w:pPr>
      <w:rPr>
        <w:rFonts w:hint="default"/>
        <w:b w:val="0"/>
        <w:i w:val="0"/>
        <w:sz w:val="23"/>
        <w:szCs w:val="23"/>
      </w:rPr>
    </w:lvl>
    <w:lvl w:ilvl="1" w:tplc="399A16F8">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1" w15:restartNumberingAfterBreak="0">
    <w:nsid w:val="736A6FAC"/>
    <w:multiLevelType w:val="hybridMultilevel"/>
    <w:tmpl w:val="99BEA832"/>
    <w:lvl w:ilvl="0" w:tplc="B30A2FA0">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12" w15:restartNumberingAfterBreak="0">
    <w:nsid w:val="743443EC"/>
    <w:multiLevelType w:val="hybridMultilevel"/>
    <w:tmpl w:val="317A882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3" w15:restartNumberingAfterBreak="0">
    <w:nsid w:val="74954EE8"/>
    <w:multiLevelType w:val="hybridMultilevel"/>
    <w:tmpl w:val="A254FA70"/>
    <w:lvl w:ilvl="0" w:tplc="75AEF8E0">
      <w:start w:val="1"/>
      <w:numFmt w:val="decimal"/>
      <w:lvlText w:val="%1."/>
      <w:lvlJc w:val="left"/>
      <w:pPr>
        <w:tabs>
          <w:tab w:val="num" w:pos="29"/>
        </w:tabs>
        <w:ind w:left="288" w:hanging="288"/>
      </w:pPr>
      <w:rPr>
        <w:rFonts w:hint="default"/>
        <w:b/>
        <w:i w:val="0"/>
        <w:color w:val="808080"/>
        <w:sz w:val="24"/>
        <w:szCs w:val="20"/>
      </w:rPr>
    </w:lvl>
    <w:lvl w:ilvl="1" w:tplc="5772339C">
      <w:start w:val="1"/>
      <w:numFmt w:val="lowerLetter"/>
      <w:lvlText w:val="(%2)"/>
      <w:lvlJc w:val="left"/>
      <w:pPr>
        <w:tabs>
          <w:tab w:val="num" w:pos="1440"/>
        </w:tabs>
        <w:ind w:left="1440" w:hanging="360"/>
      </w:pPr>
      <w:rPr>
        <w:rFonts w:ascii="Arial" w:hAnsi="Arial" w:hint="default"/>
        <w:b w:val="0"/>
        <w:i w:val="0"/>
        <w:sz w:val="23"/>
        <w:szCs w:val="23"/>
        <w:lang w:val="en-CA"/>
      </w:rPr>
    </w:lvl>
    <w:lvl w:ilvl="2" w:tplc="1009000F">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4" w15:restartNumberingAfterBreak="0">
    <w:nsid w:val="74D27089"/>
    <w:multiLevelType w:val="hybridMultilevel"/>
    <w:tmpl w:val="05001606"/>
    <w:lvl w:ilvl="0" w:tplc="8E885A8C">
      <w:start w:val="1"/>
      <w:numFmt w:val="lowerLetter"/>
      <w:lvlText w:val="(%1)"/>
      <w:lvlJc w:val="left"/>
      <w:pPr>
        <w:ind w:left="1080" w:hanging="360"/>
      </w:pPr>
      <w:rPr>
        <w:rFonts w:ascii="Arial" w:eastAsia="Arial Unicode MS" w:hAnsi="Arial" w:cs="Times New Roman" w:hint="default"/>
        <w:b w:val="0"/>
        <w:i w:val="0"/>
        <w:sz w:val="23"/>
        <w:szCs w:val="23"/>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5" w15:restartNumberingAfterBreak="0">
    <w:nsid w:val="74E076EA"/>
    <w:multiLevelType w:val="hybridMultilevel"/>
    <w:tmpl w:val="883290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6" w15:restartNumberingAfterBreak="0">
    <w:nsid w:val="74F23BBB"/>
    <w:multiLevelType w:val="hybridMultilevel"/>
    <w:tmpl w:val="79E6C86C"/>
    <w:lvl w:ilvl="0" w:tplc="9A7ADAD0">
      <w:start w:val="1"/>
      <w:numFmt w:val="decimal"/>
      <w:lvlText w:val="%1."/>
      <w:lvlJc w:val="left"/>
      <w:pPr>
        <w:ind w:left="540" w:hanging="360"/>
      </w:pPr>
      <w:rPr>
        <w:rFonts w:hint="default"/>
      </w:rPr>
    </w:lvl>
    <w:lvl w:ilvl="1" w:tplc="0C0C0019">
      <w:start w:val="1"/>
      <w:numFmt w:val="lowerLetter"/>
      <w:lvlText w:val="%2."/>
      <w:lvlJc w:val="left"/>
      <w:pPr>
        <w:ind w:left="1440" w:hanging="360"/>
      </w:pPr>
    </w:lvl>
    <w:lvl w:ilvl="2" w:tplc="C9C40D42">
      <w:start w:val="1"/>
      <w:numFmt w:val="lowerRoman"/>
      <w:lvlText w:val="(%3)"/>
      <w:lvlJc w:val="right"/>
      <w:pPr>
        <w:ind w:left="2160" w:hanging="180"/>
      </w:pPr>
      <w:rPr>
        <w:rFonts w:ascii="Arial" w:eastAsia="Times New Roman" w:hAnsi="Arial" w:cs="Arial"/>
      </w:rPr>
    </w:lvl>
    <w:lvl w:ilvl="3" w:tplc="5606AD8E">
      <w:start w:val="1"/>
      <w:numFmt w:val="lowerRoman"/>
      <w:lvlText w:val="(%4)"/>
      <w:lvlJc w:val="left"/>
      <w:pPr>
        <w:ind w:left="3240" w:hanging="720"/>
      </w:pPr>
      <w:rPr>
        <w:rFonts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7" w15:restartNumberingAfterBreak="0">
    <w:nsid w:val="753E2F04"/>
    <w:multiLevelType w:val="hybridMultilevel"/>
    <w:tmpl w:val="B35A15D2"/>
    <w:lvl w:ilvl="0" w:tplc="04090017">
      <w:start w:val="1"/>
      <w:numFmt w:val="lowerLetter"/>
      <w:lvlText w:val="%1)"/>
      <w:lvlJc w:val="left"/>
      <w:pPr>
        <w:ind w:left="720" w:hanging="360"/>
      </w:pPr>
      <w:rPr>
        <w:rFonts w:hint="default"/>
        <w:b w:val="0"/>
        <w:i w:val="0"/>
        <w:sz w:val="23"/>
        <w:szCs w:val="23"/>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8" w15:restartNumberingAfterBreak="0">
    <w:nsid w:val="7568657F"/>
    <w:multiLevelType w:val="hybridMultilevel"/>
    <w:tmpl w:val="31B20780"/>
    <w:lvl w:ilvl="0" w:tplc="09A0A372">
      <w:start w:val="1"/>
      <w:numFmt w:val="lowerRoman"/>
      <w:lvlText w:val="%1)"/>
      <w:lvlJc w:val="right"/>
      <w:pPr>
        <w:ind w:left="2160" w:hanging="360"/>
      </w:pPr>
      <w:rPr>
        <w:rFonts w:hint="default"/>
        <w:b w:val="0"/>
        <w:i w:val="0"/>
        <w:sz w:val="23"/>
        <w:szCs w:val="23"/>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9" w15:restartNumberingAfterBreak="0">
    <w:nsid w:val="75825DA6"/>
    <w:multiLevelType w:val="hybridMultilevel"/>
    <w:tmpl w:val="DC400DA0"/>
    <w:lvl w:ilvl="0" w:tplc="A8EE23F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76166881"/>
    <w:multiLevelType w:val="hybridMultilevel"/>
    <w:tmpl w:val="D1821CC0"/>
    <w:lvl w:ilvl="0" w:tplc="3962C3EA">
      <w:start w:val="1"/>
      <w:numFmt w:val="lowerLetter"/>
      <w:lvlText w:val="%1)"/>
      <w:lvlJc w:val="left"/>
      <w:pPr>
        <w:ind w:left="720" w:hanging="360"/>
      </w:pPr>
      <w:rPr>
        <w:rFonts w:hint="default"/>
        <w:b w:val="0"/>
        <w:i w:val="0"/>
        <w:sz w:val="23"/>
        <w:szCs w:val="2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1" w15:restartNumberingAfterBreak="0">
    <w:nsid w:val="7621194B"/>
    <w:multiLevelType w:val="hybridMultilevel"/>
    <w:tmpl w:val="5AE20700"/>
    <w:lvl w:ilvl="0" w:tplc="A37C5064">
      <w:start w:val="1"/>
      <w:numFmt w:val="lowerLetter"/>
      <w:lvlText w:val="%1)"/>
      <w:lvlJc w:val="left"/>
      <w:pPr>
        <w:ind w:left="1305" w:hanging="630"/>
      </w:pPr>
      <w:rPr>
        <w:rFonts w:hint="default"/>
      </w:rPr>
    </w:lvl>
    <w:lvl w:ilvl="1" w:tplc="0C0C0019" w:tentative="1">
      <w:start w:val="1"/>
      <w:numFmt w:val="lowerLetter"/>
      <w:lvlText w:val="%2."/>
      <w:lvlJc w:val="left"/>
      <w:pPr>
        <w:ind w:left="1755" w:hanging="360"/>
      </w:pPr>
    </w:lvl>
    <w:lvl w:ilvl="2" w:tplc="0C0C001B" w:tentative="1">
      <w:start w:val="1"/>
      <w:numFmt w:val="lowerRoman"/>
      <w:lvlText w:val="%3."/>
      <w:lvlJc w:val="right"/>
      <w:pPr>
        <w:ind w:left="2475" w:hanging="180"/>
      </w:pPr>
    </w:lvl>
    <w:lvl w:ilvl="3" w:tplc="0C0C000F" w:tentative="1">
      <w:start w:val="1"/>
      <w:numFmt w:val="decimal"/>
      <w:lvlText w:val="%4."/>
      <w:lvlJc w:val="left"/>
      <w:pPr>
        <w:ind w:left="3195" w:hanging="360"/>
      </w:pPr>
    </w:lvl>
    <w:lvl w:ilvl="4" w:tplc="0C0C0019" w:tentative="1">
      <w:start w:val="1"/>
      <w:numFmt w:val="lowerLetter"/>
      <w:lvlText w:val="%5."/>
      <w:lvlJc w:val="left"/>
      <w:pPr>
        <w:ind w:left="3915" w:hanging="360"/>
      </w:pPr>
    </w:lvl>
    <w:lvl w:ilvl="5" w:tplc="0C0C001B" w:tentative="1">
      <w:start w:val="1"/>
      <w:numFmt w:val="lowerRoman"/>
      <w:lvlText w:val="%6."/>
      <w:lvlJc w:val="right"/>
      <w:pPr>
        <w:ind w:left="4635" w:hanging="180"/>
      </w:pPr>
    </w:lvl>
    <w:lvl w:ilvl="6" w:tplc="0C0C000F" w:tentative="1">
      <w:start w:val="1"/>
      <w:numFmt w:val="decimal"/>
      <w:lvlText w:val="%7."/>
      <w:lvlJc w:val="left"/>
      <w:pPr>
        <w:ind w:left="5355" w:hanging="360"/>
      </w:pPr>
    </w:lvl>
    <w:lvl w:ilvl="7" w:tplc="0C0C0019" w:tentative="1">
      <w:start w:val="1"/>
      <w:numFmt w:val="lowerLetter"/>
      <w:lvlText w:val="%8."/>
      <w:lvlJc w:val="left"/>
      <w:pPr>
        <w:ind w:left="6075" w:hanging="360"/>
      </w:pPr>
    </w:lvl>
    <w:lvl w:ilvl="8" w:tplc="0C0C001B" w:tentative="1">
      <w:start w:val="1"/>
      <w:numFmt w:val="lowerRoman"/>
      <w:lvlText w:val="%9."/>
      <w:lvlJc w:val="right"/>
      <w:pPr>
        <w:ind w:left="6795" w:hanging="180"/>
      </w:pPr>
    </w:lvl>
  </w:abstractNum>
  <w:abstractNum w:abstractNumId="322" w15:restartNumberingAfterBreak="0">
    <w:nsid w:val="76946A6B"/>
    <w:multiLevelType w:val="hybridMultilevel"/>
    <w:tmpl w:val="CEFC2AF2"/>
    <w:lvl w:ilvl="0" w:tplc="04090017">
      <w:start w:val="1"/>
      <w:numFmt w:val="lowerLetter"/>
      <w:lvlText w:val="%1)"/>
      <w:lvlJc w:val="left"/>
      <w:pPr>
        <w:ind w:left="912" w:hanging="360"/>
      </w:pPr>
      <w:rPr>
        <w:rFonts w:hint="default"/>
        <w:b w:val="0"/>
        <w:i w:val="0"/>
        <w:sz w:val="23"/>
        <w:szCs w:val="23"/>
      </w:rPr>
    </w:lvl>
    <w:lvl w:ilvl="1" w:tplc="10090019" w:tentative="1">
      <w:start w:val="1"/>
      <w:numFmt w:val="lowerLetter"/>
      <w:lvlText w:val="%2."/>
      <w:lvlJc w:val="left"/>
      <w:pPr>
        <w:ind w:left="1632" w:hanging="360"/>
      </w:pPr>
    </w:lvl>
    <w:lvl w:ilvl="2" w:tplc="1009001B" w:tentative="1">
      <w:start w:val="1"/>
      <w:numFmt w:val="lowerRoman"/>
      <w:lvlText w:val="%3."/>
      <w:lvlJc w:val="right"/>
      <w:pPr>
        <w:ind w:left="2352" w:hanging="180"/>
      </w:pPr>
    </w:lvl>
    <w:lvl w:ilvl="3" w:tplc="1009000F" w:tentative="1">
      <w:start w:val="1"/>
      <w:numFmt w:val="decimal"/>
      <w:lvlText w:val="%4."/>
      <w:lvlJc w:val="left"/>
      <w:pPr>
        <w:ind w:left="3072" w:hanging="360"/>
      </w:pPr>
    </w:lvl>
    <w:lvl w:ilvl="4" w:tplc="10090019" w:tentative="1">
      <w:start w:val="1"/>
      <w:numFmt w:val="lowerLetter"/>
      <w:lvlText w:val="%5."/>
      <w:lvlJc w:val="left"/>
      <w:pPr>
        <w:ind w:left="3792" w:hanging="360"/>
      </w:pPr>
    </w:lvl>
    <w:lvl w:ilvl="5" w:tplc="1009001B" w:tentative="1">
      <w:start w:val="1"/>
      <w:numFmt w:val="lowerRoman"/>
      <w:lvlText w:val="%6."/>
      <w:lvlJc w:val="right"/>
      <w:pPr>
        <w:ind w:left="4512" w:hanging="180"/>
      </w:pPr>
    </w:lvl>
    <w:lvl w:ilvl="6" w:tplc="1009000F" w:tentative="1">
      <w:start w:val="1"/>
      <w:numFmt w:val="decimal"/>
      <w:lvlText w:val="%7."/>
      <w:lvlJc w:val="left"/>
      <w:pPr>
        <w:ind w:left="5232" w:hanging="360"/>
      </w:pPr>
    </w:lvl>
    <w:lvl w:ilvl="7" w:tplc="10090019" w:tentative="1">
      <w:start w:val="1"/>
      <w:numFmt w:val="lowerLetter"/>
      <w:lvlText w:val="%8."/>
      <w:lvlJc w:val="left"/>
      <w:pPr>
        <w:ind w:left="5952" w:hanging="360"/>
      </w:pPr>
    </w:lvl>
    <w:lvl w:ilvl="8" w:tplc="1009001B" w:tentative="1">
      <w:start w:val="1"/>
      <w:numFmt w:val="lowerRoman"/>
      <w:lvlText w:val="%9."/>
      <w:lvlJc w:val="right"/>
      <w:pPr>
        <w:ind w:left="6672" w:hanging="180"/>
      </w:pPr>
    </w:lvl>
  </w:abstractNum>
  <w:abstractNum w:abstractNumId="323" w15:restartNumberingAfterBreak="0">
    <w:nsid w:val="772F1CF1"/>
    <w:multiLevelType w:val="hybridMultilevel"/>
    <w:tmpl w:val="FC4C7610"/>
    <w:lvl w:ilvl="0" w:tplc="88824F48">
      <w:start w:val="1"/>
      <w:numFmt w:val="decimal"/>
      <w:lvlText w:val="%1."/>
      <w:lvlJc w:val="left"/>
      <w:pPr>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7984FE6"/>
    <w:multiLevelType w:val="hybridMultilevel"/>
    <w:tmpl w:val="0562F90A"/>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5" w15:restartNumberingAfterBreak="0">
    <w:nsid w:val="781637AE"/>
    <w:multiLevelType w:val="hybridMultilevel"/>
    <w:tmpl w:val="9D88D8FA"/>
    <w:lvl w:ilvl="0" w:tplc="544081F4">
      <w:start w:val="1"/>
      <w:numFmt w:val="decimal"/>
      <w:lvlText w:val="%1."/>
      <w:lvlJc w:val="left"/>
      <w:pPr>
        <w:ind w:left="360" w:hanging="360"/>
      </w:pPr>
    </w:lvl>
    <w:lvl w:ilvl="1" w:tplc="66C62A2E">
      <w:start w:val="1"/>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26" w15:restartNumberingAfterBreak="0">
    <w:nsid w:val="78175D4B"/>
    <w:multiLevelType w:val="hybridMultilevel"/>
    <w:tmpl w:val="9496D0EE"/>
    <w:lvl w:ilvl="0" w:tplc="F6C6C34A">
      <w:start w:val="1"/>
      <w:numFmt w:val="lowerLetter"/>
      <w:lvlText w:val="(%1)"/>
      <w:lvlJc w:val="left"/>
      <w:pPr>
        <w:ind w:left="1440" w:hanging="360"/>
      </w:pPr>
      <w:rPr>
        <w:rFonts w:ascii="Arial" w:hAnsi="Arial" w:hint="default"/>
        <w:b w:val="0"/>
        <w:i w:val="0"/>
        <w:sz w:val="23"/>
        <w:szCs w:val="23"/>
      </w:rPr>
    </w:lvl>
    <w:lvl w:ilvl="1" w:tplc="F6C6C34A">
      <w:start w:val="1"/>
      <w:numFmt w:val="lowerLetter"/>
      <w:lvlText w:val="(%2)"/>
      <w:lvlJc w:val="left"/>
      <w:pPr>
        <w:ind w:left="2160" w:hanging="360"/>
      </w:pPr>
      <w:rPr>
        <w:rFonts w:ascii="Arial" w:hAnsi="Arial" w:hint="default"/>
        <w:b w:val="0"/>
        <w:i w:val="0"/>
        <w:sz w:val="23"/>
        <w:szCs w:val="23"/>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78F401F2"/>
    <w:multiLevelType w:val="hybridMultilevel"/>
    <w:tmpl w:val="FC4697C8"/>
    <w:lvl w:ilvl="0" w:tplc="CA7C9AD8">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91F6868"/>
    <w:multiLevelType w:val="hybridMultilevel"/>
    <w:tmpl w:val="3EF6B4BE"/>
    <w:lvl w:ilvl="0" w:tplc="04090017">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29" w15:restartNumberingAfterBreak="0">
    <w:nsid w:val="79B72556"/>
    <w:multiLevelType w:val="multilevel"/>
    <w:tmpl w:val="1E92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9FE5490"/>
    <w:multiLevelType w:val="multilevel"/>
    <w:tmpl w:val="A2E8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A7822CE"/>
    <w:multiLevelType w:val="hybridMultilevel"/>
    <w:tmpl w:val="E4C275C8"/>
    <w:lvl w:ilvl="0" w:tplc="BE08BC3C">
      <w:start w:val="2"/>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b w:val="0"/>
        <w:i w:val="0"/>
        <w:sz w:val="23"/>
        <w:szCs w:val="23"/>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2" w15:restartNumberingAfterBreak="0">
    <w:nsid w:val="7A7F39A7"/>
    <w:multiLevelType w:val="hybridMultilevel"/>
    <w:tmpl w:val="E51606D2"/>
    <w:lvl w:ilvl="0" w:tplc="0409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3" w15:restartNumberingAfterBreak="0">
    <w:nsid w:val="7AFA0E81"/>
    <w:multiLevelType w:val="hybridMultilevel"/>
    <w:tmpl w:val="38FEE7F0"/>
    <w:lvl w:ilvl="0" w:tplc="15ACC082">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4" w15:restartNumberingAfterBreak="0">
    <w:nsid w:val="7BC8779C"/>
    <w:multiLevelType w:val="hybridMultilevel"/>
    <w:tmpl w:val="CE808940"/>
    <w:lvl w:ilvl="0" w:tplc="09A0A372">
      <w:start w:val="1"/>
      <w:numFmt w:val="lowerRoman"/>
      <w:lvlText w:val="%1)"/>
      <w:lvlJc w:val="right"/>
      <w:pPr>
        <w:ind w:left="2160" w:hanging="360"/>
      </w:pPr>
      <w:rPr>
        <w:rFonts w:hint="default"/>
        <w:b w:val="0"/>
        <w:i w:val="0"/>
        <w:sz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5" w15:restartNumberingAfterBreak="0">
    <w:nsid w:val="7C3B242B"/>
    <w:multiLevelType w:val="hybridMultilevel"/>
    <w:tmpl w:val="6550443E"/>
    <w:lvl w:ilvl="0" w:tplc="8E885A8C">
      <w:start w:val="1"/>
      <w:numFmt w:val="lowerLetter"/>
      <w:lvlText w:val="(%1)"/>
      <w:lvlJc w:val="left"/>
      <w:pPr>
        <w:ind w:left="360" w:hanging="360"/>
      </w:pPr>
      <w:rPr>
        <w:rFonts w:ascii="Arial" w:eastAsia="Arial Unicode MS" w:hAnsi="Arial" w:cs="Times New Roman"/>
        <w:b w:val="0"/>
      </w:rPr>
    </w:lvl>
    <w:lvl w:ilvl="1" w:tplc="8E885A8C">
      <w:start w:val="1"/>
      <w:numFmt w:val="lowerLetter"/>
      <w:lvlText w:val="(%2)"/>
      <w:lvlJc w:val="left"/>
      <w:pPr>
        <w:ind w:left="1080" w:hanging="360"/>
      </w:pPr>
      <w:rPr>
        <w:rFonts w:ascii="Arial" w:eastAsia="Arial Unicode MS" w:hAnsi="Arial"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6" w15:restartNumberingAfterBreak="0">
    <w:nsid w:val="7C67567E"/>
    <w:multiLevelType w:val="hybridMultilevel"/>
    <w:tmpl w:val="EF542AAC"/>
    <w:lvl w:ilvl="0" w:tplc="8E885A8C">
      <w:start w:val="1"/>
      <w:numFmt w:val="lowerLetter"/>
      <w:lvlText w:val="(%1)"/>
      <w:lvlJc w:val="left"/>
      <w:pPr>
        <w:ind w:left="2160" w:hanging="360"/>
      </w:pPr>
      <w:rPr>
        <w:rFonts w:ascii="Arial" w:eastAsia="Arial Unicode MS" w:hAnsi="Arial"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7" w15:restartNumberingAfterBreak="0">
    <w:nsid w:val="7C75746B"/>
    <w:multiLevelType w:val="hybridMultilevel"/>
    <w:tmpl w:val="CCBCF96A"/>
    <w:lvl w:ilvl="0" w:tplc="9A7ADAD0">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9A0A372">
      <w:start w:val="1"/>
      <w:numFmt w:val="lowerRoman"/>
      <w:lvlText w:val="%4)"/>
      <w:lvlJc w:val="right"/>
      <w:pPr>
        <w:ind w:left="2880" w:hanging="360"/>
      </w:pPr>
      <w:rPr>
        <w:rFonts w:hint="default"/>
        <w:b w:val="0"/>
        <w:i w:val="0"/>
        <w:color w:val="auto"/>
        <w:sz w:val="23"/>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8" w15:restartNumberingAfterBreak="0">
    <w:nsid w:val="7CC8627D"/>
    <w:multiLevelType w:val="hybridMultilevel"/>
    <w:tmpl w:val="24EE05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9" w15:restartNumberingAfterBreak="0">
    <w:nsid w:val="7D8B00FA"/>
    <w:multiLevelType w:val="hybridMultilevel"/>
    <w:tmpl w:val="78A4BD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0" w15:restartNumberingAfterBreak="0">
    <w:nsid w:val="7DC7195D"/>
    <w:multiLevelType w:val="hybridMultilevel"/>
    <w:tmpl w:val="4C106B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1" w15:restartNumberingAfterBreak="0">
    <w:nsid w:val="7EA6066D"/>
    <w:multiLevelType w:val="hybridMultilevel"/>
    <w:tmpl w:val="9B3A9B6C"/>
    <w:lvl w:ilvl="0" w:tplc="0C0C0011">
      <w:start w:val="1"/>
      <w:numFmt w:val="decimal"/>
      <w:lvlText w:val="%1)"/>
      <w:lvlJc w:val="left"/>
      <w:pPr>
        <w:ind w:left="3272" w:hanging="360"/>
      </w:pPr>
      <w:rPr>
        <w:rFonts w:hint="default"/>
      </w:rPr>
    </w:lvl>
    <w:lvl w:ilvl="1" w:tplc="0C0C0019" w:tentative="1">
      <w:start w:val="1"/>
      <w:numFmt w:val="lowerLetter"/>
      <w:lvlText w:val="%2."/>
      <w:lvlJc w:val="left"/>
      <w:pPr>
        <w:ind w:left="3992" w:hanging="360"/>
      </w:pPr>
    </w:lvl>
    <w:lvl w:ilvl="2" w:tplc="0C0C001B" w:tentative="1">
      <w:start w:val="1"/>
      <w:numFmt w:val="lowerRoman"/>
      <w:lvlText w:val="%3."/>
      <w:lvlJc w:val="right"/>
      <w:pPr>
        <w:ind w:left="4712" w:hanging="180"/>
      </w:pPr>
    </w:lvl>
    <w:lvl w:ilvl="3" w:tplc="0C0C000F" w:tentative="1">
      <w:start w:val="1"/>
      <w:numFmt w:val="decimal"/>
      <w:lvlText w:val="%4."/>
      <w:lvlJc w:val="left"/>
      <w:pPr>
        <w:ind w:left="5432" w:hanging="360"/>
      </w:pPr>
    </w:lvl>
    <w:lvl w:ilvl="4" w:tplc="0C0C0019" w:tentative="1">
      <w:start w:val="1"/>
      <w:numFmt w:val="lowerLetter"/>
      <w:lvlText w:val="%5."/>
      <w:lvlJc w:val="left"/>
      <w:pPr>
        <w:ind w:left="6152" w:hanging="360"/>
      </w:pPr>
    </w:lvl>
    <w:lvl w:ilvl="5" w:tplc="0C0C001B" w:tentative="1">
      <w:start w:val="1"/>
      <w:numFmt w:val="lowerRoman"/>
      <w:lvlText w:val="%6."/>
      <w:lvlJc w:val="right"/>
      <w:pPr>
        <w:ind w:left="6872" w:hanging="180"/>
      </w:pPr>
    </w:lvl>
    <w:lvl w:ilvl="6" w:tplc="0C0C000F" w:tentative="1">
      <w:start w:val="1"/>
      <w:numFmt w:val="decimal"/>
      <w:lvlText w:val="%7."/>
      <w:lvlJc w:val="left"/>
      <w:pPr>
        <w:ind w:left="7592" w:hanging="360"/>
      </w:pPr>
    </w:lvl>
    <w:lvl w:ilvl="7" w:tplc="0C0C0019" w:tentative="1">
      <w:start w:val="1"/>
      <w:numFmt w:val="lowerLetter"/>
      <w:lvlText w:val="%8."/>
      <w:lvlJc w:val="left"/>
      <w:pPr>
        <w:ind w:left="8312" w:hanging="360"/>
      </w:pPr>
    </w:lvl>
    <w:lvl w:ilvl="8" w:tplc="0C0C001B" w:tentative="1">
      <w:start w:val="1"/>
      <w:numFmt w:val="lowerRoman"/>
      <w:lvlText w:val="%9."/>
      <w:lvlJc w:val="right"/>
      <w:pPr>
        <w:ind w:left="9032" w:hanging="180"/>
      </w:pPr>
    </w:lvl>
  </w:abstractNum>
  <w:abstractNum w:abstractNumId="342" w15:restartNumberingAfterBreak="0">
    <w:nsid w:val="7ED15E08"/>
    <w:multiLevelType w:val="hybridMultilevel"/>
    <w:tmpl w:val="CAE2BF4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3" w15:restartNumberingAfterBreak="0">
    <w:nsid w:val="7EF9681E"/>
    <w:multiLevelType w:val="hybridMultilevel"/>
    <w:tmpl w:val="B972EC4C"/>
    <w:lvl w:ilvl="0" w:tplc="D424FA42">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4" w15:restartNumberingAfterBreak="0">
    <w:nsid w:val="7F553D4F"/>
    <w:multiLevelType w:val="hybridMultilevel"/>
    <w:tmpl w:val="96B0615A"/>
    <w:lvl w:ilvl="0" w:tplc="268074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5" w15:restartNumberingAfterBreak="0">
    <w:nsid w:val="7F7A3B6B"/>
    <w:multiLevelType w:val="hybridMultilevel"/>
    <w:tmpl w:val="7408CD48"/>
    <w:lvl w:ilvl="0" w:tplc="10090017">
      <w:start w:val="1"/>
      <w:numFmt w:val="lowerLetter"/>
      <w:lvlText w:val="%1)"/>
      <w:lvlJc w:val="left"/>
      <w:pPr>
        <w:ind w:left="720" w:hanging="360"/>
      </w:pPr>
    </w:lvl>
    <w:lvl w:ilvl="1" w:tplc="8E885A8C">
      <w:start w:val="1"/>
      <w:numFmt w:val="lowerLetter"/>
      <w:lvlText w:val="(%2)"/>
      <w:lvlJc w:val="left"/>
      <w:pPr>
        <w:ind w:left="360" w:hanging="360"/>
      </w:pPr>
      <w:rPr>
        <w:rFonts w:ascii="Arial" w:eastAsia="Arial Unicode MS" w:hAnsi="Arial" w:cs="Times New Roman"/>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6" w15:restartNumberingAfterBreak="0">
    <w:nsid w:val="7FCD3073"/>
    <w:multiLevelType w:val="hybridMultilevel"/>
    <w:tmpl w:val="9C2A8AFE"/>
    <w:lvl w:ilvl="0" w:tplc="09A0A372">
      <w:start w:val="1"/>
      <w:numFmt w:val="lowerRoman"/>
      <w:lvlText w:val="%1)"/>
      <w:lvlJc w:val="right"/>
      <w:pPr>
        <w:ind w:left="1800" w:hanging="360"/>
      </w:pPr>
      <w:rPr>
        <w:rFonts w:hint="default"/>
        <w:b w:val="0"/>
        <w:i w:val="0"/>
        <w:sz w:val="23"/>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7" w15:restartNumberingAfterBreak="0">
    <w:nsid w:val="7FEE1480"/>
    <w:multiLevelType w:val="hybridMultilevel"/>
    <w:tmpl w:val="3AD20B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07822823">
    <w:abstractNumId w:val="188"/>
  </w:num>
  <w:num w:numId="2" w16cid:durableId="619992070">
    <w:abstractNumId w:val="90"/>
  </w:num>
  <w:num w:numId="3" w16cid:durableId="131532375">
    <w:abstractNumId w:val="80"/>
  </w:num>
  <w:num w:numId="4" w16cid:durableId="1381055035">
    <w:abstractNumId w:val="6"/>
  </w:num>
  <w:num w:numId="5" w16cid:durableId="17392592">
    <w:abstractNumId w:val="71"/>
  </w:num>
  <w:num w:numId="6" w16cid:durableId="1939363202">
    <w:abstractNumId w:val="133"/>
  </w:num>
  <w:num w:numId="7" w16cid:durableId="1145194685">
    <w:abstractNumId w:val="225"/>
  </w:num>
  <w:num w:numId="8" w16cid:durableId="1263565990">
    <w:abstractNumId w:val="69"/>
  </w:num>
  <w:num w:numId="9" w16cid:durableId="963805143">
    <w:abstractNumId w:val="240"/>
  </w:num>
  <w:num w:numId="10" w16cid:durableId="1619875579">
    <w:abstractNumId w:val="51"/>
  </w:num>
  <w:num w:numId="11" w16cid:durableId="1107583238">
    <w:abstractNumId w:val="276"/>
  </w:num>
  <w:num w:numId="12" w16cid:durableId="1349872873">
    <w:abstractNumId w:val="180"/>
  </w:num>
  <w:num w:numId="13" w16cid:durableId="1645164607">
    <w:abstractNumId w:val="265"/>
  </w:num>
  <w:num w:numId="14" w16cid:durableId="684792610">
    <w:abstractNumId w:val="347"/>
  </w:num>
  <w:num w:numId="15" w16cid:durableId="1716923542">
    <w:abstractNumId w:val="13"/>
  </w:num>
  <w:num w:numId="16" w16cid:durableId="351805906">
    <w:abstractNumId w:val="159"/>
  </w:num>
  <w:num w:numId="17" w16cid:durableId="1614633611">
    <w:abstractNumId w:val="151"/>
  </w:num>
  <w:num w:numId="18" w16cid:durableId="1072847853">
    <w:abstractNumId w:val="215"/>
  </w:num>
  <w:num w:numId="19" w16cid:durableId="892278418">
    <w:abstractNumId w:val="251"/>
  </w:num>
  <w:num w:numId="20" w16cid:durableId="257717164">
    <w:abstractNumId w:val="15"/>
  </w:num>
  <w:num w:numId="21" w16cid:durableId="1106776224">
    <w:abstractNumId w:val="208"/>
  </w:num>
  <w:num w:numId="22" w16cid:durableId="10959063">
    <w:abstractNumId w:val="136"/>
  </w:num>
  <w:num w:numId="23" w16cid:durableId="1580363250">
    <w:abstractNumId w:val="154"/>
  </w:num>
  <w:num w:numId="24" w16cid:durableId="165947298">
    <w:abstractNumId w:val="100"/>
  </w:num>
  <w:num w:numId="25" w16cid:durableId="1939176716">
    <w:abstractNumId w:val="22"/>
  </w:num>
  <w:num w:numId="26" w16cid:durableId="352612215">
    <w:abstractNumId w:val="214"/>
  </w:num>
  <w:num w:numId="27" w16cid:durableId="291446914">
    <w:abstractNumId w:val="127"/>
  </w:num>
  <w:num w:numId="28" w16cid:durableId="1588801869">
    <w:abstractNumId w:val="258"/>
  </w:num>
  <w:num w:numId="29" w16cid:durableId="485782865">
    <w:abstractNumId w:val="320"/>
  </w:num>
  <w:num w:numId="30" w16cid:durableId="748843964">
    <w:abstractNumId w:val="137"/>
  </w:num>
  <w:num w:numId="31" w16cid:durableId="1099447563">
    <w:abstractNumId w:val="217"/>
  </w:num>
  <w:num w:numId="32" w16cid:durableId="1547521927">
    <w:abstractNumId w:val="318"/>
  </w:num>
  <w:num w:numId="33" w16cid:durableId="441997630">
    <w:abstractNumId w:val="96"/>
  </w:num>
  <w:num w:numId="34" w16cid:durableId="565920514">
    <w:abstractNumId w:val="210"/>
  </w:num>
  <w:num w:numId="35" w16cid:durableId="257715480">
    <w:abstractNumId w:val="174"/>
  </w:num>
  <w:num w:numId="36" w16cid:durableId="1239636007">
    <w:abstractNumId w:val="201"/>
  </w:num>
  <w:num w:numId="37" w16cid:durableId="2121028128">
    <w:abstractNumId w:val="227"/>
  </w:num>
  <w:num w:numId="38" w16cid:durableId="281037346">
    <w:abstractNumId w:val="131"/>
  </w:num>
  <w:num w:numId="39" w16cid:durableId="775293783">
    <w:abstractNumId w:val="94"/>
  </w:num>
  <w:num w:numId="40" w16cid:durableId="1708288319">
    <w:abstractNumId w:val="285"/>
  </w:num>
  <w:num w:numId="41" w16cid:durableId="787043760">
    <w:abstractNumId w:val="261"/>
  </w:num>
  <w:num w:numId="42" w16cid:durableId="1084111685">
    <w:abstractNumId w:val="304"/>
  </w:num>
  <w:num w:numId="43" w16cid:durableId="1234706671">
    <w:abstractNumId w:val="34"/>
  </w:num>
  <w:num w:numId="44" w16cid:durableId="2056540142">
    <w:abstractNumId w:val="105"/>
  </w:num>
  <w:num w:numId="45" w16cid:durableId="52894344">
    <w:abstractNumId w:val="40"/>
  </w:num>
  <w:num w:numId="46" w16cid:durableId="1432430625">
    <w:abstractNumId w:val="284"/>
  </w:num>
  <w:num w:numId="47" w16cid:durableId="1270314331">
    <w:abstractNumId w:val="68"/>
  </w:num>
  <w:num w:numId="48" w16cid:durableId="1701467516">
    <w:abstractNumId w:val="179"/>
  </w:num>
  <w:num w:numId="49" w16cid:durableId="431316859">
    <w:abstractNumId w:val="193"/>
  </w:num>
  <w:num w:numId="50" w16cid:durableId="316957750">
    <w:abstractNumId w:val="221"/>
  </w:num>
  <w:num w:numId="51" w16cid:durableId="296837316">
    <w:abstractNumId w:val="23"/>
  </w:num>
  <w:num w:numId="52" w16cid:durableId="14937051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58197506">
    <w:abstractNumId w:val="173"/>
  </w:num>
  <w:num w:numId="54" w16cid:durableId="597640843">
    <w:abstractNumId w:val="167"/>
  </w:num>
  <w:num w:numId="55" w16cid:durableId="1544488538">
    <w:abstractNumId w:val="211"/>
  </w:num>
  <w:num w:numId="56" w16cid:durableId="1631399638">
    <w:abstractNumId w:val="245"/>
  </w:num>
  <w:num w:numId="57" w16cid:durableId="1070536516">
    <w:abstractNumId w:val="331"/>
  </w:num>
  <w:num w:numId="58" w16cid:durableId="2014721313">
    <w:abstractNumId w:val="205"/>
  </w:num>
  <w:num w:numId="59" w16cid:durableId="488789197">
    <w:abstractNumId w:val="125"/>
  </w:num>
  <w:num w:numId="60" w16cid:durableId="1963994548">
    <w:abstractNumId w:val="144"/>
  </w:num>
  <w:num w:numId="61" w16cid:durableId="1313099770">
    <w:abstractNumId w:val="152"/>
  </w:num>
  <w:num w:numId="62" w16cid:durableId="1475876851">
    <w:abstractNumId w:val="289"/>
  </w:num>
  <w:num w:numId="63" w16cid:durableId="53550848">
    <w:abstractNumId w:val="271"/>
  </w:num>
  <w:num w:numId="64" w16cid:durableId="595132899">
    <w:abstractNumId w:val="266"/>
  </w:num>
  <w:num w:numId="65" w16cid:durableId="1392580737">
    <w:abstractNumId w:val="305"/>
  </w:num>
  <w:num w:numId="66" w16cid:durableId="749043633">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7" w16cid:durableId="764039893">
    <w:abstractNumId w:val="107"/>
  </w:num>
  <w:num w:numId="68" w16cid:durableId="1854152595">
    <w:abstractNumId w:val="91"/>
  </w:num>
  <w:num w:numId="69" w16cid:durableId="555554164">
    <w:abstractNumId w:val="267"/>
  </w:num>
  <w:num w:numId="70" w16cid:durableId="1204170563">
    <w:abstractNumId w:val="301"/>
  </w:num>
  <w:num w:numId="71" w16cid:durableId="787310798">
    <w:abstractNumId w:val="302"/>
  </w:num>
  <w:num w:numId="72" w16cid:durableId="289747447">
    <w:abstractNumId w:val="48"/>
  </w:num>
  <w:num w:numId="73" w16cid:durableId="436995558">
    <w:abstractNumId w:val="129"/>
  </w:num>
  <w:num w:numId="74" w16cid:durableId="748308792">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9689861">
    <w:abstractNumId w:val="281"/>
  </w:num>
  <w:num w:numId="76" w16cid:durableId="38169744">
    <w:abstractNumId w:val="328"/>
  </w:num>
  <w:num w:numId="77" w16cid:durableId="567542677">
    <w:abstractNumId w:val="339"/>
  </w:num>
  <w:num w:numId="78" w16cid:durableId="335037896">
    <w:abstractNumId w:val="97"/>
  </w:num>
  <w:num w:numId="79" w16cid:durableId="878855414">
    <w:abstractNumId w:val="306"/>
  </w:num>
  <w:num w:numId="80" w16cid:durableId="1212955914">
    <w:abstractNumId w:val="115"/>
  </w:num>
  <w:num w:numId="81" w16cid:durableId="548030692">
    <w:abstractNumId w:val="99"/>
  </w:num>
  <w:num w:numId="82" w16cid:durableId="475685192">
    <w:abstractNumId w:val="66"/>
  </w:num>
  <w:num w:numId="83" w16cid:durableId="906846013">
    <w:abstractNumId w:val="315"/>
  </w:num>
  <w:num w:numId="84" w16cid:durableId="75133165">
    <w:abstractNumId w:val="312"/>
  </w:num>
  <w:num w:numId="85" w16cid:durableId="782918865">
    <w:abstractNumId w:val="11"/>
  </w:num>
  <w:num w:numId="86" w16cid:durableId="1059748145">
    <w:abstractNumId w:val="288"/>
  </w:num>
  <w:num w:numId="87" w16cid:durableId="344090966">
    <w:abstractNumId w:val="219"/>
  </w:num>
  <w:num w:numId="88" w16cid:durableId="1544709912">
    <w:abstractNumId w:val="234"/>
  </w:num>
  <w:num w:numId="89" w16cid:durableId="1816490626">
    <w:abstractNumId w:val="189"/>
  </w:num>
  <w:num w:numId="90" w16cid:durableId="2116557283">
    <w:abstractNumId w:val="57"/>
  </w:num>
  <w:num w:numId="91" w16cid:durableId="120349434">
    <w:abstractNumId w:val="44"/>
  </w:num>
  <w:num w:numId="92" w16cid:durableId="710960746">
    <w:abstractNumId w:val="297"/>
  </w:num>
  <w:num w:numId="93" w16cid:durableId="214585599">
    <w:abstractNumId w:val="86"/>
  </w:num>
  <w:num w:numId="94" w16cid:durableId="1285113043">
    <w:abstractNumId w:val="346"/>
  </w:num>
  <w:num w:numId="95" w16cid:durableId="530723263">
    <w:abstractNumId w:val="138"/>
  </w:num>
  <w:num w:numId="96" w16cid:durableId="854881539">
    <w:abstractNumId w:val="30"/>
  </w:num>
  <w:num w:numId="97" w16cid:durableId="2926413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72874838">
    <w:abstractNumId w:val="216"/>
  </w:num>
  <w:num w:numId="99" w16cid:durableId="1534538098">
    <w:abstractNumId w:val="287"/>
  </w:num>
  <w:num w:numId="100" w16cid:durableId="1340962094">
    <w:abstractNumId w:val="237"/>
  </w:num>
  <w:num w:numId="101" w16cid:durableId="910655243">
    <w:abstractNumId w:val="141"/>
  </w:num>
  <w:num w:numId="102" w16cid:durableId="187068246">
    <w:abstractNumId w:val="230"/>
  </w:num>
  <w:num w:numId="103" w16cid:durableId="39285164">
    <w:abstractNumId w:val="169"/>
  </w:num>
  <w:num w:numId="104" w16cid:durableId="1214539282">
    <w:abstractNumId w:val="233"/>
  </w:num>
  <w:num w:numId="105" w16cid:durableId="1695881677">
    <w:abstractNumId w:val="323"/>
  </w:num>
  <w:num w:numId="106" w16cid:durableId="1317418369">
    <w:abstractNumId w:val="26"/>
  </w:num>
  <w:num w:numId="107" w16cid:durableId="841355890">
    <w:abstractNumId w:val="207"/>
  </w:num>
  <w:num w:numId="108" w16cid:durableId="1309364293">
    <w:abstractNumId w:val="260"/>
  </w:num>
  <w:num w:numId="109" w16cid:durableId="1934167705">
    <w:abstractNumId w:val="183"/>
  </w:num>
  <w:num w:numId="110" w16cid:durableId="848757218">
    <w:abstractNumId w:val="108"/>
  </w:num>
  <w:num w:numId="111" w16cid:durableId="2134252914">
    <w:abstractNumId w:val="87"/>
  </w:num>
  <w:num w:numId="112" w16cid:durableId="1233194439">
    <w:abstractNumId w:val="25"/>
  </w:num>
  <w:num w:numId="113" w16cid:durableId="353772022">
    <w:abstractNumId w:val="119"/>
  </w:num>
  <w:num w:numId="114" w16cid:durableId="1799763117">
    <w:abstractNumId w:val="72"/>
  </w:num>
  <w:num w:numId="115" w16cid:durableId="948664339">
    <w:abstractNumId w:val="83"/>
  </w:num>
  <w:num w:numId="116" w16cid:durableId="689599414">
    <w:abstractNumId w:val="49"/>
  </w:num>
  <w:num w:numId="117" w16cid:durableId="1690832109">
    <w:abstractNumId w:val="291"/>
  </w:num>
  <w:num w:numId="118" w16cid:durableId="854921113">
    <w:abstractNumId w:val="163"/>
  </w:num>
  <w:num w:numId="119" w16cid:durableId="232785175">
    <w:abstractNumId w:val="55"/>
  </w:num>
  <w:num w:numId="120" w16cid:durableId="1944918944">
    <w:abstractNumId w:val="124"/>
  </w:num>
  <w:num w:numId="121" w16cid:durableId="1709449143">
    <w:abstractNumId w:val="128"/>
  </w:num>
  <w:num w:numId="122" w16cid:durableId="1023283630">
    <w:abstractNumId w:val="147"/>
  </w:num>
  <w:num w:numId="123" w16cid:durableId="2098208794">
    <w:abstractNumId w:val="36"/>
  </w:num>
  <w:num w:numId="124" w16cid:durableId="71700689">
    <w:abstractNumId w:val="202"/>
  </w:num>
  <w:num w:numId="125" w16cid:durableId="1567109523">
    <w:abstractNumId w:val="58"/>
  </w:num>
  <w:num w:numId="126" w16cid:durableId="811672810">
    <w:abstractNumId w:val="12"/>
  </w:num>
  <w:num w:numId="127" w16cid:durableId="1244687041">
    <w:abstractNumId w:val="198"/>
  </w:num>
  <w:num w:numId="128" w16cid:durableId="1785029117">
    <w:abstractNumId w:val="93"/>
  </w:num>
  <w:num w:numId="129" w16cid:durableId="907113903">
    <w:abstractNumId w:val="344"/>
  </w:num>
  <w:num w:numId="130" w16cid:durableId="783888464">
    <w:abstractNumId w:val="191"/>
  </w:num>
  <w:num w:numId="131" w16cid:durableId="363404261">
    <w:abstractNumId w:val="222"/>
  </w:num>
  <w:num w:numId="132" w16cid:durableId="389229090">
    <w:abstractNumId w:val="126"/>
  </w:num>
  <w:num w:numId="133" w16cid:durableId="1261328994">
    <w:abstractNumId w:val="209"/>
  </w:num>
  <w:num w:numId="134" w16cid:durableId="1122917734">
    <w:abstractNumId w:val="220"/>
  </w:num>
  <w:num w:numId="135" w16cid:durableId="813911630">
    <w:abstractNumId w:val="63"/>
  </w:num>
  <w:num w:numId="136" w16cid:durableId="1490368275">
    <w:abstractNumId w:val="329"/>
  </w:num>
  <w:num w:numId="137" w16cid:durableId="7367642">
    <w:abstractNumId w:val="231"/>
  </w:num>
  <w:num w:numId="138" w16cid:durableId="1562251491">
    <w:abstractNumId w:val="322"/>
  </w:num>
  <w:num w:numId="139" w16cid:durableId="1357775497">
    <w:abstractNumId w:val="317"/>
  </w:num>
  <w:num w:numId="140" w16cid:durableId="1175802768">
    <w:abstractNumId w:val="172"/>
  </w:num>
  <w:num w:numId="141" w16cid:durableId="1818107180">
    <w:abstractNumId w:val="254"/>
  </w:num>
  <w:num w:numId="142" w16cid:durableId="527256740">
    <w:abstractNumId w:val="92"/>
  </w:num>
  <w:num w:numId="143" w16cid:durableId="655449591">
    <w:abstractNumId w:val="200"/>
  </w:num>
  <w:num w:numId="144" w16cid:durableId="336616789">
    <w:abstractNumId w:val="277"/>
  </w:num>
  <w:num w:numId="145" w16cid:durableId="40712132">
    <w:abstractNumId w:val="250"/>
  </w:num>
  <w:num w:numId="146" w16cid:durableId="192809104">
    <w:abstractNumId w:val="132"/>
  </w:num>
  <w:num w:numId="147" w16cid:durableId="560214544">
    <w:abstractNumId w:val="31"/>
  </w:num>
  <w:num w:numId="148" w16cid:durableId="28844092">
    <w:abstractNumId w:val="223"/>
  </w:num>
  <w:num w:numId="149" w16cid:durableId="527380256">
    <w:abstractNumId w:val="149"/>
  </w:num>
  <w:num w:numId="150" w16cid:durableId="1963539969">
    <w:abstractNumId w:val="20"/>
  </w:num>
  <w:num w:numId="151" w16cid:durableId="1149441779">
    <w:abstractNumId w:val="192"/>
  </w:num>
  <w:num w:numId="152" w16cid:durableId="881526029">
    <w:abstractNumId w:val="337"/>
  </w:num>
  <w:num w:numId="153" w16cid:durableId="1498181356">
    <w:abstractNumId w:val="196"/>
  </w:num>
  <w:num w:numId="154" w16cid:durableId="2105685994">
    <w:abstractNumId w:val="14"/>
  </w:num>
  <w:num w:numId="155" w16cid:durableId="780537781">
    <w:abstractNumId w:val="21"/>
  </w:num>
  <w:num w:numId="156" w16cid:durableId="1040133728">
    <w:abstractNumId w:val="130"/>
  </w:num>
  <w:num w:numId="157" w16cid:durableId="739526470">
    <w:abstractNumId w:val="182"/>
  </w:num>
  <w:num w:numId="158" w16cid:durableId="588268161">
    <w:abstractNumId w:val="299"/>
  </w:num>
  <w:num w:numId="159" w16cid:durableId="2127001422">
    <w:abstractNumId w:val="5"/>
  </w:num>
  <w:num w:numId="160" w16cid:durableId="2101177241">
    <w:abstractNumId w:val="186"/>
  </w:num>
  <w:num w:numId="161" w16cid:durableId="116813279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8756856">
    <w:abstractNumId w:val="112"/>
  </w:num>
  <w:num w:numId="163" w16cid:durableId="1579749600">
    <w:abstractNumId w:val="4"/>
  </w:num>
  <w:num w:numId="164" w16cid:durableId="129251710">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314140815">
    <w:abstractNumId w:val="148"/>
  </w:num>
  <w:num w:numId="166" w16cid:durableId="862328538">
    <w:abstractNumId w:val="35"/>
  </w:num>
  <w:num w:numId="167" w16cid:durableId="758790905">
    <w:abstractNumId w:val="16"/>
  </w:num>
  <w:num w:numId="168" w16cid:durableId="1088231489">
    <w:abstractNumId w:val="236"/>
  </w:num>
  <w:num w:numId="169" w16cid:durableId="1721443719">
    <w:abstractNumId w:val="307"/>
  </w:num>
  <w:num w:numId="170" w16cid:durableId="1540580678">
    <w:abstractNumId w:val="290"/>
  </w:num>
  <w:num w:numId="171" w16cid:durableId="1549410364">
    <w:abstractNumId w:val="333"/>
  </w:num>
  <w:num w:numId="172" w16cid:durableId="789124554">
    <w:abstractNumId w:val="27"/>
  </w:num>
  <w:num w:numId="173" w16cid:durableId="1482624888">
    <w:abstractNumId w:val="82"/>
  </w:num>
  <w:num w:numId="174" w16cid:durableId="1726643459">
    <w:abstractNumId w:val="164"/>
  </w:num>
  <w:num w:numId="175" w16cid:durableId="1298417747">
    <w:abstractNumId w:val="156"/>
  </w:num>
  <w:num w:numId="176" w16cid:durableId="740368336">
    <w:abstractNumId w:val="296"/>
  </w:num>
  <w:num w:numId="177" w16cid:durableId="1947928936">
    <w:abstractNumId w:val="140"/>
  </w:num>
  <w:num w:numId="178" w16cid:durableId="32965633">
    <w:abstractNumId w:val="78"/>
  </w:num>
  <w:num w:numId="179" w16cid:durableId="1009986860">
    <w:abstractNumId w:val="39"/>
  </w:num>
  <w:num w:numId="180" w16cid:durableId="742991337">
    <w:abstractNumId w:val="166"/>
  </w:num>
  <w:num w:numId="181" w16cid:durableId="1756827463">
    <w:abstractNumId w:val="150"/>
  </w:num>
  <w:num w:numId="182" w16cid:durableId="2027367375">
    <w:abstractNumId w:val="241"/>
  </w:num>
  <w:num w:numId="183" w16cid:durableId="126052073">
    <w:abstractNumId w:val="243"/>
  </w:num>
  <w:num w:numId="184" w16cid:durableId="457340130">
    <w:abstractNumId w:val="84"/>
  </w:num>
  <w:num w:numId="185" w16cid:durableId="1846088347">
    <w:abstractNumId w:val="104"/>
  </w:num>
  <w:num w:numId="186" w16cid:durableId="899291918">
    <w:abstractNumId w:val="264"/>
  </w:num>
  <w:num w:numId="187" w16cid:durableId="1411384516">
    <w:abstractNumId w:val="158"/>
  </w:num>
  <w:num w:numId="188" w16cid:durableId="592200447">
    <w:abstractNumId w:val="10"/>
  </w:num>
  <w:num w:numId="189" w16cid:durableId="381909564">
    <w:abstractNumId w:val="268"/>
  </w:num>
  <w:num w:numId="190" w16cid:durableId="994844573">
    <w:abstractNumId w:val="171"/>
  </w:num>
  <w:num w:numId="191" w16cid:durableId="2033456079">
    <w:abstractNumId w:val="62"/>
  </w:num>
  <w:num w:numId="192" w16cid:durableId="1059019225">
    <w:abstractNumId w:val="283"/>
  </w:num>
  <w:num w:numId="193" w16cid:durableId="2117289748">
    <w:abstractNumId w:val="341"/>
  </w:num>
  <w:num w:numId="194" w16cid:durableId="1152024337">
    <w:abstractNumId w:val="303"/>
  </w:num>
  <w:num w:numId="195" w16cid:durableId="800227034">
    <w:abstractNumId w:val="3"/>
  </w:num>
  <w:num w:numId="196" w16cid:durableId="1243762806">
    <w:abstractNumId w:val="110"/>
  </w:num>
  <w:num w:numId="197" w16cid:durableId="1485510918">
    <w:abstractNumId w:val="272"/>
  </w:num>
  <w:num w:numId="198" w16cid:durableId="2134404829">
    <w:abstractNumId w:val="232"/>
  </w:num>
  <w:num w:numId="199" w16cid:durableId="699817067">
    <w:abstractNumId w:val="262"/>
  </w:num>
  <w:num w:numId="200" w16cid:durableId="1783568838">
    <w:abstractNumId w:val="270"/>
  </w:num>
  <w:num w:numId="201" w16cid:durableId="40441331">
    <w:abstractNumId w:val="134"/>
  </w:num>
  <w:num w:numId="202" w16cid:durableId="517233861">
    <w:abstractNumId w:val="121"/>
  </w:num>
  <w:num w:numId="203" w16cid:durableId="556092802">
    <w:abstractNumId w:val="103"/>
  </w:num>
  <w:num w:numId="204" w16cid:durableId="157577068">
    <w:abstractNumId w:val="67"/>
  </w:num>
  <w:num w:numId="205" w16cid:durableId="1634289419">
    <w:abstractNumId w:val="203"/>
  </w:num>
  <w:num w:numId="206" w16cid:durableId="376586596">
    <w:abstractNumId w:val="18"/>
  </w:num>
  <w:num w:numId="207" w16cid:durableId="44961321">
    <w:abstractNumId w:val="157"/>
  </w:num>
  <w:num w:numId="208" w16cid:durableId="643851626">
    <w:abstractNumId w:val="9"/>
  </w:num>
  <w:num w:numId="209" w16cid:durableId="163598040">
    <w:abstractNumId w:val="155"/>
  </w:num>
  <w:num w:numId="210" w16cid:durableId="672227049">
    <w:abstractNumId w:val="343"/>
  </w:num>
  <w:num w:numId="211" w16cid:durableId="931737494">
    <w:abstractNumId w:val="56"/>
  </w:num>
  <w:num w:numId="212" w16cid:durableId="697239822">
    <w:abstractNumId w:val="65"/>
  </w:num>
  <w:num w:numId="213" w16cid:durableId="2002347598">
    <w:abstractNumId w:val="224"/>
  </w:num>
  <w:num w:numId="214" w16cid:durableId="1592661864">
    <w:abstractNumId w:val="114"/>
  </w:num>
  <w:num w:numId="215" w16cid:durableId="964773846">
    <w:abstractNumId w:val="338"/>
  </w:num>
  <w:num w:numId="216" w16cid:durableId="1400516485">
    <w:abstractNumId w:val="45"/>
  </w:num>
  <w:num w:numId="217" w16cid:durableId="973560156">
    <w:abstractNumId w:val="308"/>
  </w:num>
  <w:num w:numId="218" w16cid:durableId="950552718">
    <w:abstractNumId w:val="295"/>
  </w:num>
  <w:num w:numId="219" w16cid:durableId="106632148">
    <w:abstractNumId w:val="342"/>
  </w:num>
  <w:num w:numId="220" w16cid:durableId="1587373854">
    <w:abstractNumId w:val="204"/>
  </w:num>
  <w:num w:numId="221" w16cid:durableId="1317613288">
    <w:abstractNumId w:val="2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767533917">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318114269">
    <w:abstractNumId w:val="192"/>
  </w:num>
  <w:num w:numId="224" w16cid:durableId="1627466950">
    <w:abstractNumId w:val="77"/>
  </w:num>
  <w:num w:numId="225" w16cid:durableId="669986279">
    <w:abstractNumId w:val="24"/>
  </w:num>
  <w:num w:numId="226" w16cid:durableId="1344286833">
    <w:abstractNumId w:val="74"/>
  </w:num>
  <w:num w:numId="227" w16cid:durableId="1926184294">
    <w:abstractNumId w:val="327"/>
  </w:num>
  <w:num w:numId="228" w16cid:durableId="1218127974">
    <w:abstractNumId w:val="199"/>
  </w:num>
  <w:num w:numId="229" w16cid:durableId="161436233">
    <w:abstractNumId w:val="95"/>
  </w:num>
  <w:num w:numId="230" w16cid:durableId="1629705684">
    <w:abstractNumId w:val="98"/>
  </w:num>
  <w:num w:numId="231" w16cid:durableId="495190237">
    <w:abstractNumId w:val="293"/>
  </w:num>
  <w:num w:numId="232" w16cid:durableId="1624070628">
    <w:abstractNumId w:val="19"/>
  </w:num>
  <w:num w:numId="233" w16cid:durableId="1224948419">
    <w:abstractNumId w:val="161"/>
  </w:num>
  <w:num w:numId="234" w16cid:durableId="319504968">
    <w:abstractNumId w:val="73"/>
  </w:num>
  <w:num w:numId="235" w16cid:durableId="1466578816">
    <w:abstractNumId w:val="54"/>
  </w:num>
  <w:num w:numId="236" w16cid:durableId="571504929">
    <w:abstractNumId w:val="326"/>
  </w:num>
  <w:num w:numId="237" w16cid:durableId="895508903">
    <w:abstractNumId w:val="113"/>
  </w:num>
  <w:num w:numId="238" w16cid:durableId="1510634728">
    <w:abstractNumId w:val="139"/>
  </w:num>
  <w:num w:numId="239" w16cid:durableId="2064599224">
    <w:abstractNumId w:val="46"/>
  </w:num>
  <w:num w:numId="240" w16cid:durableId="78336001">
    <w:abstractNumId w:val="213"/>
  </w:num>
  <w:num w:numId="241" w16cid:durableId="56517115">
    <w:abstractNumId w:val="314"/>
  </w:num>
  <w:num w:numId="242" w16cid:durableId="1965112162">
    <w:abstractNumId w:val="244"/>
  </w:num>
  <w:num w:numId="243" w16cid:durableId="867833026">
    <w:abstractNumId w:val="345"/>
  </w:num>
  <w:num w:numId="244" w16cid:durableId="1001469383">
    <w:abstractNumId w:val="235"/>
  </w:num>
  <w:num w:numId="245" w16cid:durableId="334846603">
    <w:abstractNumId w:val="64"/>
  </w:num>
  <w:num w:numId="246" w16cid:durableId="1653174890">
    <w:abstractNumId w:val="81"/>
  </w:num>
  <w:num w:numId="247" w16cid:durableId="1758015366">
    <w:abstractNumId w:val="335"/>
  </w:num>
  <w:num w:numId="248" w16cid:durableId="2020808872">
    <w:abstractNumId w:val="195"/>
  </w:num>
  <w:num w:numId="249" w16cid:durableId="902451144">
    <w:abstractNumId w:val="313"/>
  </w:num>
  <w:num w:numId="250" w16cid:durableId="102965132">
    <w:abstractNumId w:val="17"/>
  </w:num>
  <w:num w:numId="251" w16cid:durableId="784276872">
    <w:abstractNumId w:val="252"/>
  </w:num>
  <w:num w:numId="252" w16cid:durableId="983852369">
    <w:abstractNumId w:val="176"/>
  </w:num>
  <w:num w:numId="253" w16cid:durableId="1154101036">
    <w:abstractNumId w:val="181"/>
  </w:num>
  <w:num w:numId="254" w16cid:durableId="1378048858">
    <w:abstractNumId w:val="42"/>
  </w:num>
  <w:num w:numId="255" w16cid:durableId="1692798694">
    <w:abstractNumId w:val="41"/>
  </w:num>
  <w:num w:numId="256" w16cid:durableId="1777944389">
    <w:abstractNumId w:val="122"/>
  </w:num>
  <w:num w:numId="257" w16cid:durableId="1880894003">
    <w:abstractNumId w:val="310"/>
  </w:num>
  <w:num w:numId="258" w16cid:durableId="1202940196">
    <w:abstractNumId w:val="123"/>
  </w:num>
  <w:num w:numId="259" w16cid:durableId="1558055735">
    <w:abstractNumId w:val="332"/>
  </w:num>
  <w:num w:numId="260" w16cid:durableId="1112826349">
    <w:abstractNumId w:val="336"/>
  </w:num>
  <w:num w:numId="261" w16cid:durableId="136147241">
    <w:abstractNumId w:val="228"/>
  </w:num>
  <w:num w:numId="262" w16cid:durableId="1616255985">
    <w:abstractNumId w:val="32"/>
  </w:num>
  <w:num w:numId="263" w16cid:durableId="1261641717">
    <w:abstractNumId w:val="111"/>
  </w:num>
  <w:num w:numId="264" w16cid:durableId="1178231339">
    <w:abstractNumId w:val="85"/>
  </w:num>
  <w:num w:numId="265" w16cid:durableId="1030764997">
    <w:abstractNumId w:val="194"/>
  </w:num>
  <w:num w:numId="266" w16cid:durableId="1956905065">
    <w:abstractNumId w:val="53"/>
  </w:num>
  <w:num w:numId="267" w16cid:durableId="1904830672">
    <w:abstractNumId w:val="79"/>
  </w:num>
  <w:num w:numId="268" w16cid:durableId="1871065524">
    <w:abstractNumId w:val="118"/>
  </w:num>
  <w:num w:numId="269" w16cid:durableId="541479800">
    <w:abstractNumId w:val="52"/>
  </w:num>
  <w:num w:numId="270" w16cid:durableId="2138404411">
    <w:abstractNumId w:val="280"/>
  </w:num>
  <w:num w:numId="271" w16cid:durableId="117142626">
    <w:abstractNumId w:val="109"/>
  </w:num>
  <w:num w:numId="272" w16cid:durableId="892230056">
    <w:abstractNumId w:val="37"/>
  </w:num>
  <w:num w:numId="273" w16cid:durableId="1000230032">
    <w:abstractNumId w:val="273"/>
  </w:num>
  <w:num w:numId="274" w16cid:durableId="449905366">
    <w:abstractNumId w:val="60"/>
  </w:num>
  <w:num w:numId="275" w16cid:durableId="1249731776">
    <w:abstractNumId w:val="226"/>
  </w:num>
  <w:num w:numId="276" w16cid:durableId="1183325464">
    <w:abstractNumId w:val="116"/>
  </w:num>
  <w:num w:numId="277" w16cid:durableId="656081275">
    <w:abstractNumId w:val="75"/>
  </w:num>
  <w:num w:numId="278" w16cid:durableId="96026291">
    <w:abstractNumId w:val="106"/>
  </w:num>
  <w:num w:numId="279" w16cid:durableId="1344893640">
    <w:abstractNumId w:val="259"/>
  </w:num>
  <w:num w:numId="280" w16cid:durableId="1496727345">
    <w:abstractNumId w:val="282"/>
  </w:num>
  <w:num w:numId="281" w16cid:durableId="2040817156">
    <w:abstractNumId w:val="146"/>
  </w:num>
  <w:num w:numId="282" w16cid:durableId="475148923">
    <w:abstractNumId w:val="249"/>
  </w:num>
  <w:num w:numId="283" w16cid:durableId="256450370">
    <w:abstractNumId w:val="160"/>
  </w:num>
  <w:num w:numId="284" w16cid:durableId="1346593901">
    <w:abstractNumId w:val="47"/>
  </w:num>
  <w:num w:numId="285" w16cid:durableId="781144581">
    <w:abstractNumId w:val="88"/>
  </w:num>
  <w:num w:numId="286" w16cid:durableId="14308534">
    <w:abstractNumId w:val="206"/>
  </w:num>
  <w:num w:numId="287" w16cid:durableId="1467892029">
    <w:abstractNumId w:val="38"/>
  </w:num>
  <w:num w:numId="288" w16cid:durableId="263540883">
    <w:abstractNumId w:val="117"/>
  </w:num>
  <w:num w:numId="289" w16cid:durableId="221841356">
    <w:abstractNumId w:val="340"/>
  </w:num>
  <w:num w:numId="290" w16cid:durableId="180360246">
    <w:abstractNumId w:val="316"/>
  </w:num>
  <w:num w:numId="291" w16cid:durableId="259141462">
    <w:abstractNumId w:val="319"/>
  </w:num>
  <w:num w:numId="292" w16cid:durableId="968437988">
    <w:abstractNumId w:val="168"/>
  </w:num>
  <w:num w:numId="293" w16cid:durableId="1149520217">
    <w:abstractNumId w:val="269"/>
  </w:num>
  <w:num w:numId="294" w16cid:durableId="687297101">
    <w:abstractNumId w:val="50"/>
  </w:num>
  <w:num w:numId="295" w16cid:durableId="1734234782">
    <w:abstractNumId w:val="248"/>
  </w:num>
  <w:num w:numId="296" w16cid:durableId="1953780238">
    <w:abstractNumId w:val="101"/>
  </w:num>
  <w:num w:numId="297" w16cid:durableId="1203665523">
    <w:abstractNumId w:val="59"/>
  </w:num>
  <w:num w:numId="298" w16cid:durableId="946038186">
    <w:abstractNumId w:val="33"/>
  </w:num>
  <w:num w:numId="299" w16cid:durableId="1841505757">
    <w:abstractNumId w:val="135"/>
  </w:num>
  <w:num w:numId="300" w16cid:durableId="1312707937">
    <w:abstractNumId w:val="292"/>
  </w:num>
  <w:num w:numId="301" w16cid:durableId="1056972852">
    <w:abstractNumId w:val="170"/>
  </w:num>
  <w:num w:numId="302" w16cid:durableId="672531331">
    <w:abstractNumId w:val="7"/>
  </w:num>
  <w:num w:numId="303" w16cid:durableId="96753745">
    <w:abstractNumId w:val="212"/>
  </w:num>
  <w:num w:numId="304" w16cid:durableId="647513056">
    <w:abstractNumId w:val="153"/>
  </w:num>
  <w:num w:numId="305" w16cid:durableId="738751907">
    <w:abstractNumId w:val="178"/>
  </w:num>
  <w:num w:numId="306" w16cid:durableId="582880505">
    <w:abstractNumId w:val="184"/>
  </w:num>
  <w:num w:numId="307" w16cid:durableId="2088922400">
    <w:abstractNumId w:val="162"/>
  </w:num>
  <w:num w:numId="308" w16cid:durableId="1224678207">
    <w:abstractNumId w:val="246"/>
  </w:num>
  <w:num w:numId="309" w16cid:durableId="499078789">
    <w:abstractNumId w:val="61"/>
  </w:num>
  <w:num w:numId="310" w16cid:durableId="20950097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522159997">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120297831">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34035762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96338682">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44709284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44567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19764427">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5721299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7088904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54513960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02170740">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9541695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91759675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2375971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57235470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5655780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4675489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664435491">
    <w:abstractNumId w:val="69"/>
  </w:num>
  <w:num w:numId="329" w16cid:durableId="339355885">
    <w:abstractNumId w:val="225"/>
    <w:lvlOverride w:ilvl="0">
      <w:startOverride w:val="1"/>
    </w:lvlOverride>
    <w:lvlOverride w:ilvl="1"/>
    <w:lvlOverride w:ilvl="2"/>
    <w:lvlOverride w:ilvl="3"/>
    <w:lvlOverride w:ilvl="4"/>
    <w:lvlOverride w:ilvl="5"/>
    <w:lvlOverride w:ilvl="6"/>
    <w:lvlOverride w:ilvl="7"/>
    <w:lvlOverride w:ilvl="8"/>
  </w:num>
  <w:num w:numId="330" w16cid:durableId="15521569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480539171">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300918185">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28865690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9140344">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460346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13134995">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552499393">
    <w:abstractNumId w:val="62"/>
  </w:num>
  <w:num w:numId="338" w16cid:durableId="17461490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411438266">
    <w:abstractNumId w:val="164"/>
  </w:num>
  <w:num w:numId="340" w16cid:durableId="43328508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058935288">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847527628">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00068852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33329288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45" w16cid:durableId="1353843090">
    <w:abstractNumId w:val="253"/>
  </w:num>
  <w:num w:numId="346" w16cid:durableId="192815039">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100758839">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740519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36691092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05442914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6707053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76319169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018310920">
    <w:abstractNumId w:val="261"/>
  </w:num>
  <w:num w:numId="354" w16cid:durableId="867180352">
    <w:abstractNumId w:val="34"/>
  </w:num>
  <w:num w:numId="355" w16cid:durableId="918633946">
    <w:abstractNumId w:val="251"/>
  </w:num>
  <w:num w:numId="356" w16cid:durableId="1334650657">
    <w:abstractNumId w:val="105"/>
  </w:num>
  <w:num w:numId="357" w16cid:durableId="106444990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020621121">
    <w:abstractNumId w:val="1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89120946">
    <w:abstractNumId w:val="7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74945710">
    <w:abstractNumId w:val="39"/>
  </w:num>
  <w:num w:numId="361" w16cid:durableId="4442737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7019783">
    <w:abstractNumId w:val="154"/>
  </w:num>
  <w:num w:numId="363" w16cid:durableId="19982242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6245072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73582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46131429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17378274">
    <w:abstractNumId w:val="15"/>
  </w:num>
  <w:num w:numId="368" w16cid:durableId="14607614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1000401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673338837">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460732477">
    <w:abstractNumId w:val="137"/>
  </w:num>
  <w:num w:numId="372" w16cid:durableId="985859968">
    <w:abstractNumId w:val="217"/>
  </w:num>
  <w:num w:numId="373" w16cid:durableId="1494027922">
    <w:abstractNumId w:val="318"/>
  </w:num>
  <w:num w:numId="374" w16cid:durableId="586813370">
    <w:abstractNumId w:val="96"/>
  </w:num>
  <w:num w:numId="375" w16cid:durableId="184320019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96292715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72279950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655450115">
    <w:abstractNumId w:val="10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039086725">
    <w:abstractNumId w:val="193"/>
    <w:lvlOverride w:ilvl="0">
      <w:startOverride w:val="1"/>
    </w:lvlOverride>
    <w:lvlOverride w:ilvl="1"/>
    <w:lvlOverride w:ilvl="2"/>
    <w:lvlOverride w:ilvl="3"/>
    <w:lvlOverride w:ilvl="4"/>
    <w:lvlOverride w:ilvl="5"/>
    <w:lvlOverride w:ilvl="6"/>
    <w:lvlOverride w:ilvl="7"/>
    <w:lvlOverride w:ilvl="8"/>
  </w:num>
  <w:num w:numId="380" w16cid:durableId="58853940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8107542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273513292">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14466414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722820600">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8797383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26132825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672021009">
    <w:abstractNumId w:val="43"/>
  </w:num>
  <w:num w:numId="388" w16cid:durableId="1870994070">
    <w:abstractNumId w:val="175"/>
  </w:num>
  <w:num w:numId="389" w16cid:durableId="110422956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34363577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362894865">
    <w:abstractNumId w:val="190"/>
  </w:num>
  <w:num w:numId="392" w16cid:durableId="1501002241">
    <w:abstractNumId w:val="279"/>
  </w:num>
  <w:num w:numId="393" w16cid:durableId="1502117617">
    <w:abstractNumId w:val="28"/>
  </w:num>
  <w:num w:numId="394" w16cid:durableId="865606821">
    <w:abstractNumId w:val="70"/>
  </w:num>
  <w:num w:numId="395" w16cid:durableId="2112238408">
    <w:abstractNumId w:val="76"/>
  </w:num>
  <w:num w:numId="396" w16cid:durableId="1056586329">
    <w:abstractNumId w:val="300"/>
  </w:num>
  <w:num w:numId="397" w16cid:durableId="1216545453">
    <w:abstractNumId w:val="165"/>
  </w:num>
  <w:num w:numId="398" w16cid:durableId="831990413">
    <w:abstractNumId w:val="255"/>
  </w:num>
  <w:num w:numId="399" w16cid:durableId="1964380669">
    <w:abstractNumId w:val="256"/>
  </w:num>
  <w:num w:numId="400" w16cid:durableId="5873493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366414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508861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4298543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9381782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9582927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04088489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345401654">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27672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6314005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03115395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464545556">
    <w:abstractNumId w:val="330"/>
  </w:num>
  <w:num w:numId="412" w16cid:durableId="429205155">
    <w:abstractNumId w:val="286"/>
  </w:num>
  <w:num w:numId="413" w16cid:durableId="1413503302">
    <w:abstractNumId w:val="321"/>
  </w:num>
  <w:num w:numId="414" w16cid:durableId="711273301">
    <w:abstractNumId w:val="298"/>
  </w:num>
  <w:num w:numId="415" w16cid:durableId="1849909061">
    <w:abstractNumId w:val="120"/>
  </w:num>
  <w:num w:numId="416" w16cid:durableId="362245402">
    <w:abstractNumId w:val="275"/>
  </w:num>
  <w:num w:numId="417" w16cid:durableId="1485396503">
    <w:abstractNumId w:val="311"/>
  </w:num>
  <w:num w:numId="418" w16cid:durableId="1242376493">
    <w:abstractNumId w:val="112"/>
  </w:num>
  <w:num w:numId="419" w16cid:durableId="1295865065">
    <w:abstractNumId w:val="35"/>
  </w:num>
  <w:num w:numId="420" w16cid:durableId="1067804233">
    <w:abstractNumId w:val="148"/>
  </w:num>
  <w:num w:numId="421" w16cid:durableId="591544521">
    <w:abstractNumId w:val="278"/>
  </w:num>
  <w:num w:numId="422" w16cid:durableId="466630093">
    <w:abstractNumId w:val="263"/>
  </w:num>
  <w:num w:numId="423" w16cid:durableId="1039862298">
    <w:abstractNumId w:val="242"/>
  </w:num>
  <w:num w:numId="424" w16cid:durableId="264728804">
    <w:abstractNumId w:val="334"/>
  </w:num>
  <w:num w:numId="425" w16cid:durableId="1643122564">
    <w:abstractNumId w:val="309"/>
  </w:num>
  <w:num w:numId="426" w16cid:durableId="308678983">
    <w:abstractNumId w:val="187"/>
  </w:num>
  <w:num w:numId="427" w16cid:durableId="1234777918">
    <w:abstractNumId w:val="324"/>
  </w:num>
  <w:num w:numId="428" w16cid:durableId="888616683">
    <w:abstractNumId w:val="257"/>
  </w:num>
  <w:num w:numId="429" w16cid:durableId="989477972">
    <w:abstractNumId w:val="218"/>
  </w:num>
  <w:num w:numId="430" w16cid:durableId="1640106946">
    <w:abstractNumId w:val="294"/>
  </w:num>
  <w:num w:numId="431" w16cid:durableId="498467587">
    <w:abstractNumId w:val="177"/>
  </w:num>
  <w:num w:numId="432" w16cid:durableId="946353109">
    <w:abstractNumId w:val="247"/>
  </w:num>
  <w:num w:numId="433" w16cid:durableId="1895853444">
    <w:abstractNumId w:val="325"/>
  </w:num>
  <w:num w:numId="434" w16cid:durableId="328824441">
    <w:abstractNumId w:val="0"/>
  </w:num>
  <w:num w:numId="435" w16cid:durableId="491723499">
    <w:abstractNumId w:val="29"/>
  </w:num>
  <w:num w:numId="436" w16cid:durableId="498740724">
    <w:abstractNumId w:val="102"/>
  </w:num>
  <w:num w:numId="437" w16cid:durableId="1975984394">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81475733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196851167">
    <w:abstractNumId w:val="274"/>
  </w:num>
  <w:num w:numId="440" w16cid:durableId="1451168054">
    <w:abstractNumId w:val="145"/>
  </w:num>
  <w:num w:numId="441" w16cid:durableId="184904734">
    <w:abstractNumId w:val="142"/>
  </w:num>
  <w:numIdMacAtCleanup w:val="4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CE"/>
    <w:rsid w:val="000002CE"/>
    <w:rsid w:val="00000FB3"/>
    <w:rsid w:val="000013BD"/>
    <w:rsid w:val="00002853"/>
    <w:rsid w:val="00003287"/>
    <w:rsid w:val="000035CA"/>
    <w:rsid w:val="0000408C"/>
    <w:rsid w:val="00004202"/>
    <w:rsid w:val="00004986"/>
    <w:rsid w:val="00005C69"/>
    <w:rsid w:val="0001034A"/>
    <w:rsid w:val="00010AED"/>
    <w:rsid w:val="0001176A"/>
    <w:rsid w:val="0001393F"/>
    <w:rsid w:val="000142CD"/>
    <w:rsid w:val="00014EC8"/>
    <w:rsid w:val="0001553D"/>
    <w:rsid w:val="00015621"/>
    <w:rsid w:val="00015B8C"/>
    <w:rsid w:val="00016657"/>
    <w:rsid w:val="00021671"/>
    <w:rsid w:val="00022550"/>
    <w:rsid w:val="00023786"/>
    <w:rsid w:val="000239D1"/>
    <w:rsid w:val="00023DCD"/>
    <w:rsid w:val="00024061"/>
    <w:rsid w:val="000252C2"/>
    <w:rsid w:val="00025746"/>
    <w:rsid w:val="00025B1A"/>
    <w:rsid w:val="00025E55"/>
    <w:rsid w:val="000260BD"/>
    <w:rsid w:val="000269AC"/>
    <w:rsid w:val="00026A69"/>
    <w:rsid w:val="00030438"/>
    <w:rsid w:val="0003129C"/>
    <w:rsid w:val="0003180E"/>
    <w:rsid w:val="00031846"/>
    <w:rsid w:val="00031A31"/>
    <w:rsid w:val="00033BEE"/>
    <w:rsid w:val="0003515F"/>
    <w:rsid w:val="000374EF"/>
    <w:rsid w:val="00037C92"/>
    <w:rsid w:val="00040EE6"/>
    <w:rsid w:val="00041AF2"/>
    <w:rsid w:val="00042E1B"/>
    <w:rsid w:val="00043233"/>
    <w:rsid w:val="000448E5"/>
    <w:rsid w:val="00044AFD"/>
    <w:rsid w:val="00046BB6"/>
    <w:rsid w:val="00050119"/>
    <w:rsid w:val="000502DA"/>
    <w:rsid w:val="00050CE2"/>
    <w:rsid w:val="00052049"/>
    <w:rsid w:val="000521D5"/>
    <w:rsid w:val="000528D8"/>
    <w:rsid w:val="00052931"/>
    <w:rsid w:val="00052CA9"/>
    <w:rsid w:val="000532A6"/>
    <w:rsid w:val="00055086"/>
    <w:rsid w:val="00056244"/>
    <w:rsid w:val="00057006"/>
    <w:rsid w:val="00061F15"/>
    <w:rsid w:val="00062979"/>
    <w:rsid w:val="00063A83"/>
    <w:rsid w:val="00064103"/>
    <w:rsid w:val="000641F8"/>
    <w:rsid w:val="0006469C"/>
    <w:rsid w:val="0006696E"/>
    <w:rsid w:val="00067127"/>
    <w:rsid w:val="00070648"/>
    <w:rsid w:val="000706EB"/>
    <w:rsid w:val="00070BE1"/>
    <w:rsid w:val="000714B9"/>
    <w:rsid w:val="00071F30"/>
    <w:rsid w:val="00072880"/>
    <w:rsid w:val="00072AD3"/>
    <w:rsid w:val="00073F24"/>
    <w:rsid w:val="00076758"/>
    <w:rsid w:val="0007681F"/>
    <w:rsid w:val="00077481"/>
    <w:rsid w:val="00077521"/>
    <w:rsid w:val="00080037"/>
    <w:rsid w:val="000800B3"/>
    <w:rsid w:val="000809FE"/>
    <w:rsid w:val="00080EB5"/>
    <w:rsid w:val="0008142D"/>
    <w:rsid w:val="000817A2"/>
    <w:rsid w:val="000820EE"/>
    <w:rsid w:val="000821AB"/>
    <w:rsid w:val="00082C4E"/>
    <w:rsid w:val="0008327C"/>
    <w:rsid w:val="0008375D"/>
    <w:rsid w:val="00084823"/>
    <w:rsid w:val="000850CE"/>
    <w:rsid w:val="00085BC9"/>
    <w:rsid w:val="00085DAA"/>
    <w:rsid w:val="00085FEA"/>
    <w:rsid w:val="000872B9"/>
    <w:rsid w:val="000872C7"/>
    <w:rsid w:val="000873DD"/>
    <w:rsid w:val="00087753"/>
    <w:rsid w:val="00090D65"/>
    <w:rsid w:val="000912E1"/>
    <w:rsid w:val="0009156B"/>
    <w:rsid w:val="00091B2C"/>
    <w:rsid w:val="00092C14"/>
    <w:rsid w:val="0009373F"/>
    <w:rsid w:val="00093A3C"/>
    <w:rsid w:val="00094B81"/>
    <w:rsid w:val="0009540F"/>
    <w:rsid w:val="000954E6"/>
    <w:rsid w:val="0009682B"/>
    <w:rsid w:val="0009684C"/>
    <w:rsid w:val="00096CAF"/>
    <w:rsid w:val="00097B95"/>
    <w:rsid w:val="000A00E1"/>
    <w:rsid w:val="000A0119"/>
    <w:rsid w:val="000A03AA"/>
    <w:rsid w:val="000A11DD"/>
    <w:rsid w:val="000A249D"/>
    <w:rsid w:val="000A3E3B"/>
    <w:rsid w:val="000A43FE"/>
    <w:rsid w:val="000A5C58"/>
    <w:rsid w:val="000A5DDF"/>
    <w:rsid w:val="000A7449"/>
    <w:rsid w:val="000A7A1C"/>
    <w:rsid w:val="000B1033"/>
    <w:rsid w:val="000B1F03"/>
    <w:rsid w:val="000B551C"/>
    <w:rsid w:val="000B5973"/>
    <w:rsid w:val="000B5BCD"/>
    <w:rsid w:val="000B6922"/>
    <w:rsid w:val="000B7502"/>
    <w:rsid w:val="000B7FB1"/>
    <w:rsid w:val="000C03E6"/>
    <w:rsid w:val="000C1679"/>
    <w:rsid w:val="000C25A3"/>
    <w:rsid w:val="000C273C"/>
    <w:rsid w:val="000C29F4"/>
    <w:rsid w:val="000C2EF7"/>
    <w:rsid w:val="000C332F"/>
    <w:rsid w:val="000C3E35"/>
    <w:rsid w:val="000C466C"/>
    <w:rsid w:val="000C4EFF"/>
    <w:rsid w:val="000C552F"/>
    <w:rsid w:val="000C57C8"/>
    <w:rsid w:val="000C704D"/>
    <w:rsid w:val="000D0D55"/>
    <w:rsid w:val="000D2147"/>
    <w:rsid w:val="000D30F2"/>
    <w:rsid w:val="000D5886"/>
    <w:rsid w:val="000D7E97"/>
    <w:rsid w:val="000E092F"/>
    <w:rsid w:val="000E18F1"/>
    <w:rsid w:val="000E1E7A"/>
    <w:rsid w:val="000E2245"/>
    <w:rsid w:val="000E6480"/>
    <w:rsid w:val="000E6C3B"/>
    <w:rsid w:val="000E792A"/>
    <w:rsid w:val="000E7F19"/>
    <w:rsid w:val="000F0687"/>
    <w:rsid w:val="000F14E5"/>
    <w:rsid w:val="000F1B39"/>
    <w:rsid w:val="000F2494"/>
    <w:rsid w:val="000F27F4"/>
    <w:rsid w:val="000F2961"/>
    <w:rsid w:val="000F2E19"/>
    <w:rsid w:val="000F3FF3"/>
    <w:rsid w:val="000F45D8"/>
    <w:rsid w:val="000F4A41"/>
    <w:rsid w:val="000F4E73"/>
    <w:rsid w:val="000F54D2"/>
    <w:rsid w:val="000F5672"/>
    <w:rsid w:val="000F600C"/>
    <w:rsid w:val="000F6DB3"/>
    <w:rsid w:val="000F70F1"/>
    <w:rsid w:val="00100262"/>
    <w:rsid w:val="00101415"/>
    <w:rsid w:val="00103ADC"/>
    <w:rsid w:val="00103C4E"/>
    <w:rsid w:val="00103E57"/>
    <w:rsid w:val="001047CB"/>
    <w:rsid w:val="00106B3F"/>
    <w:rsid w:val="00107CEC"/>
    <w:rsid w:val="0011028A"/>
    <w:rsid w:val="00110B78"/>
    <w:rsid w:val="00111DC3"/>
    <w:rsid w:val="001141BC"/>
    <w:rsid w:val="00114956"/>
    <w:rsid w:val="00114BDA"/>
    <w:rsid w:val="00114C28"/>
    <w:rsid w:val="001166C2"/>
    <w:rsid w:val="00116775"/>
    <w:rsid w:val="0011719A"/>
    <w:rsid w:val="001172CF"/>
    <w:rsid w:val="00120DD9"/>
    <w:rsid w:val="00122274"/>
    <w:rsid w:val="001227C4"/>
    <w:rsid w:val="00122D42"/>
    <w:rsid w:val="00123403"/>
    <w:rsid w:val="00123951"/>
    <w:rsid w:val="00123EBC"/>
    <w:rsid w:val="001244CE"/>
    <w:rsid w:val="00124853"/>
    <w:rsid w:val="00125F56"/>
    <w:rsid w:val="00126685"/>
    <w:rsid w:val="00126BA6"/>
    <w:rsid w:val="00131AD9"/>
    <w:rsid w:val="0013274E"/>
    <w:rsid w:val="00132893"/>
    <w:rsid w:val="00133471"/>
    <w:rsid w:val="0013361C"/>
    <w:rsid w:val="00133A5E"/>
    <w:rsid w:val="00133E52"/>
    <w:rsid w:val="00133EE3"/>
    <w:rsid w:val="001368A6"/>
    <w:rsid w:val="0013746A"/>
    <w:rsid w:val="001435E9"/>
    <w:rsid w:val="0014389F"/>
    <w:rsid w:val="0014734A"/>
    <w:rsid w:val="001505D9"/>
    <w:rsid w:val="00150C92"/>
    <w:rsid w:val="00150E46"/>
    <w:rsid w:val="00151708"/>
    <w:rsid w:val="001529C4"/>
    <w:rsid w:val="001529F8"/>
    <w:rsid w:val="0015303D"/>
    <w:rsid w:val="00153FCE"/>
    <w:rsid w:val="001552DE"/>
    <w:rsid w:val="00155C72"/>
    <w:rsid w:val="00155D82"/>
    <w:rsid w:val="00156916"/>
    <w:rsid w:val="00157007"/>
    <w:rsid w:val="001574AC"/>
    <w:rsid w:val="00157909"/>
    <w:rsid w:val="00157A39"/>
    <w:rsid w:val="0016036D"/>
    <w:rsid w:val="001603E6"/>
    <w:rsid w:val="0016049A"/>
    <w:rsid w:val="0016080B"/>
    <w:rsid w:val="00162564"/>
    <w:rsid w:val="001648F5"/>
    <w:rsid w:val="00164D59"/>
    <w:rsid w:val="001668BF"/>
    <w:rsid w:val="0016703B"/>
    <w:rsid w:val="00167455"/>
    <w:rsid w:val="001722B5"/>
    <w:rsid w:val="00172781"/>
    <w:rsid w:val="001735C0"/>
    <w:rsid w:val="00174400"/>
    <w:rsid w:val="00175B7B"/>
    <w:rsid w:val="00175D93"/>
    <w:rsid w:val="00175E50"/>
    <w:rsid w:val="00176270"/>
    <w:rsid w:val="001765FE"/>
    <w:rsid w:val="00176C37"/>
    <w:rsid w:val="00177144"/>
    <w:rsid w:val="0017797A"/>
    <w:rsid w:val="00177A32"/>
    <w:rsid w:val="00177A5A"/>
    <w:rsid w:val="0018002B"/>
    <w:rsid w:val="00181B02"/>
    <w:rsid w:val="001824DE"/>
    <w:rsid w:val="00184B78"/>
    <w:rsid w:val="00184CAC"/>
    <w:rsid w:val="00185445"/>
    <w:rsid w:val="00186D32"/>
    <w:rsid w:val="00187479"/>
    <w:rsid w:val="00187E2A"/>
    <w:rsid w:val="0019173B"/>
    <w:rsid w:val="00191B27"/>
    <w:rsid w:val="00192203"/>
    <w:rsid w:val="0019231E"/>
    <w:rsid w:val="00192361"/>
    <w:rsid w:val="001926EE"/>
    <w:rsid w:val="00192988"/>
    <w:rsid w:val="0019326F"/>
    <w:rsid w:val="001A004E"/>
    <w:rsid w:val="001A0DD3"/>
    <w:rsid w:val="001A1EC9"/>
    <w:rsid w:val="001A2053"/>
    <w:rsid w:val="001A2687"/>
    <w:rsid w:val="001A4734"/>
    <w:rsid w:val="001A56FE"/>
    <w:rsid w:val="001A5BAB"/>
    <w:rsid w:val="001A6C2B"/>
    <w:rsid w:val="001A72E6"/>
    <w:rsid w:val="001A7360"/>
    <w:rsid w:val="001A7B76"/>
    <w:rsid w:val="001B12BD"/>
    <w:rsid w:val="001B15E2"/>
    <w:rsid w:val="001B1A42"/>
    <w:rsid w:val="001B1F4A"/>
    <w:rsid w:val="001B2ACD"/>
    <w:rsid w:val="001B3BF1"/>
    <w:rsid w:val="001B4A8E"/>
    <w:rsid w:val="001B51DB"/>
    <w:rsid w:val="001B6CB7"/>
    <w:rsid w:val="001B7277"/>
    <w:rsid w:val="001B7C6D"/>
    <w:rsid w:val="001C0611"/>
    <w:rsid w:val="001C0BE2"/>
    <w:rsid w:val="001C2269"/>
    <w:rsid w:val="001C37B4"/>
    <w:rsid w:val="001C43E3"/>
    <w:rsid w:val="001C4F57"/>
    <w:rsid w:val="001C5D23"/>
    <w:rsid w:val="001C60A3"/>
    <w:rsid w:val="001C73AD"/>
    <w:rsid w:val="001C7E5E"/>
    <w:rsid w:val="001D2BB4"/>
    <w:rsid w:val="001D43AC"/>
    <w:rsid w:val="001D613F"/>
    <w:rsid w:val="001D631E"/>
    <w:rsid w:val="001D6C8D"/>
    <w:rsid w:val="001D72A0"/>
    <w:rsid w:val="001E5166"/>
    <w:rsid w:val="001E7077"/>
    <w:rsid w:val="001E7687"/>
    <w:rsid w:val="001E7B65"/>
    <w:rsid w:val="001E7FA0"/>
    <w:rsid w:val="001F03CC"/>
    <w:rsid w:val="001F0CD0"/>
    <w:rsid w:val="001F108F"/>
    <w:rsid w:val="001F129E"/>
    <w:rsid w:val="001F4454"/>
    <w:rsid w:val="001F6063"/>
    <w:rsid w:val="001F6D44"/>
    <w:rsid w:val="002001FD"/>
    <w:rsid w:val="002013D9"/>
    <w:rsid w:val="002016B6"/>
    <w:rsid w:val="00201C69"/>
    <w:rsid w:val="002028B5"/>
    <w:rsid w:val="002032A7"/>
    <w:rsid w:val="002032B8"/>
    <w:rsid w:val="00205521"/>
    <w:rsid w:val="00205A6E"/>
    <w:rsid w:val="00206EDB"/>
    <w:rsid w:val="00212995"/>
    <w:rsid w:val="00212B9B"/>
    <w:rsid w:val="0021325B"/>
    <w:rsid w:val="0021460D"/>
    <w:rsid w:val="00215444"/>
    <w:rsid w:val="00215690"/>
    <w:rsid w:val="002162CD"/>
    <w:rsid w:val="00216342"/>
    <w:rsid w:val="002168C8"/>
    <w:rsid w:val="00220240"/>
    <w:rsid w:val="0022098A"/>
    <w:rsid w:val="00220BA2"/>
    <w:rsid w:val="00224064"/>
    <w:rsid w:val="00224148"/>
    <w:rsid w:val="002244DB"/>
    <w:rsid w:val="00224911"/>
    <w:rsid w:val="002257DD"/>
    <w:rsid w:val="00225B28"/>
    <w:rsid w:val="00225BE4"/>
    <w:rsid w:val="00226B2A"/>
    <w:rsid w:val="00226EA5"/>
    <w:rsid w:val="00230724"/>
    <w:rsid w:val="002326EF"/>
    <w:rsid w:val="00233F69"/>
    <w:rsid w:val="00234FB6"/>
    <w:rsid w:val="00235CB2"/>
    <w:rsid w:val="00236677"/>
    <w:rsid w:val="00237127"/>
    <w:rsid w:val="0024035C"/>
    <w:rsid w:val="002405D1"/>
    <w:rsid w:val="00241103"/>
    <w:rsid w:val="002424D7"/>
    <w:rsid w:val="002425F7"/>
    <w:rsid w:val="002438C3"/>
    <w:rsid w:val="00244039"/>
    <w:rsid w:val="002441B8"/>
    <w:rsid w:val="002454AE"/>
    <w:rsid w:val="00245DA6"/>
    <w:rsid w:val="00246502"/>
    <w:rsid w:val="00247125"/>
    <w:rsid w:val="00250607"/>
    <w:rsid w:val="002511E6"/>
    <w:rsid w:val="00252B9C"/>
    <w:rsid w:val="0025457D"/>
    <w:rsid w:val="00254ABE"/>
    <w:rsid w:val="00257207"/>
    <w:rsid w:val="00260ED9"/>
    <w:rsid w:val="00261E0D"/>
    <w:rsid w:val="00262108"/>
    <w:rsid w:val="0026260E"/>
    <w:rsid w:val="0026303D"/>
    <w:rsid w:val="00263085"/>
    <w:rsid w:val="002649FB"/>
    <w:rsid w:val="00264E5D"/>
    <w:rsid w:val="002663DB"/>
    <w:rsid w:val="00266B27"/>
    <w:rsid w:val="00267447"/>
    <w:rsid w:val="0027120C"/>
    <w:rsid w:val="002712A0"/>
    <w:rsid w:val="0027286B"/>
    <w:rsid w:val="00273719"/>
    <w:rsid w:val="002750C7"/>
    <w:rsid w:val="00276D40"/>
    <w:rsid w:val="0027760D"/>
    <w:rsid w:val="00277D75"/>
    <w:rsid w:val="0028052A"/>
    <w:rsid w:val="0028072B"/>
    <w:rsid w:val="002815EA"/>
    <w:rsid w:val="0028175D"/>
    <w:rsid w:val="002833B5"/>
    <w:rsid w:val="00283F05"/>
    <w:rsid w:val="00284087"/>
    <w:rsid w:val="0028519C"/>
    <w:rsid w:val="00286240"/>
    <w:rsid w:val="002863D1"/>
    <w:rsid w:val="00287EC2"/>
    <w:rsid w:val="00293036"/>
    <w:rsid w:val="002934F1"/>
    <w:rsid w:val="00293B71"/>
    <w:rsid w:val="00296169"/>
    <w:rsid w:val="00297005"/>
    <w:rsid w:val="002A0997"/>
    <w:rsid w:val="002A0C46"/>
    <w:rsid w:val="002A3AF5"/>
    <w:rsid w:val="002A48D2"/>
    <w:rsid w:val="002A5E20"/>
    <w:rsid w:val="002A65DC"/>
    <w:rsid w:val="002A76BB"/>
    <w:rsid w:val="002A7F15"/>
    <w:rsid w:val="002B021C"/>
    <w:rsid w:val="002B02F1"/>
    <w:rsid w:val="002B2D55"/>
    <w:rsid w:val="002B4092"/>
    <w:rsid w:val="002B4E58"/>
    <w:rsid w:val="002B5039"/>
    <w:rsid w:val="002B5512"/>
    <w:rsid w:val="002B7C66"/>
    <w:rsid w:val="002C0326"/>
    <w:rsid w:val="002C05E0"/>
    <w:rsid w:val="002C0D00"/>
    <w:rsid w:val="002C0F77"/>
    <w:rsid w:val="002C188B"/>
    <w:rsid w:val="002C5130"/>
    <w:rsid w:val="002C6FA5"/>
    <w:rsid w:val="002C7DCC"/>
    <w:rsid w:val="002D04C0"/>
    <w:rsid w:val="002D078D"/>
    <w:rsid w:val="002D1438"/>
    <w:rsid w:val="002D46A5"/>
    <w:rsid w:val="002D4A1A"/>
    <w:rsid w:val="002D4FAD"/>
    <w:rsid w:val="002D6647"/>
    <w:rsid w:val="002D6C8E"/>
    <w:rsid w:val="002E0D5B"/>
    <w:rsid w:val="002E13D7"/>
    <w:rsid w:val="002E1BB9"/>
    <w:rsid w:val="002E26A3"/>
    <w:rsid w:val="002E36BB"/>
    <w:rsid w:val="002E41A3"/>
    <w:rsid w:val="002E4DC9"/>
    <w:rsid w:val="002E6FF6"/>
    <w:rsid w:val="002E799D"/>
    <w:rsid w:val="002E7ACD"/>
    <w:rsid w:val="002E7C71"/>
    <w:rsid w:val="002F09FC"/>
    <w:rsid w:val="002F11DF"/>
    <w:rsid w:val="002F35F1"/>
    <w:rsid w:val="002F3EB0"/>
    <w:rsid w:val="002F5375"/>
    <w:rsid w:val="002F5BBF"/>
    <w:rsid w:val="002F5D25"/>
    <w:rsid w:val="002F709E"/>
    <w:rsid w:val="002F7A7E"/>
    <w:rsid w:val="00301617"/>
    <w:rsid w:val="00301A39"/>
    <w:rsid w:val="00301B87"/>
    <w:rsid w:val="00302263"/>
    <w:rsid w:val="00302CA8"/>
    <w:rsid w:val="003036DF"/>
    <w:rsid w:val="00303D09"/>
    <w:rsid w:val="00304468"/>
    <w:rsid w:val="0030560D"/>
    <w:rsid w:val="003077A6"/>
    <w:rsid w:val="0031068C"/>
    <w:rsid w:val="003121B8"/>
    <w:rsid w:val="0031253C"/>
    <w:rsid w:val="0031311B"/>
    <w:rsid w:val="0031482C"/>
    <w:rsid w:val="00315BA0"/>
    <w:rsid w:val="003174C3"/>
    <w:rsid w:val="00317C47"/>
    <w:rsid w:val="00317CAE"/>
    <w:rsid w:val="00317F1F"/>
    <w:rsid w:val="0032026D"/>
    <w:rsid w:val="003208F7"/>
    <w:rsid w:val="00321537"/>
    <w:rsid w:val="00322120"/>
    <w:rsid w:val="003228AB"/>
    <w:rsid w:val="00323A55"/>
    <w:rsid w:val="0032411B"/>
    <w:rsid w:val="00327EF2"/>
    <w:rsid w:val="0033006C"/>
    <w:rsid w:val="00331339"/>
    <w:rsid w:val="00331551"/>
    <w:rsid w:val="00333A8B"/>
    <w:rsid w:val="00334E1E"/>
    <w:rsid w:val="00336CFF"/>
    <w:rsid w:val="00337BD9"/>
    <w:rsid w:val="0034341A"/>
    <w:rsid w:val="00344745"/>
    <w:rsid w:val="00344A30"/>
    <w:rsid w:val="0034636D"/>
    <w:rsid w:val="003468E6"/>
    <w:rsid w:val="003476C8"/>
    <w:rsid w:val="00347967"/>
    <w:rsid w:val="00352B5A"/>
    <w:rsid w:val="00353FEF"/>
    <w:rsid w:val="0035433A"/>
    <w:rsid w:val="003565D5"/>
    <w:rsid w:val="00357735"/>
    <w:rsid w:val="00357982"/>
    <w:rsid w:val="00357D28"/>
    <w:rsid w:val="0036051D"/>
    <w:rsid w:val="00360824"/>
    <w:rsid w:val="00361A42"/>
    <w:rsid w:val="003626A4"/>
    <w:rsid w:val="003628EE"/>
    <w:rsid w:val="0036413B"/>
    <w:rsid w:val="0036531D"/>
    <w:rsid w:val="00365618"/>
    <w:rsid w:val="00366269"/>
    <w:rsid w:val="003665E2"/>
    <w:rsid w:val="00367ACD"/>
    <w:rsid w:val="00370C3E"/>
    <w:rsid w:val="003716CC"/>
    <w:rsid w:val="0037273A"/>
    <w:rsid w:val="0037481B"/>
    <w:rsid w:val="00374E96"/>
    <w:rsid w:val="003755C9"/>
    <w:rsid w:val="00375D1D"/>
    <w:rsid w:val="00376A82"/>
    <w:rsid w:val="00380E8F"/>
    <w:rsid w:val="00382172"/>
    <w:rsid w:val="00382766"/>
    <w:rsid w:val="0038295C"/>
    <w:rsid w:val="00383FC4"/>
    <w:rsid w:val="00384094"/>
    <w:rsid w:val="00384105"/>
    <w:rsid w:val="00384608"/>
    <w:rsid w:val="0038502C"/>
    <w:rsid w:val="00386271"/>
    <w:rsid w:val="0038644E"/>
    <w:rsid w:val="00387A9C"/>
    <w:rsid w:val="00387BA5"/>
    <w:rsid w:val="00390FB9"/>
    <w:rsid w:val="00391F2F"/>
    <w:rsid w:val="003928DA"/>
    <w:rsid w:val="00392E42"/>
    <w:rsid w:val="0039388A"/>
    <w:rsid w:val="0039536E"/>
    <w:rsid w:val="0039565C"/>
    <w:rsid w:val="00395DF3"/>
    <w:rsid w:val="0039752C"/>
    <w:rsid w:val="003978A6"/>
    <w:rsid w:val="003A2E45"/>
    <w:rsid w:val="003A36C9"/>
    <w:rsid w:val="003A46E6"/>
    <w:rsid w:val="003A527E"/>
    <w:rsid w:val="003A555E"/>
    <w:rsid w:val="003A6E4F"/>
    <w:rsid w:val="003B0C6C"/>
    <w:rsid w:val="003B0F6B"/>
    <w:rsid w:val="003B1569"/>
    <w:rsid w:val="003B1575"/>
    <w:rsid w:val="003B4AFE"/>
    <w:rsid w:val="003B6FE9"/>
    <w:rsid w:val="003B7889"/>
    <w:rsid w:val="003C0B0D"/>
    <w:rsid w:val="003C188C"/>
    <w:rsid w:val="003C215D"/>
    <w:rsid w:val="003C2B92"/>
    <w:rsid w:val="003C3680"/>
    <w:rsid w:val="003C436F"/>
    <w:rsid w:val="003C78C5"/>
    <w:rsid w:val="003D0FB4"/>
    <w:rsid w:val="003D15E3"/>
    <w:rsid w:val="003D2444"/>
    <w:rsid w:val="003D3281"/>
    <w:rsid w:val="003D366D"/>
    <w:rsid w:val="003D45D2"/>
    <w:rsid w:val="003D48B6"/>
    <w:rsid w:val="003D4F23"/>
    <w:rsid w:val="003D6387"/>
    <w:rsid w:val="003E0DDA"/>
    <w:rsid w:val="003E1682"/>
    <w:rsid w:val="003E1E08"/>
    <w:rsid w:val="003E3DCE"/>
    <w:rsid w:val="003E5082"/>
    <w:rsid w:val="003E528E"/>
    <w:rsid w:val="003E6311"/>
    <w:rsid w:val="003E6FC2"/>
    <w:rsid w:val="003F0F4A"/>
    <w:rsid w:val="003F1415"/>
    <w:rsid w:val="003F15A8"/>
    <w:rsid w:val="003F1841"/>
    <w:rsid w:val="003F1C05"/>
    <w:rsid w:val="003F27CF"/>
    <w:rsid w:val="003F2CFF"/>
    <w:rsid w:val="003F38D3"/>
    <w:rsid w:val="003F4055"/>
    <w:rsid w:val="003F5FDC"/>
    <w:rsid w:val="003F6775"/>
    <w:rsid w:val="003F7905"/>
    <w:rsid w:val="004001B9"/>
    <w:rsid w:val="0040047F"/>
    <w:rsid w:val="00400B4D"/>
    <w:rsid w:val="00400B51"/>
    <w:rsid w:val="00401243"/>
    <w:rsid w:val="00402EEF"/>
    <w:rsid w:val="00403669"/>
    <w:rsid w:val="00404C1A"/>
    <w:rsid w:val="004054B7"/>
    <w:rsid w:val="00405646"/>
    <w:rsid w:val="004058B6"/>
    <w:rsid w:val="004063B8"/>
    <w:rsid w:val="00410319"/>
    <w:rsid w:val="00410669"/>
    <w:rsid w:val="0041093A"/>
    <w:rsid w:val="00411E98"/>
    <w:rsid w:val="00412136"/>
    <w:rsid w:val="00413C20"/>
    <w:rsid w:val="00413F4E"/>
    <w:rsid w:val="0041418C"/>
    <w:rsid w:val="00414ADE"/>
    <w:rsid w:val="00414B63"/>
    <w:rsid w:val="00414B6C"/>
    <w:rsid w:val="00416350"/>
    <w:rsid w:val="00416615"/>
    <w:rsid w:val="004170BD"/>
    <w:rsid w:val="004178FA"/>
    <w:rsid w:val="00417B6D"/>
    <w:rsid w:val="00417E5C"/>
    <w:rsid w:val="004215AD"/>
    <w:rsid w:val="004217B6"/>
    <w:rsid w:val="00421B0C"/>
    <w:rsid w:val="00421E45"/>
    <w:rsid w:val="004224BA"/>
    <w:rsid w:val="004231E2"/>
    <w:rsid w:val="00425417"/>
    <w:rsid w:val="00426057"/>
    <w:rsid w:val="00427A3C"/>
    <w:rsid w:val="004325C7"/>
    <w:rsid w:val="0043313E"/>
    <w:rsid w:val="0043350C"/>
    <w:rsid w:val="00434619"/>
    <w:rsid w:val="00436460"/>
    <w:rsid w:val="00436984"/>
    <w:rsid w:val="00436A1E"/>
    <w:rsid w:val="00441276"/>
    <w:rsid w:val="00442A96"/>
    <w:rsid w:val="00442D8E"/>
    <w:rsid w:val="00443258"/>
    <w:rsid w:val="00446279"/>
    <w:rsid w:val="00447775"/>
    <w:rsid w:val="0045095C"/>
    <w:rsid w:val="004522A3"/>
    <w:rsid w:val="00452B77"/>
    <w:rsid w:val="00454E8E"/>
    <w:rsid w:val="00455C6D"/>
    <w:rsid w:val="00456044"/>
    <w:rsid w:val="00457325"/>
    <w:rsid w:val="004578A8"/>
    <w:rsid w:val="00457B6B"/>
    <w:rsid w:val="00463181"/>
    <w:rsid w:val="00463890"/>
    <w:rsid w:val="0046525F"/>
    <w:rsid w:val="00465796"/>
    <w:rsid w:val="00465C95"/>
    <w:rsid w:val="00467A42"/>
    <w:rsid w:val="004700B0"/>
    <w:rsid w:val="004708C0"/>
    <w:rsid w:val="00471A13"/>
    <w:rsid w:val="00472487"/>
    <w:rsid w:val="0047269C"/>
    <w:rsid w:val="004737D6"/>
    <w:rsid w:val="00473A8B"/>
    <w:rsid w:val="004741A1"/>
    <w:rsid w:val="004757C2"/>
    <w:rsid w:val="00476D82"/>
    <w:rsid w:val="004770EE"/>
    <w:rsid w:val="0047796D"/>
    <w:rsid w:val="0048080A"/>
    <w:rsid w:val="0048090D"/>
    <w:rsid w:val="00480B39"/>
    <w:rsid w:val="004831E3"/>
    <w:rsid w:val="00484005"/>
    <w:rsid w:val="00485A9E"/>
    <w:rsid w:val="00486164"/>
    <w:rsid w:val="00487378"/>
    <w:rsid w:val="0049298F"/>
    <w:rsid w:val="004938E0"/>
    <w:rsid w:val="00493CBD"/>
    <w:rsid w:val="004950BD"/>
    <w:rsid w:val="004959C8"/>
    <w:rsid w:val="00496B87"/>
    <w:rsid w:val="00497268"/>
    <w:rsid w:val="00497EFB"/>
    <w:rsid w:val="004A1F3F"/>
    <w:rsid w:val="004A2238"/>
    <w:rsid w:val="004A248E"/>
    <w:rsid w:val="004A2BE5"/>
    <w:rsid w:val="004A2E17"/>
    <w:rsid w:val="004A30A3"/>
    <w:rsid w:val="004A392D"/>
    <w:rsid w:val="004A3FF3"/>
    <w:rsid w:val="004A7703"/>
    <w:rsid w:val="004B1104"/>
    <w:rsid w:val="004B2B2D"/>
    <w:rsid w:val="004B3057"/>
    <w:rsid w:val="004B347D"/>
    <w:rsid w:val="004B388F"/>
    <w:rsid w:val="004B4348"/>
    <w:rsid w:val="004B481A"/>
    <w:rsid w:val="004B4CD2"/>
    <w:rsid w:val="004B63EB"/>
    <w:rsid w:val="004B69F7"/>
    <w:rsid w:val="004B6DA6"/>
    <w:rsid w:val="004C0B41"/>
    <w:rsid w:val="004C0DB3"/>
    <w:rsid w:val="004C1F36"/>
    <w:rsid w:val="004C2D5E"/>
    <w:rsid w:val="004C4F9D"/>
    <w:rsid w:val="004C735E"/>
    <w:rsid w:val="004C775F"/>
    <w:rsid w:val="004D0547"/>
    <w:rsid w:val="004D1985"/>
    <w:rsid w:val="004D4C82"/>
    <w:rsid w:val="004D7D08"/>
    <w:rsid w:val="004E13EF"/>
    <w:rsid w:val="004E1EFC"/>
    <w:rsid w:val="004E20A6"/>
    <w:rsid w:val="004E3595"/>
    <w:rsid w:val="004E3EE6"/>
    <w:rsid w:val="004E3F66"/>
    <w:rsid w:val="004E4FC0"/>
    <w:rsid w:val="004E5287"/>
    <w:rsid w:val="004E54D1"/>
    <w:rsid w:val="004E57CC"/>
    <w:rsid w:val="004E5865"/>
    <w:rsid w:val="004E5E76"/>
    <w:rsid w:val="004E6333"/>
    <w:rsid w:val="004E6442"/>
    <w:rsid w:val="004F07EB"/>
    <w:rsid w:val="004F0E71"/>
    <w:rsid w:val="004F102B"/>
    <w:rsid w:val="004F1B03"/>
    <w:rsid w:val="004F20C3"/>
    <w:rsid w:val="004F23AC"/>
    <w:rsid w:val="004F2FB7"/>
    <w:rsid w:val="004F3516"/>
    <w:rsid w:val="004F369F"/>
    <w:rsid w:val="004F36B5"/>
    <w:rsid w:val="004F4007"/>
    <w:rsid w:val="004F481B"/>
    <w:rsid w:val="004F5236"/>
    <w:rsid w:val="004F561A"/>
    <w:rsid w:val="004F7B96"/>
    <w:rsid w:val="00500A55"/>
    <w:rsid w:val="00501489"/>
    <w:rsid w:val="00502FFE"/>
    <w:rsid w:val="0050306B"/>
    <w:rsid w:val="005031A2"/>
    <w:rsid w:val="005037FF"/>
    <w:rsid w:val="00503A7E"/>
    <w:rsid w:val="00503EBA"/>
    <w:rsid w:val="005042D0"/>
    <w:rsid w:val="00505094"/>
    <w:rsid w:val="0050669C"/>
    <w:rsid w:val="00506C84"/>
    <w:rsid w:val="00507346"/>
    <w:rsid w:val="00507A15"/>
    <w:rsid w:val="00513547"/>
    <w:rsid w:val="005137C1"/>
    <w:rsid w:val="00514F96"/>
    <w:rsid w:val="005153E7"/>
    <w:rsid w:val="0051628A"/>
    <w:rsid w:val="005221AA"/>
    <w:rsid w:val="005231BD"/>
    <w:rsid w:val="005243A7"/>
    <w:rsid w:val="005246EF"/>
    <w:rsid w:val="00524F3B"/>
    <w:rsid w:val="005255E7"/>
    <w:rsid w:val="00526C12"/>
    <w:rsid w:val="005270F0"/>
    <w:rsid w:val="00527955"/>
    <w:rsid w:val="0053177B"/>
    <w:rsid w:val="00532A58"/>
    <w:rsid w:val="005335DD"/>
    <w:rsid w:val="00534174"/>
    <w:rsid w:val="005349A6"/>
    <w:rsid w:val="0053511E"/>
    <w:rsid w:val="0053603F"/>
    <w:rsid w:val="005365EB"/>
    <w:rsid w:val="00536ABB"/>
    <w:rsid w:val="00540FD1"/>
    <w:rsid w:val="00542200"/>
    <w:rsid w:val="00543958"/>
    <w:rsid w:val="005445B4"/>
    <w:rsid w:val="00544673"/>
    <w:rsid w:val="00544CAB"/>
    <w:rsid w:val="00545098"/>
    <w:rsid w:val="00545D6E"/>
    <w:rsid w:val="00546078"/>
    <w:rsid w:val="00546F4D"/>
    <w:rsid w:val="00551004"/>
    <w:rsid w:val="005517BB"/>
    <w:rsid w:val="00551B5E"/>
    <w:rsid w:val="00551DCF"/>
    <w:rsid w:val="0055304B"/>
    <w:rsid w:val="00554CB2"/>
    <w:rsid w:val="005557EE"/>
    <w:rsid w:val="0055620B"/>
    <w:rsid w:val="00556417"/>
    <w:rsid w:val="005575BA"/>
    <w:rsid w:val="00560334"/>
    <w:rsid w:val="00560BD5"/>
    <w:rsid w:val="00562221"/>
    <w:rsid w:val="0056284C"/>
    <w:rsid w:val="00562AE0"/>
    <w:rsid w:val="005646B5"/>
    <w:rsid w:val="00565FC8"/>
    <w:rsid w:val="005673C1"/>
    <w:rsid w:val="00575295"/>
    <w:rsid w:val="0057546D"/>
    <w:rsid w:val="00575EB0"/>
    <w:rsid w:val="0057661D"/>
    <w:rsid w:val="0057735C"/>
    <w:rsid w:val="0057782C"/>
    <w:rsid w:val="00577FC6"/>
    <w:rsid w:val="0058001D"/>
    <w:rsid w:val="005801D2"/>
    <w:rsid w:val="00580D8D"/>
    <w:rsid w:val="005822BC"/>
    <w:rsid w:val="00583E99"/>
    <w:rsid w:val="005841BE"/>
    <w:rsid w:val="005863B2"/>
    <w:rsid w:val="0058789C"/>
    <w:rsid w:val="00587AB1"/>
    <w:rsid w:val="00590432"/>
    <w:rsid w:val="0059109D"/>
    <w:rsid w:val="00591961"/>
    <w:rsid w:val="00591E9E"/>
    <w:rsid w:val="005925D5"/>
    <w:rsid w:val="00592D28"/>
    <w:rsid w:val="00593B35"/>
    <w:rsid w:val="00593C96"/>
    <w:rsid w:val="00593ECB"/>
    <w:rsid w:val="00595E9A"/>
    <w:rsid w:val="00595FC3"/>
    <w:rsid w:val="00596410"/>
    <w:rsid w:val="0059725E"/>
    <w:rsid w:val="005979EF"/>
    <w:rsid w:val="005A0BB4"/>
    <w:rsid w:val="005A0D9B"/>
    <w:rsid w:val="005A16A7"/>
    <w:rsid w:val="005A1726"/>
    <w:rsid w:val="005A1DB6"/>
    <w:rsid w:val="005A321B"/>
    <w:rsid w:val="005A358B"/>
    <w:rsid w:val="005A3CE5"/>
    <w:rsid w:val="005A5ED1"/>
    <w:rsid w:val="005A6B08"/>
    <w:rsid w:val="005A7113"/>
    <w:rsid w:val="005B05A0"/>
    <w:rsid w:val="005B0F81"/>
    <w:rsid w:val="005B113B"/>
    <w:rsid w:val="005B1DB9"/>
    <w:rsid w:val="005B2946"/>
    <w:rsid w:val="005B2F36"/>
    <w:rsid w:val="005B31D0"/>
    <w:rsid w:val="005B3239"/>
    <w:rsid w:val="005B37AF"/>
    <w:rsid w:val="005B3807"/>
    <w:rsid w:val="005B4A49"/>
    <w:rsid w:val="005C01E3"/>
    <w:rsid w:val="005C0339"/>
    <w:rsid w:val="005C07A1"/>
    <w:rsid w:val="005C0F9F"/>
    <w:rsid w:val="005C1151"/>
    <w:rsid w:val="005C1523"/>
    <w:rsid w:val="005C1574"/>
    <w:rsid w:val="005C213F"/>
    <w:rsid w:val="005C24D1"/>
    <w:rsid w:val="005C36F9"/>
    <w:rsid w:val="005C4018"/>
    <w:rsid w:val="005C48E8"/>
    <w:rsid w:val="005C506C"/>
    <w:rsid w:val="005C6EC5"/>
    <w:rsid w:val="005D0CC8"/>
    <w:rsid w:val="005D1714"/>
    <w:rsid w:val="005D1BDA"/>
    <w:rsid w:val="005D4A50"/>
    <w:rsid w:val="005D4D18"/>
    <w:rsid w:val="005D5BC7"/>
    <w:rsid w:val="005D7256"/>
    <w:rsid w:val="005D7D29"/>
    <w:rsid w:val="005E4E4A"/>
    <w:rsid w:val="005E56AD"/>
    <w:rsid w:val="005E58D0"/>
    <w:rsid w:val="005E7723"/>
    <w:rsid w:val="005F0042"/>
    <w:rsid w:val="005F155D"/>
    <w:rsid w:val="005F269F"/>
    <w:rsid w:val="005F2704"/>
    <w:rsid w:val="005F3F6E"/>
    <w:rsid w:val="005F4555"/>
    <w:rsid w:val="005F5CE2"/>
    <w:rsid w:val="005F6890"/>
    <w:rsid w:val="00600B9F"/>
    <w:rsid w:val="0060254E"/>
    <w:rsid w:val="0060275E"/>
    <w:rsid w:val="00603F92"/>
    <w:rsid w:val="00604923"/>
    <w:rsid w:val="006049D2"/>
    <w:rsid w:val="00604FB8"/>
    <w:rsid w:val="0060639A"/>
    <w:rsid w:val="00610849"/>
    <w:rsid w:val="00610CDD"/>
    <w:rsid w:val="006119BE"/>
    <w:rsid w:val="00612253"/>
    <w:rsid w:val="00614EE4"/>
    <w:rsid w:val="00617787"/>
    <w:rsid w:val="0062162D"/>
    <w:rsid w:val="0062180F"/>
    <w:rsid w:val="006222DF"/>
    <w:rsid w:val="00623985"/>
    <w:rsid w:val="00623D44"/>
    <w:rsid w:val="006243A0"/>
    <w:rsid w:val="00624B02"/>
    <w:rsid w:val="00624B07"/>
    <w:rsid w:val="006258C1"/>
    <w:rsid w:val="006259D7"/>
    <w:rsid w:val="00626283"/>
    <w:rsid w:val="00626D96"/>
    <w:rsid w:val="00627A88"/>
    <w:rsid w:val="00630FAF"/>
    <w:rsid w:val="0063180B"/>
    <w:rsid w:val="00632D41"/>
    <w:rsid w:val="00633378"/>
    <w:rsid w:val="006336B8"/>
    <w:rsid w:val="0063456E"/>
    <w:rsid w:val="00637425"/>
    <w:rsid w:val="0063776F"/>
    <w:rsid w:val="00640D6C"/>
    <w:rsid w:val="0064120D"/>
    <w:rsid w:val="00642F9E"/>
    <w:rsid w:val="00644D26"/>
    <w:rsid w:val="00646A2F"/>
    <w:rsid w:val="00647B09"/>
    <w:rsid w:val="00647F2B"/>
    <w:rsid w:val="00651972"/>
    <w:rsid w:val="00652344"/>
    <w:rsid w:val="006525BE"/>
    <w:rsid w:val="006536C6"/>
    <w:rsid w:val="00653940"/>
    <w:rsid w:val="00653E5E"/>
    <w:rsid w:val="00655F0E"/>
    <w:rsid w:val="0065616D"/>
    <w:rsid w:val="00656CE4"/>
    <w:rsid w:val="00656F9F"/>
    <w:rsid w:val="00657420"/>
    <w:rsid w:val="00661C94"/>
    <w:rsid w:val="00662196"/>
    <w:rsid w:val="006633C6"/>
    <w:rsid w:val="006642B3"/>
    <w:rsid w:val="00665538"/>
    <w:rsid w:val="0066553C"/>
    <w:rsid w:val="00665D5C"/>
    <w:rsid w:val="006700F7"/>
    <w:rsid w:val="00671093"/>
    <w:rsid w:val="006710BB"/>
    <w:rsid w:val="006718B3"/>
    <w:rsid w:val="00671F5D"/>
    <w:rsid w:val="006727D3"/>
    <w:rsid w:val="00674491"/>
    <w:rsid w:val="0067470A"/>
    <w:rsid w:val="0067560E"/>
    <w:rsid w:val="00675D81"/>
    <w:rsid w:val="00676521"/>
    <w:rsid w:val="006801B5"/>
    <w:rsid w:val="0068075A"/>
    <w:rsid w:val="00681832"/>
    <w:rsid w:val="006819E6"/>
    <w:rsid w:val="00682391"/>
    <w:rsid w:val="0068240F"/>
    <w:rsid w:val="006824F4"/>
    <w:rsid w:val="00684749"/>
    <w:rsid w:val="00684DDC"/>
    <w:rsid w:val="006867A6"/>
    <w:rsid w:val="00690237"/>
    <w:rsid w:val="00690AFC"/>
    <w:rsid w:val="00690E7E"/>
    <w:rsid w:val="006927FB"/>
    <w:rsid w:val="00692992"/>
    <w:rsid w:val="00692C29"/>
    <w:rsid w:val="00694FC3"/>
    <w:rsid w:val="006957A9"/>
    <w:rsid w:val="00695E04"/>
    <w:rsid w:val="0069601E"/>
    <w:rsid w:val="006965F7"/>
    <w:rsid w:val="00697D58"/>
    <w:rsid w:val="006A081E"/>
    <w:rsid w:val="006A15B5"/>
    <w:rsid w:val="006A346A"/>
    <w:rsid w:val="006A4B07"/>
    <w:rsid w:val="006A4EBB"/>
    <w:rsid w:val="006A770B"/>
    <w:rsid w:val="006A7CFD"/>
    <w:rsid w:val="006A7ED5"/>
    <w:rsid w:val="006B1F5A"/>
    <w:rsid w:val="006B2A85"/>
    <w:rsid w:val="006B2C61"/>
    <w:rsid w:val="006B33A2"/>
    <w:rsid w:val="006B3B56"/>
    <w:rsid w:val="006B4568"/>
    <w:rsid w:val="006B5D4F"/>
    <w:rsid w:val="006C01D5"/>
    <w:rsid w:val="006C0F09"/>
    <w:rsid w:val="006C1F35"/>
    <w:rsid w:val="006C2577"/>
    <w:rsid w:val="006C29F5"/>
    <w:rsid w:val="006C3FC2"/>
    <w:rsid w:val="006C666F"/>
    <w:rsid w:val="006C7751"/>
    <w:rsid w:val="006C7A36"/>
    <w:rsid w:val="006D3202"/>
    <w:rsid w:val="006D3540"/>
    <w:rsid w:val="006D47F9"/>
    <w:rsid w:val="006D548E"/>
    <w:rsid w:val="006D693F"/>
    <w:rsid w:val="006D7208"/>
    <w:rsid w:val="006D72AA"/>
    <w:rsid w:val="006D7615"/>
    <w:rsid w:val="006D7E9A"/>
    <w:rsid w:val="006E0244"/>
    <w:rsid w:val="006E0B51"/>
    <w:rsid w:val="006E181A"/>
    <w:rsid w:val="006E3B0F"/>
    <w:rsid w:val="006E6D8B"/>
    <w:rsid w:val="006E72B8"/>
    <w:rsid w:val="006E7780"/>
    <w:rsid w:val="006F01DA"/>
    <w:rsid w:val="006F195E"/>
    <w:rsid w:val="006F20D5"/>
    <w:rsid w:val="006F2E94"/>
    <w:rsid w:val="006F3469"/>
    <w:rsid w:val="006F56C9"/>
    <w:rsid w:val="006F703B"/>
    <w:rsid w:val="006F7E19"/>
    <w:rsid w:val="0070071F"/>
    <w:rsid w:val="00700D6C"/>
    <w:rsid w:val="00702157"/>
    <w:rsid w:val="007024C3"/>
    <w:rsid w:val="00703FD9"/>
    <w:rsid w:val="007044CC"/>
    <w:rsid w:val="00704675"/>
    <w:rsid w:val="007058E7"/>
    <w:rsid w:val="00705A33"/>
    <w:rsid w:val="00706650"/>
    <w:rsid w:val="007067CA"/>
    <w:rsid w:val="0070760B"/>
    <w:rsid w:val="007131DD"/>
    <w:rsid w:val="00713403"/>
    <w:rsid w:val="00713DFA"/>
    <w:rsid w:val="00716F26"/>
    <w:rsid w:val="007174FC"/>
    <w:rsid w:val="00720BA7"/>
    <w:rsid w:val="00721364"/>
    <w:rsid w:val="007217DD"/>
    <w:rsid w:val="007222EB"/>
    <w:rsid w:val="00723430"/>
    <w:rsid w:val="00723F30"/>
    <w:rsid w:val="00723F9C"/>
    <w:rsid w:val="0072423F"/>
    <w:rsid w:val="00725565"/>
    <w:rsid w:val="00726283"/>
    <w:rsid w:val="00727118"/>
    <w:rsid w:val="00727A1E"/>
    <w:rsid w:val="00727B9C"/>
    <w:rsid w:val="00730DBE"/>
    <w:rsid w:val="00731276"/>
    <w:rsid w:val="00732291"/>
    <w:rsid w:val="00732949"/>
    <w:rsid w:val="00732D8A"/>
    <w:rsid w:val="00734737"/>
    <w:rsid w:val="007348CB"/>
    <w:rsid w:val="00735191"/>
    <w:rsid w:val="00735B48"/>
    <w:rsid w:val="00737A4A"/>
    <w:rsid w:val="00737D34"/>
    <w:rsid w:val="007401BF"/>
    <w:rsid w:val="0074155F"/>
    <w:rsid w:val="00741BDE"/>
    <w:rsid w:val="00741E99"/>
    <w:rsid w:val="00741FD3"/>
    <w:rsid w:val="00742279"/>
    <w:rsid w:val="007427E8"/>
    <w:rsid w:val="00742924"/>
    <w:rsid w:val="00744339"/>
    <w:rsid w:val="007464A2"/>
    <w:rsid w:val="00746C8C"/>
    <w:rsid w:val="007509B1"/>
    <w:rsid w:val="00752C1A"/>
    <w:rsid w:val="00754296"/>
    <w:rsid w:val="00754C8C"/>
    <w:rsid w:val="00756152"/>
    <w:rsid w:val="0075624D"/>
    <w:rsid w:val="00757A01"/>
    <w:rsid w:val="00760153"/>
    <w:rsid w:val="007608FC"/>
    <w:rsid w:val="00760A58"/>
    <w:rsid w:val="007615B7"/>
    <w:rsid w:val="007619C2"/>
    <w:rsid w:val="00762034"/>
    <w:rsid w:val="00762589"/>
    <w:rsid w:val="00762A1E"/>
    <w:rsid w:val="00762CC0"/>
    <w:rsid w:val="00763213"/>
    <w:rsid w:val="00763429"/>
    <w:rsid w:val="0076440B"/>
    <w:rsid w:val="007655E2"/>
    <w:rsid w:val="007658FB"/>
    <w:rsid w:val="007665E5"/>
    <w:rsid w:val="007670EF"/>
    <w:rsid w:val="00767151"/>
    <w:rsid w:val="00767F3B"/>
    <w:rsid w:val="0077036C"/>
    <w:rsid w:val="007707B1"/>
    <w:rsid w:val="00771069"/>
    <w:rsid w:val="007716F5"/>
    <w:rsid w:val="007729F9"/>
    <w:rsid w:val="007730E4"/>
    <w:rsid w:val="00773371"/>
    <w:rsid w:val="0077342C"/>
    <w:rsid w:val="00773D3F"/>
    <w:rsid w:val="007745D5"/>
    <w:rsid w:val="00774D64"/>
    <w:rsid w:val="007751E1"/>
    <w:rsid w:val="0077667B"/>
    <w:rsid w:val="00777CE9"/>
    <w:rsid w:val="00780140"/>
    <w:rsid w:val="007806A6"/>
    <w:rsid w:val="007824FC"/>
    <w:rsid w:val="007829E9"/>
    <w:rsid w:val="00783A1E"/>
    <w:rsid w:val="00783B28"/>
    <w:rsid w:val="00783B87"/>
    <w:rsid w:val="00784EB7"/>
    <w:rsid w:val="0078666C"/>
    <w:rsid w:val="00786BDE"/>
    <w:rsid w:val="00790282"/>
    <w:rsid w:val="00790D30"/>
    <w:rsid w:val="00791DBE"/>
    <w:rsid w:val="00792C6A"/>
    <w:rsid w:val="00794C32"/>
    <w:rsid w:val="0079543C"/>
    <w:rsid w:val="00796F2A"/>
    <w:rsid w:val="0079799C"/>
    <w:rsid w:val="00797DF7"/>
    <w:rsid w:val="007A0070"/>
    <w:rsid w:val="007A09DA"/>
    <w:rsid w:val="007A1C46"/>
    <w:rsid w:val="007A331D"/>
    <w:rsid w:val="007A3837"/>
    <w:rsid w:val="007A3EAA"/>
    <w:rsid w:val="007A4F02"/>
    <w:rsid w:val="007A6BE9"/>
    <w:rsid w:val="007A75D3"/>
    <w:rsid w:val="007A7BE0"/>
    <w:rsid w:val="007B0465"/>
    <w:rsid w:val="007B0764"/>
    <w:rsid w:val="007B08C0"/>
    <w:rsid w:val="007B10D1"/>
    <w:rsid w:val="007B1C3D"/>
    <w:rsid w:val="007B1DCD"/>
    <w:rsid w:val="007B2112"/>
    <w:rsid w:val="007B3451"/>
    <w:rsid w:val="007B5E91"/>
    <w:rsid w:val="007B6099"/>
    <w:rsid w:val="007B72DB"/>
    <w:rsid w:val="007C1040"/>
    <w:rsid w:val="007C1C9D"/>
    <w:rsid w:val="007C31E0"/>
    <w:rsid w:val="007C32D2"/>
    <w:rsid w:val="007C33E1"/>
    <w:rsid w:val="007C5971"/>
    <w:rsid w:val="007C6EF4"/>
    <w:rsid w:val="007C6F89"/>
    <w:rsid w:val="007C6F94"/>
    <w:rsid w:val="007C71DF"/>
    <w:rsid w:val="007D035E"/>
    <w:rsid w:val="007D068D"/>
    <w:rsid w:val="007D124E"/>
    <w:rsid w:val="007D2613"/>
    <w:rsid w:val="007D3EF5"/>
    <w:rsid w:val="007D3F41"/>
    <w:rsid w:val="007D45D3"/>
    <w:rsid w:val="007D5668"/>
    <w:rsid w:val="007D6C80"/>
    <w:rsid w:val="007D6DDD"/>
    <w:rsid w:val="007E0603"/>
    <w:rsid w:val="007E0A41"/>
    <w:rsid w:val="007E15B8"/>
    <w:rsid w:val="007E18FD"/>
    <w:rsid w:val="007E1B99"/>
    <w:rsid w:val="007E1E5D"/>
    <w:rsid w:val="007E2E6F"/>
    <w:rsid w:val="007E44C7"/>
    <w:rsid w:val="007E4D3B"/>
    <w:rsid w:val="007F0334"/>
    <w:rsid w:val="007F1A27"/>
    <w:rsid w:val="007F1E5F"/>
    <w:rsid w:val="007F1F14"/>
    <w:rsid w:val="007F2507"/>
    <w:rsid w:val="007F3179"/>
    <w:rsid w:val="007F380A"/>
    <w:rsid w:val="007F4376"/>
    <w:rsid w:val="007F5576"/>
    <w:rsid w:val="007F571D"/>
    <w:rsid w:val="007F5838"/>
    <w:rsid w:val="007F6474"/>
    <w:rsid w:val="007F6D9D"/>
    <w:rsid w:val="008000C3"/>
    <w:rsid w:val="00800625"/>
    <w:rsid w:val="00801575"/>
    <w:rsid w:val="00801826"/>
    <w:rsid w:val="00803B46"/>
    <w:rsid w:val="00803EBE"/>
    <w:rsid w:val="008043D2"/>
    <w:rsid w:val="00804EA2"/>
    <w:rsid w:val="00805250"/>
    <w:rsid w:val="008052C0"/>
    <w:rsid w:val="008053D1"/>
    <w:rsid w:val="00805A5E"/>
    <w:rsid w:val="00805BB1"/>
    <w:rsid w:val="0080639C"/>
    <w:rsid w:val="00806C4D"/>
    <w:rsid w:val="00810AAB"/>
    <w:rsid w:val="00811BE7"/>
    <w:rsid w:val="00811CBE"/>
    <w:rsid w:val="00812F81"/>
    <w:rsid w:val="00813CDB"/>
    <w:rsid w:val="00814F80"/>
    <w:rsid w:val="00814F83"/>
    <w:rsid w:val="00814FEF"/>
    <w:rsid w:val="00817330"/>
    <w:rsid w:val="00820EBC"/>
    <w:rsid w:val="00821A28"/>
    <w:rsid w:val="00821FD9"/>
    <w:rsid w:val="00823B11"/>
    <w:rsid w:val="00824A6E"/>
    <w:rsid w:val="00824FF2"/>
    <w:rsid w:val="00825F03"/>
    <w:rsid w:val="00825F5F"/>
    <w:rsid w:val="0082636F"/>
    <w:rsid w:val="00827A5D"/>
    <w:rsid w:val="00833276"/>
    <w:rsid w:val="008334D0"/>
    <w:rsid w:val="008334F2"/>
    <w:rsid w:val="00833A79"/>
    <w:rsid w:val="00834460"/>
    <w:rsid w:val="00834768"/>
    <w:rsid w:val="008348B4"/>
    <w:rsid w:val="00834EC3"/>
    <w:rsid w:val="0083563F"/>
    <w:rsid w:val="00835DC5"/>
    <w:rsid w:val="00837B6C"/>
    <w:rsid w:val="00837FD1"/>
    <w:rsid w:val="008400C1"/>
    <w:rsid w:val="008437B6"/>
    <w:rsid w:val="008438D0"/>
    <w:rsid w:val="00844034"/>
    <w:rsid w:val="0084479E"/>
    <w:rsid w:val="00844F24"/>
    <w:rsid w:val="00845E45"/>
    <w:rsid w:val="00846328"/>
    <w:rsid w:val="00846D88"/>
    <w:rsid w:val="00847304"/>
    <w:rsid w:val="00852EB5"/>
    <w:rsid w:val="00854C5F"/>
    <w:rsid w:val="00855ABA"/>
    <w:rsid w:val="008570BA"/>
    <w:rsid w:val="008572EF"/>
    <w:rsid w:val="00857408"/>
    <w:rsid w:val="00860D68"/>
    <w:rsid w:val="00861710"/>
    <w:rsid w:val="00862FAC"/>
    <w:rsid w:val="0086399D"/>
    <w:rsid w:val="00863CBD"/>
    <w:rsid w:val="00865BC4"/>
    <w:rsid w:val="00865DAC"/>
    <w:rsid w:val="00866045"/>
    <w:rsid w:val="00867B58"/>
    <w:rsid w:val="00867C8F"/>
    <w:rsid w:val="00870D1E"/>
    <w:rsid w:val="00874909"/>
    <w:rsid w:val="00875E03"/>
    <w:rsid w:val="00880D5E"/>
    <w:rsid w:val="0088340F"/>
    <w:rsid w:val="00883B16"/>
    <w:rsid w:val="008846C6"/>
    <w:rsid w:val="00884EC2"/>
    <w:rsid w:val="00885199"/>
    <w:rsid w:val="0088728A"/>
    <w:rsid w:val="00887645"/>
    <w:rsid w:val="00887ACE"/>
    <w:rsid w:val="00890A89"/>
    <w:rsid w:val="00891A80"/>
    <w:rsid w:val="008928BD"/>
    <w:rsid w:val="00894784"/>
    <w:rsid w:val="00894AAA"/>
    <w:rsid w:val="008959E6"/>
    <w:rsid w:val="0089625A"/>
    <w:rsid w:val="0089684C"/>
    <w:rsid w:val="008A049A"/>
    <w:rsid w:val="008A11B2"/>
    <w:rsid w:val="008A11E9"/>
    <w:rsid w:val="008A1AA3"/>
    <w:rsid w:val="008A23A9"/>
    <w:rsid w:val="008A390E"/>
    <w:rsid w:val="008A39F0"/>
    <w:rsid w:val="008A5934"/>
    <w:rsid w:val="008A636B"/>
    <w:rsid w:val="008A67B4"/>
    <w:rsid w:val="008A7AD0"/>
    <w:rsid w:val="008A7DB8"/>
    <w:rsid w:val="008B21EE"/>
    <w:rsid w:val="008B2846"/>
    <w:rsid w:val="008B2B42"/>
    <w:rsid w:val="008B31D0"/>
    <w:rsid w:val="008B3E96"/>
    <w:rsid w:val="008B4B01"/>
    <w:rsid w:val="008B4DC2"/>
    <w:rsid w:val="008B6876"/>
    <w:rsid w:val="008B712F"/>
    <w:rsid w:val="008B751C"/>
    <w:rsid w:val="008B7AF9"/>
    <w:rsid w:val="008C030C"/>
    <w:rsid w:val="008C6728"/>
    <w:rsid w:val="008C6E60"/>
    <w:rsid w:val="008D10F0"/>
    <w:rsid w:val="008D2DC3"/>
    <w:rsid w:val="008D30A5"/>
    <w:rsid w:val="008D5E39"/>
    <w:rsid w:val="008D6051"/>
    <w:rsid w:val="008D61BD"/>
    <w:rsid w:val="008D6522"/>
    <w:rsid w:val="008D6F7A"/>
    <w:rsid w:val="008E044E"/>
    <w:rsid w:val="008E37AE"/>
    <w:rsid w:val="008E4504"/>
    <w:rsid w:val="008E4BC2"/>
    <w:rsid w:val="008E4FC8"/>
    <w:rsid w:val="008E7534"/>
    <w:rsid w:val="008E7DA9"/>
    <w:rsid w:val="008E7DD5"/>
    <w:rsid w:val="008F053B"/>
    <w:rsid w:val="008F1076"/>
    <w:rsid w:val="008F21E5"/>
    <w:rsid w:val="008F4427"/>
    <w:rsid w:val="008F45D4"/>
    <w:rsid w:val="008F4717"/>
    <w:rsid w:val="008F4D3B"/>
    <w:rsid w:val="008F5EBB"/>
    <w:rsid w:val="008F6B61"/>
    <w:rsid w:val="008F796E"/>
    <w:rsid w:val="009007CD"/>
    <w:rsid w:val="00900865"/>
    <w:rsid w:val="00900EF7"/>
    <w:rsid w:val="00901D11"/>
    <w:rsid w:val="00902A90"/>
    <w:rsid w:val="00903BA5"/>
    <w:rsid w:val="00903CDB"/>
    <w:rsid w:val="00905319"/>
    <w:rsid w:val="00906B0F"/>
    <w:rsid w:val="00907AFE"/>
    <w:rsid w:val="00907D55"/>
    <w:rsid w:val="009134B8"/>
    <w:rsid w:val="009135A3"/>
    <w:rsid w:val="009137C6"/>
    <w:rsid w:val="00916BAD"/>
    <w:rsid w:val="0092008E"/>
    <w:rsid w:val="0092432F"/>
    <w:rsid w:val="0092592C"/>
    <w:rsid w:val="00925A27"/>
    <w:rsid w:val="00925DBB"/>
    <w:rsid w:val="00925F46"/>
    <w:rsid w:val="009262E4"/>
    <w:rsid w:val="00926993"/>
    <w:rsid w:val="009269EB"/>
    <w:rsid w:val="00926CAA"/>
    <w:rsid w:val="009276CA"/>
    <w:rsid w:val="00927750"/>
    <w:rsid w:val="00927CE8"/>
    <w:rsid w:val="00931F79"/>
    <w:rsid w:val="0093261D"/>
    <w:rsid w:val="00934416"/>
    <w:rsid w:val="00936CF2"/>
    <w:rsid w:val="00937016"/>
    <w:rsid w:val="0094014D"/>
    <w:rsid w:val="00940545"/>
    <w:rsid w:val="00940868"/>
    <w:rsid w:val="00940A74"/>
    <w:rsid w:val="00940B4F"/>
    <w:rsid w:val="00943395"/>
    <w:rsid w:val="0094387E"/>
    <w:rsid w:val="0094459A"/>
    <w:rsid w:val="009458B4"/>
    <w:rsid w:val="009460F7"/>
    <w:rsid w:val="00946F6B"/>
    <w:rsid w:val="00947D5C"/>
    <w:rsid w:val="00950B9E"/>
    <w:rsid w:val="00950FC4"/>
    <w:rsid w:val="00951489"/>
    <w:rsid w:val="00951731"/>
    <w:rsid w:val="00951EBF"/>
    <w:rsid w:val="009529B4"/>
    <w:rsid w:val="00953312"/>
    <w:rsid w:val="00954069"/>
    <w:rsid w:val="00954FF2"/>
    <w:rsid w:val="00955381"/>
    <w:rsid w:val="00956369"/>
    <w:rsid w:val="00956D19"/>
    <w:rsid w:val="00956E29"/>
    <w:rsid w:val="009575EB"/>
    <w:rsid w:val="00960479"/>
    <w:rsid w:val="00961017"/>
    <w:rsid w:val="00961EA9"/>
    <w:rsid w:val="009620BD"/>
    <w:rsid w:val="00962B2B"/>
    <w:rsid w:val="0096326B"/>
    <w:rsid w:val="009649CB"/>
    <w:rsid w:val="009657D3"/>
    <w:rsid w:val="00965864"/>
    <w:rsid w:val="009667AC"/>
    <w:rsid w:val="00966B9A"/>
    <w:rsid w:val="0096794B"/>
    <w:rsid w:val="00967BBA"/>
    <w:rsid w:val="009713D4"/>
    <w:rsid w:val="009735D4"/>
    <w:rsid w:val="0097476D"/>
    <w:rsid w:val="00974F4C"/>
    <w:rsid w:val="009755BE"/>
    <w:rsid w:val="009764D2"/>
    <w:rsid w:val="009770B8"/>
    <w:rsid w:val="00977396"/>
    <w:rsid w:val="0098029D"/>
    <w:rsid w:val="00981C64"/>
    <w:rsid w:val="009832DD"/>
    <w:rsid w:val="00985A41"/>
    <w:rsid w:val="00986DDD"/>
    <w:rsid w:val="009874D0"/>
    <w:rsid w:val="00987511"/>
    <w:rsid w:val="00987B0E"/>
    <w:rsid w:val="00987D1A"/>
    <w:rsid w:val="009900A9"/>
    <w:rsid w:val="00990FDF"/>
    <w:rsid w:val="009919D6"/>
    <w:rsid w:val="009925D9"/>
    <w:rsid w:val="00992B3E"/>
    <w:rsid w:val="00994258"/>
    <w:rsid w:val="0099438D"/>
    <w:rsid w:val="0099464E"/>
    <w:rsid w:val="00996A22"/>
    <w:rsid w:val="00996E43"/>
    <w:rsid w:val="009A00FB"/>
    <w:rsid w:val="009A325B"/>
    <w:rsid w:val="009A32F0"/>
    <w:rsid w:val="009A3471"/>
    <w:rsid w:val="009A4B5B"/>
    <w:rsid w:val="009A713A"/>
    <w:rsid w:val="009A76C1"/>
    <w:rsid w:val="009A780E"/>
    <w:rsid w:val="009B1D63"/>
    <w:rsid w:val="009B20FF"/>
    <w:rsid w:val="009B282C"/>
    <w:rsid w:val="009B3285"/>
    <w:rsid w:val="009B6373"/>
    <w:rsid w:val="009B639E"/>
    <w:rsid w:val="009B645B"/>
    <w:rsid w:val="009B65DE"/>
    <w:rsid w:val="009B69A4"/>
    <w:rsid w:val="009C139A"/>
    <w:rsid w:val="009C29C1"/>
    <w:rsid w:val="009C306B"/>
    <w:rsid w:val="009C42D1"/>
    <w:rsid w:val="009C500D"/>
    <w:rsid w:val="009C64A2"/>
    <w:rsid w:val="009C74B1"/>
    <w:rsid w:val="009C7E62"/>
    <w:rsid w:val="009D0B52"/>
    <w:rsid w:val="009D192A"/>
    <w:rsid w:val="009D2901"/>
    <w:rsid w:val="009D3A26"/>
    <w:rsid w:val="009D5130"/>
    <w:rsid w:val="009D5139"/>
    <w:rsid w:val="009D53AD"/>
    <w:rsid w:val="009D5CFC"/>
    <w:rsid w:val="009D5F13"/>
    <w:rsid w:val="009D6787"/>
    <w:rsid w:val="009D6D4B"/>
    <w:rsid w:val="009D712E"/>
    <w:rsid w:val="009E015D"/>
    <w:rsid w:val="009E0695"/>
    <w:rsid w:val="009E276B"/>
    <w:rsid w:val="009E3730"/>
    <w:rsid w:val="009E4C13"/>
    <w:rsid w:val="009E50E4"/>
    <w:rsid w:val="009E5A32"/>
    <w:rsid w:val="009E5CF2"/>
    <w:rsid w:val="009E634E"/>
    <w:rsid w:val="009E6A2D"/>
    <w:rsid w:val="009F0FE7"/>
    <w:rsid w:val="009F1779"/>
    <w:rsid w:val="009F1B6A"/>
    <w:rsid w:val="009F1E8D"/>
    <w:rsid w:val="009F21A7"/>
    <w:rsid w:val="009F5318"/>
    <w:rsid w:val="009F5866"/>
    <w:rsid w:val="009F7375"/>
    <w:rsid w:val="00A00419"/>
    <w:rsid w:val="00A00BC6"/>
    <w:rsid w:val="00A02C07"/>
    <w:rsid w:val="00A02F28"/>
    <w:rsid w:val="00A02FA5"/>
    <w:rsid w:val="00A03766"/>
    <w:rsid w:val="00A03D93"/>
    <w:rsid w:val="00A068DE"/>
    <w:rsid w:val="00A073A7"/>
    <w:rsid w:val="00A07606"/>
    <w:rsid w:val="00A076F1"/>
    <w:rsid w:val="00A07824"/>
    <w:rsid w:val="00A07A46"/>
    <w:rsid w:val="00A101F9"/>
    <w:rsid w:val="00A11A92"/>
    <w:rsid w:val="00A12551"/>
    <w:rsid w:val="00A13220"/>
    <w:rsid w:val="00A135F3"/>
    <w:rsid w:val="00A13BD6"/>
    <w:rsid w:val="00A14FFA"/>
    <w:rsid w:val="00A201FE"/>
    <w:rsid w:val="00A23B3C"/>
    <w:rsid w:val="00A23DC5"/>
    <w:rsid w:val="00A23F0F"/>
    <w:rsid w:val="00A24C10"/>
    <w:rsid w:val="00A2539B"/>
    <w:rsid w:val="00A25FD5"/>
    <w:rsid w:val="00A266BA"/>
    <w:rsid w:val="00A277C0"/>
    <w:rsid w:val="00A27FD5"/>
    <w:rsid w:val="00A30F40"/>
    <w:rsid w:val="00A318A2"/>
    <w:rsid w:val="00A31C3A"/>
    <w:rsid w:val="00A32B4C"/>
    <w:rsid w:val="00A32FCF"/>
    <w:rsid w:val="00A33654"/>
    <w:rsid w:val="00A35087"/>
    <w:rsid w:val="00A352A0"/>
    <w:rsid w:val="00A36721"/>
    <w:rsid w:val="00A36C7B"/>
    <w:rsid w:val="00A40676"/>
    <w:rsid w:val="00A40C2B"/>
    <w:rsid w:val="00A41820"/>
    <w:rsid w:val="00A43457"/>
    <w:rsid w:val="00A437F4"/>
    <w:rsid w:val="00A43DC5"/>
    <w:rsid w:val="00A44F06"/>
    <w:rsid w:val="00A46404"/>
    <w:rsid w:val="00A46503"/>
    <w:rsid w:val="00A46633"/>
    <w:rsid w:val="00A4736E"/>
    <w:rsid w:val="00A501C0"/>
    <w:rsid w:val="00A5092C"/>
    <w:rsid w:val="00A50C3C"/>
    <w:rsid w:val="00A51786"/>
    <w:rsid w:val="00A528CC"/>
    <w:rsid w:val="00A533BC"/>
    <w:rsid w:val="00A5367C"/>
    <w:rsid w:val="00A55248"/>
    <w:rsid w:val="00A55278"/>
    <w:rsid w:val="00A55B7F"/>
    <w:rsid w:val="00A56018"/>
    <w:rsid w:val="00A57CF3"/>
    <w:rsid w:val="00A60798"/>
    <w:rsid w:val="00A60A6A"/>
    <w:rsid w:val="00A62726"/>
    <w:rsid w:val="00A62C32"/>
    <w:rsid w:val="00A63E57"/>
    <w:rsid w:val="00A646D8"/>
    <w:rsid w:val="00A6781E"/>
    <w:rsid w:val="00A67DFF"/>
    <w:rsid w:val="00A7143C"/>
    <w:rsid w:val="00A71DCE"/>
    <w:rsid w:val="00A722A7"/>
    <w:rsid w:val="00A72AB6"/>
    <w:rsid w:val="00A7308C"/>
    <w:rsid w:val="00A73B9C"/>
    <w:rsid w:val="00A73FD8"/>
    <w:rsid w:val="00A74235"/>
    <w:rsid w:val="00A74B90"/>
    <w:rsid w:val="00A74BB2"/>
    <w:rsid w:val="00A7621D"/>
    <w:rsid w:val="00A76B72"/>
    <w:rsid w:val="00A80031"/>
    <w:rsid w:val="00A80709"/>
    <w:rsid w:val="00A80A9D"/>
    <w:rsid w:val="00A80E38"/>
    <w:rsid w:val="00A80F88"/>
    <w:rsid w:val="00A8224E"/>
    <w:rsid w:val="00A824D5"/>
    <w:rsid w:val="00A829EE"/>
    <w:rsid w:val="00A82CEF"/>
    <w:rsid w:val="00A82CF8"/>
    <w:rsid w:val="00A85CB5"/>
    <w:rsid w:val="00A86809"/>
    <w:rsid w:val="00A87B7C"/>
    <w:rsid w:val="00A90570"/>
    <w:rsid w:val="00A9071B"/>
    <w:rsid w:val="00A91E6A"/>
    <w:rsid w:val="00A91F40"/>
    <w:rsid w:val="00A925C7"/>
    <w:rsid w:val="00A927CB"/>
    <w:rsid w:val="00A92CBA"/>
    <w:rsid w:val="00A933E3"/>
    <w:rsid w:val="00A93F8B"/>
    <w:rsid w:val="00A94023"/>
    <w:rsid w:val="00A940EF"/>
    <w:rsid w:val="00A948CA"/>
    <w:rsid w:val="00A95443"/>
    <w:rsid w:val="00A95D3E"/>
    <w:rsid w:val="00A963FC"/>
    <w:rsid w:val="00A9779F"/>
    <w:rsid w:val="00AA0067"/>
    <w:rsid w:val="00AA05B4"/>
    <w:rsid w:val="00AA1803"/>
    <w:rsid w:val="00AA2C90"/>
    <w:rsid w:val="00AA5A51"/>
    <w:rsid w:val="00AA5A89"/>
    <w:rsid w:val="00AA5D76"/>
    <w:rsid w:val="00AA5DC3"/>
    <w:rsid w:val="00AB0A19"/>
    <w:rsid w:val="00AB16E5"/>
    <w:rsid w:val="00AB4BEC"/>
    <w:rsid w:val="00AB528C"/>
    <w:rsid w:val="00AB7298"/>
    <w:rsid w:val="00AC0B35"/>
    <w:rsid w:val="00AC1DA3"/>
    <w:rsid w:val="00AC1E9B"/>
    <w:rsid w:val="00AC2456"/>
    <w:rsid w:val="00AC27F3"/>
    <w:rsid w:val="00AC3348"/>
    <w:rsid w:val="00AC4764"/>
    <w:rsid w:val="00AC4850"/>
    <w:rsid w:val="00AC4DBA"/>
    <w:rsid w:val="00AC5082"/>
    <w:rsid w:val="00AC63D1"/>
    <w:rsid w:val="00AD1872"/>
    <w:rsid w:val="00AD2BF7"/>
    <w:rsid w:val="00AD2D4E"/>
    <w:rsid w:val="00AD4D7A"/>
    <w:rsid w:val="00AD53DE"/>
    <w:rsid w:val="00AD5DBD"/>
    <w:rsid w:val="00AD6574"/>
    <w:rsid w:val="00AD6657"/>
    <w:rsid w:val="00AD71CE"/>
    <w:rsid w:val="00AD7BB1"/>
    <w:rsid w:val="00AE3E8F"/>
    <w:rsid w:val="00AE4382"/>
    <w:rsid w:val="00AE4622"/>
    <w:rsid w:val="00AE64EE"/>
    <w:rsid w:val="00AE6AC7"/>
    <w:rsid w:val="00AE7E42"/>
    <w:rsid w:val="00AF195B"/>
    <w:rsid w:val="00AF3A9C"/>
    <w:rsid w:val="00AF4B87"/>
    <w:rsid w:val="00AF5472"/>
    <w:rsid w:val="00AF5F98"/>
    <w:rsid w:val="00AF65DA"/>
    <w:rsid w:val="00AF71F2"/>
    <w:rsid w:val="00AF78EC"/>
    <w:rsid w:val="00B000F7"/>
    <w:rsid w:val="00B01C75"/>
    <w:rsid w:val="00B031B3"/>
    <w:rsid w:val="00B03512"/>
    <w:rsid w:val="00B0481A"/>
    <w:rsid w:val="00B04E29"/>
    <w:rsid w:val="00B05094"/>
    <w:rsid w:val="00B059AF"/>
    <w:rsid w:val="00B062E1"/>
    <w:rsid w:val="00B06DCD"/>
    <w:rsid w:val="00B072BF"/>
    <w:rsid w:val="00B073E6"/>
    <w:rsid w:val="00B101AA"/>
    <w:rsid w:val="00B10959"/>
    <w:rsid w:val="00B1169B"/>
    <w:rsid w:val="00B11727"/>
    <w:rsid w:val="00B12B50"/>
    <w:rsid w:val="00B12D7B"/>
    <w:rsid w:val="00B14974"/>
    <w:rsid w:val="00B15829"/>
    <w:rsid w:val="00B17448"/>
    <w:rsid w:val="00B174CB"/>
    <w:rsid w:val="00B17FF3"/>
    <w:rsid w:val="00B20078"/>
    <w:rsid w:val="00B2223C"/>
    <w:rsid w:val="00B23531"/>
    <w:rsid w:val="00B2364C"/>
    <w:rsid w:val="00B241F1"/>
    <w:rsid w:val="00B24642"/>
    <w:rsid w:val="00B2673F"/>
    <w:rsid w:val="00B26A7C"/>
    <w:rsid w:val="00B305A0"/>
    <w:rsid w:val="00B30640"/>
    <w:rsid w:val="00B3078C"/>
    <w:rsid w:val="00B308C6"/>
    <w:rsid w:val="00B31A7C"/>
    <w:rsid w:val="00B3203A"/>
    <w:rsid w:val="00B32C0A"/>
    <w:rsid w:val="00B33301"/>
    <w:rsid w:val="00B34BC3"/>
    <w:rsid w:val="00B35484"/>
    <w:rsid w:val="00B37372"/>
    <w:rsid w:val="00B40487"/>
    <w:rsid w:val="00B41735"/>
    <w:rsid w:val="00B41B33"/>
    <w:rsid w:val="00B41BE1"/>
    <w:rsid w:val="00B41E7A"/>
    <w:rsid w:val="00B42262"/>
    <w:rsid w:val="00B42338"/>
    <w:rsid w:val="00B4332F"/>
    <w:rsid w:val="00B441B3"/>
    <w:rsid w:val="00B449A2"/>
    <w:rsid w:val="00B44E6E"/>
    <w:rsid w:val="00B454C7"/>
    <w:rsid w:val="00B45E6C"/>
    <w:rsid w:val="00B461FF"/>
    <w:rsid w:val="00B4624B"/>
    <w:rsid w:val="00B46938"/>
    <w:rsid w:val="00B46955"/>
    <w:rsid w:val="00B51263"/>
    <w:rsid w:val="00B54C68"/>
    <w:rsid w:val="00B566C0"/>
    <w:rsid w:val="00B567B6"/>
    <w:rsid w:val="00B56A64"/>
    <w:rsid w:val="00B617E7"/>
    <w:rsid w:val="00B61FBB"/>
    <w:rsid w:val="00B62922"/>
    <w:rsid w:val="00B62FE5"/>
    <w:rsid w:val="00B63522"/>
    <w:rsid w:val="00B64038"/>
    <w:rsid w:val="00B643C5"/>
    <w:rsid w:val="00B652F7"/>
    <w:rsid w:val="00B668E5"/>
    <w:rsid w:val="00B7006B"/>
    <w:rsid w:val="00B711A1"/>
    <w:rsid w:val="00B7299A"/>
    <w:rsid w:val="00B7307C"/>
    <w:rsid w:val="00B7321E"/>
    <w:rsid w:val="00B736EC"/>
    <w:rsid w:val="00B750EB"/>
    <w:rsid w:val="00B763BA"/>
    <w:rsid w:val="00B77772"/>
    <w:rsid w:val="00B77AD8"/>
    <w:rsid w:val="00B77E3D"/>
    <w:rsid w:val="00B8059F"/>
    <w:rsid w:val="00B810D0"/>
    <w:rsid w:val="00B81202"/>
    <w:rsid w:val="00B8348C"/>
    <w:rsid w:val="00B83700"/>
    <w:rsid w:val="00B83AE5"/>
    <w:rsid w:val="00B841E2"/>
    <w:rsid w:val="00B84243"/>
    <w:rsid w:val="00B855D2"/>
    <w:rsid w:val="00B85CC8"/>
    <w:rsid w:val="00B85D82"/>
    <w:rsid w:val="00B86E06"/>
    <w:rsid w:val="00B87728"/>
    <w:rsid w:val="00B877D7"/>
    <w:rsid w:val="00B879FB"/>
    <w:rsid w:val="00B90457"/>
    <w:rsid w:val="00B90883"/>
    <w:rsid w:val="00B90CDF"/>
    <w:rsid w:val="00B90F9F"/>
    <w:rsid w:val="00B9116E"/>
    <w:rsid w:val="00B91219"/>
    <w:rsid w:val="00B9228E"/>
    <w:rsid w:val="00B93059"/>
    <w:rsid w:val="00B93223"/>
    <w:rsid w:val="00B93408"/>
    <w:rsid w:val="00B94A56"/>
    <w:rsid w:val="00B9684F"/>
    <w:rsid w:val="00B973DB"/>
    <w:rsid w:val="00B9770A"/>
    <w:rsid w:val="00B9773D"/>
    <w:rsid w:val="00BA0239"/>
    <w:rsid w:val="00BA09B1"/>
    <w:rsid w:val="00BA0B8C"/>
    <w:rsid w:val="00BA19F3"/>
    <w:rsid w:val="00BA1F68"/>
    <w:rsid w:val="00BA43BE"/>
    <w:rsid w:val="00BA4A65"/>
    <w:rsid w:val="00BA6002"/>
    <w:rsid w:val="00BA62E7"/>
    <w:rsid w:val="00BA6707"/>
    <w:rsid w:val="00BA7668"/>
    <w:rsid w:val="00BA7FE6"/>
    <w:rsid w:val="00BB329C"/>
    <w:rsid w:val="00BB51B5"/>
    <w:rsid w:val="00BB6AA3"/>
    <w:rsid w:val="00BB7A5E"/>
    <w:rsid w:val="00BC05E8"/>
    <w:rsid w:val="00BC0990"/>
    <w:rsid w:val="00BC118A"/>
    <w:rsid w:val="00BC2607"/>
    <w:rsid w:val="00BC33D7"/>
    <w:rsid w:val="00BC3758"/>
    <w:rsid w:val="00BC3F64"/>
    <w:rsid w:val="00BC4F66"/>
    <w:rsid w:val="00BC5398"/>
    <w:rsid w:val="00BC5F18"/>
    <w:rsid w:val="00BC5F8E"/>
    <w:rsid w:val="00BC5FA5"/>
    <w:rsid w:val="00BC62EB"/>
    <w:rsid w:val="00BC681A"/>
    <w:rsid w:val="00BC748D"/>
    <w:rsid w:val="00BD197B"/>
    <w:rsid w:val="00BD1B7D"/>
    <w:rsid w:val="00BD30A9"/>
    <w:rsid w:val="00BD36B3"/>
    <w:rsid w:val="00BD3893"/>
    <w:rsid w:val="00BD48E6"/>
    <w:rsid w:val="00BD614E"/>
    <w:rsid w:val="00BD68E6"/>
    <w:rsid w:val="00BE1384"/>
    <w:rsid w:val="00BE2F1B"/>
    <w:rsid w:val="00BE3A57"/>
    <w:rsid w:val="00BE5A61"/>
    <w:rsid w:val="00BE6819"/>
    <w:rsid w:val="00BE6EFF"/>
    <w:rsid w:val="00BE72F1"/>
    <w:rsid w:val="00BF0218"/>
    <w:rsid w:val="00BF05DF"/>
    <w:rsid w:val="00BF3C6C"/>
    <w:rsid w:val="00BF43A8"/>
    <w:rsid w:val="00BF4DA4"/>
    <w:rsid w:val="00BF5427"/>
    <w:rsid w:val="00BF5876"/>
    <w:rsid w:val="00BF588E"/>
    <w:rsid w:val="00BF6501"/>
    <w:rsid w:val="00BF66A2"/>
    <w:rsid w:val="00BF75EF"/>
    <w:rsid w:val="00BF7773"/>
    <w:rsid w:val="00BF78B8"/>
    <w:rsid w:val="00C007CC"/>
    <w:rsid w:val="00C029AC"/>
    <w:rsid w:val="00C04C4B"/>
    <w:rsid w:val="00C060F7"/>
    <w:rsid w:val="00C06268"/>
    <w:rsid w:val="00C062DB"/>
    <w:rsid w:val="00C065BC"/>
    <w:rsid w:val="00C06AFE"/>
    <w:rsid w:val="00C11B58"/>
    <w:rsid w:val="00C11B6A"/>
    <w:rsid w:val="00C11F90"/>
    <w:rsid w:val="00C15505"/>
    <w:rsid w:val="00C1552B"/>
    <w:rsid w:val="00C15AEB"/>
    <w:rsid w:val="00C15BA2"/>
    <w:rsid w:val="00C16237"/>
    <w:rsid w:val="00C16DEB"/>
    <w:rsid w:val="00C17012"/>
    <w:rsid w:val="00C17162"/>
    <w:rsid w:val="00C20778"/>
    <w:rsid w:val="00C208C7"/>
    <w:rsid w:val="00C20942"/>
    <w:rsid w:val="00C20FC4"/>
    <w:rsid w:val="00C2124F"/>
    <w:rsid w:val="00C21A91"/>
    <w:rsid w:val="00C22EBB"/>
    <w:rsid w:val="00C24BDD"/>
    <w:rsid w:val="00C2527D"/>
    <w:rsid w:val="00C25545"/>
    <w:rsid w:val="00C25F7E"/>
    <w:rsid w:val="00C26253"/>
    <w:rsid w:val="00C2782D"/>
    <w:rsid w:val="00C27DA0"/>
    <w:rsid w:val="00C3105E"/>
    <w:rsid w:val="00C31697"/>
    <w:rsid w:val="00C317C9"/>
    <w:rsid w:val="00C319A1"/>
    <w:rsid w:val="00C31C69"/>
    <w:rsid w:val="00C33806"/>
    <w:rsid w:val="00C356D0"/>
    <w:rsid w:val="00C3619F"/>
    <w:rsid w:val="00C374B9"/>
    <w:rsid w:val="00C40487"/>
    <w:rsid w:val="00C40FFC"/>
    <w:rsid w:val="00C4146D"/>
    <w:rsid w:val="00C41D84"/>
    <w:rsid w:val="00C41E0C"/>
    <w:rsid w:val="00C42694"/>
    <w:rsid w:val="00C42935"/>
    <w:rsid w:val="00C42FEF"/>
    <w:rsid w:val="00C4350C"/>
    <w:rsid w:val="00C442F5"/>
    <w:rsid w:val="00C44DA2"/>
    <w:rsid w:val="00C45A0D"/>
    <w:rsid w:val="00C46992"/>
    <w:rsid w:val="00C46C85"/>
    <w:rsid w:val="00C471DF"/>
    <w:rsid w:val="00C47560"/>
    <w:rsid w:val="00C47CF5"/>
    <w:rsid w:val="00C51A4F"/>
    <w:rsid w:val="00C51AEC"/>
    <w:rsid w:val="00C5205E"/>
    <w:rsid w:val="00C52787"/>
    <w:rsid w:val="00C53321"/>
    <w:rsid w:val="00C53DD5"/>
    <w:rsid w:val="00C55E4E"/>
    <w:rsid w:val="00C568D7"/>
    <w:rsid w:val="00C56BA6"/>
    <w:rsid w:val="00C575BB"/>
    <w:rsid w:val="00C57D35"/>
    <w:rsid w:val="00C57D4D"/>
    <w:rsid w:val="00C57DF0"/>
    <w:rsid w:val="00C60F8F"/>
    <w:rsid w:val="00C60FB9"/>
    <w:rsid w:val="00C62AD6"/>
    <w:rsid w:val="00C62C94"/>
    <w:rsid w:val="00C62E42"/>
    <w:rsid w:val="00C637B6"/>
    <w:rsid w:val="00C639BC"/>
    <w:rsid w:val="00C63DA2"/>
    <w:rsid w:val="00C67096"/>
    <w:rsid w:val="00C70744"/>
    <w:rsid w:val="00C70908"/>
    <w:rsid w:val="00C70F36"/>
    <w:rsid w:val="00C72CB0"/>
    <w:rsid w:val="00C74042"/>
    <w:rsid w:val="00C74C44"/>
    <w:rsid w:val="00C74EA8"/>
    <w:rsid w:val="00C7507B"/>
    <w:rsid w:val="00C75583"/>
    <w:rsid w:val="00C765EE"/>
    <w:rsid w:val="00C80E95"/>
    <w:rsid w:val="00C82401"/>
    <w:rsid w:val="00C8243E"/>
    <w:rsid w:val="00C82933"/>
    <w:rsid w:val="00C8323B"/>
    <w:rsid w:val="00C83F22"/>
    <w:rsid w:val="00C84933"/>
    <w:rsid w:val="00C85996"/>
    <w:rsid w:val="00C8614A"/>
    <w:rsid w:val="00C86581"/>
    <w:rsid w:val="00C87702"/>
    <w:rsid w:val="00C91984"/>
    <w:rsid w:val="00C9214E"/>
    <w:rsid w:val="00C9302A"/>
    <w:rsid w:val="00C93AB7"/>
    <w:rsid w:val="00C94DCA"/>
    <w:rsid w:val="00C94DD5"/>
    <w:rsid w:val="00CA01D6"/>
    <w:rsid w:val="00CA0C72"/>
    <w:rsid w:val="00CA1988"/>
    <w:rsid w:val="00CA3048"/>
    <w:rsid w:val="00CA552E"/>
    <w:rsid w:val="00CA6458"/>
    <w:rsid w:val="00CA6CB7"/>
    <w:rsid w:val="00CA723E"/>
    <w:rsid w:val="00CB089B"/>
    <w:rsid w:val="00CB0F1F"/>
    <w:rsid w:val="00CB4EAA"/>
    <w:rsid w:val="00CB6194"/>
    <w:rsid w:val="00CC034D"/>
    <w:rsid w:val="00CC0846"/>
    <w:rsid w:val="00CC0D72"/>
    <w:rsid w:val="00CC0E49"/>
    <w:rsid w:val="00CC252F"/>
    <w:rsid w:val="00CC2924"/>
    <w:rsid w:val="00CC2C3E"/>
    <w:rsid w:val="00CC4FEB"/>
    <w:rsid w:val="00CC53D6"/>
    <w:rsid w:val="00CC5C26"/>
    <w:rsid w:val="00CC5E6A"/>
    <w:rsid w:val="00CC66A5"/>
    <w:rsid w:val="00CC6E82"/>
    <w:rsid w:val="00CC73D5"/>
    <w:rsid w:val="00CD023E"/>
    <w:rsid w:val="00CD0643"/>
    <w:rsid w:val="00CD07A6"/>
    <w:rsid w:val="00CD339E"/>
    <w:rsid w:val="00CD35C1"/>
    <w:rsid w:val="00CD5846"/>
    <w:rsid w:val="00CD6599"/>
    <w:rsid w:val="00CE09B0"/>
    <w:rsid w:val="00CE0C4C"/>
    <w:rsid w:val="00CE0E6A"/>
    <w:rsid w:val="00CE1907"/>
    <w:rsid w:val="00CE2DE5"/>
    <w:rsid w:val="00CE3BFC"/>
    <w:rsid w:val="00CE5E5A"/>
    <w:rsid w:val="00CE64D5"/>
    <w:rsid w:val="00CE7F8C"/>
    <w:rsid w:val="00CF0622"/>
    <w:rsid w:val="00CF1E1B"/>
    <w:rsid w:val="00CF31F2"/>
    <w:rsid w:val="00CF4CA1"/>
    <w:rsid w:val="00CF6387"/>
    <w:rsid w:val="00CF7608"/>
    <w:rsid w:val="00D01264"/>
    <w:rsid w:val="00D03272"/>
    <w:rsid w:val="00D05FD1"/>
    <w:rsid w:val="00D0721F"/>
    <w:rsid w:val="00D122FE"/>
    <w:rsid w:val="00D1446B"/>
    <w:rsid w:val="00D15084"/>
    <w:rsid w:val="00D154E1"/>
    <w:rsid w:val="00D17444"/>
    <w:rsid w:val="00D17ED3"/>
    <w:rsid w:val="00D22E12"/>
    <w:rsid w:val="00D23104"/>
    <w:rsid w:val="00D25078"/>
    <w:rsid w:val="00D2550F"/>
    <w:rsid w:val="00D25E77"/>
    <w:rsid w:val="00D27512"/>
    <w:rsid w:val="00D31337"/>
    <w:rsid w:val="00D315AF"/>
    <w:rsid w:val="00D31CA2"/>
    <w:rsid w:val="00D32CC0"/>
    <w:rsid w:val="00D33636"/>
    <w:rsid w:val="00D338FF"/>
    <w:rsid w:val="00D34C34"/>
    <w:rsid w:val="00D35C70"/>
    <w:rsid w:val="00D360DE"/>
    <w:rsid w:val="00D368DC"/>
    <w:rsid w:val="00D400F4"/>
    <w:rsid w:val="00D415FA"/>
    <w:rsid w:val="00D418FE"/>
    <w:rsid w:val="00D419AD"/>
    <w:rsid w:val="00D41AF5"/>
    <w:rsid w:val="00D41D88"/>
    <w:rsid w:val="00D421B4"/>
    <w:rsid w:val="00D421C0"/>
    <w:rsid w:val="00D4269C"/>
    <w:rsid w:val="00D45154"/>
    <w:rsid w:val="00D45CFD"/>
    <w:rsid w:val="00D470AE"/>
    <w:rsid w:val="00D504B0"/>
    <w:rsid w:val="00D50EA3"/>
    <w:rsid w:val="00D51431"/>
    <w:rsid w:val="00D521EE"/>
    <w:rsid w:val="00D5239A"/>
    <w:rsid w:val="00D55463"/>
    <w:rsid w:val="00D57DDD"/>
    <w:rsid w:val="00D57F0A"/>
    <w:rsid w:val="00D6178F"/>
    <w:rsid w:val="00D618C2"/>
    <w:rsid w:val="00D6260D"/>
    <w:rsid w:val="00D64FF0"/>
    <w:rsid w:val="00D67613"/>
    <w:rsid w:val="00D7067F"/>
    <w:rsid w:val="00D70C59"/>
    <w:rsid w:val="00D71347"/>
    <w:rsid w:val="00D714A5"/>
    <w:rsid w:val="00D73A0F"/>
    <w:rsid w:val="00D73A9D"/>
    <w:rsid w:val="00D745F2"/>
    <w:rsid w:val="00D75141"/>
    <w:rsid w:val="00D752EB"/>
    <w:rsid w:val="00D75FBD"/>
    <w:rsid w:val="00D762F8"/>
    <w:rsid w:val="00D7631D"/>
    <w:rsid w:val="00D77D35"/>
    <w:rsid w:val="00D80F50"/>
    <w:rsid w:val="00D81278"/>
    <w:rsid w:val="00D823AB"/>
    <w:rsid w:val="00D82592"/>
    <w:rsid w:val="00D83F89"/>
    <w:rsid w:val="00D850D6"/>
    <w:rsid w:val="00D851B1"/>
    <w:rsid w:val="00D872D8"/>
    <w:rsid w:val="00D915F8"/>
    <w:rsid w:val="00D91F71"/>
    <w:rsid w:val="00D92AD3"/>
    <w:rsid w:val="00D92E76"/>
    <w:rsid w:val="00D9312F"/>
    <w:rsid w:val="00D93DC3"/>
    <w:rsid w:val="00D94188"/>
    <w:rsid w:val="00D94360"/>
    <w:rsid w:val="00D95C07"/>
    <w:rsid w:val="00D95DB5"/>
    <w:rsid w:val="00DA0874"/>
    <w:rsid w:val="00DA0F45"/>
    <w:rsid w:val="00DA1AC9"/>
    <w:rsid w:val="00DA2ACC"/>
    <w:rsid w:val="00DA31B4"/>
    <w:rsid w:val="00DA591D"/>
    <w:rsid w:val="00DA5FE3"/>
    <w:rsid w:val="00DA66C4"/>
    <w:rsid w:val="00DA6C09"/>
    <w:rsid w:val="00DB1B6A"/>
    <w:rsid w:val="00DB2736"/>
    <w:rsid w:val="00DB2DD0"/>
    <w:rsid w:val="00DB41DE"/>
    <w:rsid w:val="00DB4893"/>
    <w:rsid w:val="00DB4A29"/>
    <w:rsid w:val="00DB4D3E"/>
    <w:rsid w:val="00DB4EFC"/>
    <w:rsid w:val="00DB6685"/>
    <w:rsid w:val="00DB72E9"/>
    <w:rsid w:val="00DC03B0"/>
    <w:rsid w:val="00DC2255"/>
    <w:rsid w:val="00DC2F40"/>
    <w:rsid w:val="00DC2FA3"/>
    <w:rsid w:val="00DC3BFA"/>
    <w:rsid w:val="00DC3D28"/>
    <w:rsid w:val="00DC40A7"/>
    <w:rsid w:val="00DC621D"/>
    <w:rsid w:val="00DC7950"/>
    <w:rsid w:val="00DC7E77"/>
    <w:rsid w:val="00DD0177"/>
    <w:rsid w:val="00DD07C8"/>
    <w:rsid w:val="00DD081B"/>
    <w:rsid w:val="00DD1E61"/>
    <w:rsid w:val="00DD2C09"/>
    <w:rsid w:val="00DD2F0C"/>
    <w:rsid w:val="00DD3135"/>
    <w:rsid w:val="00DD5D8A"/>
    <w:rsid w:val="00DD60EC"/>
    <w:rsid w:val="00DD69B8"/>
    <w:rsid w:val="00DD777D"/>
    <w:rsid w:val="00DE0349"/>
    <w:rsid w:val="00DE0B81"/>
    <w:rsid w:val="00DE0E11"/>
    <w:rsid w:val="00DE29DE"/>
    <w:rsid w:val="00DE2B3D"/>
    <w:rsid w:val="00DE2E47"/>
    <w:rsid w:val="00DE47AC"/>
    <w:rsid w:val="00DE510E"/>
    <w:rsid w:val="00DE52FE"/>
    <w:rsid w:val="00DE6667"/>
    <w:rsid w:val="00DE7B01"/>
    <w:rsid w:val="00DF06F8"/>
    <w:rsid w:val="00DF21F2"/>
    <w:rsid w:val="00DF2963"/>
    <w:rsid w:val="00DF2DB0"/>
    <w:rsid w:val="00DF3278"/>
    <w:rsid w:val="00DF359B"/>
    <w:rsid w:val="00DF49EE"/>
    <w:rsid w:val="00DF4A02"/>
    <w:rsid w:val="00DF5A27"/>
    <w:rsid w:val="00DF5CAA"/>
    <w:rsid w:val="00DF62A7"/>
    <w:rsid w:val="00E00F8D"/>
    <w:rsid w:val="00E0109C"/>
    <w:rsid w:val="00E011DE"/>
    <w:rsid w:val="00E01368"/>
    <w:rsid w:val="00E022AB"/>
    <w:rsid w:val="00E025C3"/>
    <w:rsid w:val="00E0339E"/>
    <w:rsid w:val="00E04549"/>
    <w:rsid w:val="00E0457C"/>
    <w:rsid w:val="00E04A0B"/>
    <w:rsid w:val="00E04F70"/>
    <w:rsid w:val="00E056AA"/>
    <w:rsid w:val="00E073FD"/>
    <w:rsid w:val="00E13269"/>
    <w:rsid w:val="00E13330"/>
    <w:rsid w:val="00E13947"/>
    <w:rsid w:val="00E1450B"/>
    <w:rsid w:val="00E147FD"/>
    <w:rsid w:val="00E14A52"/>
    <w:rsid w:val="00E1567F"/>
    <w:rsid w:val="00E159C9"/>
    <w:rsid w:val="00E16063"/>
    <w:rsid w:val="00E16A58"/>
    <w:rsid w:val="00E16A84"/>
    <w:rsid w:val="00E17593"/>
    <w:rsid w:val="00E17E67"/>
    <w:rsid w:val="00E2132E"/>
    <w:rsid w:val="00E213B3"/>
    <w:rsid w:val="00E2322B"/>
    <w:rsid w:val="00E238F3"/>
    <w:rsid w:val="00E23D59"/>
    <w:rsid w:val="00E240EC"/>
    <w:rsid w:val="00E256F6"/>
    <w:rsid w:val="00E26D8D"/>
    <w:rsid w:val="00E27C0A"/>
    <w:rsid w:val="00E30D40"/>
    <w:rsid w:val="00E314ED"/>
    <w:rsid w:val="00E3309B"/>
    <w:rsid w:val="00E340A9"/>
    <w:rsid w:val="00E34127"/>
    <w:rsid w:val="00E34BB0"/>
    <w:rsid w:val="00E35339"/>
    <w:rsid w:val="00E360A9"/>
    <w:rsid w:val="00E36EF6"/>
    <w:rsid w:val="00E37C57"/>
    <w:rsid w:val="00E40280"/>
    <w:rsid w:val="00E40F67"/>
    <w:rsid w:val="00E41AE2"/>
    <w:rsid w:val="00E4240F"/>
    <w:rsid w:val="00E42809"/>
    <w:rsid w:val="00E42B57"/>
    <w:rsid w:val="00E436A8"/>
    <w:rsid w:val="00E4482B"/>
    <w:rsid w:val="00E46A72"/>
    <w:rsid w:val="00E52C4D"/>
    <w:rsid w:val="00E53007"/>
    <w:rsid w:val="00E54BE8"/>
    <w:rsid w:val="00E564F3"/>
    <w:rsid w:val="00E56BB1"/>
    <w:rsid w:val="00E6065F"/>
    <w:rsid w:val="00E616D0"/>
    <w:rsid w:val="00E61ED9"/>
    <w:rsid w:val="00E62356"/>
    <w:rsid w:val="00E63035"/>
    <w:rsid w:val="00E6495F"/>
    <w:rsid w:val="00E6501D"/>
    <w:rsid w:val="00E651E8"/>
    <w:rsid w:val="00E65645"/>
    <w:rsid w:val="00E671F1"/>
    <w:rsid w:val="00E71642"/>
    <w:rsid w:val="00E74577"/>
    <w:rsid w:val="00E76491"/>
    <w:rsid w:val="00E76EDB"/>
    <w:rsid w:val="00E808C1"/>
    <w:rsid w:val="00E83242"/>
    <w:rsid w:val="00E8382D"/>
    <w:rsid w:val="00E8444F"/>
    <w:rsid w:val="00E84F99"/>
    <w:rsid w:val="00E85B52"/>
    <w:rsid w:val="00E8602C"/>
    <w:rsid w:val="00E8660D"/>
    <w:rsid w:val="00E86A19"/>
    <w:rsid w:val="00E90892"/>
    <w:rsid w:val="00E90F6D"/>
    <w:rsid w:val="00E927A7"/>
    <w:rsid w:val="00E929C7"/>
    <w:rsid w:val="00E9360E"/>
    <w:rsid w:val="00E94516"/>
    <w:rsid w:val="00E94578"/>
    <w:rsid w:val="00E948FD"/>
    <w:rsid w:val="00E95377"/>
    <w:rsid w:val="00E95882"/>
    <w:rsid w:val="00E95E77"/>
    <w:rsid w:val="00E97AEA"/>
    <w:rsid w:val="00EA261B"/>
    <w:rsid w:val="00EA292C"/>
    <w:rsid w:val="00EA2971"/>
    <w:rsid w:val="00EA3742"/>
    <w:rsid w:val="00EA37CB"/>
    <w:rsid w:val="00EA3915"/>
    <w:rsid w:val="00EA3FE6"/>
    <w:rsid w:val="00EA62D1"/>
    <w:rsid w:val="00EA636C"/>
    <w:rsid w:val="00EA64F4"/>
    <w:rsid w:val="00EB1B90"/>
    <w:rsid w:val="00EB3389"/>
    <w:rsid w:val="00EB5766"/>
    <w:rsid w:val="00EB702A"/>
    <w:rsid w:val="00EB779E"/>
    <w:rsid w:val="00EC1036"/>
    <w:rsid w:val="00EC20AF"/>
    <w:rsid w:val="00EC5160"/>
    <w:rsid w:val="00EC5F8C"/>
    <w:rsid w:val="00EC6850"/>
    <w:rsid w:val="00EC6853"/>
    <w:rsid w:val="00EC6868"/>
    <w:rsid w:val="00EC70A8"/>
    <w:rsid w:val="00ED04B0"/>
    <w:rsid w:val="00ED1D1D"/>
    <w:rsid w:val="00ED1EC2"/>
    <w:rsid w:val="00ED2640"/>
    <w:rsid w:val="00ED278B"/>
    <w:rsid w:val="00ED2D66"/>
    <w:rsid w:val="00ED3A9B"/>
    <w:rsid w:val="00ED3E05"/>
    <w:rsid w:val="00ED40F4"/>
    <w:rsid w:val="00ED4AFA"/>
    <w:rsid w:val="00ED5716"/>
    <w:rsid w:val="00ED57C1"/>
    <w:rsid w:val="00ED66CF"/>
    <w:rsid w:val="00ED6CA2"/>
    <w:rsid w:val="00EE026B"/>
    <w:rsid w:val="00EE1C2D"/>
    <w:rsid w:val="00EE5346"/>
    <w:rsid w:val="00EE570F"/>
    <w:rsid w:val="00EE5D65"/>
    <w:rsid w:val="00EE5E66"/>
    <w:rsid w:val="00EE6530"/>
    <w:rsid w:val="00EE6796"/>
    <w:rsid w:val="00EE6B7D"/>
    <w:rsid w:val="00EE75BA"/>
    <w:rsid w:val="00EF12B8"/>
    <w:rsid w:val="00EF2455"/>
    <w:rsid w:val="00EF276A"/>
    <w:rsid w:val="00EF280A"/>
    <w:rsid w:val="00EF4F34"/>
    <w:rsid w:val="00EF5174"/>
    <w:rsid w:val="00EF5C56"/>
    <w:rsid w:val="00EF61FC"/>
    <w:rsid w:val="00EF641A"/>
    <w:rsid w:val="00F00107"/>
    <w:rsid w:val="00F00DF7"/>
    <w:rsid w:val="00F01960"/>
    <w:rsid w:val="00F01C29"/>
    <w:rsid w:val="00F01EFF"/>
    <w:rsid w:val="00F01FB8"/>
    <w:rsid w:val="00F02B3A"/>
    <w:rsid w:val="00F02D6F"/>
    <w:rsid w:val="00F03007"/>
    <w:rsid w:val="00F03D2A"/>
    <w:rsid w:val="00F03D2E"/>
    <w:rsid w:val="00F03EA6"/>
    <w:rsid w:val="00F05124"/>
    <w:rsid w:val="00F0653A"/>
    <w:rsid w:val="00F06A6A"/>
    <w:rsid w:val="00F07C4A"/>
    <w:rsid w:val="00F119D6"/>
    <w:rsid w:val="00F12D73"/>
    <w:rsid w:val="00F12F41"/>
    <w:rsid w:val="00F1598A"/>
    <w:rsid w:val="00F15A5A"/>
    <w:rsid w:val="00F16EE0"/>
    <w:rsid w:val="00F17897"/>
    <w:rsid w:val="00F17A5A"/>
    <w:rsid w:val="00F17B57"/>
    <w:rsid w:val="00F20EC9"/>
    <w:rsid w:val="00F21113"/>
    <w:rsid w:val="00F21455"/>
    <w:rsid w:val="00F22474"/>
    <w:rsid w:val="00F231F7"/>
    <w:rsid w:val="00F245B9"/>
    <w:rsid w:val="00F26652"/>
    <w:rsid w:val="00F27EB7"/>
    <w:rsid w:val="00F30075"/>
    <w:rsid w:val="00F3176B"/>
    <w:rsid w:val="00F323A6"/>
    <w:rsid w:val="00F323AC"/>
    <w:rsid w:val="00F3277E"/>
    <w:rsid w:val="00F32F15"/>
    <w:rsid w:val="00F34587"/>
    <w:rsid w:val="00F34CF7"/>
    <w:rsid w:val="00F35875"/>
    <w:rsid w:val="00F35DD6"/>
    <w:rsid w:val="00F37250"/>
    <w:rsid w:val="00F3725A"/>
    <w:rsid w:val="00F40BBC"/>
    <w:rsid w:val="00F41648"/>
    <w:rsid w:val="00F44447"/>
    <w:rsid w:val="00F44BFA"/>
    <w:rsid w:val="00F47B9F"/>
    <w:rsid w:val="00F47EFB"/>
    <w:rsid w:val="00F51186"/>
    <w:rsid w:val="00F52199"/>
    <w:rsid w:val="00F52625"/>
    <w:rsid w:val="00F52884"/>
    <w:rsid w:val="00F53DFF"/>
    <w:rsid w:val="00F547DA"/>
    <w:rsid w:val="00F57876"/>
    <w:rsid w:val="00F61C94"/>
    <w:rsid w:val="00F61E27"/>
    <w:rsid w:val="00F61F85"/>
    <w:rsid w:val="00F6777C"/>
    <w:rsid w:val="00F72078"/>
    <w:rsid w:val="00F73C4B"/>
    <w:rsid w:val="00F746E7"/>
    <w:rsid w:val="00F747CE"/>
    <w:rsid w:val="00F74F3C"/>
    <w:rsid w:val="00F7542D"/>
    <w:rsid w:val="00F76D0C"/>
    <w:rsid w:val="00F77768"/>
    <w:rsid w:val="00F77C2E"/>
    <w:rsid w:val="00F802A2"/>
    <w:rsid w:val="00F81655"/>
    <w:rsid w:val="00F82742"/>
    <w:rsid w:val="00F84001"/>
    <w:rsid w:val="00F84B95"/>
    <w:rsid w:val="00F85186"/>
    <w:rsid w:val="00F856A2"/>
    <w:rsid w:val="00F8587F"/>
    <w:rsid w:val="00F85DDD"/>
    <w:rsid w:val="00F86926"/>
    <w:rsid w:val="00F87CF9"/>
    <w:rsid w:val="00F90CA9"/>
    <w:rsid w:val="00F91057"/>
    <w:rsid w:val="00F92E9D"/>
    <w:rsid w:val="00F930E1"/>
    <w:rsid w:val="00F93176"/>
    <w:rsid w:val="00F944D6"/>
    <w:rsid w:val="00F944EF"/>
    <w:rsid w:val="00F9567D"/>
    <w:rsid w:val="00F958E2"/>
    <w:rsid w:val="00F95C25"/>
    <w:rsid w:val="00F960F5"/>
    <w:rsid w:val="00F96A19"/>
    <w:rsid w:val="00F97899"/>
    <w:rsid w:val="00FA018B"/>
    <w:rsid w:val="00FA0BB3"/>
    <w:rsid w:val="00FA1E4A"/>
    <w:rsid w:val="00FA2285"/>
    <w:rsid w:val="00FA2DFF"/>
    <w:rsid w:val="00FA2EE9"/>
    <w:rsid w:val="00FA31AD"/>
    <w:rsid w:val="00FA4A8E"/>
    <w:rsid w:val="00FA58C7"/>
    <w:rsid w:val="00FA58E8"/>
    <w:rsid w:val="00FA6217"/>
    <w:rsid w:val="00FA62DB"/>
    <w:rsid w:val="00FA735C"/>
    <w:rsid w:val="00FB0B5E"/>
    <w:rsid w:val="00FB11EB"/>
    <w:rsid w:val="00FB2DEA"/>
    <w:rsid w:val="00FB4A6B"/>
    <w:rsid w:val="00FB54C8"/>
    <w:rsid w:val="00FB77B7"/>
    <w:rsid w:val="00FC2A4B"/>
    <w:rsid w:val="00FC2F84"/>
    <w:rsid w:val="00FC3BCC"/>
    <w:rsid w:val="00FC41D3"/>
    <w:rsid w:val="00FC449F"/>
    <w:rsid w:val="00FC4CF0"/>
    <w:rsid w:val="00FC6687"/>
    <w:rsid w:val="00FC76F7"/>
    <w:rsid w:val="00FC7790"/>
    <w:rsid w:val="00FC77CE"/>
    <w:rsid w:val="00FD070B"/>
    <w:rsid w:val="00FD288E"/>
    <w:rsid w:val="00FD3956"/>
    <w:rsid w:val="00FD527E"/>
    <w:rsid w:val="00FD5484"/>
    <w:rsid w:val="00FD783D"/>
    <w:rsid w:val="00FD7F96"/>
    <w:rsid w:val="00FE0365"/>
    <w:rsid w:val="00FE171A"/>
    <w:rsid w:val="00FE1727"/>
    <w:rsid w:val="00FE2DB8"/>
    <w:rsid w:val="00FE2E39"/>
    <w:rsid w:val="00FE3458"/>
    <w:rsid w:val="00FE363E"/>
    <w:rsid w:val="00FE3EAB"/>
    <w:rsid w:val="00FE46F5"/>
    <w:rsid w:val="00FE6A9C"/>
    <w:rsid w:val="00FE6E64"/>
    <w:rsid w:val="00FF0306"/>
    <w:rsid w:val="00FF1855"/>
    <w:rsid w:val="00FF250B"/>
    <w:rsid w:val="00FF2D96"/>
    <w:rsid w:val="00FF3D6C"/>
    <w:rsid w:val="00FF638B"/>
    <w:rsid w:val="00FF761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6F11A7C"/>
  <w15:docId w15:val="{2A53C314-CFB6-4376-A3D7-77160920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FE"/>
    <w:rPr>
      <w:sz w:val="23"/>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4A392D"/>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qFormat/>
    <w:rsid w:val="00F85186"/>
    <w:rPr>
      <w:b/>
      <w:bCs/>
      <w:i/>
      <w:iCs/>
      <w:spacing w:val="10"/>
      <w:bdr w:val="none" w:sz="0" w:space="0" w:color="auto"/>
      <w:shd w:val="clear" w:color="auto" w:fill="auto"/>
    </w:rPr>
  </w:style>
  <w:style w:type="paragraph" w:styleId="NoSpacing">
    <w:name w:val="No Spacing"/>
    <w:link w:val="NoSpacingChar"/>
    <w:uiPriority w:val="1"/>
    <w:qFormat/>
    <w:rsid w:val="00FE363E"/>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qFormat/>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TOC1">
    <w:name w:val="toc 1"/>
    <w:basedOn w:val="Normal"/>
    <w:next w:val="Normal"/>
    <w:autoRedefine/>
    <w:uiPriority w:val="39"/>
    <w:unhideWhenUsed/>
    <w:qFormat/>
    <w:rsid w:val="002934F1"/>
    <w:pPr>
      <w:tabs>
        <w:tab w:val="right" w:pos="9720"/>
      </w:tabs>
      <w:spacing w:before="360"/>
    </w:pPr>
    <w:rPr>
      <w:rFonts w:asciiTheme="majorHAnsi" w:hAnsiTheme="majorHAnsi" w:cstheme="majorHAnsi"/>
      <w:b/>
      <w:bCs/>
      <w:caps/>
      <w:szCs w:val="24"/>
    </w:rPr>
  </w:style>
  <w:style w:type="paragraph" w:styleId="TOC2">
    <w:name w:val="toc 2"/>
    <w:basedOn w:val="Normal"/>
    <w:next w:val="Normal"/>
    <w:autoRedefine/>
    <w:uiPriority w:val="39"/>
    <w:unhideWhenUsed/>
    <w:rsid w:val="00544CAB"/>
    <w:pPr>
      <w:tabs>
        <w:tab w:val="right" w:pos="9360"/>
      </w:tabs>
      <w:spacing w:before="240"/>
      <w:jc w:val="center"/>
    </w:pPr>
    <w:rPr>
      <w:rFonts w:cstheme="minorHAnsi"/>
      <w:b/>
      <w:bCs/>
      <w:sz w:val="20"/>
      <w:szCs w:val="20"/>
    </w:rPr>
  </w:style>
  <w:style w:type="paragraph" w:styleId="TOC3">
    <w:name w:val="toc 3"/>
    <w:basedOn w:val="Normal"/>
    <w:next w:val="Normal"/>
    <w:autoRedefine/>
    <w:uiPriority w:val="39"/>
    <w:unhideWhenUsed/>
    <w:rsid w:val="00592D28"/>
    <w:pPr>
      <w:tabs>
        <w:tab w:val="right" w:pos="9720"/>
      </w:tabs>
    </w:pPr>
    <w:rPr>
      <w:rFonts w:eastAsia="Times New Roman" w:cstheme="minorHAnsi"/>
      <w:noProof/>
      <w:sz w:val="20"/>
      <w:szCs w:val="20"/>
      <w:lang w:val="fr-CA"/>
    </w:rPr>
  </w:style>
  <w:style w:type="paragraph" w:styleId="TOC4">
    <w:name w:val="toc 4"/>
    <w:basedOn w:val="Normal"/>
    <w:next w:val="Normal"/>
    <w:autoRedefine/>
    <w:uiPriority w:val="39"/>
    <w:unhideWhenUsed/>
    <w:rsid w:val="0034636D"/>
    <w:pPr>
      <w:ind w:left="480"/>
    </w:pPr>
    <w:rPr>
      <w:rFonts w:cstheme="minorHAnsi"/>
      <w:sz w:val="20"/>
      <w:szCs w:val="20"/>
    </w:rPr>
  </w:style>
  <w:style w:type="paragraph" w:styleId="TOC5">
    <w:name w:val="toc 5"/>
    <w:basedOn w:val="Normal"/>
    <w:next w:val="Normal"/>
    <w:autoRedefine/>
    <w:uiPriority w:val="39"/>
    <w:unhideWhenUsed/>
    <w:rsid w:val="0034636D"/>
    <w:pPr>
      <w:ind w:left="720"/>
    </w:pPr>
    <w:rPr>
      <w:rFonts w:cstheme="minorHAnsi"/>
      <w:sz w:val="20"/>
      <w:szCs w:val="20"/>
    </w:rPr>
  </w:style>
  <w:style w:type="paragraph" w:styleId="TOC6">
    <w:name w:val="toc 6"/>
    <w:basedOn w:val="Normal"/>
    <w:next w:val="Normal"/>
    <w:autoRedefine/>
    <w:uiPriority w:val="39"/>
    <w:unhideWhenUsed/>
    <w:rsid w:val="0034636D"/>
    <w:pPr>
      <w:ind w:left="960"/>
    </w:pPr>
    <w:rPr>
      <w:rFonts w:cstheme="minorHAnsi"/>
      <w:sz w:val="20"/>
      <w:szCs w:val="20"/>
    </w:rPr>
  </w:style>
  <w:style w:type="paragraph" w:styleId="TOC7">
    <w:name w:val="toc 7"/>
    <w:basedOn w:val="Normal"/>
    <w:next w:val="Normal"/>
    <w:autoRedefine/>
    <w:uiPriority w:val="39"/>
    <w:unhideWhenUsed/>
    <w:rsid w:val="0034636D"/>
    <w:pPr>
      <w:ind w:left="1200"/>
    </w:pPr>
    <w:rPr>
      <w:rFonts w:cstheme="minorHAnsi"/>
      <w:sz w:val="20"/>
      <w:szCs w:val="20"/>
    </w:rPr>
  </w:style>
  <w:style w:type="paragraph" w:styleId="TOC8">
    <w:name w:val="toc 8"/>
    <w:basedOn w:val="Normal"/>
    <w:next w:val="Normal"/>
    <w:autoRedefine/>
    <w:uiPriority w:val="39"/>
    <w:unhideWhenUsed/>
    <w:rsid w:val="0034636D"/>
    <w:pPr>
      <w:ind w:left="1440"/>
    </w:pPr>
    <w:rPr>
      <w:rFonts w:cstheme="minorHAnsi"/>
      <w:sz w:val="20"/>
      <w:szCs w:val="20"/>
    </w:rPr>
  </w:style>
  <w:style w:type="paragraph" w:styleId="TOC9">
    <w:name w:val="toc 9"/>
    <w:basedOn w:val="Normal"/>
    <w:next w:val="Normal"/>
    <w:autoRedefine/>
    <w:uiPriority w:val="39"/>
    <w:unhideWhenUsed/>
    <w:rsid w:val="0034636D"/>
    <w:pPr>
      <w:ind w:left="1680"/>
    </w:pPr>
    <w:rPr>
      <w:rFonts w:cstheme="minorHAnsi"/>
      <w:sz w:val="20"/>
      <w:szCs w:val="20"/>
    </w:rPr>
  </w:style>
  <w:style w:type="character" w:styleId="FootnoteReference">
    <w:name w:val="footnote reference"/>
    <w:uiPriority w:val="99"/>
    <w:rsid w:val="0034636D"/>
  </w:style>
  <w:style w:type="paragraph" w:styleId="FootnoteText">
    <w:name w:val="footnote text"/>
    <w:basedOn w:val="Normal"/>
    <w:link w:val="FootnoteTextChar"/>
    <w:autoRedefine/>
    <w:uiPriority w:val="99"/>
    <w:rsid w:val="0034636D"/>
    <w:pPr>
      <w:widowControl w:val="0"/>
      <w:tabs>
        <w:tab w:val="left" w:pos="360"/>
      </w:tabs>
      <w:autoSpaceDE w:val="0"/>
      <w:autoSpaceDN w:val="0"/>
      <w:adjustRightInd w:val="0"/>
      <w:spacing w:after="240"/>
      <w:ind w:left="1440" w:hanging="360"/>
    </w:pPr>
    <w:rPr>
      <w:rFonts w:ascii="Arial" w:eastAsia="Times New Roman" w:hAnsi="Arial" w:cs="Times New Roman"/>
      <w:sz w:val="18"/>
      <w:szCs w:val="18"/>
    </w:rPr>
  </w:style>
  <w:style w:type="character" w:customStyle="1" w:styleId="FootnoteTextChar">
    <w:name w:val="Footnote Text Char"/>
    <w:basedOn w:val="DefaultParagraphFont"/>
    <w:link w:val="FootnoteText"/>
    <w:uiPriority w:val="99"/>
    <w:rsid w:val="0034636D"/>
    <w:rPr>
      <w:rFonts w:ascii="Arial" w:eastAsia="Times New Roman" w:hAnsi="Arial" w:cs="Times New Roman"/>
      <w:sz w:val="18"/>
      <w:szCs w:val="18"/>
    </w:rPr>
  </w:style>
  <w:style w:type="character" w:styleId="Hyperlink">
    <w:name w:val="Hyperlink"/>
    <w:basedOn w:val="DefaultParagraphFont"/>
    <w:uiPriority w:val="99"/>
    <w:unhideWhenUsed/>
    <w:rsid w:val="0034636D"/>
    <w:rPr>
      <w:color w:val="5F5F5F" w:themeColor="hyperlink"/>
      <w:u w:val="single"/>
    </w:rPr>
  </w:style>
  <w:style w:type="character" w:styleId="CommentReference">
    <w:name w:val="annotation reference"/>
    <w:basedOn w:val="DefaultParagraphFont"/>
    <w:uiPriority w:val="99"/>
    <w:unhideWhenUsed/>
    <w:rsid w:val="0034636D"/>
    <w:rPr>
      <w:sz w:val="16"/>
      <w:szCs w:val="16"/>
    </w:rPr>
  </w:style>
  <w:style w:type="paragraph" w:styleId="CommentText">
    <w:name w:val="annotation text"/>
    <w:basedOn w:val="Normal"/>
    <w:link w:val="CommentTextChar"/>
    <w:uiPriority w:val="99"/>
    <w:unhideWhenUsed/>
    <w:rsid w:val="0034636D"/>
    <w:rPr>
      <w:sz w:val="20"/>
      <w:szCs w:val="20"/>
    </w:rPr>
  </w:style>
  <w:style w:type="character" w:customStyle="1" w:styleId="CommentTextChar">
    <w:name w:val="Comment Text Char"/>
    <w:basedOn w:val="DefaultParagraphFont"/>
    <w:link w:val="CommentText"/>
    <w:uiPriority w:val="99"/>
    <w:rsid w:val="0034636D"/>
    <w:rPr>
      <w:sz w:val="20"/>
      <w:szCs w:val="20"/>
    </w:rPr>
  </w:style>
  <w:style w:type="paragraph" w:styleId="CommentSubject">
    <w:name w:val="annotation subject"/>
    <w:basedOn w:val="CommentText"/>
    <w:next w:val="CommentText"/>
    <w:link w:val="CommentSubjectChar"/>
    <w:uiPriority w:val="99"/>
    <w:unhideWhenUsed/>
    <w:rsid w:val="0034636D"/>
    <w:rPr>
      <w:b/>
      <w:bCs/>
    </w:rPr>
  </w:style>
  <w:style w:type="character" w:customStyle="1" w:styleId="CommentSubjectChar">
    <w:name w:val="Comment Subject Char"/>
    <w:basedOn w:val="CommentTextChar"/>
    <w:link w:val="CommentSubject"/>
    <w:uiPriority w:val="99"/>
    <w:rsid w:val="0034636D"/>
    <w:rPr>
      <w:b/>
      <w:bCs/>
      <w:sz w:val="20"/>
      <w:szCs w:val="20"/>
    </w:rPr>
  </w:style>
  <w:style w:type="paragraph" w:customStyle="1" w:styleId="SUBPOINTENG">
    <w:name w:val="SUB POINT ENG"/>
    <w:basedOn w:val="Normal"/>
    <w:link w:val="SUBPOINTENGChar"/>
    <w:qFormat/>
    <w:rsid w:val="000D30F2"/>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autoSpaceDE w:val="0"/>
      <w:autoSpaceDN w:val="0"/>
      <w:adjustRightInd w:val="0"/>
      <w:ind w:left="1152" w:hanging="576"/>
    </w:pPr>
    <w:rPr>
      <w:rFonts w:ascii="Arial" w:eastAsia="Times New Roman" w:hAnsi="Arial" w:cs="Arial"/>
      <w:szCs w:val="23"/>
    </w:rPr>
  </w:style>
  <w:style w:type="character" w:customStyle="1" w:styleId="SUBPOINTENGChar">
    <w:name w:val="SUB POINT ENG Char"/>
    <w:basedOn w:val="DefaultParagraphFont"/>
    <w:link w:val="SUBPOINTENG"/>
    <w:rsid w:val="000D30F2"/>
    <w:rPr>
      <w:rFonts w:ascii="Arial" w:eastAsia="Times New Roman" w:hAnsi="Arial" w:cs="Arial"/>
      <w:sz w:val="23"/>
      <w:szCs w:val="23"/>
    </w:rPr>
  </w:style>
  <w:style w:type="paragraph" w:customStyle="1" w:styleId="subparagraph">
    <w:name w:val="subparagraph"/>
    <w:basedOn w:val="Normal"/>
    <w:rsid w:val="00A80F88"/>
    <w:pPr>
      <w:spacing w:after="240"/>
      <w:ind w:left="1440" w:hanging="720"/>
    </w:pPr>
    <w:rPr>
      <w:rFonts w:ascii="Times New Roman" w:eastAsia="MS Mincho" w:hAnsi="Times New Roman" w:cs="Times New Roman"/>
      <w:szCs w:val="24"/>
    </w:rPr>
  </w:style>
  <w:style w:type="paragraph" w:customStyle="1" w:styleId="FootnoteText1">
    <w:name w:val="Footnote Text1"/>
    <w:basedOn w:val="FootnoteText"/>
    <w:autoRedefine/>
    <w:uiPriority w:val="99"/>
    <w:rsid w:val="00C17012"/>
    <w:rPr>
      <w:rFonts w:cs="Arial"/>
    </w:rPr>
  </w:style>
  <w:style w:type="paragraph" w:styleId="NormalWeb">
    <w:name w:val="Normal (Web)"/>
    <w:basedOn w:val="Normal"/>
    <w:uiPriority w:val="99"/>
    <w:unhideWhenUsed/>
    <w:rsid w:val="00916BAD"/>
    <w:pPr>
      <w:spacing w:before="100" w:beforeAutospacing="1" w:after="100" w:afterAutospacing="1"/>
    </w:pPr>
    <w:rPr>
      <w:rFonts w:ascii="Times New Roman" w:hAnsi="Times New Roman" w:cs="Times New Roman"/>
      <w:szCs w:val="24"/>
      <w:lang w:eastAsia="en-CA"/>
    </w:rPr>
  </w:style>
  <w:style w:type="paragraph" w:customStyle="1" w:styleId="paranormaltext">
    <w:name w:val="paranormaltext"/>
    <w:basedOn w:val="Normal"/>
    <w:rsid w:val="00916BAD"/>
    <w:pPr>
      <w:spacing w:before="100" w:beforeAutospacing="1" w:after="100" w:afterAutospacing="1"/>
    </w:pPr>
    <w:rPr>
      <w:rFonts w:ascii="Times New Roman" w:eastAsia="Times New Roman" w:hAnsi="Times New Roman" w:cs="Times New Roman"/>
      <w:szCs w:val="24"/>
      <w:lang w:val="fr-CA" w:eastAsia="fr-CA"/>
    </w:rPr>
  </w:style>
  <w:style w:type="numbering" w:customStyle="1" w:styleId="NoList1">
    <w:name w:val="No List1"/>
    <w:next w:val="NoList"/>
    <w:uiPriority w:val="99"/>
    <w:semiHidden/>
    <w:unhideWhenUsed/>
    <w:rsid w:val="007A6BE9"/>
  </w:style>
  <w:style w:type="paragraph" w:styleId="BodyText">
    <w:name w:val="Body Text"/>
    <w:link w:val="BodyTextChar"/>
    <w:rsid w:val="007A6BE9"/>
    <w:pPr>
      <w:spacing w:after="240"/>
    </w:pPr>
    <w:rPr>
      <w:rFonts w:ascii="Arial" w:eastAsia="Times New Roman" w:hAnsi="Arial" w:cs="Times New Roman"/>
      <w:szCs w:val="20"/>
      <w:lang w:val="en-US"/>
    </w:rPr>
  </w:style>
  <w:style w:type="character" w:customStyle="1" w:styleId="BodyTextChar">
    <w:name w:val="Body Text Char"/>
    <w:basedOn w:val="DefaultParagraphFont"/>
    <w:link w:val="BodyText"/>
    <w:rsid w:val="007A6BE9"/>
    <w:rPr>
      <w:rFonts w:ascii="Arial" w:eastAsia="Times New Roman" w:hAnsi="Arial" w:cs="Times New Roman"/>
      <w:szCs w:val="20"/>
      <w:lang w:val="en-US"/>
    </w:rPr>
  </w:style>
  <w:style w:type="paragraph" w:customStyle="1" w:styleId="subtitlecolourtext">
    <w:name w:val="subtitlecolourtext"/>
    <w:basedOn w:val="Normal"/>
    <w:rsid w:val="007A6BE9"/>
    <w:pPr>
      <w:spacing w:before="100" w:beforeAutospacing="1" w:after="100" w:afterAutospacing="1"/>
    </w:pPr>
    <w:rPr>
      <w:rFonts w:ascii="Times New Roman" w:eastAsia="Times New Roman" w:hAnsi="Times New Roman" w:cs="Times New Roman"/>
      <w:szCs w:val="24"/>
      <w:lang w:val="fr-CA" w:eastAsia="fr-CA"/>
    </w:rPr>
  </w:style>
  <w:style w:type="character" w:customStyle="1" w:styleId="apple-converted-space">
    <w:name w:val="apple-converted-space"/>
    <w:basedOn w:val="DefaultParagraphFont"/>
    <w:rsid w:val="007A6BE9"/>
  </w:style>
  <w:style w:type="paragraph" w:styleId="Revision">
    <w:name w:val="Revision"/>
    <w:hidden/>
    <w:uiPriority w:val="99"/>
    <w:semiHidden/>
    <w:rsid w:val="007A6BE9"/>
    <w:rPr>
      <w:rFonts w:ascii="Arial" w:hAnsi="Arial"/>
      <w:sz w:val="24"/>
    </w:rPr>
  </w:style>
  <w:style w:type="paragraph" w:customStyle="1" w:styleId="Default">
    <w:name w:val="Default"/>
    <w:rsid w:val="007A6BE9"/>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98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oicetext1">
    <w:name w:val="choice__text1"/>
    <w:basedOn w:val="DefaultParagraphFont"/>
    <w:rsid w:val="002D4A1A"/>
    <w:rPr>
      <w:color w:val="444444"/>
    </w:rPr>
  </w:style>
  <w:style w:type="paragraph" w:styleId="PlainText">
    <w:name w:val="Plain Text"/>
    <w:basedOn w:val="Normal"/>
    <w:link w:val="PlainTextChar"/>
    <w:uiPriority w:val="99"/>
    <w:unhideWhenUsed/>
    <w:rsid w:val="008F45D4"/>
    <w:rPr>
      <w:rFonts w:ascii="Calibri" w:hAnsi="Calibri"/>
      <w:sz w:val="22"/>
      <w:szCs w:val="21"/>
      <w:lang w:val="en-US"/>
    </w:rPr>
  </w:style>
  <w:style w:type="character" w:customStyle="1" w:styleId="PlainTextChar">
    <w:name w:val="Plain Text Char"/>
    <w:basedOn w:val="DefaultParagraphFont"/>
    <w:link w:val="PlainText"/>
    <w:uiPriority w:val="99"/>
    <w:rsid w:val="008F45D4"/>
    <w:rPr>
      <w:rFonts w:ascii="Calibri" w:hAnsi="Calibri"/>
      <w:szCs w:val="21"/>
      <w:lang w:val="en-US"/>
    </w:rPr>
  </w:style>
  <w:style w:type="paragraph" w:customStyle="1" w:styleId="QuickFormat1">
    <w:name w:val="QuickFormat1"/>
    <w:basedOn w:val="Normal"/>
    <w:rsid w:val="00132893"/>
    <w:pPr>
      <w:widowControl w:val="0"/>
      <w:autoSpaceDE w:val="0"/>
      <w:autoSpaceDN w:val="0"/>
      <w:adjustRightInd w:val="0"/>
    </w:pPr>
    <w:rPr>
      <w:rFonts w:ascii="Arial" w:eastAsia="Times New Roman" w:hAnsi="Arial" w:cs="Arial"/>
      <w:color w:val="000000"/>
      <w:szCs w:val="23"/>
    </w:rPr>
  </w:style>
  <w:style w:type="paragraph" w:customStyle="1" w:styleId="Level1">
    <w:name w:val="Level 1"/>
    <w:basedOn w:val="Normal"/>
    <w:rsid w:val="00132893"/>
    <w:pPr>
      <w:widowControl w:val="0"/>
      <w:numPr>
        <w:numId w:val="66"/>
      </w:numPr>
      <w:autoSpaceDE w:val="0"/>
      <w:autoSpaceDN w:val="0"/>
      <w:adjustRightInd w:val="0"/>
      <w:ind w:left="576"/>
      <w:outlineLvl w:val="0"/>
    </w:pPr>
    <w:rPr>
      <w:rFonts w:ascii="Arial" w:eastAsia="Times New Roman" w:hAnsi="Arial" w:cs="Times New Roman"/>
      <w:szCs w:val="24"/>
    </w:rPr>
  </w:style>
  <w:style w:type="paragraph" w:customStyle="1" w:styleId="1Paragraph">
    <w:name w:val="1Paragraph"/>
    <w:rsid w:val="00132893"/>
    <w:pPr>
      <w:widowControl w:val="0"/>
      <w:tabs>
        <w:tab w:val="left" w:pos="720"/>
      </w:tabs>
      <w:autoSpaceDE w:val="0"/>
      <w:autoSpaceDN w:val="0"/>
      <w:adjustRightInd w:val="0"/>
      <w:ind w:left="720" w:hanging="720"/>
      <w:jc w:val="both"/>
    </w:pPr>
    <w:rPr>
      <w:rFonts w:ascii="Arial" w:eastAsia="Times New Roman" w:hAnsi="Arial" w:cs="Times New Roman"/>
      <w:sz w:val="24"/>
      <w:szCs w:val="24"/>
      <w:lang w:val="en-US"/>
    </w:rPr>
  </w:style>
  <w:style w:type="paragraph" w:styleId="BodyTextIndent">
    <w:name w:val="Body Text Indent"/>
    <w:basedOn w:val="Normal"/>
    <w:link w:val="BodyTextIndentChar"/>
    <w:rsid w:val="00132893"/>
    <w:pPr>
      <w:ind w:left="720"/>
      <w:jc w:val="both"/>
    </w:pPr>
    <w:rPr>
      <w:rFonts w:ascii="Times New Roman" w:eastAsia="Times New Roman" w:hAnsi="Times New Roman" w:cs="Times New Roman"/>
      <w:i/>
      <w:iCs/>
      <w:szCs w:val="24"/>
    </w:rPr>
  </w:style>
  <w:style w:type="character" w:customStyle="1" w:styleId="BodyTextIndentChar">
    <w:name w:val="Body Text Indent Char"/>
    <w:basedOn w:val="DefaultParagraphFont"/>
    <w:link w:val="BodyTextIndent"/>
    <w:rsid w:val="00132893"/>
    <w:rPr>
      <w:rFonts w:ascii="Times New Roman" w:eastAsia="Times New Roman" w:hAnsi="Times New Roman" w:cs="Times New Roman"/>
      <w:i/>
      <w:iCs/>
      <w:sz w:val="23"/>
      <w:szCs w:val="24"/>
    </w:rPr>
  </w:style>
  <w:style w:type="character" w:customStyle="1" w:styleId="StyleFootnoteReferenceArial115pt">
    <w:name w:val="Style Footnote Reference + Arial 11.5 pt"/>
    <w:rsid w:val="00132893"/>
    <w:rPr>
      <w:rFonts w:ascii="Arial" w:hAnsi="Arial"/>
      <w:dstrike w:val="0"/>
      <w:color w:val="auto"/>
      <w:sz w:val="23"/>
      <w:szCs w:val="23"/>
      <w:vertAlign w:val="superscript"/>
    </w:rPr>
  </w:style>
  <w:style w:type="character" w:customStyle="1" w:styleId="StyleFootnoteReferenceArial115ptBold">
    <w:name w:val="Style Footnote Reference + Arial 11.5 pt Bold"/>
    <w:rsid w:val="00132893"/>
    <w:rPr>
      <w:rFonts w:ascii="Arial" w:hAnsi="Arial"/>
      <w:bCs/>
      <w:dstrike w:val="0"/>
      <w:sz w:val="23"/>
      <w:szCs w:val="23"/>
      <w:vertAlign w:val="superscript"/>
    </w:rPr>
  </w:style>
  <w:style w:type="character" w:customStyle="1" w:styleId="FootnotetextChar0">
    <w:name w:val="Footnote text Char"/>
    <w:rsid w:val="00132893"/>
    <w:rPr>
      <w:rFonts w:ascii="Arial" w:hAnsi="Arial" w:cs="Arial"/>
      <w:sz w:val="18"/>
      <w:szCs w:val="18"/>
      <w:lang w:val="en-US" w:eastAsia="en-US" w:bidi="ar-SA"/>
    </w:rPr>
  </w:style>
  <w:style w:type="paragraph" w:customStyle="1" w:styleId="Listalphab">
    <w:name w:val="List_alphab"/>
    <w:basedOn w:val="List"/>
    <w:autoRedefine/>
    <w:semiHidden/>
    <w:rsid w:val="00132893"/>
    <w:pPr>
      <w:widowControl/>
      <w:tabs>
        <w:tab w:val="left" w:pos="720"/>
        <w:tab w:val="num" w:pos="1440"/>
        <w:tab w:val="left" w:pos="2160"/>
        <w:tab w:val="left" w:pos="2880"/>
        <w:tab w:val="left" w:pos="3600"/>
        <w:tab w:val="left" w:pos="4320"/>
        <w:tab w:val="left" w:pos="5760"/>
        <w:tab w:val="left" w:pos="8640"/>
      </w:tabs>
      <w:autoSpaceDE/>
      <w:autoSpaceDN/>
      <w:adjustRightInd/>
      <w:ind w:left="1440" w:hanging="720"/>
    </w:pPr>
  </w:style>
  <w:style w:type="paragraph" w:styleId="List">
    <w:name w:val="List"/>
    <w:basedOn w:val="Normal"/>
    <w:rsid w:val="00132893"/>
    <w:pPr>
      <w:widowControl w:val="0"/>
      <w:numPr>
        <w:numId w:val="67"/>
      </w:numPr>
      <w:tabs>
        <w:tab w:val="clear" w:pos="1440"/>
      </w:tabs>
      <w:autoSpaceDE w:val="0"/>
      <w:autoSpaceDN w:val="0"/>
      <w:adjustRightInd w:val="0"/>
      <w:ind w:left="360" w:hanging="360"/>
    </w:pPr>
    <w:rPr>
      <w:rFonts w:ascii="Arial" w:eastAsia="Times New Roman" w:hAnsi="Arial" w:cs="Times New Roman"/>
      <w:szCs w:val="24"/>
    </w:rPr>
  </w:style>
  <w:style w:type="paragraph" w:customStyle="1" w:styleId="Style1">
    <w:name w:val="Style1"/>
    <w:basedOn w:val="TOC2"/>
    <w:rsid w:val="00132893"/>
    <w:pPr>
      <w:tabs>
        <w:tab w:val="clear" w:pos="9360"/>
        <w:tab w:val="left" w:pos="0"/>
        <w:tab w:val="left" w:pos="851"/>
        <w:tab w:val="left" w:pos="3119"/>
        <w:tab w:val="right" w:pos="10080"/>
      </w:tabs>
      <w:autoSpaceDE w:val="0"/>
      <w:autoSpaceDN w:val="0"/>
      <w:adjustRightInd w:val="0"/>
      <w:spacing w:before="0"/>
    </w:pPr>
    <w:rPr>
      <w:rFonts w:ascii="Arial" w:eastAsia="Times New Roman" w:hAnsi="Arial" w:cs="Arial"/>
      <w:bCs w:val="0"/>
      <w:noProof/>
      <w:sz w:val="23"/>
      <w:szCs w:val="23"/>
    </w:rPr>
  </w:style>
  <w:style w:type="paragraph" w:customStyle="1" w:styleId="TOC20">
    <w:name w:val="TOC2"/>
    <w:basedOn w:val="TOC2"/>
    <w:rsid w:val="00132893"/>
    <w:pPr>
      <w:tabs>
        <w:tab w:val="clear" w:pos="9360"/>
        <w:tab w:val="left" w:pos="0"/>
        <w:tab w:val="left" w:pos="851"/>
        <w:tab w:val="left" w:pos="3119"/>
        <w:tab w:val="right" w:pos="10080"/>
      </w:tabs>
      <w:autoSpaceDE w:val="0"/>
      <w:autoSpaceDN w:val="0"/>
      <w:adjustRightInd w:val="0"/>
      <w:spacing w:before="0"/>
    </w:pPr>
    <w:rPr>
      <w:rFonts w:ascii="Arial" w:eastAsia="Times New Roman" w:hAnsi="Arial" w:cs="Arial"/>
      <w:b w:val="0"/>
      <w:noProof/>
      <w:sz w:val="23"/>
      <w:szCs w:val="23"/>
      <w:lang w:val="fr-CA"/>
    </w:rPr>
  </w:style>
  <w:style w:type="paragraph" w:customStyle="1" w:styleId="ConsHd1">
    <w:name w:val="Cons Hd1"/>
    <w:basedOn w:val="Normal"/>
    <w:autoRedefine/>
    <w:uiPriority w:val="99"/>
    <w:rsid w:val="00132893"/>
    <w:pPr>
      <w:widowControl w:val="0"/>
      <w:tabs>
        <w:tab w:val="left" w:pos="576"/>
        <w:tab w:val="left" w:pos="1152"/>
        <w:tab w:val="left" w:pos="1728"/>
      </w:tabs>
      <w:autoSpaceDE w:val="0"/>
      <w:autoSpaceDN w:val="0"/>
      <w:adjustRightInd w:val="0"/>
      <w:jc w:val="center"/>
    </w:pPr>
    <w:rPr>
      <w:rFonts w:ascii="Arial" w:eastAsia="Times New Roman" w:hAnsi="Arial" w:cs="Times New Roman"/>
      <w:b/>
      <w:szCs w:val="23"/>
    </w:rPr>
  </w:style>
  <w:style w:type="paragraph" w:customStyle="1" w:styleId="ConsHd2">
    <w:name w:val="Cons Hd2"/>
    <w:basedOn w:val="ConsHd1"/>
    <w:autoRedefine/>
    <w:uiPriority w:val="99"/>
    <w:rsid w:val="00132893"/>
    <w:pPr>
      <w:jc w:val="left"/>
    </w:pPr>
  </w:style>
  <w:style w:type="character" w:customStyle="1" w:styleId="ConsHd1Char">
    <w:name w:val="Cons Hd1 Char"/>
    <w:rsid w:val="00132893"/>
    <w:rPr>
      <w:rFonts w:ascii="Arial" w:hAnsi="Arial"/>
      <w:b/>
      <w:sz w:val="23"/>
      <w:szCs w:val="23"/>
      <w:lang w:val="en-CA" w:eastAsia="en-US" w:bidi="ar-SA"/>
    </w:rPr>
  </w:style>
  <w:style w:type="character" w:customStyle="1" w:styleId="ConsHd2Char">
    <w:name w:val="Cons Hd2 Char"/>
    <w:basedOn w:val="ConsHd1Char"/>
    <w:rsid w:val="00132893"/>
    <w:rPr>
      <w:rFonts w:ascii="Arial" w:hAnsi="Arial"/>
      <w:b/>
      <w:sz w:val="23"/>
      <w:szCs w:val="23"/>
      <w:lang w:val="en-CA" w:eastAsia="en-US" w:bidi="ar-SA"/>
    </w:rPr>
  </w:style>
  <w:style w:type="paragraph" w:styleId="BodyText2">
    <w:name w:val="Body Text 2"/>
    <w:basedOn w:val="Normal"/>
    <w:link w:val="BodyText2Char"/>
    <w:rsid w:val="00132893"/>
    <w:pPr>
      <w:widowControl w:val="0"/>
      <w:autoSpaceDE w:val="0"/>
      <w:autoSpaceDN w:val="0"/>
      <w:adjustRightInd w:val="0"/>
      <w:spacing w:after="120" w:line="480" w:lineRule="auto"/>
    </w:pPr>
    <w:rPr>
      <w:rFonts w:ascii="Arial" w:eastAsia="Times New Roman" w:hAnsi="Arial" w:cs="Times New Roman"/>
      <w:szCs w:val="24"/>
    </w:rPr>
  </w:style>
  <w:style w:type="character" w:customStyle="1" w:styleId="BodyText2Char">
    <w:name w:val="Body Text 2 Char"/>
    <w:basedOn w:val="DefaultParagraphFont"/>
    <w:link w:val="BodyText2"/>
    <w:rsid w:val="00132893"/>
    <w:rPr>
      <w:rFonts w:ascii="Arial" w:eastAsia="Times New Roman" w:hAnsi="Arial" w:cs="Times New Roman"/>
      <w:sz w:val="23"/>
      <w:szCs w:val="24"/>
    </w:rPr>
  </w:style>
  <w:style w:type="paragraph" w:customStyle="1" w:styleId="Indent">
    <w:name w:val="Indent"/>
    <w:basedOn w:val="Normal"/>
    <w:rsid w:val="00132893"/>
    <w:pPr>
      <w:widowControl w:val="0"/>
      <w:tabs>
        <w:tab w:val="left" w:pos="1152"/>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ind w:left="1890" w:right="2142"/>
      <w:jc w:val="both"/>
    </w:pPr>
    <w:rPr>
      <w:rFonts w:ascii="Times New Roman" w:eastAsia="Times New Roman" w:hAnsi="Times New Roman" w:cs="Times New Roman"/>
      <w:snapToGrid w:val="0"/>
      <w:sz w:val="20"/>
      <w:szCs w:val="20"/>
      <w:lang w:val="en-GB"/>
    </w:rPr>
  </w:style>
  <w:style w:type="character" w:customStyle="1" w:styleId="nowrap1">
    <w:name w:val="nowrap1"/>
    <w:rsid w:val="00132893"/>
    <w:rPr>
      <w:rFonts w:ascii="Verdana" w:hAnsi="Verdana" w:hint="default"/>
    </w:rPr>
  </w:style>
  <w:style w:type="numbering" w:customStyle="1" w:styleId="NoList2">
    <w:name w:val="No List2"/>
    <w:next w:val="NoList"/>
    <w:uiPriority w:val="99"/>
    <w:semiHidden/>
    <w:rsid w:val="00132893"/>
  </w:style>
  <w:style w:type="character" w:styleId="PageNumber">
    <w:name w:val="page number"/>
    <w:basedOn w:val="DefaultParagraphFont"/>
    <w:rsid w:val="00132893"/>
  </w:style>
  <w:style w:type="paragraph" w:customStyle="1" w:styleId="OmniPage6">
    <w:name w:val="OmniPage #6"/>
    <w:basedOn w:val="Normal"/>
    <w:rsid w:val="00132893"/>
    <w:pPr>
      <w:spacing w:line="240" w:lineRule="exact"/>
    </w:pPr>
    <w:rPr>
      <w:rFonts w:ascii="Times New Roman" w:eastAsia="Times New Roman" w:hAnsi="Times New Roman" w:cs="Times New Roman"/>
      <w:sz w:val="20"/>
      <w:szCs w:val="20"/>
      <w:lang w:val="en-US"/>
    </w:rPr>
  </w:style>
  <w:style w:type="paragraph" w:customStyle="1" w:styleId="OmniPage3">
    <w:name w:val="OmniPage #3"/>
    <w:basedOn w:val="Normal"/>
    <w:rsid w:val="00132893"/>
    <w:pPr>
      <w:spacing w:line="260" w:lineRule="exact"/>
    </w:pPr>
    <w:rPr>
      <w:rFonts w:ascii="Times New Roman" w:eastAsia="Times New Roman" w:hAnsi="Times New Roman" w:cs="Times New Roman"/>
      <w:sz w:val="20"/>
      <w:szCs w:val="20"/>
      <w:lang w:val="en-US"/>
    </w:rPr>
  </w:style>
  <w:style w:type="paragraph" w:customStyle="1" w:styleId="OmniPage7">
    <w:name w:val="OmniPage #7"/>
    <w:basedOn w:val="Normal"/>
    <w:rsid w:val="00132893"/>
    <w:pPr>
      <w:spacing w:line="240" w:lineRule="exact"/>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132893"/>
    <w:rPr>
      <w:color w:val="919191" w:themeColor="followedHyperlink"/>
      <w:u w:val="single"/>
    </w:rPr>
  </w:style>
  <w:style w:type="paragraph" w:customStyle="1" w:styleId="SUBSUBPOINTENG">
    <w:name w:val="SUB SUB POINT ENG"/>
    <w:basedOn w:val="Normal"/>
    <w:link w:val="SUBSUBPOINTENGChar"/>
    <w:qFormat/>
    <w:rsid w:val="00132893"/>
    <w:pPr>
      <w:keepNext/>
      <w:tabs>
        <w:tab w:val="left" w:pos="576"/>
        <w:tab w:val="left" w:pos="1152"/>
        <w:tab w:val="left" w:pos="2200"/>
      </w:tabs>
      <w:autoSpaceDE w:val="0"/>
      <w:autoSpaceDN w:val="0"/>
      <w:adjustRightInd w:val="0"/>
      <w:ind w:left="1728" w:hanging="576"/>
    </w:pPr>
    <w:rPr>
      <w:rFonts w:ascii="Arial" w:eastAsia="Times New Roman" w:hAnsi="Arial" w:cs="Arial"/>
      <w:szCs w:val="23"/>
    </w:rPr>
  </w:style>
  <w:style w:type="paragraph" w:customStyle="1" w:styleId="SUBSECTION">
    <w:name w:val="SUB SECTION"/>
    <w:basedOn w:val="SUBPOINTENG"/>
    <w:link w:val="SUBSECTIONChar"/>
    <w:qFormat/>
    <w:rsid w:val="00132893"/>
    <w:pPr>
      <w:tabs>
        <w:tab w:val="clear" w:pos="1152"/>
        <w:tab w:val="clear" w:pos="1728"/>
        <w:tab w:val="left" w:pos="1418"/>
        <w:tab w:val="left" w:pos="1985"/>
      </w:tabs>
    </w:pPr>
  </w:style>
  <w:style w:type="character" w:customStyle="1" w:styleId="SUBSUBPOINTENGChar">
    <w:name w:val="SUB SUB POINT ENG Char"/>
    <w:basedOn w:val="DefaultParagraphFont"/>
    <w:link w:val="SUBSUBPOINTENG"/>
    <w:rsid w:val="00132893"/>
    <w:rPr>
      <w:rFonts w:ascii="Arial" w:eastAsia="Times New Roman" w:hAnsi="Arial" w:cs="Arial"/>
      <w:sz w:val="23"/>
      <w:szCs w:val="23"/>
    </w:rPr>
  </w:style>
  <w:style w:type="character" w:customStyle="1" w:styleId="SUBSECTIONChar">
    <w:name w:val="SUB SECTION Char"/>
    <w:basedOn w:val="SUBPOINTENGChar"/>
    <w:link w:val="SUBSECTION"/>
    <w:rsid w:val="00132893"/>
    <w:rPr>
      <w:rFonts w:ascii="Arial" w:eastAsia="Times New Roman" w:hAnsi="Arial" w:cs="Arial"/>
      <w:sz w:val="23"/>
      <w:szCs w:val="23"/>
    </w:rPr>
  </w:style>
  <w:style w:type="paragraph" w:styleId="EndnoteText">
    <w:name w:val="endnote text"/>
    <w:basedOn w:val="Normal"/>
    <w:link w:val="EndnoteTextChar"/>
    <w:uiPriority w:val="99"/>
    <w:semiHidden/>
    <w:unhideWhenUsed/>
    <w:rsid w:val="00132893"/>
    <w:rPr>
      <w:sz w:val="20"/>
      <w:szCs w:val="20"/>
    </w:rPr>
  </w:style>
  <w:style w:type="character" w:customStyle="1" w:styleId="EndnoteTextChar">
    <w:name w:val="Endnote Text Char"/>
    <w:basedOn w:val="DefaultParagraphFont"/>
    <w:link w:val="EndnoteText"/>
    <w:uiPriority w:val="99"/>
    <w:semiHidden/>
    <w:rsid w:val="00132893"/>
    <w:rPr>
      <w:sz w:val="20"/>
      <w:szCs w:val="20"/>
    </w:rPr>
  </w:style>
  <w:style w:type="character" w:styleId="EndnoteReference">
    <w:name w:val="endnote reference"/>
    <w:basedOn w:val="DefaultParagraphFont"/>
    <w:uiPriority w:val="99"/>
    <w:semiHidden/>
    <w:unhideWhenUsed/>
    <w:rsid w:val="00132893"/>
    <w:rPr>
      <w:vertAlign w:val="superscript"/>
    </w:rPr>
  </w:style>
  <w:style w:type="paragraph" w:customStyle="1" w:styleId="Text">
    <w:name w:val="Text"/>
    <w:basedOn w:val="Normal"/>
    <w:rsid w:val="00B31A7C"/>
    <w:pPr>
      <w:spacing w:before="100" w:after="100" w:line="288" w:lineRule="auto"/>
    </w:pPr>
    <w:rPr>
      <w:rFonts w:ascii="Tahoma" w:eastAsia="Times New Roman" w:hAnsi="Tahoma" w:cs="Tahoma"/>
      <w:sz w:val="16"/>
      <w:szCs w:val="16"/>
      <w:lang w:val="en-US" w:bidi="en-US"/>
    </w:rPr>
  </w:style>
  <w:style w:type="paragraph" w:customStyle="1" w:styleId="RequirementsList">
    <w:name w:val="Requirements List"/>
    <w:basedOn w:val="Normal"/>
    <w:rsid w:val="00B31A7C"/>
    <w:pPr>
      <w:numPr>
        <w:numId w:val="120"/>
      </w:numPr>
      <w:spacing w:before="100" w:after="100" w:line="288" w:lineRule="auto"/>
    </w:pPr>
    <w:rPr>
      <w:rFonts w:ascii="Tahoma" w:eastAsia="Times New Roman" w:hAnsi="Tahoma" w:cs="Tahoma"/>
      <w:sz w:val="16"/>
      <w:szCs w:val="16"/>
      <w:lang w:val="en-US" w:bidi="en-US"/>
    </w:rPr>
  </w:style>
  <w:style w:type="character" w:customStyle="1" w:styleId="NoSpacingChar">
    <w:name w:val="No Spacing Char"/>
    <w:basedOn w:val="DefaultParagraphFont"/>
    <w:link w:val="NoSpacing"/>
    <w:uiPriority w:val="1"/>
    <w:rsid w:val="00B31A7C"/>
    <w:rPr>
      <w:sz w:val="24"/>
    </w:rPr>
  </w:style>
  <w:style w:type="character" w:customStyle="1" w:styleId="CheckBoxChar">
    <w:name w:val="Check Box Char"/>
    <w:basedOn w:val="DefaultParagraphFont"/>
    <w:link w:val="CheckBox"/>
    <w:locked/>
    <w:rsid w:val="00FE2DB8"/>
    <w:rPr>
      <w:rFonts w:ascii="Tahoma" w:hAnsi="Tahoma" w:cs="Tahoma"/>
      <w:color w:val="999999"/>
      <w:sz w:val="16"/>
      <w:szCs w:val="24"/>
      <w:lang w:val="en-US" w:bidi="en-US"/>
    </w:rPr>
  </w:style>
  <w:style w:type="paragraph" w:customStyle="1" w:styleId="CheckBox">
    <w:name w:val="Check Box"/>
    <w:basedOn w:val="Normal"/>
    <w:link w:val="CheckBoxChar"/>
    <w:rsid w:val="00FE2DB8"/>
    <w:rPr>
      <w:rFonts w:ascii="Tahoma" w:hAnsi="Tahoma" w:cs="Tahoma"/>
      <w:color w:val="999999"/>
      <w:sz w:val="16"/>
      <w:szCs w:val="24"/>
      <w:lang w:val="en-US" w:bidi="en-US"/>
    </w:rPr>
  </w:style>
  <w:style w:type="character" w:customStyle="1" w:styleId="texte-courant">
    <w:name w:val="texte-courant"/>
    <w:basedOn w:val="DefaultParagraphFont"/>
    <w:rsid w:val="00AA05B4"/>
  </w:style>
  <w:style w:type="character" w:customStyle="1" w:styleId="bold">
    <w:name w:val="bold"/>
    <w:basedOn w:val="DefaultParagraphFont"/>
    <w:rsid w:val="00AA05B4"/>
  </w:style>
  <w:style w:type="paragraph" w:customStyle="1" w:styleId="Italics">
    <w:name w:val="Italics"/>
    <w:basedOn w:val="Normal"/>
    <w:rsid w:val="00AA05B4"/>
    <w:rPr>
      <w:rFonts w:ascii="Tahoma" w:eastAsia="Times New Roman" w:hAnsi="Tahoma" w:cs="Tahoma"/>
      <w:i/>
      <w:sz w:val="16"/>
      <w:szCs w:val="16"/>
      <w:lang w:val="en-US" w:bidi="en-US"/>
    </w:rPr>
  </w:style>
  <w:style w:type="paragraph" w:customStyle="1" w:styleId="Centered">
    <w:name w:val="Centered"/>
    <w:basedOn w:val="Normal"/>
    <w:rsid w:val="00AA05B4"/>
    <w:pPr>
      <w:jc w:val="center"/>
    </w:pPr>
    <w:rPr>
      <w:rFonts w:ascii="Tahoma" w:eastAsia="Times New Roman" w:hAnsi="Tahoma" w:cs="Tahoma"/>
      <w:sz w:val="16"/>
      <w:szCs w:val="16"/>
      <w:lang w:val="en-US" w:bidi="en-US"/>
    </w:rPr>
  </w:style>
  <w:style w:type="paragraph" w:customStyle="1" w:styleId="AdditionalComments">
    <w:name w:val="Additional Comments"/>
    <w:basedOn w:val="Normal"/>
    <w:rsid w:val="00AA05B4"/>
    <w:pPr>
      <w:spacing w:before="100"/>
    </w:pPr>
    <w:rPr>
      <w:rFonts w:ascii="Tahoma" w:eastAsia="Times New Roman" w:hAnsi="Tahoma" w:cs="Tahoma"/>
      <w:caps/>
      <w:sz w:val="16"/>
      <w:szCs w:val="16"/>
      <w:lang w:val="en-US" w:bidi="en-US"/>
    </w:rPr>
  </w:style>
  <w:style w:type="paragraph" w:customStyle="1" w:styleId="AllCaps">
    <w:name w:val="All Caps"/>
    <w:basedOn w:val="Normal"/>
    <w:rsid w:val="00AA05B4"/>
    <w:rPr>
      <w:rFonts w:ascii="Tahoma" w:eastAsia="Times New Roman" w:hAnsi="Tahoma" w:cs="Tahoma"/>
      <w:caps/>
      <w:sz w:val="16"/>
      <w:szCs w:val="16"/>
      <w:lang w:val="en-US" w:bidi="en-US"/>
    </w:rPr>
  </w:style>
  <w:style w:type="character" w:styleId="PlaceholderText">
    <w:name w:val="Placeholder Text"/>
    <w:basedOn w:val="DefaultParagraphFont"/>
    <w:uiPriority w:val="99"/>
    <w:semiHidden/>
    <w:rsid w:val="00AA05B4"/>
    <w:rPr>
      <w:color w:val="808080"/>
    </w:rPr>
  </w:style>
  <w:style w:type="character" w:customStyle="1" w:styleId="elemartouartannno">
    <w:name w:val="elemartouartannno"/>
    <w:basedOn w:val="DefaultParagraphFont"/>
    <w:rsid w:val="00AA05B4"/>
  </w:style>
  <w:style w:type="character" w:customStyle="1" w:styleId="textenormalbleub1">
    <w:name w:val="textenormalbleub1"/>
    <w:basedOn w:val="DefaultParagraphFont"/>
    <w:rsid w:val="00AA05B4"/>
    <w:rPr>
      <w:rFonts w:ascii="Verdana" w:hAnsi="Verdana" w:hint="default"/>
      <w:b/>
      <w:bCs/>
      <w:i w:val="0"/>
      <w:iCs w:val="0"/>
      <w:color w:val="18344E"/>
      <w:sz w:val="20"/>
      <w:szCs w:val="20"/>
    </w:rPr>
  </w:style>
  <w:style w:type="character" w:customStyle="1" w:styleId="FootnoteTextChar1">
    <w:name w:val="Footnote Text Char1"/>
    <w:rsid w:val="00AA05B4"/>
    <w:rPr>
      <w:lang w:eastAsia="en-US"/>
    </w:rPr>
  </w:style>
  <w:style w:type="paragraph" w:customStyle="1" w:styleId="Sector">
    <w:name w:val="Sector"/>
    <w:basedOn w:val="Normal"/>
    <w:link w:val="SectorChar"/>
    <w:qFormat/>
    <w:rsid w:val="00AA05B4"/>
    <w:pPr>
      <w:spacing w:after="60"/>
    </w:pPr>
    <w:rPr>
      <w:rFonts w:eastAsia="Times New Roman" w:cs="Tahoma"/>
      <w:b/>
      <w:szCs w:val="24"/>
      <w:lang w:val="en-US"/>
    </w:rPr>
  </w:style>
  <w:style w:type="character" w:customStyle="1" w:styleId="SectorChar">
    <w:name w:val="Sector Char"/>
    <w:basedOn w:val="DefaultParagraphFont"/>
    <w:link w:val="Sector"/>
    <w:rsid w:val="00AA05B4"/>
    <w:rPr>
      <w:rFonts w:eastAsia="Times New Roman" w:cs="Tahoma"/>
      <w:b/>
      <w:sz w:val="23"/>
      <w:szCs w:val="24"/>
      <w:lang w:val="en-US"/>
    </w:rPr>
  </w:style>
  <w:style w:type="paragraph" w:customStyle="1" w:styleId="Style0">
    <w:name w:val="Style0"/>
    <w:uiPriority w:val="99"/>
    <w:rsid w:val="00AA05B4"/>
    <w:pPr>
      <w:autoSpaceDE w:val="0"/>
      <w:autoSpaceDN w:val="0"/>
      <w:adjustRightInd w:val="0"/>
    </w:pPr>
    <w:rPr>
      <w:rFonts w:ascii="Arial" w:hAnsi="Arial" w:cs="Arial"/>
      <w:sz w:val="24"/>
      <w:szCs w:val="24"/>
      <w:lang w:val="en-US"/>
    </w:rPr>
  </w:style>
  <w:style w:type="paragraph" w:customStyle="1" w:styleId="sec1">
    <w:name w:val="sec1"/>
    <w:basedOn w:val="Normal"/>
    <w:uiPriority w:val="99"/>
    <w:rsid w:val="00AA05B4"/>
    <w:pPr>
      <w:spacing w:before="168" w:after="168" w:line="360" w:lineRule="atLeast"/>
      <w:ind w:left="1464" w:hanging="348"/>
    </w:pPr>
    <w:rPr>
      <w:rFonts w:ascii="Verdana" w:eastAsia="Times New Roman" w:hAnsi="Verdana" w:cs="Times New Roman"/>
      <w:color w:val="000000"/>
      <w:szCs w:val="24"/>
      <w:lang w:eastAsia="en-CA"/>
    </w:rPr>
  </w:style>
  <w:style w:type="paragraph" w:styleId="HTMLPreformatted">
    <w:name w:val="HTML Preformatted"/>
    <w:basedOn w:val="Normal"/>
    <w:link w:val="HTMLPreformattedChar"/>
    <w:uiPriority w:val="99"/>
    <w:semiHidden/>
    <w:unhideWhenUsed/>
    <w:rsid w:val="00AA0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AA05B4"/>
    <w:rPr>
      <w:rFonts w:ascii="Courier New" w:eastAsia="Times New Roman" w:hAnsi="Courier New" w:cs="Courier New"/>
      <w:sz w:val="20"/>
      <w:szCs w:val="20"/>
      <w:lang w:val="fr-CA" w:eastAsia="fr-CA"/>
    </w:rPr>
  </w:style>
  <w:style w:type="character" w:customStyle="1" w:styleId="shorttext">
    <w:name w:val="short_text"/>
    <w:basedOn w:val="DefaultParagraphFont"/>
    <w:rsid w:val="00823B11"/>
  </w:style>
  <w:style w:type="character" w:styleId="Mention">
    <w:name w:val="Mention"/>
    <w:basedOn w:val="DefaultParagraphFont"/>
    <w:uiPriority w:val="99"/>
    <w:semiHidden/>
    <w:unhideWhenUsed/>
    <w:rsid w:val="008F21E5"/>
    <w:rPr>
      <w:color w:val="2B579A"/>
      <w:shd w:val="clear" w:color="auto" w:fill="E6E6E6"/>
    </w:rPr>
  </w:style>
  <w:style w:type="character" w:customStyle="1" w:styleId="rubriquedefinition">
    <w:name w:val="rubriquedefinition"/>
    <w:basedOn w:val="DefaultParagraphFont"/>
    <w:rsid w:val="00825F03"/>
  </w:style>
  <w:style w:type="character" w:customStyle="1" w:styleId="wb-inv">
    <w:name w:val="wb-inv"/>
    <w:basedOn w:val="DefaultParagraphFont"/>
    <w:rsid w:val="00B308C6"/>
  </w:style>
  <w:style w:type="paragraph" w:customStyle="1" w:styleId="tocindent4">
    <w:name w:val="tocindent4"/>
    <w:basedOn w:val="Normal"/>
    <w:rsid w:val="00B308C6"/>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definition">
    <w:name w:val="definition"/>
    <w:basedOn w:val="Normal"/>
    <w:rsid w:val="00B308C6"/>
    <w:pPr>
      <w:spacing w:before="100" w:beforeAutospacing="1" w:after="100" w:afterAutospacing="1"/>
    </w:pPr>
    <w:rPr>
      <w:rFonts w:ascii="Times New Roman" w:eastAsia="Times New Roman" w:hAnsi="Times New Roman" w:cs="Times New Roman"/>
      <w:sz w:val="24"/>
      <w:szCs w:val="24"/>
      <w:lang w:val="fr-CA" w:eastAsia="fr-CA"/>
    </w:rPr>
  </w:style>
  <w:style w:type="character" w:styleId="HTMLDefinition">
    <w:name w:val="HTML Definition"/>
    <w:basedOn w:val="DefaultParagraphFont"/>
    <w:uiPriority w:val="99"/>
    <w:semiHidden/>
    <w:unhideWhenUsed/>
    <w:rsid w:val="00B308C6"/>
    <w:rPr>
      <w:i/>
      <w:iCs/>
    </w:rPr>
  </w:style>
  <w:style w:type="paragraph" w:customStyle="1" w:styleId="paragraph">
    <w:name w:val="paragraph"/>
    <w:basedOn w:val="Normal"/>
    <w:rsid w:val="00B308C6"/>
    <w:pPr>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lawlabel">
    <w:name w:val="lawlabel"/>
    <w:basedOn w:val="DefaultParagraphFont"/>
    <w:rsid w:val="00B308C6"/>
  </w:style>
  <w:style w:type="character" w:customStyle="1" w:styleId="definedtermlink">
    <w:name w:val="definedtermlink"/>
    <w:basedOn w:val="DefaultParagraphFont"/>
    <w:rsid w:val="00B308C6"/>
  </w:style>
  <w:style w:type="paragraph" w:customStyle="1" w:styleId="Heading11">
    <w:name w:val="Heading 11"/>
    <w:basedOn w:val="Normal"/>
    <w:next w:val="Normal"/>
    <w:uiPriority w:val="9"/>
    <w:qFormat/>
    <w:rsid w:val="005A321B"/>
    <w:pPr>
      <w:spacing w:before="480"/>
      <w:contextualSpacing/>
      <w:outlineLvl w:val="0"/>
    </w:pPr>
    <w:rPr>
      <w:rFonts w:ascii="Arial" w:eastAsia="SimHei" w:hAnsi="Arial" w:cs="Arial"/>
      <w:b/>
      <w:bCs/>
      <w:sz w:val="36"/>
      <w:szCs w:val="28"/>
      <w:lang w:val="fr-CA"/>
    </w:rPr>
  </w:style>
  <w:style w:type="paragraph" w:customStyle="1" w:styleId="Heading21">
    <w:name w:val="Heading 21"/>
    <w:basedOn w:val="Normal"/>
    <w:next w:val="Normal"/>
    <w:unhideWhenUsed/>
    <w:qFormat/>
    <w:rsid w:val="005A321B"/>
    <w:pPr>
      <w:spacing w:before="200"/>
      <w:outlineLvl w:val="1"/>
    </w:pPr>
    <w:rPr>
      <w:rFonts w:ascii="Arial" w:eastAsia="SimHei" w:hAnsi="Arial" w:cs="Arial"/>
      <w:b/>
      <w:bCs/>
      <w:sz w:val="32"/>
      <w:szCs w:val="26"/>
    </w:rPr>
  </w:style>
  <w:style w:type="paragraph" w:customStyle="1" w:styleId="Heading31">
    <w:name w:val="Heading 31"/>
    <w:basedOn w:val="Normal"/>
    <w:next w:val="Normal"/>
    <w:unhideWhenUsed/>
    <w:qFormat/>
    <w:rsid w:val="005A321B"/>
    <w:pPr>
      <w:spacing w:before="200" w:line="271" w:lineRule="auto"/>
      <w:outlineLvl w:val="2"/>
    </w:pPr>
    <w:rPr>
      <w:rFonts w:ascii="Arial" w:eastAsia="SimHei" w:hAnsi="Arial" w:cs="Arial"/>
      <w:b/>
      <w:bCs/>
      <w:sz w:val="28"/>
    </w:rPr>
  </w:style>
  <w:style w:type="paragraph" w:customStyle="1" w:styleId="Heading41">
    <w:name w:val="Heading 41"/>
    <w:basedOn w:val="Normal"/>
    <w:next w:val="Normal"/>
    <w:uiPriority w:val="9"/>
    <w:unhideWhenUsed/>
    <w:qFormat/>
    <w:rsid w:val="005A321B"/>
    <w:pPr>
      <w:spacing w:before="200"/>
      <w:outlineLvl w:val="3"/>
    </w:pPr>
    <w:rPr>
      <w:rFonts w:ascii="Arial" w:eastAsia="SimHei" w:hAnsi="Arial" w:cs="Arial"/>
      <w:b/>
      <w:bCs/>
      <w:iCs/>
      <w:sz w:val="26"/>
    </w:rPr>
  </w:style>
  <w:style w:type="paragraph" w:customStyle="1" w:styleId="Heading51">
    <w:name w:val="Heading 51"/>
    <w:basedOn w:val="Normal"/>
    <w:next w:val="Normal"/>
    <w:uiPriority w:val="9"/>
    <w:unhideWhenUsed/>
    <w:qFormat/>
    <w:rsid w:val="005A321B"/>
    <w:pPr>
      <w:spacing w:before="200"/>
      <w:outlineLvl w:val="4"/>
    </w:pPr>
    <w:rPr>
      <w:rFonts w:ascii="Arial" w:eastAsia="SimHei" w:hAnsi="Arial" w:cs="Arial"/>
      <w:b/>
      <w:bCs/>
    </w:rPr>
  </w:style>
  <w:style w:type="paragraph" w:customStyle="1" w:styleId="Heading61">
    <w:name w:val="Heading 61"/>
    <w:basedOn w:val="Normal"/>
    <w:next w:val="Normal"/>
    <w:uiPriority w:val="9"/>
    <w:unhideWhenUsed/>
    <w:qFormat/>
    <w:rsid w:val="005A321B"/>
    <w:pPr>
      <w:spacing w:line="271" w:lineRule="auto"/>
      <w:outlineLvl w:val="5"/>
    </w:pPr>
    <w:rPr>
      <w:rFonts w:ascii="Arial" w:eastAsia="SimHei" w:hAnsi="Arial" w:cs="Arial"/>
      <w:b/>
      <w:bCs/>
      <w:i/>
      <w:iCs/>
      <w:color w:val="7F7F7F"/>
    </w:rPr>
  </w:style>
  <w:style w:type="paragraph" w:customStyle="1" w:styleId="Heading71">
    <w:name w:val="Heading 71"/>
    <w:basedOn w:val="Normal"/>
    <w:next w:val="Normal"/>
    <w:uiPriority w:val="9"/>
    <w:unhideWhenUsed/>
    <w:qFormat/>
    <w:rsid w:val="005A321B"/>
    <w:pPr>
      <w:outlineLvl w:val="6"/>
    </w:pPr>
    <w:rPr>
      <w:rFonts w:ascii="Arial" w:eastAsia="SimHei" w:hAnsi="Arial" w:cs="Arial"/>
      <w:i/>
      <w:iCs/>
      <w:sz w:val="22"/>
    </w:rPr>
  </w:style>
  <w:style w:type="paragraph" w:customStyle="1" w:styleId="Heading81">
    <w:name w:val="Heading 81"/>
    <w:basedOn w:val="Normal"/>
    <w:next w:val="Normal"/>
    <w:uiPriority w:val="9"/>
    <w:unhideWhenUsed/>
    <w:qFormat/>
    <w:rsid w:val="005A321B"/>
    <w:pPr>
      <w:outlineLvl w:val="7"/>
    </w:pPr>
    <w:rPr>
      <w:rFonts w:ascii="Arial" w:eastAsia="SimHei" w:hAnsi="Arial" w:cs="Arial"/>
      <w:sz w:val="20"/>
      <w:szCs w:val="20"/>
    </w:rPr>
  </w:style>
  <w:style w:type="paragraph" w:customStyle="1" w:styleId="Heading91">
    <w:name w:val="Heading 91"/>
    <w:basedOn w:val="Normal"/>
    <w:next w:val="Normal"/>
    <w:uiPriority w:val="9"/>
    <w:unhideWhenUsed/>
    <w:qFormat/>
    <w:rsid w:val="005A321B"/>
    <w:pPr>
      <w:outlineLvl w:val="8"/>
    </w:pPr>
    <w:rPr>
      <w:rFonts w:ascii="Arial" w:eastAsia="SimHei" w:hAnsi="Arial" w:cs="Arial"/>
      <w:i/>
      <w:iCs/>
      <w:spacing w:val="5"/>
      <w:sz w:val="20"/>
      <w:szCs w:val="20"/>
    </w:rPr>
  </w:style>
  <w:style w:type="paragraph" w:customStyle="1" w:styleId="Title1">
    <w:name w:val="Title1"/>
    <w:basedOn w:val="Normal"/>
    <w:next w:val="Normal"/>
    <w:uiPriority w:val="10"/>
    <w:qFormat/>
    <w:rsid w:val="005A321B"/>
    <w:pPr>
      <w:pBdr>
        <w:bottom w:val="single" w:sz="4" w:space="1" w:color="auto"/>
      </w:pBdr>
      <w:spacing w:line="360" w:lineRule="auto"/>
      <w:contextualSpacing/>
    </w:pPr>
    <w:rPr>
      <w:rFonts w:ascii="Arial" w:eastAsia="SimHei" w:hAnsi="Arial" w:cs="Arial"/>
      <w:b/>
      <w:spacing w:val="5"/>
      <w:sz w:val="36"/>
      <w:szCs w:val="52"/>
    </w:rPr>
  </w:style>
  <w:style w:type="paragraph" w:customStyle="1" w:styleId="Subtitle1">
    <w:name w:val="Subtitle1"/>
    <w:basedOn w:val="Normal"/>
    <w:next w:val="Normal"/>
    <w:uiPriority w:val="11"/>
    <w:qFormat/>
    <w:rsid w:val="005A321B"/>
    <w:pPr>
      <w:spacing w:after="600"/>
    </w:pPr>
    <w:rPr>
      <w:rFonts w:ascii="Arial" w:eastAsia="SimHei" w:hAnsi="Arial" w:cs="Arial"/>
      <w:b/>
      <w:i/>
      <w:iCs/>
      <w:spacing w:val="13"/>
      <w:sz w:val="32"/>
      <w:szCs w:val="24"/>
    </w:rPr>
  </w:style>
  <w:style w:type="character" w:customStyle="1" w:styleId="Heading1Char1">
    <w:name w:val="Heading 1 Char1"/>
    <w:uiPriority w:val="9"/>
    <w:rsid w:val="005A321B"/>
    <w:rPr>
      <w:rFonts w:ascii="Cambria" w:eastAsia="Times New Roman" w:hAnsi="Cambria" w:cs="Times New Roman"/>
      <w:b/>
      <w:bCs/>
      <w:color w:val="365F91"/>
      <w:sz w:val="28"/>
      <w:szCs w:val="28"/>
    </w:rPr>
  </w:style>
  <w:style w:type="paragraph" w:customStyle="1" w:styleId="TOC11">
    <w:name w:val="TOC 11"/>
    <w:basedOn w:val="Normal"/>
    <w:next w:val="Normal"/>
    <w:autoRedefine/>
    <w:uiPriority w:val="39"/>
    <w:unhideWhenUsed/>
    <w:qFormat/>
    <w:rsid w:val="005A321B"/>
    <w:pPr>
      <w:tabs>
        <w:tab w:val="right" w:pos="9720"/>
      </w:tabs>
      <w:spacing w:before="360"/>
    </w:pPr>
    <w:rPr>
      <w:rFonts w:ascii="Arial" w:eastAsia="Calibri" w:hAnsi="Arial" w:cs="Arial"/>
      <w:b/>
      <w:bCs/>
      <w:caps/>
      <w:szCs w:val="24"/>
    </w:rPr>
  </w:style>
  <w:style w:type="paragraph" w:customStyle="1" w:styleId="TOC21">
    <w:name w:val="TOC 21"/>
    <w:basedOn w:val="Normal"/>
    <w:next w:val="Normal"/>
    <w:autoRedefine/>
    <w:uiPriority w:val="39"/>
    <w:unhideWhenUsed/>
    <w:rsid w:val="005A321B"/>
    <w:pPr>
      <w:tabs>
        <w:tab w:val="right" w:pos="9360"/>
      </w:tabs>
      <w:spacing w:before="240"/>
      <w:jc w:val="center"/>
    </w:pPr>
    <w:rPr>
      <w:rFonts w:ascii="Calibri" w:eastAsia="Calibri" w:hAnsi="Calibri" w:cs="Arial"/>
      <w:b/>
      <w:bCs/>
      <w:sz w:val="20"/>
      <w:szCs w:val="20"/>
    </w:rPr>
  </w:style>
  <w:style w:type="paragraph" w:customStyle="1" w:styleId="TOC31">
    <w:name w:val="TOC 31"/>
    <w:basedOn w:val="Normal"/>
    <w:next w:val="Normal"/>
    <w:autoRedefine/>
    <w:uiPriority w:val="39"/>
    <w:unhideWhenUsed/>
    <w:rsid w:val="005A321B"/>
    <w:pPr>
      <w:tabs>
        <w:tab w:val="right" w:pos="9720"/>
      </w:tabs>
    </w:pPr>
    <w:rPr>
      <w:rFonts w:ascii="Calibri" w:eastAsia="Calibri" w:hAnsi="Calibri" w:cs="Arial"/>
      <w:sz w:val="20"/>
      <w:szCs w:val="20"/>
    </w:rPr>
  </w:style>
  <w:style w:type="paragraph" w:customStyle="1" w:styleId="TOC41">
    <w:name w:val="TOC 41"/>
    <w:basedOn w:val="Normal"/>
    <w:next w:val="Normal"/>
    <w:autoRedefine/>
    <w:uiPriority w:val="39"/>
    <w:unhideWhenUsed/>
    <w:rsid w:val="005A321B"/>
    <w:pPr>
      <w:ind w:left="480"/>
    </w:pPr>
    <w:rPr>
      <w:rFonts w:ascii="Calibri" w:eastAsia="Calibri" w:hAnsi="Calibri" w:cs="Arial"/>
      <w:sz w:val="20"/>
      <w:szCs w:val="20"/>
    </w:rPr>
  </w:style>
  <w:style w:type="paragraph" w:customStyle="1" w:styleId="TOC51">
    <w:name w:val="TOC 51"/>
    <w:basedOn w:val="Normal"/>
    <w:next w:val="Normal"/>
    <w:autoRedefine/>
    <w:uiPriority w:val="39"/>
    <w:unhideWhenUsed/>
    <w:rsid w:val="005A321B"/>
    <w:pPr>
      <w:ind w:left="720"/>
    </w:pPr>
    <w:rPr>
      <w:rFonts w:ascii="Calibri" w:eastAsia="Calibri" w:hAnsi="Calibri" w:cs="Arial"/>
      <w:sz w:val="20"/>
      <w:szCs w:val="20"/>
    </w:rPr>
  </w:style>
  <w:style w:type="paragraph" w:customStyle="1" w:styleId="TOC61">
    <w:name w:val="TOC 61"/>
    <w:basedOn w:val="Normal"/>
    <w:next w:val="Normal"/>
    <w:autoRedefine/>
    <w:uiPriority w:val="39"/>
    <w:unhideWhenUsed/>
    <w:rsid w:val="005A321B"/>
    <w:pPr>
      <w:ind w:left="960"/>
    </w:pPr>
    <w:rPr>
      <w:rFonts w:ascii="Calibri" w:eastAsia="Calibri" w:hAnsi="Calibri" w:cs="Arial"/>
      <w:sz w:val="20"/>
      <w:szCs w:val="20"/>
    </w:rPr>
  </w:style>
  <w:style w:type="paragraph" w:customStyle="1" w:styleId="TOC71">
    <w:name w:val="TOC 71"/>
    <w:basedOn w:val="Normal"/>
    <w:next w:val="Normal"/>
    <w:autoRedefine/>
    <w:uiPriority w:val="39"/>
    <w:unhideWhenUsed/>
    <w:rsid w:val="005A321B"/>
    <w:pPr>
      <w:ind w:left="1200"/>
    </w:pPr>
    <w:rPr>
      <w:rFonts w:ascii="Calibri" w:eastAsia="Calibri" w:hAnsi="Calibri" w:cs="Arial"/>
      <w:sz w:val="20"/>
      <w:szCs w:val="20"/>
    </w:rPr>
  </w:style>
  <w:style w:type="paragraph" w:customStyle="1" w:styleId="TOC81">
    <w:name w:val="TOC 81"/>
    <w:basedOn w:val="Normal"/>
    <w:next w:val="Normal"/>
    <w:autoRedefine/>
    <w:uiPriority w:val="39"/>
    <w:unhideWhenUsed/>
    <w:rsid w:val="005A321B"/>
    <w:pPr>
      <w:ind w:left="1440"/>
    </w:pPr>
    <w:rPr>
      <w:rFonts w:ascii="Calibri" w:eastAsia="Calibri" w:hAnsi="Calibri" w:cs="Arial"/>
      <w:sz w:val="20"/>
      <w:szCs w:val="20"/>
    </w:rPr>
  </w:style>
  <w:style w:type="paragraph" w:customStyle="1" w:styleId="TOC91">
    <w:name w:val="TOC 91"/>
    <w:basedOn w:val="Normal"/>
    <w:next w:val="Normal"/>
    <w:autoRedefine/>
    <w:uiPriority w:val="39"/>
    <w:unhideWhenUsed/>
    <w:rsid w:val="005A321B"/>
    <w:pPr>
      <w:ind w:left="1680"/>
    </w:pPr>
    <w:rPr>
      <w:rFonts w:ascii="Calibri" w:eastAsia="Calibri" w:hAnsi="Calibri" w:cs="Arial"/>
      <w:sz w:val="20"/>
      <w:szCs w:val="20"/>
    </w:rPr>
  </w:style>
  <w:style w:type="character" w:customStyle="1" w:styleId="Hyperlink1">
    <w:name w:val="Hyperlink1"/>
    <w:uiPriority w:val="99"/>
    <w:unhideWhenUsed/>
    <w:rsid w:val="005A321B"/>
    <w:rPr>
      <w:color w:val="5F5F5F"/>
      <w:u w:val="single"/>
    </w:rPr>
  </w:style>
  <w:style w:type="numbering" w:customStyle="1" w:styleId="NoList11">
    <w:name w:val="No List11"/>
    <w:next w:val="NoList"/>
    <w:uiPriority w:val="99"/>
    <w:semiHidden/>
    <w:unhideWhenUsed/>
    <w:rsid w:val="005A321B"/>
  </w:style>
  <w:style w:type="character" w:customStyle="1" w:styleId="FollowedHyperlink1">
    <w:name w:val="FollowedHyperlink1"/>
    <w:semiHidden/>
    <w:unhideWhenUsed/>
    <w:rsid w:val="005A321B"/>
    <w:rPr>
      <w:color w:val="919191"/>
      <w:u w:val="single"/>
    </w:rPr>
  </w:style>
  <w:style w:type="character" w:customStyle="1" w:styleId="Heading2Char1">
    <w:name w:val="Heading 2 Char1"/>
    <w:uiPriority w:val="9"/>
    <w:semiHidden/>
    <w:rsid w:val="005A321B"/>
    <w:rPr>
      <w:rFonts w:ascii="Cambria" w:eastAsia="Times New Roman" w:hAnsi="Cambria" w:cs="Times New Roman"/>
      <w:b/>
      <w:bCs/>
      <w:color w:val="4F81BD"/>
      <w:sz w:val="26"/>
      <w:szCs w:val="26"/>
    </w:rPr>
  </w:style>
  <w:style w:type="character" w:customStyle="1" w:styleId="Heading3Char1">
    <w:name w:val="Heading 3 Char1"/>
    <w:uiPriority w:val="9"/>
    <w:semiHidden/>
    <w:rsid w:val="005A321B"/>
    <w:rPr>
      <w:rFonts w:ascii="Cambria" w:eastAsia="Times New Roman" w:hAnsi="Cambria" w:cs="Times New Roman"/>
      <w:b/>
      <w:bCs/>
      <w:color w:val="4F81BD"/>
    </w:rPr>
  </w:style>
  <w:style w:type="character" w:customStyle="1" w:styleId="Heading4Char1">
    <w:name w:val="Heading 4 Char1"/>
    <w:uiPriority w:val="9"/>
    <w:semiHidden/>
    <w:rsid w:val="005A321B"/>
    <w:rPr>
      <w:rFonts w:ascii="Cambria" w:eastAsia="Times New Roman" w:hAnsi="Cambria" w:cs="Times New Roman"/>
      <w:b/>
      <w:bCs/>
      <w:i/>
      <w:iCs/>
      <w:color w:val="4F81BD"/>
    </w:rPr>
  </w:style>
  <w:style w:type="character" w:customStyle="1" w:styleId="Heading5Char1">
    <w:name w:val="Heading 5 Char1"/>
    <w:uiPriority w:val="9"/>
    <w:semiHidden/>
    <w:rsid w:val="005A321B"/>
    <w:rPr>
      <w:rFonts w:ascii="Cambria" w:eastAsia="Times New Roman" w:hAnsi="Cambria" w:cs="Times New Roman"/>
      <w:color w:val="243F60"/>
    </w:rPr>
  </w:style>
  <w:style w:type="character" w:customStyle="1" w:styleId="Heading6Char1">
    <w:name w:val="Heading 6 Char1"/>
    <w:uiPriority w:val="9"/>
    <w:semiHidden/>
    <w:rsid w:val="005A321B"/>
    <w:rPr>
      <w:rFonts w:ascii="Cambria" w:eastAsia="Times New Roman" w:hAnsi="Cambria" w:cs="Times New Roman"/>
      <w:i/>
      <w:iCs/>
      <w:color w:val="243F60"/>
    </w:rPr>
  </w:style>
  <w:style w:type="character" w:customStyle="1" w:styleId="Heading7Char1">
    <w:name w:val="Heading 7 Char1"/>
    <w:uiPriority w:val="9"/>
    <w:semiHidden/>
    <w:rsid w:val="005A321B"/>
    <w:rPr>
      <w:rFonts w:ascii="Cambria" w:eastAsia="Times New Roman" w:hAnsi="Cambria" w:cs="Times New Roman"/>
      <w:i/>
      <w:iCs/>
      <w:color w:val="404040"/>
    </w:rPr>
  </w:style>
  <w:style w:type="character" w:customStyle="1" w:styleId="Heading8Char1">
    <w:name w:val="Heading 8 Char1"/>
    <w:uiPriority w:val="9"/>
    <w:semiHidden/>
    <w:rsid w:val="005A321B"/>
    <w:rPr>
      <w:rFonts w:ascii="Cambria" w:eastAsia="Times New Roman" w:hAnsi="Cambria" w:cs="Times New Roman"/>
      <w:color w:val="404040"/>
      <w:sz w:val="20"/>
      <w:szCs w:val="20"/>
    </w:rPr>
  </w:style>
  <w:style w:type="character" w:customStyle="1" w:styleId="Heading9Char1">
    <w:name w:val="Heading 9 Char1"/>
    <w:uiPriority w:val="9"/>
    <w:semiHidden/>
    <w:rsid w:val="005A321B"/>
    <w:rPr>
      <w:rFonts w:ascii="Cambria" w:eastAsia="Times New Roman" w:hAnsi="Cambria" w:cs="Times New Roman"/>
      <w:i/>
      <w:iCs/>
      <w:color w:val="404040"/>
      <w:sz w:val="20"/>
      <w:szCs w:val="20"/>
    </w:rPr>
  </w:style>
  <w:style w:type="character" w:customStyle="1" w:styleId="TitleChar1">
    <w:name w:val="Title Char1"/>
    <w:uiPriority w:val="10"/>
    <w:rsid w:val="005A321B"/>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5A321B"/>
    <w:rPr>
      <w:rFonts w:ascii="Cambria" w:eastAsia="Times New Roman" w:hAnsi="Cambria" w:cs="Times New Roman"/>
      <w:i/>
      <w:iCs/>
      <w:color w:val="4F81BD"/>
      <w:spacing w:val="15"/>
      <w:sz w:val="24"/>
      <w:szCs w:val="24"/>
    </w:rPr>
  </w:style>
  <w:style w:type="character" w:styleId="UnresolvedMention">
    <w:name w:val="Unresolved Mention"/>
    <w:basedOn w:val="DefaultParagraphFont"/>
    <w:uiPriority w:val="99"/>
    <w:semiHidden/>
    <w:unhideWhenUsed/>
    <w:rsid w:val="0059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0911">
      <w:bodyDiv w:val="1"/>
      <w:marLeft w:val="0"/>
      <w:marRight w:val="0"/>
      <w:marTop w:val="0"/>
      <w:marBottom w:val="0"/>
      <w:divBdr>
        <w:top w:val="none" w:sz="0" w:space="0" w:color="auto"/>
        <w:left w:val="none" w:sz="0" w:space="0" w:color="auto"/>
        <w:bottom w:val="none" w:sz="0" w:space="0" w:color="auto"/>
        <w:right w:val="none" w:sz="0" w:space="0" w:color="auto"/>
      </w:divBdr>
    </w:div>
    <w:div w:id="69011105">
      <w:bodyDiv w:val="1"/>
      <w:marLeft w:val="0"/>
      <w:marRight w:val="0"/>
      <w:marTop w:val="0"/>
      <w:marBottom w:val="0"/>
      <w:divBdr>
        <w:top w:val="none" w:sz="0" w:space="0" w:color="auto"/>
        <w:left w:val="none" w:sz="0" w:space="0" w:color="auto"/>
        <w:bottom w:val="none" w:sz="0" w:space="0" w:color="auto"/>
        <w:right w:val="none" w:sz="0" w:space="0" w:color="auto"/>
      </w:divBdr>
    </w:div>
    <w:div w:id="166678807">
      <w:bodyDiv w:val="1"/>
      <w:marLeft w:val="0"/>
      <w:marRight w:val="0"/>
      <w:marTop w:val="0"/>
      <w:marBottom w:val="0"/>
      <w:divBdr>
        <w:top w:val="none" w:sz="0" w:space="0" w:color="auto"/>
        <w:left w:val="none" w:sz="0" w:space="0" w:color="auto"/>
        <w:bottom w:val="none" w:sz="0" w:space="0" w:color="auto"/>
        <w:right w:val="none" w:sz="0" w:space="0" w:color="auto"/>
      </w:divBdr>
    </w:div>
    <w:div w:id="304163206">
      <w:bodyDiv w:val="1"/>
      <w:marLeft w:val="0"/>
      <w:marRight w:val="0"/>
      <w:marTop w:val="0"/>
      <w:marBottom w:val="0"/>
      <w:divBdr>
        <w:top w:val="none" w:sz="0" w:space="0" w:color="auto"/>
        <w:left w:val="none" w:sz="0" w:space="0" w:color="auto"/>
        <w:bottom w:val="none" w:sz="0" w:space="0" w:color="auto"/>
        <w:right w:val="none" w:sz="0" w:space="0" w:color="auto"/>
      </w:divBdr>
    </w:div>
    <w:div w:id="345979780">
      <w:bodyDiv w:val="1"/>
      <w:marLeft w:val="0"/>
      <w:marRight w:val="0"/>
      <w:marTop w:val="0"/>
      <w:marBottom w:val="0"/>
      <w:divBdr>
        <w:top w:val="none" w:sz="0" w:space="0" w:color="auto"/>
        <w:left w:val="none" w:sz="0" w:space="0" w:color="auto"/>
        <w:bottom w:val="none" w:sz="0" w:space="0" w:color="auto"/>
        <w:right w:val="none" w:sz="0" w:space="0" w:color="auto"/>
      </w:divBdr>
    </w:div>
    <w:div w:id="360909159">
      <w:bodyDiv w:val="1"/>
      <w:marLeft w:val="0"/>
      <w:marRight w:val="0"/>
      <w:marTop w:val="0"/>
      <w:marBottom w:val="0"/>
      <w:divBdr>
        <w:top w:val="none" w:sz="0" w:space="0" w:color="auto"/>
        <w:left w:val="none" w:sz="0" w:space="0" w:color="auto"/>
        <w:bottom w:val="none" w:sz="0" w:space="0" w:color="auto"/>
        <w:right w:val="none" w:sz="0" w:space="0" w:color="auto"/>
      </w:divBdr>
    </w:div>
    <w:div w:id="469252548">
      <w:bodyDiv w:val="1"/>
      <w:marLeft w:val="0"/>
      <w:marRight w:val="0"/>
      <w:marTop w:val="0"/>
      <w:marBottom w:val="0"/>
      <w:divBdr>
        <w:top w:val="none" w:sz="0" w:space="0" w:color="auto"/>
        <w:left w:val="none" w:sz="0" w:space="0" w:color="auto"/>
        <w:bottom w:val="none" w:sz="0" w:space="0" w:color="auto"/>
        <w:right w:val="none" w:sz="0" w:space="0" w:color="auto"/>
      </w:divBdr>
    </w:div>
    <w:div w:id="501745217">
      <w:bodyDiv w:val="1"/>
      <w:marLeft w:val="0"/>
      <w:marRight w:val="0"/>
      <w:marTop w:val="0"/>
      <w:marBottom w:val="0"/>
      <w:divBdr>
        <w:top w:val="none" w:sz="0" w:space="0" w:color="auto"/>
        <w:left w:val="none" w:sz="0" w:space="0" w:color="auto"/>
        <w:bottom w:val="none" w:sz="0" w:space="0" w:color="auto"/>
        <w:right w:val="none" w:sz="0" w:space="0" w:color="auto"/>
      </w:divBdr>
    </w:div>
    <w:div w:id="755055419">
      <w:bodyDiv w:val="1"/>
      <w:marLeft w:val="0"/>
      <w:marRight w:val="0"/>
      <w:marTop w:val="0"/>
      <w:marBottom w:val="0"/>
      <w:divBdr>
        <w:top w:val="none" w:sz="0" w:space="0" w:color="auto"/>
        <w:left w:val="none" w:sz="0" w:space="0" w:color="auto"/>
        <w:bottom w:val="none" w:sz="0" w:space="0" w:color="auto"/>
        <w:right w:val="none" w:sz="0" w:space="0" w:color="auto"/>
      </w:divBdr>
    </w:div>
    <w:div w:id="869996001">
      <w:bodyDiv w:val="1"/>
      <w:marLeft w:val="0"/>
      <w:marRight w:val="0"/>
      <w:marTop w:val="0"/>
      <w:marBottom w:val="0"/>
      <w:divBdr>
        <w:top w:val="none" w:sz="0" w:space="0" w:color="auto"/>
        <w:left w:val="none" w:sz="0" w:space="0" w:color="auto"/>
        <w:bottom w:val="none" w:sz="0" w:space="0" w:color="auto"/>
        <w:right w:val="none" w:sz="0" w:space="0" w:color="auto"/>
      </w:divBdr>
    </w:div>
    <w:div w:id="879436390">
      <w:bodyDiv w:val="1"/>
      <w:marLeft w:val="0"/>
      <w:marRight w:val="0"/>
      <w:marTop w:val="0"/>
      <w:marBottom w:val="0"/>
      <w:divBdr>
        <w:top w:val="none" w:sz="0" w:space="0" w:color="auto"/>
        <w:left w:val="none" w:sz="0" w:space="0" w:color="auto"/>
        <w:bottom w:val="none" w:sz="0" w:space="0" w:color="auto"/>
        <w:right w:val="none" w:sz="0" w:space="0" w:color="auto"/>
      </w:divBdr>
    </w:div>
    <w:div w:id="955714544">
      <w:bodyDiv w:val="1"/>
      <w:marLeft w:val="0"/>
      <w:marRight w:val="0"/>
      <w:marTop w:val="0"/>
      <w:marBottom w:val="0"/>
      <w:divBdr>
        <w:top w:val="none" w:sz="0" w:space="0" w:color="auto"/>
        <w:left w:val="none" w:sz="0" w:space="0" w:color="auto"/>
        <w:bottom w:val="none" w:sz="0" w:space="0" w:color="auto"/>
        <w:right w:val="none" w:sz="0" w:space="0" w:color="auto"/>
      </w:divBdr>
    </w:div>
    <w:div w:id="1018579540">
      <w:bodyDiv w:val="1"/>
      <w:marLeft w:val="0"/>
      <w:marRight w:val="0"/>
      <w:marTop w:val="0"/>
      <w:marBottom w:val="0"/>
      <w:divBdr>
        <w:top w:val="none" w:sz="0" w:space="0" w:color="auto"/>
        <w:left w:val="none" w:sz="0" w:space="0" w:color="auto"/>
        <w:bottom w:val="none" w:sz="0" w:space="0" w:color="auto"/>
        <w:right w:val="none" w:sz="0" w:space="0" w:color="auto"/>
      </w:divBdr>
      <w:divsChild>
        <w:div w:id="107238634">
          <w:marLeft w:val="0"/>
          <w:marRight w:val="0"/>
          <w:marTop w:val="0"/>
          <w:marBottom w:val="0"/>
          <w:divBdr>
            <w:top w:val="none" w:sz="0" w:space="0" w:color="auto"/>
            <w:left w:val="none" w:sz="0" w:space="0" w:color="auto"/>
            <w:bottom w:val="none" w:sz="0" w:space="0" w:color="auto"/>
            <w:right w:val="none" w:sz="0" w:space="0" w:color="auto"/>
          </w:divBdr>
          <w:divsChild>
            <w:div w:id="507252787">
              <w:marLeft w:val="0"/>
              <w:marRight w:val="0"/>
              <w:marTop w:val="0"/>
              <w:marBottom w:val="0"/>
              <w:divBdr>
                <w:top w:val="none" w:sz="0" w:space="0" w:color="auto"/>
                <w:left w:val="none" w:sz="0" w:space="0" w:color="auto"/>
                <w:bottom w:val="none" w:sz="0" w:space="0" w:color="auto"/>
                <w:right w:val="none" w:sz="0" w:space="0" w:color="auto"/>
              </w:divBdr>
              <w:divsChild>
                <w:div w:id="1598977553">
                  <w:marLeft w:val="0"/>
                  <w:marRight w:val="0"/>
                  <w:marTop w:val="0"/>
                  <w:marBottom w:val="0"/>
                  <w:divBdr>
                    <w:top w:val="none" w:sz="0" w:space="0" w:color="auto"/>
                    <w:left w:val="none" w:sz="0" w:space="0" w:color="auto"/>
                    <w:bottom w:val="none" w:sz="0" w:space="0" w:color="auto"/>
                    <w:right w:val="none" w:sz="0" w:space="0" w:color="auto"/>
                  </w:divBdr>
                  <w:divsChild>
                    <w:div w:id="702361966">
                      <w:marLeft w:val="0"/>
                      <w:marRight w:val="0"/>
                      <w:marTop w:val="0"/>
                      <w:marBottom w:val="0"/>
                      <w:divBdr>
                        <w:top w:val="none" w:sz="0" w:space="0" w:color="auto"/>
                        <w:left w:val="none" w:sz="0" w:space="0" w:color="auto"/>
                        <w:bottom w:val="none" w:sz="0" w:space="0" w:color="auto"/>
                        <w:right w:val="none" w:sz="0" w:space="0" w:color="auto"/>
                      </w:divBdr>
                      <w:divsChild>
                        <w:div w:id="11193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9793">
      <w:bodyDiv w:val="1"/>
      <w:marLeft w:val="0"/>
      <w:marRight w:val="0"/>
      <w:marTop w:val="0"/>
      <w:marBottom w:val="0"/>
      <w:divBdr>
        <w:top w:val="none" w:sz="0" w:space="0" w:color="auto"/>
        <w:left w:val="none" w:sz="0" w:space="0" w:color="auto"/>
        <w:bottom w:val="none" w:sz="0" w:space="0" w:color="auto"/>
        <w:right w:val="none" w:sz="0" w:space="0" w:color="auto"/>
      </w:divBdr>
      <w:divsChild>
        <w:div w:id="527258501">
          <w:marLeft w:val="274"/>
          <w:marRight w:val="0"/>
          <w:marTop w:val="65"/>
          <w:marBottom w:val="0"/>
          <w:divBdr>
            <w:top w:val="none" w:sz="0" w:space="0" w:color="auto"/>
            <w:left w:val="none" w:sz="0" w:space="0" w:color="auto"/>
            <w:bottom w:val="none" w:sz="0" w:space="0" w:color="auto"/>
            <w:right w:val="none" w:sz="0" w:space="0" w:color="auto"/>
          </w:divBdr>
        </w:div>
      </w:divsChild>
    </w:div>
    <w:div w:id="1083722910">
      <w:bodyDiv w:val="1"/>
      <w:marLeft w:val="0"/>
      <w:marRight w:val="0"/>
      <w:marTop w:val="0"/>
      <w:marBottom w:val="0"/>
      <w:divBdr>
        <w:top w:val="none" w:sz="0" w:space="0" w:color="auto"/>
        <w:left w:val="none" w:sz="0" w:space="0" w:color="auto"/>
        <w:bottom w:val="none" w:sz="0" w:space="0" w:color="auto"/>
        <w:right w:val="none" w:sz="0" w:space="0" w:color="auto"/>
      </w:divBdr>
    </w:div>
    <w:div w:id="1127119975">
      <w:bodyDiv w:val="1"/>
      <w:marLeft w:val="0"/>
      <w:marRight w:val="0"/>
      <w:marTop w:val="0"/>
      <w:marBottom w:val="0"/>
      <w:divBdr>
        <w:top w:val="none" w:sz="0" w:space="0" w:color="auto"/>
        <w:left w:val="none" w:sz="0" w:space="0" w:color="auto"/>
        <w:bottom w:val="none" w:sz="0" w:space="0" w:color="auto"/>
        <w:right w:val="none" w:sz="0" w:space="0" w:color="auto"/>
      </w:divBdr>
    </w:div>
    <w:div w:id="1284340317">
      <w:bodyDiv w:val="1"/>
      <w:marLeft w:val="0"/>
      <w:marRight w:val="0"/>
      <w:marTop w:val="0"/>
      <w:marBottom w:val="0"/>
      <w:divBdr>
        <w:top w:val="none" w:sz="0" w:space="0" w:color="auto"/>
        <w:left w:val="none" w:sz="0" w:space="0" w:color="auto"/>
        <w:bottom w:val="none" w:sz="0" w:space="0" w:color="auto"/>
        <w:right w:val="none" w:sz="0" w:space="0" w:color="auto"/>
      </w:divBdr>
    </w:div>
    <w:div w:id="1339190469">
      <w:bodyDiv w:val="1"/>
      <w:marLeft w:val="0"/>
      <w:marRight w:val="0"/>
      <w:marTop w:val="0"/>
      <w:marBottom w:val="0"/>
      <w:divBdr>
        <w:top w:val="none" w:sz="0" w:space="0" w:color="auto"/>
        <w:left w:val="none" w:sz="0" w:space="0" w:color="auto"/>
        <w:bottom w:val="none" w:sz="0" w:space="0" w:color="auto"/>
        <w:right w:val="none" w:sz="0" w:space="0" w:color="auto"/>
      </w:divBdr>
    </w:div>
    <w:div w:id="1434663473">
      <w:bodyDiv w:val="1"/>
      <w:marLeft w:val="0"/>
      <w:marRight w:val="0"/>
      <w:marTop w:val="0"/>
      <w:marBottom w:val="0"/>
      <w:divBdr>
        <w:top w:val="none" w:sz="0" w:space="0" w:color="auto"/>
        <w:left w:val="none" w:sz="0" w:space="0" w:color="auto"/>
        <w:bottom w:val="none" w:sz="0" w:space="0" w:color="auto"/>
        <w:right w:val="none" w:sz="0" w:space="0" w:color="auto"/>
      </w:divBdr>
    </w:div>
    <w:div w:id="1436629498">
      <w:bodyDiv w:val="1"/>
      <w:marLeft w:val="0"/>
      <w:marRight w:val="0"/>
      <w:marTop w:val="0"/>
      <w:marBottom w:val="0"/>
      <w:divBdr>
        <w:top w:val="none" w:sz="0" w:space="0" w:color="auto"/>
        <w:left w:val="none" w:sz="0" w:space="0" w:color="auto"/>
        <w:bottom w:val="none" w:sz="0" w:space="0" w:color="auto"/>
        <w:right w:val="none" w:sz="0" w:space="0" w:color="auto"/>
      </w:divBdr>
    </w:div>
    <w:div w:id="1511985743">
      <w:bodyDiv w:val="1"/>
      <w:marLeft w:val="0"/>
      <w:marRight w:val="0"/>
      <w:marTop w:val="0"/>
      <w:marBottom w:val="0"/>
      <w:divBdr>
        <w:top w:val="none" w:sz="0" w:space="0" w:color="auto"/>
        <w:left w:val="none" w:sz="0" w:space="0" w:color="auto"/>
        <w:bottom w:val="none" w:sz="0" w:space="0" w:color="auto"/>
        <w:right w:val="none" w:sz="0" w:space="0" w:color="auto"/>
      </w:divBdr>
    </w:div>
    <w:div w:id="1514996981">
      <w:bodyDiv w:val="1"/>
      <w:marLeft w:val="0"/>
      <w:marRight w:val="0"/>
      <w:marTop w:val="0"/>
      <w:marBottom w:val="0"/>
      <w:divBdr>
        <w:top w:val="none" w:sz="0" w:space="0" w:color="auto"/>
        <w:left w:val="none" w:sz="0" w:space="0" w:color="auto"/>
        <w:bottom w:val="none" w:sz="0" w:space="0" w:color="auto"/>
        <w:right w:val="none" w:sz="0" w:space="0" w:color="auto"/>
      </w:divBdr>
    </w:div>
    <w:div w:id="1557818862">
      <w:bodyDiv w:val="1"/>
      <w:marLeft w:val="0"/>
      <w:marRight w:val="0"/>
      <w:marTop w:val="0"/>
      <w:marBottom w:val="0"/>
      <w:divBdr>
        <w:top w:val="none" w:sz="0" w:space="0" w:color="auto"/>
        <w:left w:val="none" w:sz="0" w:space="0" w:color="auto"/>
        <w:bottom w:val="none" w:sz="0" w:space="0" w:color="auto"/>
        <w:right w:val="none" w:sz="0" w:space="0" w:color="auto"/>
      </w:divBdr>
    </w:div>
    <w:div w:id="1568538855">
      <w:bodyDiv w:val="1"/>
      <w:marLeft w:val="0"/>
      <w:marRight w:val="0"/>
      <w:marTop w:val="0"/>
      <w:marBottom w:val="0"/>
      <w:divBdr>
        <w:top w:val="none" w:sz="0" w:space="0" w:color="auto"/>
        <w:left w:val="none" w:sz="0" w:space="0" w:color="auto"/>
        <w:bottom w:val="none" w:sz="0" w:space="0" w:color="auto"/>
        <w:right w:val="none" w:sz="0" w:space="0" w:color="auto"/>
      </w:divBdr>
    </w:div>
    <w:div w:id="1575045787">
      <w:bodyDiv w:val="1"/>
      <w:marLeft w:val="0"/>
      <w:marRight w:val="0"/>
      <w:marTop w:val="0"/>
      <w:marBottom w:val="0"/>
      <w:divBdr>
        <w:top w:val="none" w:sz="0" w:space="0" w:color="auto"/>
        <w:left w:val="none" w:sz="0" w:space="0" w:color="auto"/>
        <w:bottom w:val="none" w:sz="0" w:space="0" w:color="auto"/>
        <w:right w:val="none" w:sz="0" w:space="0" w:color="auto"/>
      </w:divBdr>
    </w:div>
    <w:div w:id="1741559762">
      <w:bodyDiv w:val="1"/>
      <w:marLeft w:val="0"/>
      <w:marRight w:val="0"/>
      <w:marTop w:val="0"/>
      <w:marBottom w:val="0"/>
      <w:divBdr>
        <w:top w:val="none" w:sz="0" w:space="0" w:color="auto"/>
        <w:left w:val="none" w:sz="0" w:space="0" w:color="auto"/>
        <w:bottom w:val="none" w:sz="0" w:space="0" w:color="auto"/>
        <w:right w:val="none" w:sz="0" w:space="0" w:color="auto"/>
      </w:divBdr>
    </w:div>
    <w:div w:id="1743217651">
      <w:bodyDiv w:val="1"/>
      <w:marLeft w:val="0"/>
      <w:marRight w:val="0"/>
      <w:marTop w:val="0"/>
      <w:marBottom w:val="0"/>
      <w:divBdr>
        <w:top w:val="none" w:sz="0" w:space="0" w:color="auto"/>
        <w:left w:val="none" w:sz="0" w:space="0" w:color="auto"/>
        <w:bottom w:val="none" w:sz="0" w:space="0" w:color="auto"/>
        <w:right w:val="none" w:sz="0" w:space="0" w:color="auto"/>
      </w:divBdr>
    </w:div>
    <w:div w:id="1759328747">
      <w:bodyDiv w:val="1"/>
      <w:marLeft w:val="0"/>
      <w:marRight w:val="0"/>
      <w:marTop w:val="0"/>
      <w:marBottom w:val="0"/>
      <w:divBdr>
        <w:top w:val="none" w:sz="0" w:space="0" w:color="auto"/>
        <w:left w:val="none" w:sz="0" w:space="0" w:color="auto"/>
        <w:bottom w:val="none" w:sz="0" w:space="0" w:color="auto"/>
        <w:right w:val="none" w:sz="0" w:space="0" w:color="auto"/>
      </w:divBdr>
    </w:div>
    <w:div w:id="1945725441">
      <w:bodyDiv w:val="1"/>
      <w:marLeft w:val="0"/>
      <w:marRight w:val="0"/>
      <w:marTop w:val="0"/>
      <w:marBottom w:val="0"/>
      <w:divBdr>
        <w:top w:val="none" w:sz="0" w:space="0" w:color="auto"/>
        <w:left w:val="none" w:sz="0" w:space="0" w:color="auto"/>
        <w:bottom w:val="none" w:sz="0" w:space="0" w:color="auto"/>
        <w:right w:val="none" w:sz="0" w:space="0" w:color="auto"/>
      </w:divBdr>
    </w:div>
    <w:div w:id="20693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2.publicationsduquebec.gouv.qc.ca/dynamicSearch/telecharge.php?type=2&amp;file=/S_13/S13.htm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cfta-alec.ca" TargetMode="External"/><Relationship Id="rId17" Type="http://schemas.openxmlformats.org/officeDocument/2006/relationships/hyperlink" Target="http://laws.justice.gc.ca/fr/ShowDoc/cs/I-21/bo-ga:s_5::bo-ga:s_8_1/fr?page=3&amp;isPrinting=false"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2.publicationsduquebec.gouv.qc.ca/dynamicSearch/telecharge.php?type=2&amp;file=/S_13/S1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8ca34-8749-46c5-a100-931c717d85c9" xsi:nil="true"/>
    <lcf76f155ced4ddcb4097134ff3c332f xmlns="30ee041c-e5ef-4c96-a0d2-fc9fdd4b61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2F9747278C64FB90F0A21FDEE0940" ma:contentTypeVersion="17" ma:contentTypeDescription="Create a new document." ma:contentTypeScope="" ma:versionID="25aea3761e89ddab111d07f2c7361e2e">
  <xsd:schema xmlns:xsd="http://www.w3.org/2001/XMLSchema" xmlns:xs="http://www.w3.org/2001/XMLSchema" xmlns:p="http://schemas.microsoft.com/office/2006/metadata/properties" xmlns:ns2="30ee041c-e5ef-4c96-a0d2-fc9fdd4b61a1" xmlns:ns3="6438ca34-8749-46c5-a100-931c717d85c9" targetNamespace="http://schemas.microsoft.com/office/2006/metadata/properties" ma:root="true" ma:fieldsID="d33cf3f427a368ddda05791f1647c523" ns2:_="" ns3:_="">
    <xsd:import namespace="30ee041c-e5ef-4c96-a0d2-fc9fdd4b61a1"/>
    <xsd:import namespace="6438ca34-8749-46c5-a100-931c717d85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e041c-e5ef-4c96-a0d2-fc9fdd4b6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747aba-a914-462d-b8df-9b399db24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8ca34-8749-46c5-a100-931c717d85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5bc368-6a06-4563-9c9f-b311e3b9c8c2}" ma:internalName="TaxCatchAll" ma:showField="CatchAllData" ma:web="6438ca34-8749-46c5-a100-931c717d8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8AEC-A96C-45C9-9EE9-7480591CF7AC}">
  <ds:schemaRefs>
    <ds:schemaRef ds:uri="http://purl.org/dc/elements/1.1/"/>
    <ds:schemaRef ds:uri="http://purl.org/dc/terms/"/>
    <ds:schemaRef ds:uri="http://purl.org/dc/dcmitype/"/>
    <ds:schemaRef ds:uri="30ee041c-e5ef-4c96-a0d2-fc9fdd4b61a1"/>
    <ds:schemaRef ds:uri="http://www.w3.org/XML/1998/namespace"/>
    <ds:schemaRef ds:uri="6438ca34-8749-46c5-a100-931c717d85c9"/>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D81251C-73BB-430B-A643-71A5993E0222}">
  <ds:schemaRefs>
    <ds:schemaRef ds:uri="http://schemas.microsoft.com/sharepoint/v3/contenttype/forms"/>
  </ds:schemaRefs>
</ds:datastoreItem>
</file>

<file path=customXml/itemProps3.xml><?xml version="1.0" encoding="utf-8"?>
<ds:datastoreItem xmlns:ds="http://schemas.openxmlformats.org/officeDocument/2006/customXml" ds:itemID="{E9B7F7E5-0925-42BC-838E-D77604B6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e041c-e5ef-4c96-a0d2-fc9fdd4b61a1"/>
    <ds:schemaRef ds:uri="6438ca34-8749-46c5-a100-931c717d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78F8E-85FB-493B-ACF5-89AB1736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361</Pages>
  <Words>103402</Words>
  <Characters>589397</Characters>
  <Application>Microsoft Office Word</Application>
  <DocSecurity>0</DocSecurity>
  <Lines>4911</Lines>
  <Paragraphs>1382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691417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Matthew (MEDTE/MRI)</dc:creator>
  <cp:lastModifiedBy>Pat Fortier</cp:lastModifiedBy>
  <cp:revision>5</cp:revision>
  <cp:lastPrinted>2024-01-16T21:59:00Z</cp:lastPrinted>
  <dcterms:created xsi:type="dcterms:W3CDTF">2024-01-16T21:15:00Z</dcterms:created>
  <dcterms:modified xsi:type="dcterms:W3CDTF">2024-01-16T23:11:00Z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0x0101004622F9747278C64FB90F0A21FDEE0940</vt:lpwstr>
  </property>
  <property fmtid="{D5CDD505-2E9C-101B-9397-08002B2CF9AE}" pid="3" name="Order">
    <vt:r8>221400</vt:r8>
  </property>
  <property fmtid="{D5CDD505-2E9C-101B-9397-08002B2CF9AE}" pid="4" name="MediaServiceImageTags">
    <vt:lpwstr/>
  </property>
</Properties>
</file>